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highlight w:val="none"/>
        </w:rPr>
      </w:pPr>
    </w:p>
    <w:p>
      <w:pPr>
        <w:spacing w:line="360" w:lineRule="auto"/>
        <w:jc w:val="center"/>
        <w:rPr>
          <w:rFonts w:cs="仿宋_GB2312" w:asciiTheme="minorEastAsia" w:hAnsiTheme="minorEastAsia" w:eastAsiaTheme="minorEastAsia"/>
          <w:b/>
          <w:sz w:val="24"/>
          <w:highlight w:val="none"/>
        </w:rPr>
      </w:pPr>
    </w:p>
    <w:p>
      <w:pPr>
        <w:adjustRightInd/>
        <w:spacing w:line="360" w:lineRule="auto"/>
        <w:jc w:val="center"/>
        <w:rPr>
          <w:rFonts w:cs="仿宋_GB2312" w:asciiTheme="minorEastAsia" w:hAnsiTheme="minorEastAsia" w:eastAsiaTheme="minorEastAsia"/>
          <w:b/>
          <w:sz w:val="44"/>
          <w:szCs w:val="44"/>
          <w:highlight w:val="none"/>
        </w:rPr>
      </w:pPr>
    </w:p>
    <w:p>
      <w:pPr>
        <w:adjustRightInd/>
        <w:spacing w:line="360" w:lineRule="auto"/>
        <w:jc w:val="center"/>
        <w:rPr>
          <w:rFonts w:cs="仿宋_GB2312" w:asciiTheme="minorEastAsia" w:hAnsiTheme="minorEastAsia" w:eastAsiaTheme="minorEastAsia"/>
          <w:b/>
          <w:sz w:val="44"/>
          <w:szCs w:val="44"/>
          <w:highlight w:val="none"/>
        </w:rPr>
      </w:pPr>
    </w:p>
    <w:p>
      <w:pPr>
        <w:adjustRightInd/>
        <w:spacing w:line="360" w:lineRule="auto"/>
        <w:jc w:val="center"/>
        <w:rPr>
          <w:rFonts w:hint="eastAsia" w:cs="仿宋_GB2312" w:asciiTheme="minorEastAsia" w:hAnsiTheme="minorEastAsia" w:eastAsiaTheme="minorEastAsia"/>
          <w:b/>
          <w:sz w:val="44"/>
          <w:szCs w:val="44"/>
          <w:highlight w:val="none"/>
          <w:lang w:eastAsia="zh-CN"/>
        </w:rPr>
      </w:pPr>
      <w:r>
        <w:rPr>
          <w:rFonts w:hint="eastAsia" w:cs="仿宋_GB2312" w:asciiTheme="minorEastAsia" w:hAnsiTheme="minorEastAsia" w:eastAsiaTheme="minorEastAsia"/>
          <w:b/>
          <w:sz w:val="44"/>
          <w:szCs w:val="44"/>
          <w:highlight w:val="none"/>
          <w:lang w:eastAsia="zh-CN"/>
        </w:rPr>
        <w:t>2024年度临安区困难残疾人家庭无障碍</w:t>
      </w:r>
    </w:p>
    <w:p>
      <w:pPr>
        <w:adjustRightInd/>
        <w:spacing w:line="360" w:lineRule="auto"/>
        <w:jc w:val="center"/>
        <w:rPr>
          <w:rFonts w:cs="仿宋_GB2312" w:asciiTheme="minorEastAsia" w:hAnsiTheme="minorEastAsia" w:eastAsiaTheme="minorEastAsia"/>
          <w:b/>
          <w:sz w:val="44"/>
          <w:szCs w:val="44"/>
          <w:highlight w:val="none"/>
        </w:rPr>
      </w:pPr>
      <w:r>
        <w:rPr>
          <w:rFonts w:hint="eastAsia" w:cs="仿宋_GB2312" w:asciiTheme="minorEastAsia" w:hAnsiTheme="minorEastAsia" w:eastAsiaTheme="minorEastAsia"/>
          <w:b/>
          <w:sz w:val="44"/>
          <w:szCs w:val="44"/>
          <w:highlight w:val="none"/>
          <w:lang w:eastAsia="zh-CN"/>
        </w:rPr>
        <w:t>改造项目</w:t>
      </w:r>
    </w:p>
    <w:p>
      <w:pPr>
        <w:adjustRightInd/>
        <w:spacing w:line="360" w:lineRule="auto"/>
        <w:jc w:val="center"/>
        <w:rPr>
          <w:rFonts w:cs="仿宋_GB2312" w:asciiTheme="minorEastAsia" w:hAnsiTheme="minorEastAsia" w:eastAsiaTheme="minorEastAsia"/>
          <w:b/>
          <w:sz w:val="72"/>
          <w:szCs w:val="72"/>
          <w:highlight w:val="none"/>
        </w:rPr>
      </w:pPr>
      <w:r>
        <w:rPr>
          <w:rFonts w:hint="eastAsia" w:cs="仿宋_GB2312" w:asciiTheme="minorEastAsia" w:hAnsiTheme="minorEastAsia" w:eastAsiaTheme="minorEastAsia"/>
          <w:b/>
          <w:bCs/>
          <w:w w:val="95"/>
          <w:sz w:val="72"/>
          <w:szCs w:val="72"/>
          <w:highlight w:val="none"/>
          <w:lang w:val="zh-CN"/>
        </w:rPr>
        <w:t>竞争性磋商</w:t>
      </w:r>
      <w:r>
        <w:rPr>
          <w:rFonts w:hint="eastAsia" w:cs="仿宋_GB2312" w:asciiTheme="minorEastAsia" w:hAnsiTheme="minorEastAsia" w:eastAsiaTheme="minorEastAsia"/>
          <w:b/>
          <w:sz w:val="72"/>
          <w:szCs w:val="72"/>
          <w:highlight w:val="none"/>
        </w:rPr>
        <w:t>文件</w:t>
      </w:r>
    </w:p>
    <w:p>
      <w:pPr>
        <w:adjustRightInd/>
        <w:spacing w:line="360" w:lineRule="auto"/>
        <w:jc w:val="center"/>
        <w:rPr>
          <w:rFonts w:cs="仿宋_GB2312" w:asciiTheme="minorEastAsia" w:hAnsiTheme="minorEastAsia" w:eastAsiaTheme="minorEastAsia"/>
          <w:b/>
          <w:sz w:val="44"/>
          <w:szCs w:val="44"/>
          <w:highlight w:val="none"/>
        </w:rPr>
      </w:pPr>
      <w:r>
        <w:rPr>
          <w:rFonts w:hint="eastAsia" w:cs="仿宋_GB2312" w:asciiTheme="minorEastAsia" w:hAnsiTheme="minorEastAsia" w:eastAsiaTheme="minorEastAsia"/>
          <w:b/>
          <w:sz w:val="44"/>
          <w:szCs w:val="44"/>
          <w:highlight w:val="none"/>
        </w:rPr>
        <w:t>（电子交易）</w:t>
      </w:r>
    </w:p>
    <w:p>
      <w:pPr>
        <w:snapToGrid w:val="0"/>
        <w:spacing w:line="360" w:lineRule="auto"/>
        <w:jc w:val="center"/>
        <w:rPr>
          <w:rFonts w:cs="仿宋_GB2312" w:asciiTheme="minorEastAsia" w:hAnsiTheme="minorEastAsia" w:eastAsiaTheme="minorEastAsia"/>
          <w:sz w:val="30"/>
          <w:szCs w:val="30"/>
          <w:highlight w:val="none"/>
        </w:rPr>
      </w:pPr>
    </w:p>
    <w:p>
      <w:pPr>
        <w:snapToGrid w:val="0"/>
        <w:spacing w:line="360" w:lineRule="auto"/>
        <w:jc w:val="center"/>
        <w:rPr>
          <w:rFonts w:cs="仿宋_GB2312" w:asciiTheme="minorEastAsia" w:hAnsiTheme="minorEastAsia" w:eastAsiaTheme="minorEastAsia"/>
          <w:sz w:val="30"/>
          <w:szCs w:val="30"/>
          <w:highlight w:val="none"/>
        </w:rPr>
      </w:pPr>
      <w:r>
        <w:rPr>
          <w:rFonts w:hint="eastAsia" w:cs="仿宋_GB2312" w:asciiTheme="minorEastAsia" w:hAnsiTheme="minorEastAsia" w:eastAsiaTheme="minorEastAsia"/>
          <w:sz w:val="30"/>
          <w:szCs w:val="30"/>
          <w:highlight w:val="none"/>
        </w:rPr>
        <w:t>项目编号:（</w:t>
      </w:r>
      <w:r>
        <w:rPr>
          <w:rFonts w:hint="eastAsia" w:cs="仿宋_GB2312" w:asciiTheme="minorEastAsia" w:hAnsiTheme="minorEastAsia" w:eastAsiaTheme="minorEastAsia"/>
          <w:sz w:val="30"/>
          <w:szCs w:val="30"/>
          <w:highlight w:val="none"/>
        </w:rPr>
        <w:fldChar w:fldCharType="begin"/>
      </w:r>
      <w:r>
        <w:rPr>
          <w:rFonts w:hint="eastAsia" w:cs="仿宋_GB2312" w:asciiTheme="minorEastAsia" w:hAnsiTheme="minorEastAsia" w:eastAsiaTheme="minorEastAsia"/>
          <w:sz w:val="30"/>
          <w:szCs w:val="30"/>
          <w:highlight w:val="none"/>
        </w:rPr>
        <w:instrText xml:space="preserve"> HYPERLINK "https://www.zcygov.cn/project-center/_procurement_/project-result-detail/7266466708237320254" \t "https://www.zcygov.cn/project-center/_procurement_/self-project/_blank" </w:instrText>
      </w:r>
      <w:r>
        <w:rPr>
          <w:rFonts w:hint="eastAsia" w:cs="仿宋_GB2312" w:asciiTheme="minorEastAsia" w:hAnsiTheme="minorEastAsia" w:eastAsiaTheme="minorEastAsia"/>
          <w:sz w:val="30"/>
          <w:szCs w:val="30"/>
          <w:highlight w:val="none"/>
        </w:rPr>
        <w:fldChar w:fldCharType="separate"/>
      </w:r>
      <w:r>
        <w:rPr>
          <w:rFonts w:hint="eastAsia" w:cs="仿宋_GB2312" w:asciiTheme="minorEastAsia" w:hAnsiTheme="minorEastAsia" w:eastAsiaTheme="minorEastAsia"/>
          <w:sz w:val="30"/>
          <w:szCs w:val="30"/>
          <w:highlight w:val="none"/>
        </w:rPr>
        <w:t>ZJCTLA-CL2024-01</w:t>
      </w:r>
      <w:r>
        <w:rPr>
          <w:rFonts w:hint="eastAsia" w:cs="仿宋_GB2312" w:asciiTheme="minorEastAsia" w:hAnsiTheme="minorEastAsia" w:eastAsiaTheme="minorEastAsia"/>
          <w:sz w:val="30"/>
          <w:szCs w:val="30"/>
          <w:highlight w:val="none"/>
        </w:rPr>
        <w:fldChar w:fldCharType="end"/>
      </w:r>
      <w:r>
        <w:rPr>
          <w:rFonts w:hint="eastAsia" w:cs="仿宋_GB2312" w:asciiTheme="minorEastAsia" w:hAnsiTheme="minorEastAsia" w:eastAsiaTheme="minorEastAsia"/>
          <w:sz w:val="30"/>
          <w:szCs w:val="30"/>
          <w:highlight w:val="none"/>
        </w:rPr>
        <w:t>）</w:t>
      </w:r>
    </w:p>
    <w:p>
      <w:pPr>
        <w:adjustRightInd/>
        <w:spacing w:line="360" w:lineRule="auto"/>
        <w:rPr>
          <w:rFonts w:cs="仿宋_GB2312" w:asciiTheme="minorEastAsia" w:hAnsiTheme="minorEastAsia" w:eastAsiaTheme="minorEastAsia"/>
          <w:sz w:val="28"/>
          <w:szCs w:val="20"/>
          <w:highlight w:val="none"/>
        </w:rPr>
      </w:pPr>
    </w:p>
    <w:p>
      <w:pPr>
        <w:spacing w:line="360" w:lineRule="auto"/>
        <w:jc w:val="center"/>
        <w:rPr>
          <w:rFonts w:cs="仿宋_GB2312" w:asciiTheme="minorEastAsia" w:hAnsiTheme="minorEastAsia" w:eastAsiaTheme="minorEastAsia"/>
          <w:sz w:val="24"/>
          <w:highlight w:val="none"/>
        </w:rPr>
      </w:pPr>
    </w:p>
    <w:p>
      <w:pPr>
        <w:spacing w:line="360" w:lineRule="auto"/>
        <w:jc w:val="center"/>
        <w:rPr>
          <w:rFonts w:cs="仿宋_GB2312" w:asciiTheme="minorEastAsia" w:hAnsiTheme="minorEastAsia" w:eastAsiaTheme="minorEastAsia"/>
          <w:sz w:val="24"/>
          <w:highlight w:val="none"/>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sz w:val="24"/>
          <w:highlight w:val="none"/>
        </w:rPr>
        <w:t xml:space="preserve">                                      </w:t>
      </w:r>
    </w:p>
    <w:p>
      <w:pPr>
        <w:snapToGrid w:val="0"/>
        <w:spacing w:line="360" w:lineRule="auto"/>
        <w:jc w:val="center"/>
        <w:rPr>
          <w:rFonts w:cs="仿宋_GB2312" w:asciiTheme="minorEastAsia" w:hAnsiTheme="minorEastAsia" w:eastAsiaTheme="minorEastAsia"/>
          <w:sz w:val="32"/>
          <w:szCs w:val="32"/>
          <w:highlight w:val="none"/>
        </w:rPr>
      </w:pPr>
    </w:p>
    <w:p>
      <w:pPr>
        <w:snapToGrid w:val="0"/>
        <w:spacing w:line="360" w:lineRule="auto"/>
        <w:jc w:val="center"/>
        <w:rPr>
          <w:rFonts w:cs="仿宋_GB2312" w:asciiTheme="minorEastAsia" w:hAnsiTheme="minorEastAsia" w:eastAsiaTheme="minorEastAsia"/>
          <w:sz w:val="32"/>
          <w:szCs w:val="32"/>
          <w:highlight w:val="none"/>
        </w:rPr>
      </w:pPr>
      <w:r>
        <w:rPr>
          <w:rFonts w:hint="eastAsia" w:ascii="宋体" w:hAnsi="宋体" w:cs="宋体"/>
          <w:sz w:val="32"/>
          <w:szCs w:val="32"/>
          <w:highlight w:val="none"/>
        </w:rPr>
        <w:t>杭州市临安区残疾人联合会</w:t>
      </w:r>
    </w:p>
    <w:p>
      <w:pPr>
        <w:snapToGrid w:val="0"/>
        <w:spacing w:line="360" w:lineRule="auto"/>
        <w:jc w:val="center"/>
        <w:rPr>
          <w:rFonts w:hint="default" w:ascii="宋体" w:hAnsi="宋体" w:cs="宋体" w:eastAsiaTheme="minorEastAsia"/>
          <w:bCs/>
          <w:sz w:val="32"/>
          <w:szCs w:val="32"/>
          <w:highlight w:val="none"/>
          <w:lang w:val="en-US" w:eastAsia="zh-CN"/>
        </w:rPr>
      </w:pPr>
      <w:r>
        <w:rPr>
          <w:rFonts w:hint="eastAsia" w:ascii="宋体" w:hAnsi="宋体" w:cs="宋体" w:eastAsiaTheme="minorEastAsia"/>
          <w:bCs/>
          <w:sz w:val="32"/>
          <w:szCs w:val="32"/>
          <w:highlight w:val="none"/>
          <w:lang w:val="en-US" w:eastAsia="zh-CN"/>
        </w:rPr>
        <w:t>浙江省成套工程有限公司</w:t>
      </w:r>
    </w:p>
    <w:p>
      <w:pPr>
        <w:snapToGrid w:val="0"/>
        <w:spacing w:line="360" w:lineRule="auto"/>
        <w:jc w:val="center"/>
        <w:rPr>
          <w:rFonts w:ascii="宋体" w:hAnsi="宋体" w:cs="宋体" w:eastAsiaTheme="minorEastAsia"/>
          <w:bCs/>
          <w:sz w:val="32"/>
          <w:szCs w:val="32"/>
          <w:highlight w:val="none"/>
        </w:rPr>
      </w:pPr>
      <w:r>
        <w:rPr>
          <w:rFonts w:hint="eastAsia" w:ascii="宋体" w:hAnsi="宋体" w:cs="宋体" w:eastAsiaTheme="minorEastAsia"/>
          <w:bCs/>
          <w:sz w:val="32"/>
          <w:szCs w:val="32"/>
          <w:highlight w:val="none"/>
        </w:rPr>
        <w:t>杭州市临安区政府采购办公室</w:t>
      </w:r>
    </w:p>
    <w:p>
      <w:pPr>
        <w:snapToGrid w:val="0"/>
        <w:spacing w:line="360" w:lineRule="auto"/>
        <w:jc w:val="center"/>
        <w:rPr>
          <w:rFonts w:cs="仿宋_GB2312" w:asciiTheme="minorEastAsia" w:hAnsiTheme="minorEastAsia" w:eastAsiaTheme="minorEastAsia"/>
          <w:bCs/>
          <w:sz w:val="32"/>
          <w:szCs w:val="32"/>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w:t>
      </w:r>
      <w:r>
        <w:rPr>
          <w:rFonts w:hint="eastAsia" w:cs="仿宋_GB2312" w:asciiTheme="minorEastAsia" w:hAnsiTheme="minorEastAsia" w:eastAsiaTheme="minorEastAsia"/>
          <w:bCs/>
          <w:sz w:val="32"/>
          <w:szCs w:val="32"/>
          <w:highlight w:val="none"/>
          <w:lang w:val="en-US" w:eastAsia="zh-CN"/>
        </w:rPr>
        <w:t>四</w:t>
      </w:r>
      <w:r>
        <w:rPr>
          <w:rFonts w:hint="eastAsia" w:cs="仿宋_GB2312" w:asciiTheme="minorEastAsia" w:hAnsiTheme="minorEastAsia" w:eastAsiaTheme="minorEastAsia"/>
          <w:bCs/>
          <w:sz w:val="32"/>
          <w:szCs w:val="32"/>
          <w:highlight w:val="none"/>
        </w:rPr>
        <w:t>年</w:t>
      </w:r>
      <w:r>
        <w:rPr>
          <w:rFonts w:hint="eastAsia" w:cs="仿宋_GB2312" w:asciiTheme="minorEastAsia" w:hAnsiTheme="minorEastAsia" w:eastAsiaTheme="minorEastAsia"/>
          <w:bCs/>
          <w:sz w:val="32"/>
          <w:szCs w:val="32"/>
          <w:highlight w:val="none"/>
          <w:lang w:val="en-US" w:eastAsia="zh-CN"/>
        </w:rPr>
        <w:t>五</w:t>
      </w:r>
      <w:r>
        <w:rPr>
          <w:rFonts w:hint="eastAsia" w:cs="仿宋_GB2312" w:asciiTheme="minorEastAsia" w:hAnsiTheme="minorEastAsia" w:eastAsiaTheme="minorEastAsia"/>
          <w:bCs/>
          <w:sz w:val="32"/>
          <w:szCs w:val="32"/>
          <w:highlight w:val="none"/>
        </w:rPr>
        <w:t>月</w:t>
      </w:r>
      <w:r>
        <w:rPr>
          <w:rFonts w:hint="eastAsia" w:cs="仿宋_GB2312" w:asciiTheme="minorEastAsia" w:hAnsiTheme="minorEastAsia" w:eastAsiaTheme="minorEastAsia"/>
          <w:bCs/>
          <w:sz w:val="32"/>
          <w:szCs w:val="32"/>
          <w:highlight w:val="none"/>
          <w:lang w:val="en-US" w:eastAsia="zh-CN"/>
        </w:rPr>
        <w:t>八</w:t>
      </w:r>
      <w:r>
        <w:rPr>
          <w:rFonts w:hint="eastAsia" w:cs="仿宋_GB2312" w:asciiTheme="minorEastAsia" w:hAnsiTheme="minorEastAsia" w:eastAsiaTheme="minorEastAsia"/>
          <w:bCs/>
          <w:sz w:val="32"/>
          <w:szCs w:val="32"/>
          <w:highlight w:val="none"/>
        </w:rPr>
        <w:t>日</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highlight w:val="none"/>
        </w:rPr>
      </w:pPr>
    </w:p>
    <w:p>
      <w:pPr>
        <w:spacing w:line="360" w:lineRule="auto"/>
        <w:jc w:val="center"/>
        <w:rPr>
          <w:rFonts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  录</w:t>
      </w:r>
    </w:p>
    <w:p>
      <w:pPr>
        <w:spacing w:line="360" w:lineRule="auto"/>
        <w:rPr>
          <w:rFonts w:cs="仿宋_GB2312" w:asciiTheme="minorEastAsia" w:hAnsiTheme="minorEastAsia" w:eastAsiaTheme="minorEastAsia"/>
          <w:sz w:val="32"/>
          <w:szCs w:val="32"/>
          <w:highlight w:val="none"/>
        </w:rPr>
      </w:pPr>
    </w:p>
    <w:p>
      <w:pPr>
        <w:spacing w:line="360" w:lineRule="auto"/>
        <w:rPr>
          <w:rFonts w:cs="仿宋_GB2312" w:asciiTheme="minorEastAsia" w:hAnsiTheme="minorEastAsia" w:eastAsiaTheme="minorEastAsia"/>
          <w:sz w:val="32"/>
          <w:szCs w:val="32"/>
          <w:highlight w:val="none"/>
        </w:rPr>
      </w:pP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      邀请供应商</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      竞争性磋商流程</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      供应商须知</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      采购需求</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      评审方法及评审标准</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      拟签订的合同文本</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第七部分      应提交的有关格式范例</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第八部分      最后报价格式</w:t>
      </w:r>
    </w:p>
    <w:p>
      <w:pPr>
        <w:spacing w:line="360" w:lineRule="auto"/>
        <w:ind w:firstLine="549" w:firstLineChars="229"/>
        <w:rPr>
          <w:rFonts w:cs="仿宋_GB2312" w:asciiTheme="minorEastAsia" w:hAnsiTheme="minorEastAsia" w:eastAsiaTheme="minorEastAsia"/>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p>
    <w:p>
      <w:pPr>
        <w:adjustRightInd/>
        <w:spacing w:line="360" w:lineRule="auto"/>
        <w:jc w:val="center"/>
        <w:outlineLvl w:val="0"/>
        <w:rPr>
          <w:rFonts w:cs="仿宋_GB2312" w:asciiTheme="minorEastAsia" w:hAnsiTheme="minorEastAsia" w:eastAsiaTheme="minorEastAsia"/>
          <w:b/>
          <w:sz w:val="36"/>
          <w:szCs w:val="20"/>
          <w:highlight w:val="none"/>
        </w:rPr>
      </w:pPr>
      <w:bookmarkStart w:id="3" w:name="第一部分"/>
      <w:r>
        <w:rPr>
          <w:rFonts w:hint="eastAsia" w:cs="仿宋_GB2312" w:asciiTheme="minorEastAsia" w:hAnsiTheme="minorEastAsia" w:eastAsiaTheme="minorEastAsia"/>
          <w:b/>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highlight w:val="none"/>
        </w:rPr>
        <w:t>第一部分  邀请供应商</w:t>
      </w:r>
    </w:p>
    <w:p>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竞争性磋商邀请公告</w:t>
      </w:r>
    </w:p>
    <w:p>
      <w:pPr>
        <w:spacing w:line="360" w:lineRule="auto"/>
        <w:rPr>
          <w:rFonts w:asciiTheme="minorEastAsia" w:hAnsiTheme="minorEastAsia" w:eastAsiaTheme="minorEastAsia"/>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u w:val="single"/>
          <w:lang w:eastAsia="zh-CN"/>
        </w:rPr>
        <w:t>2024年度临安区困难残疾人家庭无障碍改造项目</w:t>
      </w:r>
      <w:r>
        <w:rPr>
          <w:rFonts w:hint="eastAsia" w:asciiTheme="minorEastAsia" w:hAnsiTheme="minorEastAsia" w:eastAsiaTheme="minorEastAsia"/>
          <w:sz w:val="24"/>
          <w:highlight w:val="none"/>
        </w:rPr>
        <w:t>采购项目的潜在供应商应在</w:t>
      </w:r>
      <w:r>
        <w:rPr>
          <w:rFonts w:hint="eastAsia" w:cs="仿宋_GB2312" w:asciiTheme="minorEastAsia" w:hAnsiTheme="minorEastAsia" w:eastAsiaTheme="minorEastAsia"/>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获取采购文件，并于</w:t>
      </w:r>
      <w:r>
        <w:rPr>
          <w:rFonts w:hint="eastAsia" w:asciiTheme="minorEastAsia" w:hAnsiTheme="minorEastAsia" w:eastAsiaTheme="minorEastAsia"/>
          <w:sz w:val="24"/>
          <w:highlight w:val="none"/>
          <w:u w:val="single"/>
        </w:rPr>
        <w:t xml:space="preserve">   202</w:t>
      </w:r>
      <w:r>
        <w:rPr>
          <w:rFonts w:hint="eastAsia" w:asciiTheme="minorEastAsia" w:hAnsiTheme="minorEastAsia" w:eastAsiaTheme="minorEastAsia"/>
          <w:sz w:val="24"/>
          <w:highlight w:val="none"/>
          <w:u w:val="single"/>
          <w:lang w:eastAsia="zh-CN"/>
        </w:rPr>
        <w:t>4</w:t>
      </w:r>
      <w:r>
        <w:rPr>
          <w:rFonts w:hint="eastAsia" w:asciiTheme="minorEastAsia" w:hAnsiTheme="minorEastAsia" w:eastAsiaTheme="minorEastAsia"/>
          <w:bCs/>
          <w:sz w:val="24"/>
          <w:highlight w:val="none"/>
          <w:u w:val="single"/>
        </w:rPr>
        <w:t xml:space="preserve">年 </w:t>
      </w:r>
      <w:r>
        <w:rPr>
          <w:rFonts w:hint="eastAsia" w:asciiTheme="minorEastAsia" w:hAnsiTheme="minorEastAsia" w:eastAsiaTheme="minorEastAsia"/>
          <w:bCs/>
          <w:sz w:val="24"/>
          <w:highlight w:val="none"/>
          <w:u w:val="single"/>
          <w:lang w:val="en-US" w:eastAsia="zh-CN"/>
        </w:rPr>
        <w:t>5</w:t>
      </w:r>
      <w:r>
        <w:rPr>
          <w:rFonts w:hint="eastAsia" w:asciiTheme="minorEastAsia" w:hAnsiTheme="minorEastAsia" w:eastAsiaTheme="minorEastAsia"/>
          <w:bCs/>
          <w:sz w:val="24"/>
          <w:highlight w:val="none"/>
          <w:u w:val="single"/>
        </w:rPr>
        <w:t xml:space="preserve"> 月 </w:t>
      </w:r>
      <w:r>
        <w:rPr>
          <w:rFonts w:hint="eastAsia" w:asciiTheme="minorEastAsia" w:hAnsiTheme="minorEastAsia" w:eastAsiaTheme="minorEastAsia"/>
          <w:bCs/>
          <w:sz w:val="24"/>
          <w:highlight w:val="none"/>
          <w:u w:val="single"/>
          <w:lang w:val="en-US" w:eastAsia="zh-CN"/>
        </w:rPr>
        <w:t>20</w:t>
      </w:r>
      <w:r>
        <w:rPr>
          <w:rFonts w:hint="eastAsia" w:asciiTheme="minorEastAsia" w:hAnsiTheme="minorEastAsia" w:eastAsiaTheme="minorEastAsia"/>
          <w:bCs/>
          <w:sz w:val="24"/>
          <w:highlight w:val="none"/>
          <w:u w:val="single"/>
        </w:rPr>
        <w:t xml:space="preserve"> 日  </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 xml:space="preserve">  点    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pPr>
        <w:spacing w:line="360" w:lineRule="auto"/>
        <w:rPr>
          <w:rFonts w:asciiTheme="minorEastAsia" w:hAnsiTheme="minorEastAsia" w:eastAsiaTheme="minorEastAsia"/>
          <w:sz w:val="24"/>
          <w:highlight w:val="none"/>
        </w:rPr>
      </w:pPr>
    </w:p>
    <w:p>
      <w:pPr>
        <w:pStyle w:val="2"/>
        <w:numPr>
          <w:ilvl w:val="0"/>
          <w:numId w:val="0"/>
        </w:numPr>
        <w:ind w:left="432" w:hanging="432"/>
        <w:rPr>
          <w:rFonts w:cs="宋体" w:asciiTheme="minorEastAsia" w:hAnsiTheme="minorEastAsia" w:eastAsiaTheme="minorEastAsia"/>
          <w:sz w:val="24"/>
          <w:szCs w:val="24"/>
          <w:highlight w:val="none"/>
        </w:rPr>
      </w:pPr>
      <w:bookmarkStart w:id="11" w:name="_Toc28359012"/>
      <w:bookmarkStart w:id="12" w:name="_Toc35393629"/>
      <w:bookmarkStart w:id="13" w:name="_Toc28359089"/>
      <w:bookmarkStart w:id="14" w:name="_Toc35393798"/>
      <w:r>
        <w:rPr>
          <w:rFonts w:hint="eastAsia" w:cs="宋体" w:asciiTheme="minorEastAsia" w:hAnsiTheme="minorEastAsia" w:eastAsiaTheme="minorEastAsia"/>
          <w:sz w:val="24"/>
          <w:szCs w:val="24"/>
          <w:highlight w:val="none"/>
        </w:rPr>
        <w:t>一、项目基本情况</w:t>
      </w:r>
      <w:bookmarkEnd w:id="11"/>
      <w:bookmarkEnd w:id="12"/>
      <w:bookmarkEnd w:id="13"/>
      <w:bookmarkEnd w:id="14"/>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项目编号：</w:t>
      </w:r>
      <w:r>
        <w:rPr>
          <w:rFonts w:hint="eastAsia" w:asciiTheme="minorEastAsia" w:hAnsiTheme="minorEastAsia" w:eastAsiaTheme="minorEastAsia"/>
          <w:sz w:val="24"/>
          <w:highlight w:val="none"/>
        </w:rPr>
        <w:t>（采购编号）</w:t>
      </w:r>
    </w:p>
    <w:p>
      <w:pPr>
        <w:spacing w:line="360" w:lineRule="auto"/>
        <w:ind w:firstLine="482" w:firstLineChars="200"/>
        <w:rPr>
          <w:rFonts w:hint="eastAsia" w:asciiTheme="minorEastAsia" w:hAnsiTheme="minorEastAsia" w:eastAsiaTheme="minorEastAsia"/>
          <w:sz w:val="24"/>
          <w:highlight w:val="none"/>
          <w:u w:val="single"/>
          <w:lang w:eastAsia="zh-CN"/>
        </w:rPr>
      </w:pPr>
      <w:r>
        <w:rPr>
          <w:rFonts w:hint="eastAsia" w:asciiTheme="minorEastAsia" w:hAnsiTheme="minorEastAsia" w:eastAsiaTheme="minorEastAsia"/>
          <w:b/>
          <w:sz w:val="24"/>
          <w:highlight w:val="none"/>
        </w:rPr>
        <w:t>项目名称：</w:t>
      </w:r>
      <w:r>
        <w:rPr>
          <w:rFonts w:hint="eastAsia" w:asciiTheme="minorEastAsia" w:hAnsiTheme="minorEastAsia" w:eastAsiaTheme="minorEastAsia"/>
          <w:sz w:val="24"/>
          <w:highlight w:val="none"/>
          <w:lang w:eastAsia="zh-CN"/>
        </w:rPr>
        <w:t>2024年度临安区困难残疾人家庭无障碍改造项目</w:t>
      </w:r>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预算金额（元）：10</w:t>
      </w:r>
      <w:r>
        <w:rPr>
          <w:rFonts w:hint="eastAsia" w:asciiTheme="minorEastAsia" w:hAnsiTheme="minorEastAsia" w:eastAsiaTheme="minorEastAsia"/>
          <w:b/>
          <w:sz w:val="24"/>
          <w:highlight w:val="none"/>
          <w:lang w:val="en-US" w:eastAsia="zh-CN"/>
        </w:rPr>
        <w:t>5</w:t>
      </w:r>
      <w:r>
        <w:rPr>
          <w:rFonts w:hint="eastAsia" w:asciiTheme="minorEastAsia" w:hAnsiTheme="minorEastAsia" w:eastAsiaTheme="minorEastAsia"/>
          <w:b/>
          <w:sz w:val="24"/>
          <w:highlight w:val="none"/>
        </w:rPr>
        <w:t>0000</w:t>
      </w:r>
      <w:r>
        <w:rPr>
          <w:rFonts w:asciiTheme="minorEastAsia" w:hAnsiTheme="minorEastAsia" w:eastAsiaTheme="minorEastAsia"/>
          <w:b/>
          <w:sz w:val="24"/>
          <w:highlight w:val="none"/>
        </w:rPr>
        <w:t xml:space="preserve"> </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最高限价（元）：10</w:t>
      </w:r>
      <w:r>
        <w:rPr>
          <w:rFonts w:hint="eastAsia" w:asciiTheme="minorEastAsia" w:hAnsiTheme="minorEastAsia" w:eastAsiaTheme="minorEastAsia"/>
          <w:b/>
          <w:sz w:val="24"/>
          <w:highlight w:val="none"/>
          <w:lang w:val="en-US" w:eastAsia="zh-CN"/>
        </w:rPr>
        <w:t>5</w:t>
      </w:r>
      <w:r>
        <w:rPr>
          <w:rFonts w:hint="eastAsia" w:asciiTheme="minorEastAsia" w:hAnsiTheme="minorEastAsia" w:eastAsiaTheme="minorEastAsia"/>
          <w:b/>
          <w:sz w:val="24"/>
          <w:highlight w:val="none"/>
        </w:rPr>
        <w:t>0000</w:t>
      </w:r>
      <w:r>
        <w:rPr>
          <w:rFonts w:asciiTheme="minorEastAsia" w:hAnsiTheme="minorEastAsia" w:eastAsiaTheme="minorEastAsia"/>
          <w:b/>
          <w:sz w:val="24"/>
          <w:highlight w:val="none"/>
        </w:rPr>
        <w:t xml:space="preserve"> </w:t>
      </w:r>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采购需求：</w:t>
      </w:r>
      <w:r>
        <w:rPr>
          <w:rFonts w:hint="eastAsia" w:hAnsi="宋体" w:cs="宋体"/>
          <w:bCs/>
          <w:sz w:val="24"/>
          <w:highlight w:val="none"/>
          <w:lang w:eastAsia="zh-CN"/>
        </w:rPr>
        <w:t>2024年度临安区困难残疾人家庭无障碍改造项目，</w:t>
      </w:r>
      <w:r>
        <w:rPr>
          <w:rFonts w:hint="eastAsia" w:hAnsi="宋体" w:cs="宋体"/>
          <w:bCs/>
          <w:sz w:val="24"/>
          <w:highlight w:val="none"/>
        </w:rPr>
        <w:t>主要内容：主要内容：</w:t>
      </w:r>
      <w:r>
        <w:rPr>
          <w:rFonts w:hint="eastAsia" w:hAnsi="宋体" w:cs="宋体"/>
          <w:bCs/>
          <w:sz w:val="24"/>
          <w:highlight w:val="none"/>
          <w:lang w:eastAsia="zh-CN"/>
        </w:rPr>
        <w:t>2024年度临安区困难残疾人家庭无障碍改造项目</w:t>
      </w:r>
      <w:r>
        <w:rPr>
          <w:rFonts w:hint="eastAsia" w:hAnsi="宋体" w:cs="宋体"/>
          <w:bCs/>
          <w:sz w:val="24"/>
          <w:highlight w:val="none"/>
        </w:rPr>
        <w:t>主要内容：根据残疾人类别、个人特点及家庭情况，经评估后对临安区</w:t>
      </w:r>
      <w:r>
        <w:rPr>
          <w:rFonts w:hint="eastAsia" w:hAnsi="宋体" w:cs="宋体"/>
          <w:bCs/>
          <w:sz w:val="24"/>
          <w:highlight w:val="none"/>
          <w:lang w:val="en-US" w:eastAsia="zh-CN"/>
        </w:rPr>
        <w:t>109</w:t>
      </w:r>
      <w:r>
        <w:rPr>
          <w:rFonts w:hint="eastAsia" w:hAnsi="宋体" w:cs="宋体"/>
          <w:bCs/>
          <w:sz w:val="24"/>
          <w:highlight w:val="none"/>
        </w:rPr>
        <w:t>户残疾人家庭实施无障碍设施改造和适配无障碍辅具，重点解决残疾人的坐卧起居、如厕洗澡、烹饪清洁和行动转移等基本要求，包括“净居亮居”工程。详见竞争性磋商文件第三部分采购需求。</w:t>
      </w:r>
    </w:p>
    <w:p>
      <w:pPr>
        <w:spacing w:line="360" w:lineRule="auto"/>
        <w:ind w:firstLine="482" w:firstLineChars="200"/>
        <w:rPr>
          <w:rFonts w:asciiTheme="minorEastAsia" w:hAnsiTheme="minorEastAsia" w:eastAsiaTheme="minorEastAsia"/>
          <w:sz w:val="24"/>
          <w:highlight w:val="none"/>
          <w:u w:val="single"/>
        </w:rPr>
      </w:pPr>
      <w:r>
        <w:rPr>
          <w:rFonts w:hint="eastAsia" w:asciiTheme="minorEastAsia" w:hAnsiTheme="minorEastAsia" w:eastAsiaTheme="minorEastAsia"/>
          <w:b/>
          <w:sz w:val="24"/>
          <w:highlight w:val="none"/>
        </w:rPr>
        <w:t>合同履行期限</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sz w:val="24"/>
          <w:highlight w:val="none"/>
          <w:u w:val="single"/>
        </w:rPr>
        <w:t>年</w:t>
      </w:r>
      <w:r>
        <w:rPr>
          <w:rFonts w:hint="eastAsia" w:asciiTheme="minorEastAsia" w:hAnsiTheme="minorEastAsia" w:eastAsiaTheme="minorEastAsia"/>
          <w:sz w:val="24"/>
          <w:highlight w:val="none"/>
          <w:u w:val="single"/>
          <w:lang w:val="en-US" w:eastAsia="zh-CN"/>
        </w:rPr>
        <w:t>8</w:t>
      </w:r>
      <w:r>
        <w:rPr>
          <w:rFonts w:hint="eastAsia" w:asciiTheme="minorEastAsia" w:hAnsiTheme="minorEastAsia" w:eastAsiaTheme="minorEastAsia"/>
          <w:sz w:val="24"/>
          <w:highlight w:val="none"/>
          <w:u w:val="single"/>
        </w:rPr>
        <w:t>月</w:t>
      </w:r>
      <w:r>
        <w:rPr>
          <w:rFonts w:hint="eastAsia" w:asciiTheme="minorEastAsia" w:hAnsiTheme="minorEastAsia" w:eastAsiaTheme="minorEastAsia"/>
          <w:sz w:val="24"/>
          <w:highlight w:val="none"/>
          <w:u w:val="single"/>
          <w:lang w:val="en-US" w:eastAsia="zh-CN"/>
        </w:rPr>
        <w:t xml:space="preserve">31 </w:t>
      </w:r>
      <w:r>
        <w:rPr>
          <w:rFonts w:hint="eastAsia" w:asciiTheme="minorEastAsia" w:hAnsiTheme="minorEastAsia" w:eastAsiaTheme="minorEastAsia"/>
          <w:sz w:val="24"/>
          <w:highlight w:val="none"/>
          <w:u w:val="single"/>
        </w:rPr>
        <w:t>日前完成并通过验收。</w:t>
      </w:r>
      <w:r>
        <w:rPr>
          <w:rFonts w:asciiTheme="minorEastAsia" w:hAnsiTheme="minorEastAsia" w:eastAsiaTheme="minorEastAsia"/>
          <w:sz w:val="24"/>
          <w:highlight w:val="none"/>
          <w:u w:val="single"/>
        </w:rPr>
        <w:t xml:space="preserve"> </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MS Gothic" w:hAnsi="MS Gothic" w:eastAsia="MS Gothic"/>
              <w:b/>
              <w:sz w:val="24"/>
              <w:highlight w:val="none"/>
            </w:rPr>
            <w:t>☐</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Wingdings" w:hAnsi="Wingdings" w:eastAsia="MS Mincho" w:cs="MS Mincho"/>
              <w:b/>
              <w:kern w:val="2"/>
              <w:sz w:val="24"/>
              <w:szCs w:val="24"/>
              <w:highlight w:val="none"/>
              <w:lang w:val="en-US" w:eastAsia="zh-CN" w:bidi="ar-SA"/>
            </w:rPr>
            <w:t>þ</w:t>
          </w:r>
        </w:sdtContent>
      </w:sdt>
      <w:r>
        <w:rPr>
          <w:rFonts w:hint="eastAsia" w:asciiTheme="minorEastAsia" w:hAnsiTheme="minorEastAsia" w:eastAsiaTheme="minorEastAsia"/>
          <w:b/>
          <w:sz w:val="24"/>
          <w:highlight w:val="none"/>
        </w:rPr>
        <w:t>否。</w:t>
      </w:r>
    </w:p>
    <w:p>
      <w:pPr>
        <w:spacing w:line="360" w:lineRule="auto"/>
        <w:ind w:firstLine="480" w:firstLineChars="200"/>
        <w:rPr>
          <w:rFonts w:cs="宋体" w:asciiTheme="minorEastAsia" w:hAnsiTheme="minorEastAsia" w:eastAsiaTheme="minorEastAsia"/>
          <w:sz w:val="24"/>
          <w:highlight w:val="none"/>
        </w:rPr>
      </w:pPr>
      <w:bookmarkStart w:id="15" w:name="_Toc35393799"/>
      <w:bookmarkStart w:id="16" w:name="_Toc28359013"/>
      <w:bookmarkStart w:id="17" w:name="_Toc28359090"/>
      <w:bookmarkStart w:id="18" w:name="_Toc35393630"/>
      <w:r>
        <w:rPr>
          <w:rFonts w:hint="eastAsia" w:cs="宋体" w:asciiTheme="minorEastAsia" w:hAnsiTheme="minorEastAsia" w:eastAsiaTheme="minorEastAsia"/>
          <w:sz w:val="24"/>
          <w:highlight w:val="none"/>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    </w:t>
      </w:r>
      <w:r>
        <w:rPr>
          <w:rFonts w:cs="宋体" w:asciiTheme="minorEastAsia" w:hAnsiTheme="minorEastAsia" w:eastAsiaTheme="minorEastAsia"/>
          <w:snapToGrid w:val="0"/>
          <w:kern w:val="28"/>
          <w:sz w:val="24"/>
          <w:szCs w:val="20"/>
          <w:highlight w:val="none"/>
        </w:rPr>
        <w:t>2</w:t>
      </w:r>
      <w:r>
        <w:rPr>
          <w:rFonts w:hint="eastAsia" w:cs="宋体" w:asciiTheme="minorEastAsia" w:hAnsiTheme="minorEastAsia" w:eastAsiaTheme="minorEastAsia"/>
          <w:snapToGrid w:val="0"/>
          <w:kern w:val="28"/>
          <w:sz w:val="24"/>
          <w:szCs w:val="20"/>
          <w:highlight w:val="none"/>
        </w:rPr>
        <w:t>.</w:t>
      </w:r>
      <w:r>
        <w:rPr>
          <w:rFonts w:hint="eastAsia" w:asciiTheme="minorEastAsia" w:hAnsiTheme="minorEastAsia" w:eastAsiaTheme="minorEastAsia"/>
          <w:highlight w:val="none"/>
        </w:rPr>
        <w:t xml:space="preserve"> </w:t>
      </w:r>
      <w:r>
        <w:rPr>
          <w:rFonts w:hint="eastAsia" w:cs="宋体" w:asciiTheme="minorEastAsia" w:hAnsiTheme="minorEastAsia" w:eastAsiaTheme="minorEastAsia"/>
          <w:snapToGrid w:val="0"/>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kern w:val="28"/>
          <w:sz w:val="24"/>
          <w:szCs w:val="20"/>
          <w:highlight w:val="none"/>
        </w:rPr>
      </w:pPr>
      <w:r>
        <w:rPr>
          <w:rFonts w:cs="宋体" w:asciiTheme="minorEastAsia" w:hAnsiTheme="minorEastAsia" w:eastAsiaTheme="minorEastAsia"/>
          <w:snapToGrid w:val="0"/>
          <w:kern w:val="28"/>
          <w:sz w:val="24"/>
          <w:szCs w:val="20"/>
          <w:highlight w:val="none"/>
        </w:rPr>
        <w:t>3</w:t>
      </w:r>
      <w:r>
        <w:rPr>
          <w:rFonts w:hint="eastAsia" w:cs="宋体" w:asciiTheme="minorEastAsia" w:hAnsiTheme="minorEastAsia" w:eastAsiaTheme="minorEastAsia"/>
          <w:snapToGrid w:val="0"/>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无</w:t>
      </w:r>
      <w:r>
        <w:rPr>
          <w:rFonts w:hint="eastAsia" w:ascii="宋体" w:hAnsi="宋体" w:cs="宋体"/>
          <w:snapToGrid w:val="0"/>
          <w:kern w:val="28"/>
          <w:sz w:val="24"/>
          <w:szCs w:val="20"/>
          <w:highlight w:val="none"/>
        </w:rPr>
        <w:t>（注：不得限制大中型企业与小微企业组成联合体参与响应）</w:t>
      </w:r>
      <w:r>
        <w:rPr>
          <w:rFonts w:hint="eastAsia" w:cs="宋体" w:asciiTheme="minorEastAsia" w:hAnsiTheme="minorEastAsia" w:eastAsiaTheme="minorEastAsia"/>
          <w:sz w:val="24"/>
          <w:highlight w:val="none"/>
        </w:rPr>
        <w:t>；</w:t>
      </w:r>
    </w:p>
    <w:p>
      <w:pPr>
        <w:spacing w:line="360" w:lineRule="auto"/>
        <w:ind w:firstLine="480" w:firstLineChars="200"/>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专</w:t>
      </w:r>
      <w:r>
        <w:rPr>
          <w:rFonts w:hint="eastAsia" w:cs="宋体" w:asciiTheme="minorEastAsia" w:hAnsiTheme="minorEastAsia" w:eastAsiaTheme="minorEastAsia"/>
          <w:sz w:val="24"/>
          <w:highlight w:val="none"/>
        </w:rPr>
        <w:t>门面向中小企业</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3368540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highlight w:val="none"/>
            </w:rPr>
            <w:t>☐</w:t>
          </w:r>
        </w:sdtContent>
      </w:sdt>
      <w:r>
        <w:rPr>
          <w:rFonts w:hint="eastAsia" w:cs="宋体" w:asciiTheme="minorEastAsia" w:hAnsiTheme="minorEastAsia" w:eastAsiaTheme="minorEastAsia"/>
          <w:sz w:val="24"/>
          <w:highlight w:val="none"/>
        </w:rPr>
        <w:t>服务全部由符合政策要求的中小企业承接，提供中小企业声明函；</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14102535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sz w:val="24"/>
          <w:highlight w:val="none"/>
        </w:rPr>
        <w:t>服务全部由符合政策要求的小微企业承接，提供中小企业声明函；</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pacing w:val="8"/>
          <w:kern w:val="0"/>
          <w:sz w:val="24"/>
          <w:highlight w:val="none"/>
        </w:rPr>
        <w:t>如果供应商本身提供所有标的均由中小企业制造、承建或承接，</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sz w:val="24"/>
          <w:highlight w:val="none"/>
        </w:rPr>
        <w:t>；</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 ，其中小微企业合同金额应当达到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 ;</w:t>
      </w:r>
      <w:r>
        <w:rPr>
          <w:rFonts w:hint="eastAsia" w:cs="宋体" w:asciiTheme="minorEastAsia" w:hAnsiTheme="minorEastAsia" w:eastAsiaTheme="minorEastAsia"/>
          <w:spacing w:val="8"/>
          <w:kern w:val="0"/>
          <w:sz w:val="24"/>
          <w:highlight w:val="none"/>
        </w:rPr>
        <w:t>如果供应商本身提供所有标的均由中小企业制造、承建或承接，</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pacing w:val="8"/>
          <w:kern w:val="0"/>
          <w:sz w:val="24"/>
          <w:highlight w:val="none"/>
        </w:rPr>
        <w:t>视同符合了资格条件，无需再向中小企业分包，无需提供分包意向协议</w:t>
      </w:r>
      <w:r>
        <w:rPr>
          <w:rFonts w:hint="eastAsia" w:cs="宋体" w:asciiTheme="minorEastAsia" w:hAnsiTheme="minorEastAsia" w:eastAsiaTheme="minorEastAsia"/>
          <w:sz w:val="24"/>
          <w:highlight w:val="none"/>
        </w:rPr>
        <w:t>；</w:t>
      </w:r>
    </w:p>
    <w:p>
      <w:pPr>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.本项目的特定资格要求：无；</w:t>
      </w:r>
    </w:p>
    <w:p>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sz w:val="24"/>
          <w:highlight w:val="none"/>
        </w:rPr>
      </w:pPr>
      <w:bookmarkStart w:id="19" w:name="_Toc35393631"/>
      <w:bookmarkStart w:id="20" w:name="_Toc28359014"/>
      <w:bookmarkStart w:id="21" w:name="_Toc35393800"/>
      <w:bookmarkStart w:id="22" w:name="_Toc28359091"/>
      <w:r>
        <w:rPr>
          <w:rFonts w:hint="eastAsia" w:cs="宋体" w:asciiTheme="minorEastAsia" w:hAnsiTheme="minorEastAsia" w:eastAsiaTheme="minorEastAsia"/>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 xml:space="preserve">年 </w:t>
      </w:r>
      <w:r>
        <w:rPr>
          <w:rFonts w:hint="eastAsia" w:cs="宋体" w:asciiTheme="minorEastAsia" w:hAnsiTheme="minorEastAsia" w:eastAsiaTheme="minorEastAsia"/>
          <w:sz w:val="24"/>
          <w:highlight w:val="none"/>
          <w:lang w:val="en-US" w:eastAsia="zh-CN"/>
        </w:rPr>
        <w:t>5</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20</w:t>
      </w:r>
      <w:r>
        <w:rPr>
          <w:rFonts w:hint="eastAsia" w:cs="宋体" w:asciiTheme="minorEastAsia" w:hAnsiTheme="minorEastAsia" w:eastAsiaTheme="minorEastAsia"/>
          <w:sz w:val="24"/>
          <w:highlight w:val="none"/>
        </w:rPr>
        <w:t xml:space="preserve"> 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sz w:val="24"/>
          <w:highlight w:val="none"/>
        </w:rPr>
        <w:t>）</w:t>
      </w:r>
    </w:p>
    <w:p>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24"/>
          <w:highlight w:val="none"/>
        </w:rPr>
        <w:t>售价：</w:t>
      </w:r>
      <w:r>
        <w:rPr>
          <w:rFonts w:hint="eastAsia" w:cs="仿宋_GB2312" w:asciiTheme="minorEastAsia" w:hAnsiTheme="minorEastAsia" w:eastAsiaTheme="minorEastAsia"/>
          <w:sz w:val="24"/>
          <w:highlight w:val="none"/>
        </w:rPr>
        <w:t>免费。</w:t>
      </w:r>
    </w:p>
    <w:p>
      <w:pPr>
        <w:pStyle w:val="2"/>
        <w:numPr>
          <w:ilvl w:val="0"/>
          <w:numId w:val="0"/>
        </w:numPr>
        <w:ind w:left="432" w:hanging="432"/>
        <w:rPr>
          <w:rFonts w:cs="宋体" w:asciiTheme="minorEastAsia" w:hAnsiTheme="minorEastAsia" w:eastAsiaTheme="minorEastAsia"/>
          <w:sz w:val="24"/>
          <w:szCs w:val="24"/>
          <w:highlight w:val="none"/>
        </w:rPr>
      </w:pPr>
      <w:bookmarkStart w:id="23" w:name="_Toc28359092"/>
      <w:bookmarkStart w:id="24" w:name="_Toc35393632"/>
      <w:bookmarkStart w:id="25" w:name="_Toc28359015"/>
      <w:bookmarkStart w:id="26" w:name="_Toc35393801"/>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eastAsia="zh-CN"/>
        </w:rPr>
        <w:t>4</w:t>
      </w:r>
      <w:r>
        <w:rPr>
          <w:rFonts w:hint="eastAsia" w:asciiTheme="minorEastAsia" w:hAnsiTheme="minorEastAsia" w:eastAsiaTheme="minorEastAsia"/>
          <w:bCs/>
          <w:sz w:val="24"/>
          <w:highlight w:val="none"/>
          <w:u w:val="single"/>
        </w:rPr>
        <w:t xml:space="preserve">年 </w:t>
      </w:r>
      <w:r>
        <w:rPr>
          <w:rFonts w:hint="eastAsia" w:asciiTheme="minorEastAsia" w:hAnsiTheme="minorEastAsia" w:eastAsiaTheme="minorEastAsia"/>
          <w:bCs/>
          <w:sz w:val="24"/>
          <w:highlight w:val="none"/>
          <w:u w:val="single"/>
          <w:lang w:val="en-US" w:eastAsia="zh-CN"/>
        </w:rPr>
        <w:t>5</w:t>
      </w:r>
      <w:r>
        <w:rPr>
          <w:rFonts w:hint="eastAsia" w:asciiTheme="minorEastAsia" w:hAnsiTheme="minorEastAsia" w:eastAsiaTheme="minorEastAsia"/>
          <w:bCs/>
          <w:sz w:val="24"/>
          <w:highlight w:val="none"/>
          <w:u w:val="single"/>
        </w:rPr>
        <w:t xml:space="preserve"> 月 </w:t>
      </w:r>
      <w:r>
        <w:rPr>
          <w:rFonts w:hint="eastAsia" w:asciiTheme="minorEastAsia" w:hAnsiTheme="minorEastAsia" w:eastAsiaTheme="minorEastAsia"/>
          <w:bCs/>
          <w:sz w:val="24"/>
          <w:highlight w:val="none"/>
          <w:u w:val="single"/>
          <w:lang w:val="en-US" w:eastAsia="zh-CN"/>
        </w:rPr>
        <w:t>20</w:t>
      </w:r>
      <w:r>
        <w:rPr>
          <w:rFonts w:hint="eastAsia" w:asciiTheme="minorEastAsia" w:hAnsiTheme="minorEastAsia" w:eastAsiaTheme="minorEastAsia"/>
          <w:bCs/>
          <w:sz w:val="24"/>
          <w:highlight w:val="none"/>
          <w:u w:val="single"/>
        </w:rPr>
        <w:t xml:space="preserve"> 日  </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 xml:space="preserve">  点  </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 xml:space="preserve">  分00秒</w:t>
      </w:r>
      <w:r>
        <w:rPr>
          <w:rFonts w:hint="eastAsia" w:asciiTheme="minorEastAsia" w:hAnsiTheme="minorEastAsia" w:eastAsiaTheme="minorEastAsia"/>
          <w:bCs/>
          <w:sz w:val="24"/>
          <w:highlight w:val="none"/>
        </w:rPr>
        <w:t>（北京时间）</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sz w:val="24"/>
          <w:highlight w:val="none"/>
        </w:rPr>
        <w:t>）。</w:t>
      </w:r>
    </w:p>
    <w:p>
      <w:pPr>
        <w:pStyle w:val="2"/>
        <w:numPr>
          <w:ilvl w:val="0"/>
          <w:numId w:val="0"/>
        </w:numPr>
        <w:ind w:left="432" w:hanging="432"/>
        <w:rPr>
          <w:rFonts w:cs="宋体" w:asciiTheme="minorEastAsia" w:hAnsiTheme="minorEastAsia" w:eastAsiaTheme="minorEastAsia"/>
          <w:sz w:val="24"/>
          <w:szCs w:val="24"/>
          <w:highlight w:val="none"/>
        </w:rPr>
      </w:pPr>
      <w:bookmarkStart w:id="27" w:name="_Toc35393802"/>
      <w:bookmarkStart w:id="28" w:name="_Toc28359093"/>
      <w:bookmarkStart w:id="29" w:name="_Toc35393633"/>
      <w:bookmarkStart w:id="30" w:name="_Toc28359016"/>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 xml:space="preserve">年 </w:t>
      </w:r>
      <w:r>
        <w:rPr>
          <w:rFonts w:hint="eastAsia" w:asciiTheme="minorEastAsia" w:hAnsiTheme="minorEastAsia" w:eastAsiaTheme="minorEastAsia"/>
          <w:bCs/>
          <w:sz w:val="24"/>
          <w:highlight w:val="none"/>
          <w:u w:val="single"/>
          <w:lang w:val="en-US" w:eastAsia="zh-CN"/>
        </w:rPr>
        <w:t>5</w:t>
      </w:r>
      <w:r>
        <w:rPr>
          <w:rFonts w:hint="eastAsia" w:asciiTheme="minorEastAsia" w:hAnsiTheme="minorEastAsia" w:eastAsiaTheme="minorEastAsia"/>
          <w:bCs/>
          <w:sz w:val="24"/>
          <w:highlight w:val="none"/>
          <w:u w:val="single"/>
        </w:rPr>
        <w:t xml:space="preserve"> 月 </w:t>
      </w:r>
      <w:r>
        <w:rPr>
          <w:rFonts w:hint="eastAsia" w:asciiTheme="minorEastAsia" w:hAnsiTheme="minorEastAsia" w:eastAsiaTheme="minorEastAsia"/>
          <w:bCs/>
          <w:sz w:val="24"/>
          <w:highlight w:val="none"/>
          <w:u w:val="single"/>
          <w:lang w:val="en-US" w:eastAsia="zh-CN"/>
        </w:rPr>
        <w:t>20</w:t>
      </w:r>
      <w:r>
        <w:rPr>
          <w:rFonts w:hint="eastAsia" w:asciiTheme="minorEastAsia" w:hAnsiTheme="minorEastAsia" w:eastAsiaTheme="minorEastAsia"/>
          <w:bCs/>
          <w:sz w:val="24"/>
          <w:highlight w:val="none"/>
          <w:u w:val="single"/>
        </w:rPr>
        <w:t xml:space="preserve"> 日  </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 xml:space="preserve">  点  </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 xml:space="preserve"> 分00秒</w:t>
      </w:r>
      <w:r>
        <w:rPr>
          <w:rFonts w:hint="eastAsia" w:asciiTheme="minorEastAsia" w:hAnsiTheme="minorEastAsia" w:eastAsiaTheme="minorEastAsia"/>
          <w:bCs/>
          <w:sz w:val="24"/>
          <w:highlight w:val="none"/>
        </w:rPr>
        <w:t>（北京时间）</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地点：杭州市临安区筑境花园19幢107</w:t>
      </w:r>
      <w:r>
        <w:rPr>
          <w:rFonts w:hint="eastAsia" w:asciiTheme="minorEastAsia" w:hAnsiTheme="minorEastAsia" w:eastAsiaTheme="minorEastAsia"/>
          <w:sz w:val="24"/>
          <w:highlight w:val="none"/>
          <w:lang w:val="en-US" w:eastAsia="zh-CN"/>
        </w:rPr>
        <w:t>室</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政采云平台（https://www.zcygov.cn/）。</w:t>
      </w:r>
    </w:p>
    <w:p>
      <w:pPr>
        <w:pStyle w:val="2"/>
        <w:numPr>
          <w:ilvl w:val="0"/>
          <w:numId w:val="0"/>
        </w:numPr>
        <w:ind w:left="432" w:hanging="432"/>
        <w:rPr>
          <w:rFonts w:cs="宋体" w:asciiTheme="minorEastAsia" w:hAnsiTheme="minorEastAsia" w:eastAsiaTheme="minorEastAsia"/>
          <w:sz w:val="24"/>
          <w:szCs w:val="24"/>
          <w:highlight w:val="none"/>
        </w:rPr>
      </w:pPr>
      <w:bookmarkStart w:id="31" w:name="_Toc35393803"/>
      <w:bookmarkStart w:id="32" w:name="_Toc28359094"/>
      <w:bookmarkStart w:id="33" w:name="_Toc28359017"/>
      <w:bookmarkStart w:id="34" w:name="_Toc35393634"/>
      <w:r>
        <w:rPr>
          <w:rFonts w:hint="eastAsia" w:cs="宋体" w:asciiTheme="minorEastAsia" w:hAnsiTheme="minorEastAsia" w:eastAsiaTheme="minorEastAsia"/>
          <w:sz w:val="24"/>
          <w:szCs w:val="24"/>
          <w:highlight w:val="none"/>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自本公告发布之日起3个工作日。</w:t>
      </w:r>
    </w:p>
    <w:p>
      <w:pPr>
        <w:pStyle w:val="2"/>
        <w:numPr>
          <w:ilvl w:val="0"/>
          <w:numId w:val="0"/>
        </w:numPr>
        <w:ind w:left="432" w:hanging="432"/>
        <w:rPr>
          <w:rFonts w:cs="宋体" w:asciiTheme="minorEastAsia" w:hAnsiTheme="minorEastAsia" w:eastAsiaTheme="minorEastAsia"/>
          <w:sz w:val="24"/>
          <w:szCs w:val="24"/>
          <w:highlight w:val="none"/>
        </w:rPr>
      </w:pPr>
      <w:bookmarkStart w:id="35" w:name="_Toc35393635"/>
      <w:bookmarkStart w:id="36" w:name="_Toc35393804"/>
      <w:r>
        <w:rPr>
          <w:rFonts w:hint="eastAsia" w:cs="宋体" w:asciiTheme="minorEastAsia" w:hAnsiTheme="minorEastAsia" w:eastAsiaTheme="minorEastAsia"/>
          <w:sz w:val="24"/>
          <w:szCs w:val="24"/>
          <w:highlight w:val="none"/>
        </w:rPr>
        <w:t>七、其他补充事宜</w:t>
      </w:r>
      <w:bookmarkEnd w:id="35"/>
      <w:bookmarkEnd w:id="36"/>
    </w:p>
    <w:p>
      <w:pPr>
        <w:spacing w:line="360" w:lineRule="auto"/>
        <w:ind w:firstLine="480" w:firstLineChars="200"/>
        <w:rPr>
          <w:rFonts w:cs="宋体" w:asciiTheme="minorEastAsia" w:hAnsiTheme="minorEastAsia" w:eastAsiaTheme="minorEastAsia"/>
          <w:sz w:val="24"/>
          <w:highlight w:val="none"/>
        </w:rPr>
      </w:pPr>
      <w:bookmarkStart w:id="172" w:name="_GoBack"/>
      <w:r>
        <w:rPr>
          <w:rFonts w:hint="eastAsia" w:cs="宋体" w:asciiTheme="minorEastAsia" w:hAnsiTheme="minorEastAsia" w:eastAsiaTheme="minorEastAsia"/>
          <w:sz w:val="24"/>
          <w:highlight w:val="none"/>
        </w:rPr>
        <w:t>1</w:t>
      </w:r>
      <w:r>
        <w:rPr>
          <w:rFonts w:hint="eastAsia" w:ascii="宋体" w:hAnsi="宋体" w:cs="宋体"/>
          <w:sz w:val="24"/>
          <w:highlight w:val="none"/>
        </w:rPr>
        <w:t>.</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highlight w:val="none"/>
        </w:rPr>
        <w:t>。</w:t>
      </w:r>
    </w:p>
    <w:p>
      <w:pPr>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 xml:space="preserve"> 2.根据《浙江省财政厅关于进一步促进政府采购公平竞</w:t>
      </w:r>
      <w:r>
        <w:rPr>
          <w:rFonts w:hint="eastAsia" w:cs="宋体" w:asciiTheme="minorEastAsia" w:hAnsiTheme="minorEastAsia" w:eastAsiaTheme="minorEastAsia"/>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4. 其他事项：（1）需要落实的政府采购政策：</w:t>
      </w:r>
      <w:r>
        <w:rPr>
          <w:rFonts w:hint="eastAsia" w:cs="宋体" w:asciiTheme="minorEastAsia" w:hAnsiTheme="minorEastAsia" w:eastAsiaTheme="minorEastAsia"/>
          <w:kern w:val="0"/>
          <w:sz w:val="24"/>
          <w:highlight w:val="none"/>
        </w:rPr>
        <w:t>包括节约资源、保护环境、</w:t>
      </w:r>
      <w:r>
        <w:rPr>
          <w:rFonts w:hint="eastAsia" w:cs="宋体" w:asciiTheme="minorEastAsia" w:hAnsiTheme="minorEastAsia" w:eastAsiaTheme="minorEastAsia"/>
          <w:sz w:val="24"/>
          <w:highlight w:val="none"/>
        </w:rPr>
        <w:t>支持创新、</w:t>
      </w:r>
      <w:r>
        <w:rPr>
          <w:rFonts w:hint="eastAsia" w:cs="宋体" w:asciiTheme="minorEastAsia" w:hAnsiTheme="minorEastAsia" w:eastAsiaTheme="minorEastAsia"/>
          <w:kern w:val="0"/>
          <w:sz w:val="24"/>
          <w:highlight w:val="none"/>
        </w:rPr>
        <w:t>促进中小企业发展等，详见磋商文件第三部分。</w:t>
      </w:r>
      <w:r>
        <w:rPr>
          <w:rFonts w:hint="eastAsia" w:cs="宋体" w:asciiTheme="minorEastAsia" w:hAnsiTheme="minorEastAsia" w:eastAsiaTheme="minorEastAsia"/>
          <w:b/>
          <w:kern w:val="0"/>
          <w:sz w:val="24"/>
          <w:szCs w:val="20"/>
          <w:highlight w:val="none"/>
        </w:rPr>
        <w:t>（2）</w:t>
      </w:r>
      <w:r>
        <w:rPr>
          <w:rFonts w:hint="eastAsia" w:cs="仿宋_GB2312" w:asciiTheme="minorEastAsia" w:hAnsiTheme="minorEastAsia" w:eastAsiaTheme="minorEastAsia"/>
          <w:b/>
          <w:sz w:val="24"/>
          <w:highlight w:val="none"/>
        </w:rPr>
        <w:t>电子交易的说明: 1）电子交易：</w:t>
      </w:r>
      <w:r>
        <w:rPr>
          <w:rFonts w:hint="eastAsia" w:cs="仿宋_GB2312" w:asciiTheme="minorEastAsia" w:hAnsiTheme="minorEastAsia" w:eastAsiaTheme="minorEastAsia"/>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sz w:val="24"/>
          <w:highlight w:val="none"/>
        </w:rPr>
        <w:t>2）响应准备：</w:t>
      </w:r>
      <w:r>
        <w:rPr>
          <w:rFonts w:hint="eastAsia" w:cs="仿宋_GB2312" w:asciiTheme="minorEastAsia" w:hAnsiTheme="minorEastAsia" w:eastAsiaTheme="minorEastAsia"/>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highlight w:val="none"/>
        </w:rPr>
        <w:t>3）磋商文件的获取：</w:t>
      </w:r>
      <w:r>
        <w:rPr>
          <w:rFonts w:hint="eastAsia" w:cs="仿宋_GB2312" w:asciiTheme="minorEastAsia" w:hAnsiTheme="minorEastAsia" w:eastAsiaTheme="minorEastAsia"/>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highlight w:val="none"/>
        </w:rPr>
        <w:t>4）响应文件的制作：</w:t>
      </w:r>
      <w:r>
        <w:rPr>
          <w:rFonts w:hint="eastAsia" w:cs="仿宋_GB2312" w:asciiTheme="minorEastAsia" w:hAnsiTheme="minorEastAsia" w:eastAsiaTheme="minorEastAsia"/>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highlight w:val="none"/>
        </w:rPr>
        <w:t>5）</w:t>
      </w:r>
      <w:r>
        <w:rPr>
          <w:rFonts w:hint="eastAsia" w:cs="仿宋_GB2312" w:asciiTheme="minorEastAsia" w:hAnsiTheme="minorEastAsia" w:eastAsiaTheme="minorEastAsia"/>
          <w:sz w:val="24"/>
          <w:highlight w:val="none"/>
        </w:rPr>
        <w:t>采购人、</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highlight w:val="none"/>
        </w:rPr>
        <w:t>6）</w:t>
      </w:r>
      <w:r>
        <w:rPr>
          <w:rFonts w:hint="eastAsia" w:cs="仿宋_GB2312" w:asciiTheme="minorEastAsia" w:hAnsiTheme="minorEastAsia" w:eastAsiaTheme="minorEastAsia"/>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sz w:val="24"/>
          <w:highlight w:val="none"/>
        </w:rPr>
        <w:t>；</w:t>
      </w:r>
      <w:r>
        <w:rPr>
          <w:rFonts w:cs="仿宋_GB2312" w:asciiTheme="minorEastAsia" w:hAnsiTheme="minorEastAsia" w:eastAsiaTheme="minorEastAsia"/>
          <w:b/>
          <w:sz w:val="24"/>
          <w:highlight w:val="none"/>
        </w:rPr>
        <w:t>7）</w:t>
      </w:r>
      <w:r>
        <w:rPr>
          <w:rFonts w:hint="eastAsia" w:cs="仿宋_GB2312" w:asciiTheme="minorEastAsia" w:hAnsiTheme="minorEastAsia" w:eastAsiaTheme="minorEastAsia"/>
          <w:sz w:val="24"/>
          <w:highlight w:val="none"/>
        </w:rPr>
        <w:t>不提供磋商文件纸质版；</w:t>
      </w:r>
      <w:r>
        <w:rPr>
          <w:rFonts w:cs="仿宋_GB2312" w:asciiTheme="minorEastAsia" w:hAnsiTheme="minorEastAsia" w:eastAsiaTheme="minorEastAsia"/>
          <w:b/>
          <w:sz w:val="24"/>
          <w:highlight w:val="none"/>
        </w:rPr>
        <w:t>8</w:t>
      </w:r>
      <w:r>
        <w:rPr>
          <w:rFonts w:hint="eastAsia" w:cs="仿宋_GB2312" w:asciiTheme="minorEastAsia" w:hAnsiTheme="minorEastAsia" w:eastAsiaTheme="minorEastAsia"/>
          <w:b/>
          <w:sz w:val="24"/>
          <w:highlight w:val="none"/>
        </w:rPr>
        <w:t>）响应文件的传输提交：</w:t>
      </w:r>
      <w:r>
        <w:rPr>
          <w:rFonts w:hint="eastAsia" w:cs="仿宋_GB2312" w:asciiTheme="minorEastAsia" w:hAnsiTheme="minorEastAsia" w:eastAsiaTheme="minorEastAsia"/>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highlight w:val="none"/>
        </w:rPr>
        <w:t>9）响应文件的解密：</w:t>
      </w:r>
      <w:r>
        <w:rPr>
          <w:rFonts w:hint="eastAsia" w:cs="仿宋_GB2312" w:asciiTheme="minorEastAsia" w:hAnsiTheme="minorEastAsia" w:eastAsiaTheme="minorEastAsia"/>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highlight w:val="none"/>
        </w:rPr>
        <w:t>）具体操作指南</w:t>
      </w:r>
      <w:r>
        <w:rPr>
          <w:rFonts w:hint="eastAsia" w:cs="仿宋_GB2312" w:asciiTheme="minorEastAsia" w:hAnsiTheme="minorEastAsia" w:eastAsiaTheme="minorEastAsia"/>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highlight w:val="none"/>
        </w:rPr>
        <w:t>（3磋商文件公告期限与磋商公告的公告期限一致。</w:t>
      </w:r>
    </w:p>
    <w:bookmarkEnd w:id="172"/>
    <w:p>
      <w:pPr>
        <w:pStyle w:val="2"/>
        <w:numPr>
          <w:ilvl w:val="0"/>
          <w:numId w:val="0"/>
        </w:numPr>
        <w:ind w:left="432" w:hanging="432"/>
        <w:rPr>
          <w:rFonts w:cs="宋体" w:asciiTheme="minorEastAsia" w:hAnsiTheme="minorEastAsia" w:eastAsiaTheme="minorEastAsia"/>
          <w:sz w:val="24"/>
          <w:szCs w:val="24"/>
          <w:highlight w:val="none"/>
        </w:rPr>
      </w:pPr>
      <w:bookmarkStart w:id="37" w:name="_Toc28359095"/>
      <w:bookmarkStart w:id="38" w:name="_Toc35393805"/>
      <w:bookmarkStart w:id="39" w:name="_Toc28359018"/>
      <w:bookmarkStart w:id="40" w:name="_Toc35393636"/>
      <w:r>
        <w:rPr>
          <w:rFonts w:hint="eastAsia" w:cs="宋体" w:asciiTheme="minorEastAsia" w:hAnsiTheme="minorEastAsia" w:eastAsiaTheme="minorEastAsia"/>
          <w:sz w:val="24"/>
          <w:szCs w:val="24"/>
          <w:highlight w:val="none"/>
        </w:rPr>
        <w:t>八、凡对本次采购提出询问</w:t>
      </w:r>
      <w:r>
        <w:rPr>
          <w:rFonts w:hint="eastAsia" w:cs="宋体" w:asciiTheme="minorEastAsia" w:hAnsiTheme="minorEastAsia" w:eastAsiaTheme="minorEastAsia"/>
          <w:bCs w:val="0"/>
          <w:sz w:val="24"/>
          <w:szCs w:val="24"/>
          <w:highlight w:val="none"/>
        </w:rPr>
        <w:t>、质疑、投诉</w:t>
      </w:r>
      <w:r>
        <w:rPr>
          <w:rFonts w:hint="eastAsia" w:cs="宋体" w:asciiTheme="minorEastAsia" w:hAnsiTheme="minorEastAsia" w:eastAsiaTheme="minorEastAsia"/>
          <w:sz w:val="24"/>
          <w:szCs w:val="24"/>
          <w:highlight w:val="none"/>
        </w:rPr>
        <w:t>，请按以下方式联系</w:t>
      </w:r>
      <w:bookmarkEnd w:id="37"/>
      <w:bookmarkEnd w:id="38"/>
      <w:bookmarkEnd w:id="39"/>
      <w:bookmarkEnd w:id="40"/>
    </w:p>
    <w:p>
      <w:pPr>
        <w:pStyle w:val="2"/>
        <w:numPr>
          <w:ilvl w:val="0"/>
          <w:numId w:val="0"/>
        </w:numPr>
        <w:ind w:left="432" w:hanging="432"/>
        <w:rPr>
          <w:rFonts w:cs="宋体" w:asciiTheme="minorEastAsia" w:hAnsiTheme="minorEastAsia" w:eastAsiaTheme="minorEastAsia"/>
          <w:sz w:val="24"/>
          <w:szCs w:val="24"/>
          <w:highlight w:val="none"/>
        </w:rPr>
      </w:pPr>
      <w:bookmarkStart w:id="41" w:name="_Toc28359019"/>
      <w:bookmarkStart w:id="42" w:name="_Toc35393637"/>
      <w:bookmarkStart w:id="43" w:name="_Toc35393806"/>
      <w:bookmarkStart w:id="44" w:name="_Toc28359096"/>
      <w:r>
        <w:rPr>
          <w:rFonts w:hint="eastAsia" w:cs="宋体" w:asciiTheme="minorEastAsia" w:hAnsiTheme="minorEastAsia" w:eastAsiaTheme="minorEastAsia"/>
          <w:sz w:val="24"/>
          <w:szCs w:val="24"/>
          <w:highlight w:val="none"/>
        </w:rPr>
        <w:t>1.采购人信息：</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称： </w:t>
      </w:r>
      <w:r>
        <w:rPr>
          <w:rFonts w:hint="eastAsia" w:ascii="宋体" w:hAnsi="宋体" w:cs="宋体"/>
          <w:sz w:val="24"/>
          <w:highlight w:val="none"/>
        </w:rPr>
        <w:t>杭州市临安区残疾人联合会</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浙江省杭州市临安区城中街428号</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传    真：/</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项目联系人（询问）：徐明敏</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项目联系方式（询问）：0571-63710660</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质疑联系人：王长刚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质疑联系方式：0571-63734180</w:t>
      </w:r>
    </w:p>
    <w:p>
      <w:pPr>
        <w:pStyle w:val="2"/>
        <w:numPr>
          <w:ilvl w:val="0"/>
          <w:numId w:val="0"/>
        </w:numPr>
        <w:ind w:left="432" w:hanging="432"/>
        <w:rPr>
          <w:rFonts w:cs="宋体" w:asciiTheme="minorEastAsia" w:hAnsiTheme="minorEastAsia" w:eastAsiaTheme="minorEastAsia"/>
          <w:sz w:val="24"/>
          <w:highlight w:val="none"/>
        </w:rPr>
      </w:pPr>
      <w:r>
        <w:rPr>
          <w:rFonts w:hint="eastAsia" w:cs="宋体" w:asciiTheme="minorEastAsia" w:hAnsiTheme="minorEastAsia" w:eastAsiaTheme="minorEastAsia"/>
          <w:sz w:val="24"/>
          <w:szCs w:val="24"/>
          <w:highlight w:val="none"/>
        </w:rPr>
        <w:t>2.采购代理机构信息：</w:t>
      </w:r>
    </w:p>
    <w:p>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名    称：</w:t>
      </w:r>
      <w:r>
        <w:rPr>
          <w:rFonts w:hint="eastAsia" w:asciiTheme="minorEastAsia" w:hAnsiTheme="minorEastAsia" w:eastAsiaTheme="minorEastAsia"/>
          <w:sz w:val="24"/>
          <w:highlight w:val="none"/>
          <w:lang w:val="en-US" w:eastAsia="zh-CN"/>
        </w:rPr>
        <w:t>浙江省成套工程有限公司</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w:t>
      </w:r>
      <w:r>
        <w:rPr>
          <w:rFonts w:hint="eastAsia" w:asciiTheme="minorEastAsia" w:hAnsiTheme="minorEastAsia" w:eastAsiaTheme="minorEastAsia"/>
          <w:sz w:val="24"/>
          <w:highlight w:val="none"/>
          <w:lang w:eastAsia="zh-CN"/>
        </w:rPr>
        <w:t>杭州市临安区筑境花园19幢107</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传    真：/             </w:t>
      </w:r>
    </w:p>
    <w:p>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项目联系人（询问）：</w:t>
      </w:r>
      <w:r>
        <w:rPr>
          <w:rFonts w:hint="eastAsia" w:asciiTheme="minorEastAsia" w:hAnsiTheme="minorEastAsia" w:eastAsiaTheme="minorEastAsia"/>
          <w:sz w:val="24"/>
          <w:highlight w:val="none"/>
          <w:lang w:val="en-US" w:eastAsia="zh-CN"/>
        </w:rPr>
        <w:t>陈工</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项目联系方式（询问）：</w:t>
      </w:r>
      <w:r>
        <w:rPr>
          <w:rFonts w:hint="eastAsia" w:asciiTheme="minorEastAsia" w:hAnsiTheme="minorEastAsia" w:eastAsiaTheme="minorEastAsia"/>
          <w:sz w:val="24"/>
          <w:highlight w:val="none"/>
          <w:lang w:val="en-US" w:eastAsia="zh-CN"/>
        </w:rPr>
        <w:t>15268514846</w:t>
      </w:r>
    </w:p>
    <w:p>
      <w:pPr>
        <w:spacing w:line="360" w:lineRule="auto"/>
        <w:rPr>
          <w:rFonts w:hint="default" w:asciiTheme="minorEastAsia" w:hAnsiTheme="minorEastAsia" w:eastAsiaTheme="minorEastAsia"/>
          <w:sz w:val="24"/>
          <w:highlight w:val="none"/>
          <w:lang w:val="en-US"/>
        </w:rPr>
      </w:pPr>
      <w:r>
        <w:rPr>
          <w:rFonts w:hint="eastAsia" w:asciiTheme="minorEastAsia" w:hAnsiTheme="minorEastAsia" w:eastAsiaTheme="minorEastAsia"/>
          <w:sz w:val="24"/>
          <w:highlight w:val="none"/>
        </w:rPr>
        <w:t xml:space="preserve">    质疑联系人：</w:t>
      </w:r>
      <w:r>
        <w:rPr>
          <w:rFonts w:hint="eastAsia" w:asciiTheme="minorEastAsia" w:hAnsiTheme="minorEastAsia" w:eastAsiaTheme="minorEastAsia"/>
          <w:sz w:val="24"/>
          <w:highlight w:val="none"/>
          <w:lang w:val="en-US" w:eastAsia="zh-CN"/>
        </w:rPr>
        <w:t>朗工</w:t>
      </w:r>
      <w:r>
        <w:rPr>
          <w:rFonts w:hint="eastAsia" w:asciiTheme="minorEastAsia" w:hAnsiTheme="minorEastAsia" w:eastAsiaTheme="minorEastAsia"/>
          <w:sz w:val="24"/>
          <w:highlight w:val="none"/>
        </w:rPr>
        <w:t xml:space="preserve">    质疑联系方式：</w:t>
      </w:r>
      <w:r>
        <w:rPr>
          <w:rFonts w:hint="eastAsia" w:asciiTheme="minorEastAsia" w:hAnsiTheme="minorEastAsia" w:eastAsiaTheme="minorEastAsia"/>
          <w:sz w:val="24"/>
          <w:highlight w:val="none"/>
          <w:lang w:val="en-US" w:eastAsia="zh-CN"/>
        </w:rPr>
        <w:t>0571-61111188</w:t>
      </w:r>
    </w:p>
    <w:p>
      <w:pPr>
        <w:spacing w:line="360" w:lineRule="auto"/>
        <w:rPr>
          <w:rFonts w:asciiTheme="minorEastAsia" w:hAnsiTheme="minorEastAsia" w:eastAsiaTheme="minorEastAsia"/>
          <w:b/>
          <w:sz w:val="24"/>
          <w:highlight w:val="none"/>
        </w:rPr>
      </w:pPr>
      <w:r>
        <w:rPr>
          <w:rFonts w:hint="eastAsia" w:cs="宋体" w:asciiTheme="minorEastAsia" w:hAnsiTheme="minorEastAsia" w:eastAsiaTheme="minorEastAsia"/>
          <w:b/>
          <w:bCs/>
          <w:sz w:val="24"/>
          <w:highlight w:val="none"/>
        </w:rPr>
        <w:t>3.</w:t>
      </w:r>
      <w:r>
        <w:rPr>
          <w:rFonts w:hint="eastAsia" w:asciiTheme="minorEastAsia" w:hAnsiTheme="minorEastAsia" w:eastAsiaTheme="minorEastAsia"/>
          <w:b/>
          <w:sz w:val="24"/>
          <w:highlight w:val="none"/>
        </w:rPr>
        <w:t xml:space="preserve"> 同级政府采购监督管理部门：            </w:t>
      </w:r>
    </w:p>
    <w:p>
      <w:pPr>
        <w:spacing w:line="360" w:lineRule="auto"/>
        <w:rPr>
          <w:rFonts w:ascii="宋体" w:hAnsi="宋体" w:cs="宋体"/>
          <w:sz w:val="24"/>
          <w:highlight w:val="none"/>
        </w:rPr>
      </w:pPr>
      <w:r>
        <w:rPr>
          <w:rFonts w:hint="eastAsia" w:asciiTheme="minorEastAsia" w:hAnsiTheme="minorEastAsia" w:eastAsiaTheme="minorEastAsia"/>
          <w:sz w:val="24"/>
          <w:highlight w:val="none"/>
        </w:rPr>
        <w:t xml:space="preserve">    </w:t>
      </w:r>
      <w:r>
        <w:rPr>
          <w:rFonts w:hint="eastAsia" w:ascii="宋体" w:hAnsi="宋体" w:cs="宋体"/>
          <w:sz w:val="24"/>
          <w:highlight w:val="none"/>
        </w:rPr>
        <w:t>名    称：杭州市临安区财政局政府采购监督管理科</w:t>
      </w:r>
    </w:p>
    <w:p>
      <w:pPr>
        <w:spacing w:line="360" w:lineRule="auto"/>
        <w:rPr>
          <w:rFonts w:ascii="宋体" w:hAnsi="宋体" w:cs="宋体"/>
          <w:sz w:val="24"/>
          <w:highlight w:val="none"/>
        </w:rPr>
      </w:pPr>
      <w:r>
        <w:rPr>
          <w:rFonts w:hint="eastAsia" w:ascii="宋体" w:hAnsi="宋体" w:cs="宋体"/>
          <w:sz w:val="24"/>
          <w:highlight w:val="none"/>
        </w:rPr>
        <w:t xml:space="preserve">    地    址：浙江省杭州市临安区锦北街道科技大道4398号4号楼11楼 </w:t>
      </w:r>
    </w:p>
    <w:p>
      <w:pPr>
        <w:spacing w:line="360" w:lineRule="auto"/>
        <w:rPr>
          <w:rFonts w:ascii="宋体" w:hAnsi="宋体" w:cs="宋体"/>
          <w:sz w:val="24"/>
          <w:highlight w:val="none"/>
        </w:rPr>
      </w:pPr>
      <w:r>
        <w:rPr>
          <w:rFonts w:hint="eastAsia" w:ascii="宋体" w:hAnsi="宋体" w:cs="宋体"/>
          <w:sz w:val="24"/>
          <w:highlight w:val="none"/>
        </w:rPr>
        <w:t xml:space="preserve">    传    真： 0571-89541600</w:t>
      </w:r>
    </w:p>
    <w:p>
      <w:pPr>
        <w:spacing w:line="360" w:lineRule="auto"/>
        <w:rPr>
          <w:rFonts w:ascii="宋体" w:hAnsi="宋体" w:cs="宋体"/>
          <w:sz w:val="24"/>
          <w:highlight w:val="none"/>
        </w:rPr>
      </w:pPr>
      <w:r>
        <w:rPr>
          <w:rFonts w:hint="eastAsia" w:ascii="宋体" w:hAnsi="宋体" w:cs="宋体"/>
          <w:sz w:val="24"/>
          <w:highlight w:val="none"/>
        </w:rPr>
        <w:t xml:space="preserve">    联系人 ：喻伟建</w:t>
      </w:r>
    </w:p>
    <w:p>
      <w:pPr>
        <w:spacing w:line="360" w:lineRule="auto"/>
        <w:ind w:firstLine="480"/>
        <w:rPr>
          <w:rFonts w:ascii="宋体" w:hAnsi="宋体" w:cs="宋体"/>
          <w:sz w:val="24"/>
          <w:highlight w:val="none"/>
        </w:rPr>
      </w:pPr>
      <w:r>
        <w:rPr>
          <w:rFonts w:hint="eastAsia" w:ascii="宋体" w:hAnsi="宋体" w:cs="宋体"/>
          <w:sz w:val="24"/>
          <w:highlight w:val="none"/>
        </w:rPr>
        <w:t>监督投诉电话：0571-89541696、0571-89541691</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若对项目采购电子交易系统操作有疑问，可登录政采云（</w:t>
      </w:r>
      <w:r>
        <w:rPr>
          <w:rFonts w:asciiTheme="minorEastAsia" w:hAnsiTheme="minorEastAsia" w:eastAsiaTheme="minorEastAsia"/>
          <w:sz w:val="24"/>
          <w:highlight w:val="none"/>
        </w:rPr>
        <w:t>https://www.zcygov.cn/），点击右侧咨询小采，获取采小蜜智能服务管家帮助，或拨打政</w:t>
      </w:r>
      <w:r>
        <w:rPr>
          <w:rFonts w:hint="eastAsia" w:asciiTheme="minorEastAsia" w:hAnsiTheme="minorEastAsia" w:eastAsiaTheme="minorEastAsia"/>
          <w:sz w:val="24"/>
          <w:highlight w:val="none"/>
        </w:rPr>
        <w:t>采云服务热线95763</w:t>
      </w:r>
      <w:r>
        <w:rPr>
          <w:rFonts w:asciiTheme="minorEastAsia" w:hAnsiTheme="minorEastAsia" w:eastAsiaTheme="minorEastAsia"/>
          <w:sz w:val="24"/>
          <w:highlight w:val="none"/>
        </w:rPr>
        <w:t>获取热线服务帮助。</w:t>
      </w:r>
    </w:p>
    <w:bookmarkEnd w:id="41"/>
    <w:bookmarkEnd w:id="42"/>
    <w:bookmarkEnd w:id="43"/>
    <w:bookmarkEnd w:id="44"/>
    <w:p>
      <w:pPr>
        <w:spacing w:line="360" w:lineRule="auto"/>
        <w:ind w:firstLine="480" w:firstLineChars="200"/>
        <w:rPr>
          <w:rFonts w:asciiTheme="minorEastAsia" w:hAnsiTheme="minorEastAsia" w:eastAsiaTheme="minorEastAsia"/>
          <w:sz w:val="24"/>
          <w:highlight w:val="none"/>
        </w:rPr>
      </w:pP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CA问题联系电话（人工）：</w:t>
      </w:r>
      <w:r>
        <w:rPr>
          <w:rFonts w:hint="eastAsia" w:asciiTheme="minorEastAsia" w:hAnsiTheme="minorEastAsia" w:eastAsiaTheme="minorEastAsia"/>
          <w:sz w:val="24"/>
          <w:highlight w:val="none"/>
        </w:rPr>
        <w:t>汇信</w:t>
      </w:r>
      <w:r>
        <w:rPr>
          <w:rFonts w:asciiTheme="minorEastAsia" w:hAnsiTheme="minorEastAsia" w:eastAsiaTheme="minorEastAsia"/>
          <w:sz w:val="24"/>
          <w:highlight w:val="none"/>
        </w:rPr>
        <w:t>CA 400-888-4636；天谷CA 400-087-8198。</w:t>
      </w:r>
    </w:p>
    <w:p>
      <w:pPr>
        <w:pStyle w:val="32"/>
        <w:spacing w:line="360" w:lineRule="auto"/>
        <w:ind w:firstLine="480" w:firstLineChars="200"/>
        <w:jc w:val="right"/>
        <w:rPr>
          <w:rFonts w:cs="仿宋_GB2312" w:asciiTheme="minorEastAsia" w:hAnsiTheme="minorEastAsia" w:eastAsiaTheme="minorEastAsia"/>
          <w:sz w:val="24"/>
          <w:szCs w:val="24"/>
          <w:highlight w:val="none"/>
        </w:rPr>
      </w:pPr>
    </w:p>
    <w:p>
      <w:pPr>
        <w:pStyle w:val="32"/>
        <w:spacing w:line="360" w:lineRule="auto"/>
        <w:ind w:firstLine="480" w:firstLineChars="200"/>
        <w:rPr>
          <w:rFonts w:cs="仿宋_GB2312" w:asciiTheme="minorEastAsia" w:hAnsiTheme="minorEastAsia" w:eastAsiaTheme="minorEastAsia"/>
          <w:sz w:val="24"/>
          <w:szCs w:val="24"/>
          <w:highlight w:val="none"/>
        </w:rPr>
      </w:pPr>
    </w:p>
    <w:p>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6"/>
          <w:szCs w:val="20"/>
          <w:highlight w:val="none"/>
        </w:rPr>
        <w:t>第二部分 竞争性磋商流程</w:t>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szCs w:val="24"/>
          <w:highlight w:val="none"/>
        </w:rPr>
        <w:t>1.征集供应商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1.1邀请供应商。</w:t>
      </w:r>
    </w:p>
    <w:p>
      <w:pPr>
        <w:pStyle w:val="393"/>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采用公告方式邀请供应商的，</w:t>
      </w:r>
      <w:r>
        <w:rPr>
          <w:rFonts w:hint="eastAsia" w:asciiTheme="minorEastAsia" w:hAnsiTheme="minorEastAsia" w:eastAsiaTheme="minorEastAsia"/>
          <w:szCs w:val="24"/>
          <w:highlight w:val="none"/>
        </w:rPr>
        <w:t>由采购人、</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在省级以上人民政府财政部门指定的政府采购信息发布媒体上发布磋商公告，邀请符合相应资格条件的供应商参与竞争性磋商采购活动。</w:t>
      </w:r>
    </w:p>
    <w:p>
      <w:pPr>
        <w:pStyle w:val="393"/>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采用随机抽取方式邀请供应商的，</w:t>
      </w:r>
      <w:r>
        <w:rPr>
          <w:rFonts w:hint="eastAsia" w:asciiTheme="minorEastAsia" w:hAnsiTheme="minorEastAsia" w:eastAsiaTheme="minorEastAsia"/>
          <w:szCs w:val="24"/>
          <w:highlight w:val="none"/>
        </w:rPr>
        <w:t>由采购人、</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从省级以上财政部门建立的供应商库中随机抽取不少于3家符合相应资格条件的供应商参与竞争性磋商采购活动。</w:t>
      </w:r>
    </w:p>
    <w:p>
      <w:pPr>
        <w:pStyle w:val="393"/>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采用书面推荐方式邀请供应商的，</w:t>
      </w:r>
      <w:r>
        <w:rPr>
          <w:rFonts w:hint="eastAsia" w:asciiTheme="minorEastAsia" w:hAnsiTheme="minorEastAsia" w:eastAsiaTheme="minorEastAsia"/>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1.2供应商获取磋商文件。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1.3组织现场考察或召开答疑会（如果有）。</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1.4发布更正（延期）公告，澄清或修改磋商文件（如果有）。</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1.5供应商按磋商文件要求编制响应文件。</w:t>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2.响应文件开启与信用信息查询</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2.2</w:t>
      </w:r>
      <w:r>
        <w:rPr>
          <w:rFonts w:hint="eastAsia" w:cs="Arial" w:asciiTheme="minorEastAsia" w:hAnsiTheme="minorEastAsia" w:eastAsiaTheme="minorEastAsia"/>
          <w:kern w:val="0"/>
          <w:szCs w:val="24"/>
          <w:highlight w:val="none"/>
          <w:lang w:eastAsia="zh-CN"/>
        </w:rPr>
        <w:t>采购代理机构</w:t>
      </w:r>
      <w:r>
        <w:rPr>
          <w:rFonts w:hint="eastAsia" w:cs="Arial" w:asciiTheme="minorEastAsia" w:hAnsiTheme="minorEastAsia" w:eastAsiaTheme="minorEastAsia"/>
          <w:kern w:val="0"/>
          <w:szCs w:val="24"/>
          <w:highlight w:val="none"/>
        </w:rPr>
        <w:t>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)和中国政府采购网(www.ccgp.gov.cn)渠道查询供应商响应截止时间当日的信用记录。</w:t>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3.磋商与评审</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3.1磋商小组签到。</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3.2</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宣布有关纪律以及磋商、评审工作程序。</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说明情况。</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3.4磋商小组对供应商的资格进行审查。</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3.5磋商小组审查响应文件。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3.6对于未实质性响应磋商文件的响应文件由磋商小组认定响应无效，并告知该供应商。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利用政采云平台发起磋商邀请，供应商通过政采云“在线评审室”进行远程视频磋商。供应商使用CA数字证书</w:t>
      </w:r>
      <w:r>
        <w:rPr>
          <w:rFonts w:hint="eastAsia" w:asciiTheme="minorEastAsia" w:hAnsiTheme="minorEastAsia" w:eastAsiaTheme="minorEastAsia"/>
          <w:szCs w:val="24"/>
          <w:highlight w:val="none"/>
          <w:lang w:eastAsia="zh-CN"/>
        </w:rPr>
        <w:t>登录</w:t>
      </w:r>
      <w:r>
        <w:rPr>
          <w:rFonts w:hint="eastAsia" w:asciiTheme="minorEastAsia" w:hAnsiTheme="minorEastAsia" w:eastAsiaTheme="minorEastAsia"/>
          <w:szCs w:val="24"/>
          <w:highlight w:val="none"/>
        </w:rPr>
        <w:t>政采云平台——收到视频评审邀请——点击“视频评审”进入“视频评审系统”——开始远程磋商活动;对于要求到</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现场进行磋商的供应商，可在</w:t>
      </w:r>
      <w:r>
        <w:rPr>
          <w:rFonts w:hint="eastAsia" w:asciiTheme="minorEastAsia" w:hAnsiTheme="minorEastAsia" w:eastAsiaTheme="minorEastAsia"/>
          <w:szCs w:val="24"/>
          <w:highlight w:val="none"/>
          <w:lang w:eastAsia="zh-CN"/>
        </w:rPr>
        <w:t>采购代理机构</w:t>
      </w:r>
      <w:r>
        <w:rPr>
          <w:rFonts w:asciiTheme="minorEastAsia" w:hAnsiTheme="minorEastAsia" w:eastAsiaTheme="minorEastAsia"/>
          <w:szCs w:val="24"/>
          <w:highlight w:val="none"/>
        </w:rPr>
        <w:t>4</w:t>
      </w:r>
      <w:r>
        <w:rPr>
          <w:rFonts w:hint="eastAsia" w:asciiTheme="minorEastAsia" w:hAnsiTheme="minorEastAsia" w:eastAsiaTheme="minorEastAsia"/>
          <w:szCs w:val="24"/>
          <w:highlight w:val="none"/>
        </w:rPr>
        <w:t>楼讲标室通过视频会议系统或自备CA数字证书、笔记本电脑等开展磋商活动。</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3.11磋商小组按照下列方式确定提交最后报价的供应商，有特殊规定的从其规定：</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3.12确定进入最后报价的供应商在规定时间内提交最后报价。</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3.13</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唱价。</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3.15磋商小组应当根据综合评分情况，按照评审得分由高到低顺序推荐3名以上成交候选供应商，并编写评审报告。</w:t>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4. 成交</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4.1</w:t>
      </w:r>
      <w:r>
        <w:rPr>
          <w:rFonts w:hint="eastAsia" w:ascii="宋体" w:hAnsi="宋体" w:cs="宋体"/>
          <w:szCs w:val="24"/>
          <w:highlight w:val="none"/>
        </w:rPr>
        <w:t>政府采购项目实行全流程电子化，评审报告送交、采购结果确定和结果公告均在线完成。</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应当</w:t>
      </w:r>
      <w:r>
        <w:rPr>
          <w:rFonts w:hint="eastAsia" w:ascii="宋体" w:hAnsi="宋体" w:cs="宋体"/>
          <w:szCs w:val="24"/>
          <w:highlight w:val="none"/>
        </w:rPr>
        <w:t>依法及时</w:t>
      </w:r>
      <w:r>
        <w:rPr>
          <w:rFonts w:hint="eastAsia" w:asciiTheme="minorEastAsia" w:hAnsiTheme="minorEastAsia" w:eastAsiaTheme="minorEastAsia"/>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4.2</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cs="宋体" w:asciiTheme="minorEastAsia" w:hAnsiTheme="minorEastAsia" w:eastAsiaTheme="minorEastAsia"/>
          <w:kern w:val="0"/>
          <w:szCs w:val="21"/>
          <w:highlight w:val="none"/>
        </w:rPr>
      </w:pPr>
      <w:r>
        <w:rPr>
          <w:rFonts w:hint="eastAsia" w:asciiTheme="minorEastAsia" w:hAnsiTheme="minorEastAsia" w:eastAsiaTheme="minorEastAsia"/>
          <w:b/>
          <w:highlight w:val="none"/>
        </w:rPr>
        <w:t>5.合同及履约验收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5.2成交供应商按照政策要求及合同约定缴纳履约保证金。</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5.3合同履约。</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5.4采购人组织验收。</w:t>
      </w:r>
    </w:p>
    <w:p>
      <w:pPr>
        <w:widowControl/>
        <w:adjustRightInd/>
        <w:jc w:val="left"/>
        <w:rPr>
          <w:rFonts w:asciiTheme="minorEastAsia" w:hAnsiTheme="minorEastAsia" w:eastAsiaTheme="minorEastAsia"/>
          <w:b/>
          <w:sz w:val="24"/>
          <w:szCs w:val="20"/>
          <w:highlight w:val="none"/>
        </w:rPr>
      </w:pPr>
      <w:r>
        <w:rPr>
          <w:rFonts w:hint="eastAsia" w:asciiTheme="minorEastAsia" w:hAnsiTheme="minorEastAsia" w:eastAsiaTheme="minorEastAsia"/>
          <w:b/>
          <w:highlight w:val="none"/>
        </w:rPr>
        <w:br w:type="page"/>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6.竞争性磋商流程图</w:t>
      </w:r>
    </w:p>
    <w:p>
      <w:pPr>
        <w:pStyle w:val="393"/>
        <w:spacing w:before="0"/>
        <w:ind w:firstLine="0" w:firstLineChars="0"/>
        <w:rPr>
          <w:rFonts w:asciiTheme="minorEastAsia" w:hAnsiTheme="minorEastAsia" w:eastAsiaTheme="minorEastAsia"/>
          <w:b/>
          <w:highlight w:val="none"/>
        </w:rPr>
      </w:pPr>
    </w:p>
    <w:p>
      <w:pPr>
        <w:widowControl/>
        <w:adjustRightInd/>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p>
    <w:p>
      <w:pPr>
        <w:widowControl/>
        <w:adjustRightInd/>
        <w:jc w:val="left"/>
        <w:rPr>
          <w:rFonts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highlight w:val="none"/>
        </w:rPr>
        <w:br w:type="page"/>
      </w:r>
    </w:p>
    <w:p>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第三部分</w:t>
      </w:r>
      <w:bookmarkEnd w:id="8"/>
      <w:r>
        <w:rPr>
          <w:rFonts w:hint="eastAsia" w:cs="仿宋_GB2312" w:asciiTheme="minorEastAsia" w:hAnsiTheme="minorEastAsia" w:eastAsiaTheme="minorEastAsia"/>
          <w:b/>
          <w:sz w:val="36"/>
          <w:szCs w:val="20"/>
          <w:highlight w:val="none"/>
        </w:rPr>
        <w:t xml:space="preserve">  供应商须知</w:t>
      </w:r>
      <w:bookmarkEnd w:id="9"/>
    </w:p>
    <w:p>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highlight w:val="none"/>
                <w:u w:val="single"/>
              </w:rPr>
            </w:pPr>
            <w:r>
              <w:rPr>
                <w:rFonts w:hint="eastAsia" w:ascii="宋体" w:hAnsi="宋体" w:cs="宋体"/>
                <w:kern w:val="0"/>
                <w:sz w:val="24"/>
                <w:highlight w:val="none"/>
              </w:rPr>
              <w:t>（1）标的：</w:t>
            </w:r>
            <w:r>
              <w:rPr>
                <w:rFonts w:hint="eastAsia" w:ascii="宋体" w:hAnsi="宋体" w:cs="宋体"/>
                <w:kern w:val="0"/>
                <w:sz w:val="24"/>
                <w:highlight w:val="none"/>
                <w:u w:val="single"/>
                <w:lang w:eastAsia="zh-CN"/>
              </w:rPr>
              <w:t>2024年度临安区困难残疾人家庭无障碍改造项目</w:t>
            </w:r>
            <w:r>
              <w:rPr>
                <w:rFonts w:hint="eastAsia" w:ascii="宋体" w:hAnsi="宋体" w:cs="宋体"/>
                <w:kern w:val="0"/>
                <w:sz w:val="24"/>
                <w:highlight w:val="none"/>
              </w:rPr>
              <w:t>，属于行业；</w:t>
            </w:r>
            <w:r>
              <w:rPr>
                <w:rFonts w:hint="eastAsia" w:ascii="宋体" w:hAnsi="宋体" w:cs="宋体"/>
                <w:kern w:val="0"/>
                <w:sz w:val="24"/>
                <w:highlight w:val="none"/>
                <w:u w:val="single"/>
              </w:rPr>
              <w:t>其他未列明行业</w:t>
            </w:r>
          </w:p>
          <w:p>
            <w:pPr>
              <w:snapToGrid w:val="0"/>
              <w:ind w:left="432"/>
              <w:jc w:val="both"/>
              <w:rPr>
                <w:rFonts w:cs="宋体" w:asciiTheme="minorEastAsia" w:hAnsiTheme="minorEastAsia" w:eastAsiaTheme="minorEastAsia"/>
                <w:b w:val="0"/>
                <w:bCs w:val="0"/>
                <w:kern w:val="0"/>
                <w:sz w:val="24"/>
                <w:szCs w:val="24"/>
                <w:highlight w:val="none"/>
                <w:lang w:val="en-US"/>
              </w:rPr>
            </w:pPr>
            <w:r>
              <w:rPr>
                <w:rFonts w:hint="eastAsia" w:ascii="宋体" w:hAnsi="宋体" w:cs="宋体"/>
                <w:kern w:val="0"/>
                <w:sz w:val="24"/>
                <w:highlight w:val="none"/>
              </w:rPr>
              <w:t>其他未列明行业中，从业人员300人以下的为中小微型企业。其中，从业人员100人及以上的为中型企业；从业人员10人及以上的为小型企业；从业人员10人以下的为微型企业。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本项目不允许采购进口产品。</w:t>
            </w:r>
          </w:p>
          <w:p>
            <w:pPr>
              <w:spacing w:line="360" w:lineRule="auto"/>
              <w:rPr>
                <w:rFonts w:cs="宋体" w:asciiTheme="minorEastAsia" w:hAnsiTheme="minorEastAsia" w:eastAsiaTheme="minorEastAsia"/>
                <w:highlight w:val="none"/>
              </w:rPr>
            </w:pPr>
            <w:sdt>
              <w:sdtPr>
                <w:rPr>
                  <w:rFonts w:hint="eastAsia" w:cs="宋体" w:asciiTheme="minorEastAsia" w:hAnsiTheme="minorEastAsia" w:eastAsiaTheme="minorEastAsia"/>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highlight w:val="none"/>
                  </w:rPr>
                  <w:t>☐</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sdt>
              <w:sdtPr>
                <w:rPr>
                  <w:rFonts w:hint="eastAsia" w:cs="宋体" w:asciiTheme="minorEastAsia" w:hAnsiTheme="minorEastAsia" w:eastAsiaTheme="minorEastAsia"/>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B要求提供，</w:t>
            </w:r>
          </w:p>
          <w:p>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r>
              <w:rPr>
                <w:rFonts w:hint="eastAsia" w:cs="宋体" w:asciiTheme="minorEastAsia" w:hAnsiTheme="minorEastAsia" w:eastAsiaTheme="minorEastAsia"/>
                <w:snapToGrid w:val="0"/>
                <w:kern w:val="28"/>
                <w:sz w:val="24"/>
                <w:highlight w:val="none"/>
              </w:rPr>
              <w:t>样品：</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r>
              <w:rPr>
                <w:rFonts w:hint="eastAsia" w:cs="宋体" w:asciiTheme="minorEastAsia" w:hAnsiTheme="minorEastAsia" w:eastAsiaTheme="minorEastAsia"/>
                <w:snapToGrid w:val="0"/>
                <w:kern w:val="28"/>
                <w:sz w:val="24"/>
                <w:highlight w:val="none"/>
              </w:rPr>
              <w:t>样品制作的标准和要求：</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（3）样品的评审方法以及评审标准</w:t>
            </w:r>
            <w:r>
              <w:rPr>
                <w:rFonts w:hint="eastAsia" w:cs="宋体" w:asciiTheme="minorEastAsia" w:hAnsiTheme="minorEastAsia" w:eastAsiaTheme="minorEastAsia"/>
                <w:snapToGrid w:val="0"/>
                <w:kern w:val="28"/>
                <w:sz w:val="24"/>
                <w:highlight w:val="none"/>
              </w:rPr>
              <w:t>：详见</w:t>
            </w:r>
            <w:r>
              <w:rPr>
                <w:rFonts w:hint="eastAsia" w:cs="宋体" w:asciiTheme="minorEastAsia" w:hAnsiTheme="minorEastAsia" w:eastAsiaTheme="minorEastAsia"/>
                <w:sz w:val="24"/>
                <w:highlight w:val="none"/>
                <w:u w:val="single"/>
              </w:rPr>
              <w:t>评审标准</w:t>
            </w:r>
            <w:r>
              <w:rPr>
                <w:rFonts w:hint="eastAsia" w:cs="宋体" w:asciiTheme="minorEastAsia" w:hAnsiTheme="minorEastAsia" w:eastAsiaTheme="minorEastAsia"/>
                <w:kern w:val="0"/>
                <w:sz w:val="24"/>
                <w:highlight w:val="none"/>
              </w:rPr>
              <w:t>；</w:t>
            </w:r>
          </w:p>
          <w:p>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（4）是否需要随样品提交检测报告：</w:t>
            </w:r>
            <w:sdt>
              <w:sdtPr>
                <w:rPr>
                  <w:rFonts w:hint="eastAsia" w:cs="宋体" w:asciiTheme="minorEastAsia" w:hAnsiTheme="minorEastAsia" w:eastAsiaTheme="minorEastAsia"/>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否；</w:t>
            </w:r>
            <w:sdt>
              <w:sdtPr>
                <w:rPr>
                  <w:rFonts w:hint="eastAsia" w:cs="宋体" w:asciiTheme="minorEastAsia" w:hAnsiTheme="minorEastAsia" w:eastAsiaTheme="minorEastAsia"/>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是，检测机构的要求</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；检测内容</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（5）提供样品的时间：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；联系人</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28"/>
                <w:sz w:val="24"/>
                <w:highlight w:val="none"/>
              </w:rPr>
              <w:t>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(6)采购活动结束后，对于未成交人提供的样品，采购人、</w:t>
            </w:r>
            <w:r>
              <w:rPr>
                <w:rFonts w:hint="eastAsia" w:cs="宋体" w:asciiTheme="minorEastAsia" w:hAnsiTheme="minorEastAsia" w:eastAsiaTheme="minorEastAsia"/>
                <w:sz w:val="24"/>
                <w:highlight w:val="none"/>
                <w:lang w:eastAsia="zh-CN"/>
              </w:rPr>
              <w:t>采购代理机构</w:t>
            </w:r>
            <w:r>
              <w:rPr>
                <w:rFonts w:hint="eastAsia" w:cs="宋体" w:asciiTheme="minorEastAsia" w:hAnsiTheme="minorEastAsia" w:eastAsiaTheme="minorEastAsia"/>
                <w:sz w:val="24"/>
                <w:highlight w:val="none"/>
              </w:rPr>
              <w:t>将通知未成交人在规定的时间内取回，逾期未取回的，采购人、</w:t>
            </w:r>
            <w:r>
              <w:rPr>
                <w:rFonts w:hint="eastAsia" w:cs="宋体" w:asciiTheme="minorEastAsia" w:hAnsiTheme="minorEastAsia" w:eastAsiaTheme="minorEastAsia"/>
                <w:sz w:val="24"/>
                <w:highlight w:val="none"/>
                <w:lang w:eastAsia="zh-CN"/>
              </w:rPr>
              <w:t>采购代理机构</w:t>
            </w:r>
            <w:r>
              <w:rPr>
                <w:rFonts w:hint="eastAsia" w:cs="宋体" w:asciiTheme="minorEastAsia" w:hAnsiTheme="minorEastAsia" w:eastAsiaTheme="minorEastAsia"/>
                <w:sz w:val="24"/>
                <w:highlight w:val="none"/>
              </w:rPr>
              <w:t>不负保管义务；对于成交人提供的样品，采购人将进行保管、封存，并作为履约验收的参考。</w:t>
            </w:r>
          </w:p>
          <w:p>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（1）在评审时安排每个供应商进行方案讲解演示。每个供应商时间不超过</w:t>
            </w:r>
            <w:r>
              <w:rPr>
                <w:rFonts w:hint="eastAsia" w:cs="宋体" w:asciiTheme="minorEastAsia" w:hAnsiTheme="minorEastAsia" w:eastAsiaTheme="minorEastAsia"/>
                <w:kern w:val="0"/>
                <w:sz w:val="24"/>
                <w:highlight w:val="none"/>
                <w:u w:val="single"/>
              </w:rPr>
              <w:t>20</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cs="宋体" w:asciiTheme="minorEastAsia" w:hAnsiTheme="minorEastAsia" w:eastAsiaTheme="minorEastAsia"/>
                <w:kern w:val="0"/>
                <w:sz w:val="24"/>
                <w:highlight w:val="none"/>
              </w:rPr>
              <w:t>分钟，讲解次序以响应文件解密时间先后次序为准，讲解演示人员不超过</w:t>
            </w:r>
            <w:r>
              <w:rPr>
                <w:rFonts w:hint="eastAsia" w:cs="宋体" w:asciiTheme="minorEastAsia" w:hAnsiTheme="minorEastAsia" w:eastAsiaTheme="minorEastAsia"/>
                <w:kern w:val="0"/>
                <w:sz w:val="24"/>
                <w:highlight w:val="none"/>
                <w:u w:val="single"/>
              </w:rPr>
              <w:t>3</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cs="宋体" w:asciiTheme="minorEastAsia" w:hAnsiTheme="minorEastAsia" w:eastAsiaTheme="minorEastAsia"/>
                <w:kern w:val="0"/>
                <w:sz w:val="24"/>
                <w:highlight w:val="none"/>
              </w:rPr>
              <w:t>人。讲解演示结束后按要求解答评标委员会提问。</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（2）方案讲解演示可选择以下其中一种方式：</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方式二：交易中心现场讲解演示。现场讲解地点为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有关本项目实施所需的所有费用（含税费）均计入最后报价。《最后报价</w:t>
            </w:r>
            <w:r>
              <w:rPr>
                <w:rFonts w:hint="eastAsia" w:cs="宋体" w:asciiTheme="minorEastAsia" w:hAnsiTheme="minorEastAsia" w:eastAsiaTheme="minorEastAsia"/>
                <w:sz w:val="24"/>
                <w:highlight w:val="none"/>
              </w:rPr>
              <w:t>一览表（报价表）</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是最后报价的唯一载体</w:t>
            </w:r>
            <w:r>
              <w:rPr>
                <w:rFonts w:hint="eastAsia" w:cs="宋体" w:asciiTheme="minorEastAsia" w:hAnsiTheme="minorEastAsia" w:eastAsiaTheme="minorEastAsia"/>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highlight w:val="none"/>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供应商对根据修正原则修正后的报价不确认的</w:t>
            </w:r>
            <w:r>
              <w:rPr>
                <w:rFonts w:hint="eastAsia" w:cs="宋体" w:asciiTheme="minorEastAsia" w:hAnsiTheme="minorEastAsia" w:eastAsiaTheme="minorEastAsia"/>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备份响应文件送达地点：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杭州市临安区筑境花园19幢107</w:t>
            </w:r>
            <w:r>
              <w:rPr>
                <w:rFonts w:hint="eastAsia" w:cs="宋体" w:asciiTheme="minorEastAsia" w:hAnsiTheme="minorEastAsia" w:eastAsiaTheme="minorEastAsia"/>
                <w:sz w:val="24"/>
                <w:highlight w:val="none"/>
                <w:u w:val="single"/>
              </w:rPr>
              <w:t>（</w:t>
            </w:r>
            <w:r>
              <w:rPr>
                <w:rFonts w:hint="eastAsia" w:cs="宋体" w:asciiTheme="minorEastAsia" w:hAnsiTheme="minorEastAsia" w:eastAsiaTheme="minorEastAsia"/>
                <w:sz w:val="24"/>
                <w:highlight w:val="none"/>
                <w:u w:val="single"/>
                <w:lang w:val="en-US" w:eastAsia="zh-CN"/>
              </w:rPr>
              <w:t>浙江省成套工程有限公司</w:t>
            </w:r>
            <w:r>
              <w:rPr>
                <w:rFonts w:hint="eastAsia" w:cs="宋体" w:asciiTheme="minorEastAsia" w:hAnsiTheme="minorEastAsia" w:eastAsiaTheme="minorEastAsia"/>
                <w:sz w:val="24"/>
                <w:highlight w:val="none"/>
                <w:u w:val="single"/>
              </w:rPr>
              <w:t>）</w:t>
            </w:r>
            <w:r>
              <w:rPr>
                <w:rFonts w:hint="eastAsia" w:cs="宋体" w:asciiTheme="minorEastAsia" w:hAnsiTheme="minorEastAsia" w:eastAsiaTheme="minorEastAsia"/>
                <w:kern w:val="28"/>
                <w:sz w:val="24"/>
                <w:szCs w:val="24"/>
                <w:highlight w:val="none"/>
              </w:rPr>
              <w:t>；备份响应文件签收人员联系电话：</w:t>
            </w:r>
            <w:r>
              <w:rPr>
                <w:rFonts w:hint="eastAsia" w:cs="宋体" w:asciiTheme="minorEastAsia" w:hAnsiTheme="minorEastAsia" w:eastAsiaTheme="minorEastAsia"/>
                <w:kern w:val="28"/>
                <w:sz w:val="24"/>
                <w:szCs w:val="24"/>
                <w:highlight w:val="none"/>
                <w:lang w:val="en-US" w:eastAsia="zh-CN"/>
              </w:rPr>
              <w:t>0571-61111188</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w:t>
            </w:r>
            <w:r>
              <w:rPr>
                <w:rFonts w:hint="eastAsia" w:cs="宋体" w:asciiTheme="minorEastAsia" w:hAnsiTheme="minorEastAsia" w:eastAsiaTheme="minorEastAsia"/>
                <w:b/>
                <w:sz w:val="24"/>
                <w:szCs w:val="24"/>
                <w:highlight w:val="none"/>
                <w:lang w:eastAsia="zh-CN"/>
              </w:rPr>
              <w:t>采购代理机构</w:t>
            </w:r>
            <w:r>
              <w:rPr>
                <w:rFonts w:hint="eastAsia" w:cs="宋体" w:asciiTheme="minorEastAsia" w:hAnsiTheme="minorEastAsia" w:eastAsiaTheme="minorEastAsia"/>
                <w:b/>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u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u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u w:val="none"/>
              </w:rPr>
            </w:pPr>
            <w:sdt>
              <w:sdtPr>
                <w:rPr>
                  <w:rFonts w:hint="eastAsia" w:cs="Arial" w:asciiTheme="minorEastAsia" w:hAnsiTheme="minorEastAsia" w:eastAsiaTheme="minorEastAsia"/>
                  <w:kern w:val="0"/>
                  <w:sz w:val="24"/>
                  <w:highlight w:val="none"/>
                  <w:u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u w:val="none"/>
                </w:rPr>
              </w:sdtEndPr>
              <w:sdtContent>
                <w:r>
                  <w:rPr>
                    <w:rFonts w:hint="eastAsia" w:ascii="MS Mincho" w:hAnsi="MS Mincho" w:eastAsia="MS Mincho" w:cs="MS Mincho"/>
                    <w:kern w:val="0"/>
                    <w:sz w:val="24"/>
                    <w:highlight w:val="none"/>
                    <w:u w:val="none"/>
                  </w:rPr>
                  <w:t>☐</w:t>
                </w:r>
              </w:sdtContent>
            </w:sdt>
            <w:r>
              <w:rPr>
                <w:rFonts w:hint="eastAsia" w:ascii="宋体" w:hAnsi="宋体" w:cs="宋体"/>
                <w:snapToGrid w:val="0"/>
                <w:kern w:val="28"/>
                <w:sz w:val="24"/>
                <w:highlight w:val="none"/>
                <w:u w:val="none"/>
              </w:rPr>
              <w:t>联合体响应的，联合体各方均需按磋商文件第五部分评审标准要求提供资信证明文件，否则视为不符合相关要求。</w:t>
            </w:r>
          </w:p>
          <w:p>
            <w:pPr>
              <w:spacing w:line="360" w:lineRule="auto"/>
              <w:rPr>
                <w:rFonts w:ascii="宋体" w:hAnsi="宋体" w:cs="宋体"/>
                <w:snapToGrid w:val="0"/>
                <w:kern w:val="28"/>
                <w:sz w:val="24"/>
                <w:highlight w:val="none"/>
                <w:u w:val="none"/>
              </w:rPr>
            </w:pPr>
            <w:sdt>
              <w:sdtPr>
                <w:rPr>
                  <w:rFonts w:hint="eastAsia" w:cs="Arial" w:asciiTheme="minorEastAsia" w:hAnsiTheme="minorEastAsia" w:eastAsiaTheme="minorEastAsia"/>
                  <w:kern w:val="0"/>
                  <w:sz w:val="24"/>
                  <w:highlight w:val="none"/>
                  <w:u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u w:val="none"/>
                </w:rPr>
              </w:sdtEndPr>
              <w:sdtContent>
                <w:r>
                  <w:rPr>
                    <w:rFonts w:hint="eastAsia" w:cs="Arial" w:asciiTheme="minorEastAsia" w:hAnsiTheme="minorEastAsia" w:eastAsiaTheme="minorEastAsia"/>
                    <w:kern w:val="0"/>
                    <w:sz w:val="24"/>
                    <w:highlight w:val="none"/>
                    <w:u w:val="none"/>
                  </w:rPr>
                  <w:sym w:font="Wingdings" w:char="F0FE"/>
                </w:r>
              </w:sdtContent>
            </w:sdt>
            <w:r>
              <w:rPr>
                <w:rFonts w:hint="eastAsia" w:ascii="宋体" w:hAnsi="宋体" w:cs="宋体"/>
                <w:snapToGrid w:val="0"/>
                <w:kern w:val="28"/>
                <w:sz w:val="24"/>
                <w:highlight w:val="none"/>
                <w:u w:val="none"/>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hint="default" w:cs="宋体" w:asciiTheme="minorEastAsia" w:hAnsiTheme="minorEastAsia" w:eastAsiaTheme="minorEastAsia"/>
                <w:sz w:val="24"/>
                <w:highlight w:val="none"/>
                <w:u w:val="none"/>
                <w:lang w:val="en-US" w:eastAsia="zh-CN"/>
              </w:rPr>
            </w:pPr>
            <w:r>
              <w:rPr>
                <w:rFonts w:hint="eastAsia" w:cs="宋体" w:asciiTheme="minorEastAsia" w:hAnsiTheme="minorEastAsia" w:eastAsiaTheme="minorEastAsia"/>
                <w:sz w:val="24"/>
                <w:highlight w:val="none"/>
                <w:u w:val="none"/>
                <w:lang w:val="en-US" w:eastAsia="zh-CN"/>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u w:val="none"/>
              </w:rPr>
            </w:pPr>
            <w:r>
              <w:rPr>
                <w:rFonts w:hint="eastAsia" w:cs="宋体" w:asciiTheme="minorEastAsia" w:hAnsiTheme="minorEastAsia" w:eastAsiaTheme="minorEastAsia"/>
                <w:b/>
                <w:sz w:val="24"/>
                <w:highlight w:val="none"/>
                <w:u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3"/>
              <w:ind w:firstLine="0"/>
              <w:rPr>
                <w:highlight w:val="none"/>
                <w:u w:val="none"/>
              </w:rPr>
            </w:pPr>
            <w:r>
              <w:rPr>
                <w:rFonts w:hint="eastAsia"/>
                <w:highlight w:val="none"/>
                <w:u w:val="none"/>
              </w:rPr>
              <w:t>代理服务费参照发改价格〔2011〕534号文件、国家发改委计价格〔2002〕1980号文件规定收费,单个采购项目代理服务费不足肆仟元可按肆仟元收取，代理服务收费按差额定率累进法计算。</w:t>
            </w:r>
          </w:p>
          <w:p>
            <w:pPr>
              <w:spacing w:line="360" w:lineRule="auto"/>
              <w:rPr>
                <w:highlight w:val="none"/>
                <w:u w:val="none"/>
              </w:rPr>
            </w:pPr>
            <w:r>
              <w:rPr>
                <w:rFonts w:hint="eastAsia"/>
                <w:highlight w:val="none"/>
                <w:u w:val="none"/>
              </w:rPr>
              <w:drawing>
                <wp:inline distT="0" distB="0" distL="114300" distR="114300">
                  <wp:extent cx="3526790" cy="1605280"/>
                  <wp:effectExtent l="0" t="0" r="16510" b="13970"/>
                  <wp:docPr id="20" name="图片 20"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收费标准"/>
                          <pic:cNvPicPr>
                            <a:picLocks noChangeAspect="1"/>
                          </pic:cNvPicPr>
                        </pic:nvPicPr>
                        <pic:blipFill>
                          <a:blip r:embed="rId14" cstate="print"/>
                          <a:stretch>
                            <a:fillRect/>
                          </a:stretch>
                        </pic:blipFill>
                        <pic:spPr>
                          <a:xfrm>
                            <a:off x="0" y="0"/>
                            <a:ext cx="3526790" cy="1605280"/>
                          </a:xfrm>
                          <a:prstGeom prst="rect">
                            <a:avLst/>
                          </a:prstGeom>
                          <a:noFill/>
                          <a:ln>
                            <a:noFill/>
                          </a:ln>
                        </pic:spPr>
                      </pic:pic>
                    </a:graphicData>
                  </a:graphic>
                </wp:inline>
              </w:drawing>
            </w:r>
          </w:p>
          <w:p>
            <w:pPr>
              <w:spacing w:line="360" w:lineRule="auto"/>
              <w:rPr>
                <w:rFonts w:hint="eastAsia" w:cs="Arial" w:asciiTheme="minorEastAsia" w:hAnsiTheme="minorEastAsia" w:eastAsiaTheme="minorEastAsia"/>
                <w:kern w:val="0"/>
                <w:sz w:val="24"/>
                <w:highlight w:val="none"/>
                <w:u w:val="none"/>
              </w:rPr>
            </w:pPr>
            <w:r>
              <w:rPr>
                <w:rFonts w:hint="eastAsia" w:hAnsi="宋体" w:cs="宋体"/>
                <w:szCs w:val="24"/>
                <w:highlight w:val="none"/>
                <w:u w:val="none"/>
              </w:rPr>
              <w:t>收费对象：本项目代理服务费向中标（</w:t>
            </w:r>
            <w:r>
              <w:rPr>
                <w:rFonts w:hint="eastAsia" w:hAnsi="宋体" w:cs="宋体"/>
                <w:szCs w:val="24"/>
                <w:highlight w:val="none"/>
                <w:u w:val="none"/>
                <w:lang w:val="en-US"/>
              </w:rPr>
              <w:t>成交）</w:t>
            </w:r>
            <w:r>
              <w:rPr>
                <w:rFonts w:hint="eastAsia" w:hAnsi="宋体" w:cs="宋体"/>
                <w:szCs w:val="24"/>
                <w:highlight w:val="none"/>
                <w:u w:val="none"/>
              </w:rPr>
              <w:t>供应商收取</w:t>
            </w:r>
          </w:p>
        </w:tc>
      </w:tr>
    </w:tbl>
    <w:p>
      <w:pPr>
        <w:rPr>
          <w:rFonts w:hint="eastAsia" w:cs="仿宋_GB2312" w:asciiTheme="minorEastAsia" w:hAnsiTheme="minorEastAsia" w:eastAsiaTheme="minorEastAsia"/>
          <w:sz w:val="24"/>
          <w:highlight w:val="none"/>
        </w:rPr>
      </w:pPr>
    </w:p>
    <w:p>
      <w:pP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标的：</w:t>
      </w:r>
    </w:p>
    <w:tbl>
      <w:tblPr>
        <w:tblStyle w:val="60"/>
        <w:tblW w:w="5000" w:type="pct"/>
        <w:tblInd w:w="0" w:type="dxa"/>
        <w:tblLayout w:type="autofit"/>
        <w:tblCellMar>
          <w:top w:w="0" w:type="dxa"/>
          <w:left w:w="108" w:type="dxa"/>
          <w:bottom w:w="0" w:type="dxa"/>
          <w:right w:w="108" w:type="dxa"/>
        </w:tblCellMar>
      </w:tblPr>
      <w:tblGrid>
        <w:gridCol w:w="1662"/>
        <w:gridCol w:w="7624"/>
      </w:tblGrid>
      <w:tr>
        <w:tblPrEx>
          <w:tblCellMar>
            <w:top w:w="0" w:type="dxa"/>
            <w:left w:w="108" w:type="dxa"/>
            <w:bottom w:w="0" w:type="dxa"/>
            <w:right w:w="108" w:type="dxa"/>
          </w:tblCellMar>
        </w:tblPrEx>
        <w:trPr>
          <w:trHeight w:val="181" w:hRule="atLeast"/>
        </w:trPr>
        <w:tc>
          <w:tcPr>
            <w:tcW w:w="166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序号</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标的</w:t>
            </w:r>
          </w:p>
        </w:tc>
      </w:tr>
      <w:tr>
        <w:tblPrEx>
          <w:tblCellMar>
            <w:top w:w="0" w:type="dxa"/>
            <w:left w:w="108" w:type="dxa"/>
            <w:bottom w:w="0" w:type="dxa"/>
            <w:right w:w="108" w:type="dxa"/>
          </w:tblCellMar>
        </w:tblPrEx>
        <w:trPr>
          <w:trHeight w:val="181" w:hRule="atLeast"/>
        </w:trPr>
        <w:tc>
          <w:tcPr>
            <w:tcW w:w="166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厨房改造（安装嵚入式燃气灶+不锈钢水槽含配件）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上翻落地扶手</w:t>
            </w:r>
          </w:p>
        </w:tc>
      </w:tr>
      <w:tr>
        <w:tblPrEx>
          <w:tblCellMar>
            <w:top w:w="0" w:type="dxa"/>
            <w:left w:w="108" w:type="dxa"/>
            <w:bottom w:w="0" w:type="dxa"/>
            <w:right w:w="108" w:type="dxa"/>
          </w:tblCellMar>
        </w:tblPrEx>
        <w:trPr>
          <w:trHeight w:val="90"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L型扶手</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一字扶手（50cm）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无障碍墙扶手（2+1.4M）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便携式斜坡板（2M）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床边扶手</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铝合金软座轮椅</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凝胶防褥疮坐垫</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四脚拐</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座厕椅（皮质）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沐浴椅</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防滑垫</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照面线路改造（8.6*3.8+8.6*1.3+11.4*5.6M+灯具7盏）</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卫生间改造（更换座便器+拆除及垃圾清运）</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无障碍墙扶手（5.1+0.4M）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卫生间改造（更换座便器+拆除及垃圾清运+安装悬挂式台盆）</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净居亮居改造（1.5*4*高1M，铲除原墙面油漆+重新粉刷墙面）</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便携式斜坡板（1M）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电动升降晾衣架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不锈钢腋拐</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煤气泄漏报警器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厨房净居亮居改造（3*5*高2.8M,铲除原墙面油漆+墙面粉刷+厨房吊顶+照面线路改造+灯具）</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厨房改造(2M橱柜+阻燃台面挖孔+嵌入式燃气灶+油烟机+油烟机开孔+防油板）</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不锈钢护栏（1.5+1.5M）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不锈钢立柱</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音乐闪光门铃</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智能电饭煲</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无障碍报警水壶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盲杖</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听书机</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语音报时器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语音血压计</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不锈钢护栏（3.6+3.6M）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卫生间改造（2*2*2.6M，墙面防水处理+铺贴墙砖+安装吊顶+安装风暖浴霸+接电线15M）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橡胶坡道（2cm）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照面线路改造（7*6.2+3*8.5M，拆除原线路+重新铺设线路+灯具3盏）</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厨房改造（3M橱柜+阻燃台面挖孔+嵌入式燃气灶+不锈钢水槽含配件+排污管布置+进水管移位）</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床边餐桌</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厨房改造（1.6M橱柜+阻燃台面+嵌入式燃气灶）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橡胶坡道（3.5cm）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橡胶坡道（2.5cm）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电动起身辅助器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橡胶坡道（4cm）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便携式斜坡板（1.8M）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便携式斜坡板（0.56M）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无障碍墙扶手（3.6+0.8+2.5+1.1+3.2M）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无障碍墙扶手（2.4+0.4+1.3M）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无障碍墙扶手（1.4+1.4M）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求助报警器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成人纸尿片</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成人纸尿裤（粘贴款）</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成人护理垫</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移乘带</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移乘板</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残疾人翻身靠垫</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成人围兜</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扶手沐浴椅</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无障碍墙扶手（0.7M）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智能夜光灯</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双摇护理床</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成人纸尿裤（拉拉款）</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轮式沐浴椅</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智能电磁炉</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语音血糖仪</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眼镜式助视器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橡胶坡道（6cm）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无障碍墙扶手（1.8M）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橡胶坡道（4.5cm）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残疾人翻身器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便盆</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无障碍墙扶手（1M）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厨房改造（2.5M橱柜+阻燃台面挖孔+嵌入式燃气灶+不锈钢水槽含配件+排污管布置+进水管移位）</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防褥疮充气床垫</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生活自助具</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无障碍坡道改造（3*1.36M，拆除原坡道部分基础+浇筑水泥坡道）</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厨房改造（挂式不锈钢水池含配件+排污管布置）</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不锈钢护栏（4.6M）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便携式斜坡板(1.2M)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净居亮居改造（4*3.5M，拆除原窗0.63*0.8M+安装铝合金窗户+安装玻璃0.42*0.82M+吊顶）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照面线路改造（4*3.5M，拆除原线路+重新铺设线路+灯具+外接电线15M）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拾物器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卫生间改造（3.4*1.7M，外接电线20M+安装热水器+淋浴套装+接冷热水管3M+拆除蹲坑+清运垃圾+浇筑地坪+安装座便器+接排污管+接进水管+安装铝合金窗+铝合金门及双面门套+安装吊顶+风暖浴霸）</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门口浇筑水泥坡道（0.3*0.9M)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室内平行杠</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净居亮居改造（4.2*3M，安装铝合金隔断双移门）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厨房改造（1.5M橱柜+阻燃台面挖孔+嵌入式燃气灶+4.5*3*3M，铲除原墙面油漆+墙面重新粉刷）</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弧形分指板</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助行器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无障碍墙扶手(1.8+1.6M）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91</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照面线路改造（5*7.5+10.5*5.5M，拆除原线路+重新铺设线路+灯具5盏）</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洗浴宝</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93</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无障碍坡道改造（3.5*1.5M，拆除原坡道基础+浇筑水泥坡道）</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94</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不锈钢护栏（3.5M）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橡胶坡道（5cm）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无障碍墙扶手（0.6+1.1M）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97</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净居亮居改造（7*5.5M，拆除原线路+重新铺设线路+灯具3盏+安装吊顶）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床靠背架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铝合金单拐</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安全型引流袋</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101</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手动移位器（吊式）</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滑轮吊环训练器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103</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厨房改造（安装油烟机）</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104</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防溢报警器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厨房改造（安装油烟机+油烟机开孔）</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厨房改造（拆除原油烟机、燃气灶+安装油烟机+安装嵌入式燃气灶）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107</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滤光镜</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折叠晾衣架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109</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背带</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楼梯不锈钢护栏（1.5+6.5M）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厨房改造(2M橱柜+阻燃台面挖孔+嵌入式燃气灶）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居家监控</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113</w:t>
            </w:r>
          </w:p>
        </w:tc>
        <w:tc>
          <w:tcPr>
            <w:tcW w:w="7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卫生间改造（1.6*1.9M，安装吊顶+安装热水器+风暖浴霸+接冷热水管+安装淋浴套装+拆除原线路重新铺设+外接电线15M）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卫生间改造(安装热水器+淋浴套装+外接电线3M+接冷热水管3M）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橡胶坡道（11cm）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116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便携式斜坡板(1.5M)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117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22"/>
                <w:szCs w:val="22"/>
                <w:highlight w:val="none"/>
                <w:u w:val="none"/>
                <w:lang w:val="en-US" w:eastAsia="zh-CN" w:bidi="ar"/>
              </w:rPr>
              <w:t>不锈钢护栏（7M）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118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卫生间改造(安装热水器+淋浴套装+接冷热水管2M）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119</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净居亮居改造（安装铝合金窗+拆除原房门+门洞修复+安装铝合金大门1.46*2.75M）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120</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卫生间改造（安装淋浴套装）</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卫生间改造（更换座便器+拆除及垃圾清运+安装热水器+接冷热水管10M+外接电线+安装淋浴套装）</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卫生间改造（更换座便器+拆除及垃圾清运+安装热水器）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无障碍墙扶手（1.1+1.1M）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宋体"/>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无障碍坡道改造（长6M*宽2.2M*高0.18M，拆除原坡道部分基础+浇筑水泥坡道)</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橡胶坡道（7cm）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防撞条</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无障碍手部康复训练器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厨房改造（拆除原油烟机+拆除燃气灶+安装油烟机+安装嵌入式燃气灶）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129</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无障碍墙扶手（6.2M）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130</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无障碍墙扶手（1.3M）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131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无障碍墙扶手（0.3M）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132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不锈钢护栏（2.8+2.2M）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133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厨房改造（4.8*3.5高1.5M，铲除原墙面油漆+墙面粉刷+安装吊顶+安装油烟机+油烟机开孔+外接电线8M+更换老式燃气灶+更换排气扇）</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识色报时手表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净居亮居改造（5.4*3M，安装吊顶）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卫生间改造（更换座便器+更换光暖浴霸+接电线8M）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厨房改造（拆除原油烟机+安装油烟机）</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无障碍墙扶手（5+5+0.5M）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139</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无障碍墙扶手（12.6M）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140</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无障碍墙扶手（1.1M）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净居亮居改造（3.7*2*高2.8M，铲除原墙面油漆+墙面粉刷）</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厨房改造（2.3M橱柜+阻燃台面挖孔+不锈钢水槽含配件+铺设排污管+进水管连接+安装嵌入式燃气灶+更换油烟机）</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卫生间改造（安装热水器）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卫生间改造（0.66*1.82，拆除原门+门洞修复+安装卫生间门及双面门套+更换座便器）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厨房改造（0.9*2.6M拆除原门+门洞修复+安装成品房门及双面门套+4.8*3.1*高3.6M铲除原墙面油漆+墙面粉刷+安装油烟机+油烟机开孔+接电线8M+更换老式燃气灶）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无障碍墙扶手（3M）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无障碍墙扶手（0.4+0.4M）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不锈钢护栏（1M）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149</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卫生间改造（2*1.5高2.4M，墙地面防水处理+铺设防滑地砖+贴墙砖+安装地漏+安装吊顶+安装座便器+立柱式台盆+淋浴套装+卫生间门及双面门套+安装风暖浴霸+热水器+新建卫生间相关辅材)</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150</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毛巾架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纸盒</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无障碍墙扶手（0.8M）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无障碍墙扶手（2+3.8+0.5M）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厨房改造（1.2M橱柜+阻燃台面挖孔+嵌入式燃气灶）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淋浴间改造（铲除原墙面油漆+水电开槽+防水处理+接电线25M+接冷热水管10M+铺贴墙砖+安装挡水条+挡水帘+热水器+淋浴套装）</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无障碍墙扶手（0.4+1.0+0.9+1.8+0.8+0.5+1.0+0.8+1.4+1）</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橡胶坡道（3cm）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镀锌管护栏</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159</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不锈钢护栏（1.7+1.7M）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160</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台阶找平修补</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无障碍坡道改造（2.5*1.5M+1.5*1.5M，拆除原地面基础+浇筑水泥坡道及平台)</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不锈钢护栏（1.5+1.5+2.5M）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无障碍墙扶手（3.7M）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净居亮居改造（3.8*3高3.5M,铲除原墙面油漆+墙面粉刷+原窗拆除+窗框修复+安装铝合金窗2扇1.46*1.7M+1.92*1.7M）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镀锌管拉杆</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高靠背座便轮椅（铁制脚板）</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照面线路改造（13*8*2M，拆除原线路+重新铺设线路+灯具8盏）</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不锈钢护栏（0.8+2.6+1M）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169</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照面线路改造（8.3*7M，拆除原线路+重新铺设线路+灯具6盏）</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170</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厨房改造(1.5M橱柜+阻燃台面挖孔+嵌入式燃气灶）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不锈钢护栏（0.9+4.6M）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净居亮居改造（拆除原门2扇+门洞修复+成品房门及双面门套2扇）</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厨房改造（安装油烟机+油烟机开孔+油烟机线路改造）</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尿壶（女）</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不锈钢护栏（6+9M）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无障碍墙扶手（2.6+0.8+1.5M）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无障碍墙扶手（3.8M）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尿壶（男）</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179</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不锈钢护栏（5+5M）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180</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净居亮居改造（5*3.3*3.3M，铲除原墙面油漆+重新粉刷墙面）</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厨房改造(2M橱柜+阻燃台面挖孔+嵌入式燃气灶+不锈钢水槽含配件+油烟机开孔+安装油烟机+水管连接+更换排气扇）</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防撞地垫</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无障碍墙扶手（2.2M）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橡胶坡道（5.5cm）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防撞角</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不锈钢护栏（1.9+1.2+1.9+1+1.9+1.2+2.3M）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不锈钢护栏（1.5+3.9+1.5+1.5M）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无障碍墙扶手（6+1.7M）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189</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不锈钢护栏（3+0.6M）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190</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无障碍墙扶手（3.2+3.1M）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无障碍墙扶手（3.2+1+0.4+1.1M）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厨房改造(1.5M橱柜+阻燃台面挖孔+嵌入式燃气灶+油烟机开孔+安装油烟机+接电线15M+安装不锈钢水槽+接排污管2M+水管连接）</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卫生间改造（2.38*1.65M，拆除原门+门洞修复+安装铝合金移门）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净居亮居改造（3.8*2*3.3M+3.8*3.3*1.5M+3.8*3.8*2.2M,铲除原墙面油漆+重新粉刷墙面）</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无障碍墙扶手（1+0.5M）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不锈钢护栏（6.2+4.5M）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卫生间改造（更换座便器+拆除及垃圾清运+安装热水器+接冷热水管+外接电线+安装淋浴套装）</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不锈钢护栏（1.3+7.1+10M）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199</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不锈钢护栏（1.7M）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200</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不锈钢护栏（0.9+0.9+0.9+0.9M）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不锈钢护栏(0.5+1.5+1.5+6.5M）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净居亮居改造（4.6*2.4+4*2.4M，砖砌隔墙+墙面粉刷+安装铝合金窗+成品房门及双面门套+防滑地砖4.6*4M）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无障碍墙扶手（0.8+0.9+0.5M）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无障碍墙扶手（2.3+1+0.5+0.8+0.8+2.2+0.4M)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净居亮居改造（3.8*3.47M，砖砌隔墙+墙面粉刷+安装铝合金移门+安装吊顶6*3.8M）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无障碍墙扶手（3.4+1.4+0.6+3.8M）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照面线路改造（双控电线25M）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照面线路改造（6.8*19M，拆除原线路+重新铺设线路+灯具6盏）</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209</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不锈钢护栏（1.6+1.6M）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210</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无障碍墙扶手（3.5+0.8+1.6M）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无障碍墙扶手（3.9M）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电动上下肢康复训练器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厨房改造(2M橱柜+阻燃台面挖孔+嵌入式燃气灶+安装油烟机+油烟机开孔+墙面封补0.7*65M+原窗拆除+窗框修复+安装铝合金窗+外接电线30M）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卫生间改造（安装热水器+接冷热水管+接电线）</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净居亮居改造（2.9*3.6*高2.2M,铲除原墙面油漆+墙面粉刷+护墙板）</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照面线路改造（7.3*3.8M，拆除原线路+重新铺设线路+灯具2盏）</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卫生间改造（安装热水器+接冷热水管15M+保温棉包裹+水泥地面挖掘+铺设排污管道+浇筑地坪+地漏+更换座便器+安装淋浴套装）</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门口台阶钢铁坡道（长4M*宽1.3M）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219</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新建卫生间（1.5*2*高2.6M，防水处理+防滑地砖+铺贴墙砖+地漏+安装淋浴套装+热水器+座便器+立柱式台盆+卫生间门及双面门套+吊顶+风暖浴霸+新建卫生间辅材）</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220</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照面线路改造（4*8.7M，拆除原线路+重新铺设线路+灯具3盏+外接电线20M+安装吊顶+铲除原墙面油漆+重新粉刷墙面）</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楼梯不锈钢护栏（4.5M）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厨房改造（1.6M橱柜+阻燃台面挖孔+嵌入式燃气灶+不锈钢水槽含配件）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单拐</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新建卫生间（1.7*2.2*高2.6M，防水处理+防滑地砖+铺贴墙砖+安装地漏、立柱式台盆+淋浴套装+安装卫生间门及双面门套+座便器+铝合金窗+新建卫生间辅材）</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橡胶坡道（1.5cm）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居家改造（居家监控2套+线路改造5M）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卫生间改造（1.1*0.85M，拆除蹲坑+清运垃圾+铺贴防滑地砖+墙砖+铺设排污管+安装座便器）</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无障碍墙扶手（0.3+2.9+0.8+2+1+3.6M）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229</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厨房改造（更换嵚入式燃气灶）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230</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照面线路改造（7.8*12.7M，拆除原线路+重新铺设线路+灯具5盏）</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无障碍墙扶手（1.7+2.9M）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橡胶坡道（5cm)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坐便架</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234</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钢条腰围</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235</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日常辅助用具</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236</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儿童生活自助具</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237</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智能沟通训练仪</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238</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防滑地垫（1.73*2.2M）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239</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系列哑铃</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240</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不锈钢护栏（2M）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241</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便携式斜坡板（2.8M）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242</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定制窗帘（2*2.5M）</w:t>
            </w:r>
          </w:p>
        </w:tc>
      </w:tr>
      <w:tr>
        <w:tblPrEx>
          <w:tblCellMar>
            <w:top w:w="0" w:type="dxa"/>
            <w:left w:w="108" w:type="dxa"/>
            <w:bottom w:w="0" w:type="dxa"/>
            <w:right w:w="108" w:type="dxa"/>
          </w:tblCellMar>
        </w:tblPrEx>
        <w:trPr>
          <w:trHeight w:val="284"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243</w:t>
            </w:r>
          </w:p>
        </w:tc>
        <w:tc>
          <w:tcPr>
            <w:tcW w:w="7624"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防走失手环</w:t>
            </w:r>
          </w:p>
        </w:tc>
      </w:tr>
    </w:tbl>
    <w:p>
      <w:pPr>
        <w:adjustRightInd/>
        <w:spacing w:line="240" w:lineRule="auto"/>
        <w:ind w:firstLine="0" w:firstLineChars="0"/>
        <w:outlineLvl w:val="9"/>
        <w:rPr>
          <w:rFonts w:hint="eastAsia"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br w:type="page"/>
      </w:r>
    </w:p>
    <w:p>
      <w:pPr>
        <w:adjustRightInd/>
        <w:spacing w:line="360" w:lineRule="auto"/>
        <w:ind w:firstLine="3845" w:firstLineChars="1197"/>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二、总则</w:t>
      </w:r>
    </w:p>
    <w:p>
      <w:pPr>
        <w:snapToGrid w:val="0"/>
        <w:spacing w:line="360" w:lineRule="auto"/>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适用范围</w:t>
      </w:r>
    </w:p>
    <w:p>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2.定义</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 “</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”系指磋商邀请公告中载明的本项目的</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 “成交人”系指经评审确定的成交供应商。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2.7“电子交易平台”</w:t>
      </w:r>
      <w:r>
        <w:rPr>
          <w:rFonts w:hint="eastAsia" w:asciiTheme="minorEastAsia" w:hAnsiTheme="minorEastAsia" w:eastAsiaTheme="minorEastAsia"/>
          <w:sz w:val="24"/>
          <w:highlight w:val="none"/>
          <w:lang w:val="en-US" w:eastAsia="zh-CN"/>
        </w:rPr>
        <w:t>系</w:t>
      </w:r>
      <w:r>
        <w:rPr>
          <w:rFonts w:hint="eastAsia" w:asciiTheme="minorEastAsia" w:hAnsiTheme="minorEastAsia" w:eastAsiaTheme="minorEastAsia"/>
          <w:sz w:val="24"/>
          <w:highlight w:val="none"/>
        </w:rPr>
        <w:t>指本项目政府采购活动所依托的政府采购云平台（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2.9 </w:t>
      </w:r>
      <w:r>
        <w:rPr>
          <w:rFonts w:hint="eastAsia" w:asciiTheme="minorEastAsia" w:hAnsiTheme="minorEastAsia" w:eastAsiaTheme="minorEastAsia"/>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2.10 “▲” 系指实质性要求条款， “※”系指磋商过程中可能实质性变动的内容，</w:t>
      </w:r>
      <w:r>
        <w:rPr>
          <w:rFonts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rPr>
        <w:t>“</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cs="宋体" w:asciiTheme="minorEastAsia" w:hAnsiTheme="minorEastAsia" w:eastAsiaTheme="minorEastAsia"/>
              <w:kern w:val="0"/>
              <w:sz w:val="24"/>
              <w:highlight w:val="none"/>
            </w:rPr>
            <w:t></w:t>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3. 响应有效期</w:t>
      </w:r>
    </w:p>
    <w:p>
      <w:pPr>
        <w:spacing w:line="360" w:lineRule="auto"/>
        <w:ind w:firstLine="480" w:firstLineChars="200"/>
        <w:rPr>
          <w:rFonts w:cs="仿宋_GB2312" w:asciiTheme="minorEastAsia" w:hAnsiTheme="minorEastAsia" w:eastAsiaTheme="minorEastAsia"/>
          <w:b/>
          <w:sz w:val="24"/>
          <w:szCs w:val="21"/>
          <w:highlight w:val="none"/>
        </w:rPr>
      </w:pPr>
      <w:r>
        <w:rPr>
          <w:rFonts w:hint="eastAsia" w:cs="仿宋_GB2312" w:asciiTheme="minorEastAsia" w:hAnsiTheme="minorEastAsia" w:eastAsiaTheme="minorEastAsia"/>
          <w:sz w:val="24"/>
          <w:szCs w:val="20"/>
          <w:highlight w:val="none"/>
        </w:rPr>
        <w:t>▲3.1</w:t>
      </w:r>
      <w:r>
        <w:rPr>
          <w:rFonts w:hint="eastAsia" w:cs="仿宋_GB2312" w:asciiTheme="minorEastAsia" w:hAnsiTheme="minorEastAsia" w:eastAsiaTheme="minorEastAsia"/>
          <w:b/>
          <w:sz w:val="24"/>
          <w:szCs w:val="20"/>
          <w:highlight w:val="none"/>
        </w:rPr>
        <w:t>响应有效期为从提交响应文件的截止之日起90天。供应商的响应文件中承</w:t>
      </w:r>
      <w:r>
        <w:rPr>
          <w:rFonts w:hint="eastAsia" w:cs="仿宋_GB2312" w:asciiTheme="minorEastAsia" w:hAnsiTheme="minorEastAsia" w:eastAsiaTheme="minorEastAsia"/>
          <w:b/>
          <w:sz w:val="24"/>
          <w:szCs w:val="21"/>
          <w:highlight w:val="none"/>
        </w:rPr>
        <w:t>诺的响应有效期少于磋商文件中载明的磋商有效期的，响应无效。</w:t>
      </w:r>
    </w:p>
    <w:p>
      <w:pPr>
        <w:pStyle w:val="393"/>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3.2响应文件合格提交后，自响应截止日期起，在响应有效期内有效。</w:t>
      </w:r>
    </w:p>
    <w:p>
      <w:pPr>
        <w:pStyle w:val="393"/>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3.3在原定响应有效期满之前，如果出现特殊情况，</w:t>
      </w:r>
      <w:r>
        <w:rPr>
          <w:rFonts w:hint="eastAsia" w:cs="仿宋_GB2312" w:asciiTheme="minorEastAsia" w:hAnsiTheme="minorEastAsia" w:eastAsiaTheme="minorEastAsia"/>
          <w:highlight w:val="none"/>
          <w:lang w:eastAsia="zh-CN"/>
        </w:rPr>
        <w:t>采购代理机构</w:t>
      </w:r>
      <w:r>
        <w:rPr>
          <w:rFonts w:hint="eastAsia" w:cs="仿宋_GB2312" w:asciiTheme="minorEastAsia" w:hAnsiTheme="minorEastAsia" w:eastAsiaTheme="minorEastAsia"/>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4．响应费用</w:t>
      </w:r>
    </w:p>
    <w:p>
      <w:pPr>
        <w:pStyle w:val="32"/>
        <w:spacing w:line="360" w:lineRule="auto"/>
        <w:ind w:firstLine="360" w:firstLineChars="15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供应商需自行承担涉及响应的一切费用</w:t>
      </w:r>
      <w:r>
        <w:rPr>
          <w:rFonts w:hint="eastAsia" w:asciiTheme="minorEastAsia" w:hAnsiTheme="minorEastAsia" w:eastAsiaTheme="minorEastAsia"/>
          <w:sz w:val="24"/>
          <w:highlight w:val="none"/>
          <w:lang w:val="zh-CN"/>
        </w:rPr>
        <w:t>。</w:t>
      </w:r>
    </w:p>
    <w:p>
      <w:pPr>
        <w:spacing w:line="360" w:lineRule="auto"/>
        <w:jc w:val="center"/>
        <w:rPr>
          <w:rFonts w:cs="仿宋_GB2312" w:asciiTheme="minorEastAsia" w:hAnsiTheme="minorEastAsia" w:eastAsiaTheme="minorEastAsia"/>
          <w:b/>
          <w:sz w:val="24"/>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三、需要落实的政府采购政策</w:t>
      </w:r>
    </w:p>
    <w:p>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1.是否允许采购进口产品要求</w:t>
      </w:r>
    </w:p>
    <w:p>
      <w:pPr>
        <w:pStyle w:val="32"/>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不会对其加以限制，仍将按照公平竞争原则实施采购）</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sz w:val="24"/>
          <w:highlight w:val="none"/>
        </w:rPr>
        <w:t>。</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2.支持绿色发展</w:t>
      </w:r>
    </w:p>
    <w:p>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hint="eastAsia" w:ascii="宋体" w:hAnsi="宋体" w:cs="宋体"/>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highlight w:val="none"/>
        </w:rPr>
        <w:t>。</w:t>
      </w:r>
    </w:p>
    <w:p>
      <w:pPr>
        <w:spacing w:line="360" w:lineRule="auto"/>
        <w:ind w:firstLine="480" w:firstLineChars="200"/>
        <w:rPr>
          <w:rFonts w:ascii="宋体" w:hAnsi="宋体" w:cs="宋体"/>
          <w:sz w:val="24"/>
          <w:highlight w:val="none"/>
        </w:rPr>
      </w:pPr>
      <w:r>
        <w:rPr>
          <w:rFonts w:hint="eastAsia" w:cs="宋体" w:asciiTheme="minorEastAsia" w:hAnsiTheme="minorEastAsia" w:eastAsiaTheme="minorEastAsia"/>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highlight w:val="none"/>
        </w:rPr>
      </w:pPr>
    </w:p>
    <w:p>
      <w:pPr>
        <w:pStyle w:val="32"/>
        <w:spacing w:line="360" w:lineRule="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3.支持中小企业发展。</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bCs/>
          <w:sz w:val="24"/>
          <w:highlight w:val="none"/>
        </w:rPr>
        <w:t>3.2</w:t>
      </w:r>
      <w:r>
        <w:rPr>
          <w:rFonts w:hint="eastAsia" w:cs="宋体" w:asciiTheme="minorEastAsia" w:hAnsiTheme="minorEastAsia" w:eastAsiaTheme="minorEastAsia"/>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）的残疾人福利性单位视同小型、微型企业；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4.</w:t>
      </w:r>
      <w:r>
        <w:rPr>
          <w:rFonts w:hint="eastAsia" w:cs="宋体" w:asciiTheme="minorEastAsia" w:hAnsiTheme="minorEastAsia" w:eastAsiaTheme="minorEastAsia"/>
          <w:b/>
          <w:bCs/>
          <w:sz w:val="24"/>
          <w:highlight w:val="none"/>
        </w:rPr>
        <w:t>支持创新发展</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sz w:val="24"/>
          <w:highlight w:val="none"/>
        </w:rPr>
      </w:pPr>
      <w:r>
        <w:rPr>
          <w:rFonts w:hint="eastAsia" w:cs="宋体" w:asciiTheme="minorEastAsia" w:hAnsiTheme="minorEastAsia" w:eastAsiaTheme="minorEastAsia"/>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四、询问、质疑与投诉</w:t>
      </w:r>
    </w:p>
    <w:p>
      <w:pPr>
        <w:pStyle w:val="32"/>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1.在线询问、质疑、投诉</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 供应商质疑</w:t>
      </w:r>
    </w:p>
    <w:p>
      <w:pPr>
        <w:pStyle w:val="32"/>
        <w:spacing w:line="360" w:lineRule="auto"/>
        <w:ind w:firstLine="482" w:firstLineChars="200"/>
        <w:rPr>
          <w:rFonts w:asciiTheme="minorEastAsia" w:hAnsiTheme="minorEastAsia" w:eastAsiaTheme="minorEastAsia"/>
          <w:b/>
          <w:sz w:val="24"/>
          <w:highlight w:val="none"/>
        </w:rPr>
      </w:pPr>
      <w:r>
        <w:rPr>
          <w:rFonts w:hint="eastAsia" w:cs="微软雅黑" w:asciiTheme="minorEastAsia" w:hAnsiTheme="minorEastAsia" w:eastAsiaTheme="minorEastAsia"/>
          <w:b/>
          <w:kern w:val="0"/>
          <w:sz w:val="24"/>
          <w:highlight w:val="none"/>
          <w:lang w:val="zh-CN"/>
        </w:rPr>
        <w:t>3</w:t>
      </w:r>
      <w:r>
        <w:rPr>
          <w:rFonts w:hint="eastAsia" w:asciiTheme="minorEastAsia" w:hAnsiTheme="minorEastAsia" w:eastAsiaTheme="minorEastAsia"/>
          <w:b/>
          <w:sz w:val="24"/>
          <w:highlight w:val="none"/>
        </w:rPr>
        <w:t>.1质疑提出时效</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asciiTheme="minorEastAsia" w:hAnsiTheme="minorEastAsia" w:eastAsiaTheme="minorEastAsia"/>
          <w:sz w:val="24"/>
          <w:highlight w:val="none"/>
        </w:rPr>
      </w:pPr>
      <w:r>
        <w:rPr>
          <w:rFonts w:hint="eastAsia" w:cs="微软雅黑" w:asciiTheme="minorEastAsia" w:hAnsiTheme="minorEastAsia" w:eastAsiaTheme="minorEastAsia"/>
          <w:kern w:val="0"/>
          <w:sz w:val="24"/>
          <w:highlight w:val="none"/>
          <w:lang w:val="zh-CN"/>
        </w:rPr>
        <w:t>3</w:t>
      </w:r>
      <w:r>
        <w:rPr>
          <w:rFonts w:hint="eastAsia" w:asciiTheme="minorEastAsia" w:hAnsiTheme="minorEastAsia" w:eastAsiaTheme="minorEastAsia"/>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提出质疑，否则，采购人或者</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不予受理：</w:t>
      </w:r>
    </w:p>
    <w:p>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3.1.2.2对采购过程提出质疑的，质疑期限为各采购程序环节结束之日起计算。</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3.1.2.3对采购结果提出质疑的，质疑期限自采购结果公告期限届满之日起计算。</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3.1.2.4对同一采购程序环节的质疑，供应商须一次性提出。</w:t>
      </w:r>
    </w:p>
    <w:p>
      <w:pPr>
        <w:pStyle w:val="32"/>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3.2质疑答复</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3.2.1根据采购人与</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签订的《杭州市集中采购委托协议》的规定，质疑答复责任主体如下：</w:t>
      </w:r>
    </w:p>
    <w:p>
      <w:pPr>
        <w:widowControl/>
        <w:adjustRightInd/>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2"/>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质疑内容</w:t>
            </w:r>
          </w:p>
        </w:tc>
        <w:tc>
          <w:tcPr>
            <w:tcW w:w="2232" w:type="dxa"/>
            <w:vAlign w:val="center"/>
          </w:tcPr>
          <w:p>
            <w:pPr>
              <w:pStyle w:val="32"/>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对采购文件提出质疑</w:t>
            </w:r>
          </w:p>
        </w:tc>
        <w:tc>
          <w:tcPr>
            <w:tcW w:w="4536" w:type="dxa"/>
            <w:vAlign w:val="center"/>
          </w:tcPr>
          <w:p>
            <w:pPr>
              <w:pStyle w:val="32"/>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对采购文件中特定资格条件、采购需求、评审办法、评审标准提出的质疑</w:t>
            </w:r>
          </w:p>
        </w:tc>
        <w:tc>
          <w:tcPr>
            <w:tcW w:w="2232" w:type="dxa"/>
            <w:vAlign w:val="center"/>
          </w:tcPr>
          <w:p>
            <w:pPr>
              <w:pStyle w:val="32"/>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sz w:val="24"/>
                <w:highlight w:val="none"/>
              </w:rPr>
            </w:pPr>
          </w:p>
        </w:tc>
        <w:tc>
          <w:tcPr>
            <w:tcW w:w="4536" w:type="dxa"/>
            <w:vAlign w:val="center"/>
          </w:tcPr>
          <w:p>
            <w:pPr>
              <w:pStyle w:val="32"/>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对采购文件中其他内容提出的质疑</w:t>
            </w:r>
          </w:p>
        </w:tc>
        <w:tc>
          <w:tcPr>
            <w:tcW w:w="2232" w:type="dxa"/>
            <w:vAlign w:val="center"/>
          </w:tcPr>
          <w:p>
            <w:pPr>
              <w:pStyle w:val="32"/>
              <w:spacing w:line="360" w:lineRule="auto"/>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对采购过程提出质疑</w:t>
            </w:r>
          </w:p>
        </w:tc>
        <w:tc>
          <w:tcPr>
            <w:tcW w:w="4536" w:type="dxa"/>
            <w:vAlign w:val="center"/>
          </w:tcPr>
          <w:p>
            <w:pPr>
              <w:pStyle w:val="32"/>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有关现场考察或开启响应文件前答疑会事项提出的质疑</w:t>
            </w:r>
          </w:p>
        </w:tc>
        <w:tc>
          <w:tcPr>
            <w:tcW w:w="2232" w:type="dxa"/>
            <w:vAlign w:val="center"/>
          </w:tcPr>
          <w:p>
            <w:pPr>
              <w:pStyle w:val="32"/>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spacing w:line="360" w:lineRule="auto"/>
              <w:jc w:val="center"/>
              <w:rPr>
                <w:rFonts w:asciiTheme="minorEastAsia" w:hAnsiTheme="minorEastAsia" w:eastAsiaTheme="minorEastAsia"/>
                <w:sz w:val="24"/>
                <w:highlight w:val="none"/>
              </w:rPr>
            </w:pPr>
          </w:p>
        </w:tc>
        <w:tc>
          <w:tcPr>
            <w:tcW w:w="4536" w:type="dxa"/>
            <w:vAlign w:val="center"/>
          </w:tcPr>
          <w:p>
            <w:pPr>
              <w:pStyle w:val="32"/>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对采购过程中其它事项提出的质疑</w:t>
            </w:r>
          </w:p>
        </w:tc>
        <w:tc>
          <w:tcPr>
            <w:tcW w:w="2232" w:type="dxa"/>
            <w:vAlign w:val="center"/>
          </w:tcPr>
          <w:p>
            <w:pPr>
              <w:pStyle w:val="32"/>
              <w:spacing w:line="360" w:lineRule="auto"/>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2"/>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对采购结果提出质疑</w:t>
            </w:r>
          </w:p>
        </w:tc>
        <w:tc>
          <w:tcPr>
            <w:tcW w:w="4536" w:type="dxa"/>
            <w:vAlign w:val="center"/>
          </w:tcPr>
          <w:p>
            <w:pPr>
              <w:pStyle w:val="32"/>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对采购结果提出的质疑</w:t>
            </w:r>
          </w:p>
        </w:tc>
        <w:tc>
          <w:tcPr>
            <w:tcW w:w="2232" w:type="dxa"/>
            <w:vAlign w:val="center"/>
          </w:tcPr>
          <w:p>
            <w:pPr>
              <w:pStyle w:val="32"/>
              <w:spacing w:line="360" w:lineRule="auto"/>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采购代理机构</w:t>
            </w:r>
          </w:p>
        </w:tc>
      </w:tr>
    </w:tbl>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3.2.2采购人或者</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highlight w:val="none"/>
        </w:rPr>
        <w:t>2021〕17号）,采购人或者</w:t>
      </w:r>
      <w:r>
        <w:rPr>
          <w:rFonts w:hint="eastAsia" w:asciiTheme="minorEastAsia" w:hAnsiTheme="minorEastAsia" w:eastAsiaTheme="minorEastAsia"/>
          <w:sz w:val="24"/>
          <w:highlight w:val="none"/>
          <w:lang w:eastAsia="zh-CN"/>
        </w:rPr>
        <w:t>采购代理机构</w:t>
      </w:r>
      <w:r>
        <w:rPr>
          <w:rFonts w:asciiTheme="minorEastAsia" w:hAnsiTheme="minorEastAsia" w:eastAsiaTheme="minorEastAsia"/>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sz w:val="24"/>
          <w:highlight w:val="none"/>
        </w:rPr>
        <w:t>函作为附件上传。</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 2.3询问或者质疑事项可能影响采购结果的，采购人应当暂停签订合同，已经签订合同的，应当中止履行合同。</w:t>
      </w:r>
    </w:p>
    <w:p>
      <w:pPr>
        <w:pStyle w:val="32"/>
        <w:spacing w:line="360" w:lineRule="auto"/>
        <w:ind w:firstLine="482" w:firstLineChars="200"/>
        <w:rPr>
          <w:rFonts w:asciiTheme="minorEastAsia" w:hAnsiTheme="minorEastAsia" w:eastAsiaTheme="minorEastAsia"/>
          <w:sz w:val="24"/>
          <w:highlight w:val="none"/>
        </w:rPr>
      </w:pPr>
      <w:r>
        <w:rPr>
          <w:rFonts w:hint="eastAsia" w:cs="微软雅黑" w:asciiTheme="minorEastAsia" w:hAnsiTheme="minorEastAsia" w:eastAsiaTheme="minorEastAsia"/>
          <w:b/>
          <w:kern w:val="0"/>
          <w:sz w:val="24"/>
          <w:highlight w:val="none"/>
          <w:lang w:val="zh-CN"/>
        </w:rPr>
        <w:t>3.3质疑函</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3.3.1供应商提出质疑应当提交质疑函和必要的证明材料。质疑函应当包括下列内容：</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供应商的姓名或者名称、地址、邮编、联系人及联系电话；</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质疑项目的名称、编号；</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具体、明确的质疑事项和与质疑事项相关的请求；</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事实依据；</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必要的法律依据；</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提出质疑的日期。</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质疑函范本及制作说明详见附件</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w:t>
      </w:r>
      <w:r>
        <w:rPr>
          <w:rFonts w:asciiTheme="minorEastAsia" w:hAnsiTheme="minorEastAsia" w:eastAsiaTheme="minorEastAsia"/>
          <w:b/>
          <w:sz w:val="24"/>
          <w:highlight w:val="none"/>
        </w:rPr>
        <w:t>.供应商投诉</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.1质疑供应商对采购人、</w:t>
      </w:r>
      <w:r>
        <w:rPr>
          <w:rFonts w:hint="eastAsia" w:asciiTheme="minorEastAsia" w:hAnsiTheme="minorEastAsia" w:eastAsiaTheme="minorEastAsia"/>
          <w:sz w:val="24"/>
          <w:highlight w:val="none"/>
          <w:lang w:eastAsia="zh-CN"/>
        </w:rPr>
        <w:t>采购代理机构</w:t>
      </w:r>
      <w:r>
        <w:rPr>
          <w:rFonts w:asciiTheme="minorEastAsia" w:hAnsiTheme="minorEastAsia" w:eastAsiaTheme="minorEastAsia"/>
          <w:sz w:val="24"/>
          <w:highlight w:val="none"/>
        </w:rPr>
        <w:t>的答复不满意或者采购人、</w:t>
      </w:r>
      <w:r>
        <w:rPr>
          <w:rFonts w:hint="eastAsia" w:asciiTheme="minorEastAsia" w:hAnsiTheme="minorEastAsia" w:eastAsiaTheme="minorEastAsia"/>
          <w:sz w:val="24"/>
          <w:highlight w:val="none"/>
          <w:lang w:eastAsia="zh-CN"/>
        </w:rPr>
        <w:t>采购代理机构</w:t>
      </w:r>
      <w:r>
        <w:rPr>
          <w:rFonts w:asciiTheme="minorEastAsia" w:hAnsiTheme="minorEastAsia" w:eastAsiaTheme="minorEastAsia"/>
          <w:sz w:val="24"/>
          <w:highlight w:val="none"/>
        </w:rPr>
        <w:t>未在规定的时间内</w:t>
      </w:r>
      <w:r>
        <w:rPr>
          <w:rFonts w:hint="eastAsia" w:asciiTheme="minorEastAsia" w:hAnsiTheme="minorEastAsia" w:eastAsiaTheme="minorEastAsia"/>
          <w:sz w:val="24"/>
          <w:highlight w:val="none"/>
        </w:rPr>
        <w:t>作出答复的，可以在答复期满后十五个工作日内向同级政府采购监督管理部门提出投诉。</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.2供应</w:t>
      </w:r>
      <w:r>
        <w:rPr>
          <w:rFonts w:hint="eastAsia" w:asciiTheme="minorEastAsia" w:hAnsiTheme="minorEastAsia" w:eastAsiaTheme="minorEastAsia"/>
          <w:sz w:val="24"/>
          <w:highlight w:val="none"/>
        </w:rPr>
        <w:t>商投诉的事项不得超出已质疑事项的范围，基于质疑答复内容提出的投诉事项除外。</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.3供应</w:t>
      </w:r>
      <w:r>
        <w:rPr>
          <w:rFonts w:hint="eastAsia" w:asciiTheme="minorEastAsia" w:hAnsiTheme="minorEastAsia" w:eastAsiaTheme="minorEastAsia"/>
          <w:sz w:val="24"/>
          <w:highlight w:val="none"/>
        </w:rPr>
        <w:t>商投诉应当有明确的请求和必要的证明材料。</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.4以联合体形</w:t>
      </w:r>
      <w:r>
        <w:rPr>
          <w:rFonts w:hint="eastAsia" w:asciiTheme="minorEastAsia" w:hAnsiTheme="minorEastAsia" w:eastAsiaTheme="minorEastAsia"/>
          <w:sz w:val="24"/>
          <w:highlight w:val="none"/>
        </w:rPr>
        <w:t>式参加政府采购活动的，其投诉应当由组成联合体的所有供应商共同提出。</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4.5</w:t>
      </w:r>
      <w:r>
        <w:rPr>
          <w:rFonts w:hint="eastAsia" w:ascii="宋体" w:hAnsi="Courier New"/>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宋体" w:hAnsi="Courier New"/>
          <w:sz w:val="24"/>
          <w:szCs w:val="24"/>
          <w:highlight w:val="none"/>
        </w:rPr>
        <w:t>G03</w:t>
      </w:r>
      <w:r>
        <w:rPr>
          <w:rFonts w:hint="eastAsia" w:ascii="宋体" w:hAnsi="Courier New"/>
          <w:sz w:val="24"/>
          <w:szCs w:val="24"/>
          <w:highlight w:val="none"/>
        </w:rPr>
        <w:t>办公室，收件人：朱女士、王女士，电话：</w:t>
      </w:r>
      <w:r>
        <w:rPr>
          <w:rFonts w:ascii="宋体" w:hAnsi="Courier New"/>
          <w:sz w:val="24"/>
          <w:szCs w:val="24"/>
          <w:highlight w:val="none"/>
        </w:rPr>
        <w:t>0571-85252453</w:t>
      </w:r>
      <w:r>
        <w:rPr>
          <w:rFonts w:hint="eastAsia" w:ascii="宋体" w:hAnsi="Courier New"/>
          <w:sz w:val="24"/>
          <w:szCs w:val="24"/>
          <w:highlight w:val="none"/>
        </w:rPr>
        <w:t>。</w:t>
      </w:r>
    </w:p>
    <w:p>
      <w:pPr>
        <w:pStyle w:val="32"/>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投诉书范本及制作说明详见附件</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w:t>
      </w:r>
    </w:p>
    <w:p>
      <w:pPr>
        <w:adjustRightInd/>
        <w:spacing w:line="360" w:lineRule="auto"/>
        <w:jc w:val="center"/>
        <w:outlineLvl w:val="0"/>
        <w:rPr>
          <w:rFonts w:cs="仿宋_GB2312" w:asciiTheme="minorEastAsia" w:hAnsiTheme="minorEastAsia" w:eastAsiaTheme="minorEastAsia"/>
          <w:b/>
          <w:sz w:val="32"/>
          <w:szCs w:val="20"/>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五、磋商文件构成、修改、解释</w:t>
      </w:r>
    </w:p>
    <w:p>
      <w:pPr>
        <w:autoSpaceDE w:val="0"/>
        <w:autoSpaceDN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1．磋商文件的构成</w:t>
      </w:r>
    </w:p>
    <w:p>
      <w:pPr>
        <w:pStyle w:val="32"/>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 磋商文件包括下列文件及附件</w:t>
      </w:r>
    </w:p>
    <w:p>
      <w:pPr>
        <w:pStyle w:val="32"/>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第一部分  供应商邀请</w:t>
      </w:r>
    </w:p>
    <w:p>
      <w:pPr>
        <w:pStyle w:val="32"/>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第二部分  竞争性磋商流程</w:t>
      </w:r>
    </w:p>
    <w:p>
      <w:pPr>
        <w:pStyle w:val="32"/>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第三部分  供应商须知</w:t>
      </w:r>
    </w:p>
    <w:p>
      <w:pPr>
        <w:pStyle w:val="32"/>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第四部分  采购需求</w:t>
      </w:r>
    </w:p>
    <w:p>
      <w:pPr>
        <w:pStyle w:val="32"/>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第五部分  评审方法及评审标准</w:t>
      </w:r>
    </w:p>
    <w:p>
      <w:pPr>
        <w:pStyle w:val="32"/>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第六部分  拟签订的合同文本</w:t>
      </w:r>
    </w:p>
    <w:p>
      <w:pPr>
        <w:pStyle w:val="32"/>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第七部分  应提交的有关格式范例</w:t>
      </w:r>
    </w:p>
    <w:p>
      <w:pPr>
        <w:pStyle w:val="32"/>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第八部分  最后报价格式</w:t>
      </w:r>
    </w:p>
    <w:p>
      <w:pPr>
        <w:pStyle w:val="32"/>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1.2 </w:t>
      </w:r>
      <w:r>
        <w:rPr>
          <w:rFonts w:hint="eastAsia" w:asciiTheme="minorEastAsia" w:hAnsiTheme="minorEastAsia" w:eastAsiaTheme="minorEastAsia"/>
          <w:sz w:val="24"/>
          <w:highlight w:val="none"/>
        </w:rPr>
        <w:t>与本项目有关的</w:t>
      </w:r>
      <w:r>
        <w:rPr>
          <w:rFonts w:hint="eastAsia" w:asciiTheme="minorEastAsia" w:hAnsiTheme="minorEastAsia" w:eastAsiaTheme="minorEastAsia"/>
          <w:bCs/>
          <w:sz w:val="24"/>
          <w:highlight w:val="none"/>
        </w:rPr>
        <w:t>澄清或者修改的内容为磋商文件的组成部分</w:t>
      </w:r>
      <w:r>
        <w:rPr>
          <w:rFonts w:hint="eastAsia" w:cs="仿宋_GB2312" w:asciiTheme="minorEastAsia" w:hAnsiTheme="minorEastAsia" w:eastAsiaTheme="minorEastAsia"/>
          <w:sz w:val="24"/>
          <w:highlight w:val="none"/>
        </w:rPr>
        <w:t>。</w:t>
      </w:r>
    </w:p>
    <w:p>
      <w:pPr>
        <w:pStyle w:val="32"/>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 磋商文件的</w:t>
      </w:r>
      <w:r>
        <w:rPr>
          <w:rFonts w:hint="eastAsia" w:cs="仿宋_GB2312" w:asciiTheme="minorEastAsia" w:hAnsiTheme="minorEastAsia" w:eastAsiaTheme="minorEastAsia"/>
          <w:b/>
          <w:sz w:val="24"/>
          <w:szCs w:val="24"/>
          <w:highlight w:val="none"/>
        </w:rPr>
        <w:t>澄清、修改</w:t>
      </w:r>
    </w:p>
    <w:p>
      <w:pPr>
        <w:pStyle w:val="393"/>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highlight w:val="none"/>
          <w:lang w:eastAsia="zh-CN"/>
        </w:rPr>
        <w:t>采购代理机构</w:t>
      </w:r>
      <w:r>
        <w:rPr>
          <w:rFonts w:hint="eastAsia" w:cs="仿宋_GB2312" w:asciiTheme="minorEastAsia" w:hAnsiTheme="minorEastAsia" w:eastAsiaTheme="minorEastAsia"/>
          <w:highlight w:val="none"/>
        </w:rPr>
        <w:t>提出。</w:t>
      </w:r>
    </w:p>
    <w:p>
      <w:pPr>
        <w:pStyle w:val="393"/>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2.2</w:t>
      </w:r>
      <w:r>
        <w:rPr>
          <w:rFonts w:hint="eastAsia" w:cs="宋体" w:asciiTheme="minorEastAsia" w:hAnsiTheme="minorEastAsia" w:eastAsiaTheme="minorEastAsia"/>
          <w:highlight w:val="none"/>
          <w:lang w:eastAsia="zh-CN"/>
        </w:rPr>
        <w:t>采购代理机构</w:t>
      </w:r>
      <w:r>
        <w:rPr>
          <w:rFonts w:hint="eastAsia" w:cs="宋体" w:asciiTheme="minorEastAsia" w:hAnsiTheme="minorEastAsia" w:eastAsiaTheme="minorEastAsia"/>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highlight w:val="none"/>
        </w:rPr>
        <w:t>提交首次</w:t>
      </w:r>
      <w:r>
        <w:rPr>
          <w:rFonts w:hint="eastAsia" w:cs="宋体" w:asciiTheme="minorEastAsia" w:hAnsiTheme="minorEastAsia" w:eastAsiaTheme="minorEastAsia"/>
          <w:highlight w:val="none"/>
        </w:rPr>
        <w:t>响应文件截止时间和响应文件开启时间。该澄清或者修改的内容为磋商文件的组成部分。</w:t>
      </w:r>
    </w:p>
    <w:p>
      <w:pPr>
        <w:pStyle w:val="393"/>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2.3澄清或者修改的内容可能影响响应文件编制的，采购人、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应当在提交首次响应文件截止时间至少5日前，</w:t>
      </w:r>
      <w:r>
        <w:rPr>
          <w:rFonts w:hint="eastAsia" w:cs="宋体" w:asciiTheme="minorEastAsia" w:hAnsiTheme="minorEastAsia" w:eastAsiaTheme="minorEastAsia"/>
          <w:highlight w:val="none"/>
        </w:rPr>
        <w:t>通过电子交易平台</w:t>
      </w:r>
      <w:r>
        <w:rPr>
          <w:rFonts w:hint="eastAsia" w:asciiTheme="minorEastAsia" w:hAnsiTheme="minorEastAsia" w:eastAsiaTheme="minorEastAsia"/>
          <w:highlight w:val="none"/>
        </w:rPr>
        <w:t>通知所有获取磋商文件的供应商；不足5日的，采购人、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应当顺延提交首次响应文件截止时间。</w:t>
      </w:r>
    </w:p>
    <w:p>
      <w:pPr>
        <w:pStyle w:val="393"/>
        <w:snapToGrid w:val="0"/>
        <w:spacing w:before="0"/>
        <w:ind w:firstLine="482"/>
        <w:rPr>
          <w:rFonts w:asciiTheme="minorEastAsia" w:hAnsiTheme="minorEastAsia" w:eastAsiaTheme="minorEastAsia"/>
          <w:highlight w:val="none"/>
        </w:rPr>
      </w:pPr>
      <w:r>
        <w:rPr>
          <w:rFonts w:hint="eastAsia" w:asciiTheme="minorEastAsia" w:hAnsiTheme="minorEastAsia" w:eastAsiaTheme="minorEastAsia"/>
          <w:b/>
          <w:highlight w:val="none"/>
        </w:rPr>
        <w:t>▲</w:t>
      </w:r>
      <w:r>
        <w:rPr>
          <w:rFonts w:hint="eastAsia" w:cs="仿宋_GB2312" w:asciiTheme="minorEastAsia" w:hAnsiTheme="minorEastAsia" w:eastAsiaTheme="minorEastAsia"/>
          <w:b/>
          <w:szCs w:val="21"/>
          <w:highlight w:val="none"/>
        </w:rPr>
        <w:t>响应文件未按磋商文件的澄清、修改的内容编制，又不符合实质性要求的，响应无效。</w:t>
      </w:r>
    </w:p>
    <w:p>
      <w:pPr>
        <w:pStyle w:val="22"/>
        <w:rPr>
          <w:rFonts w:cs="仿宋_GB2312" w:asciiTheme="minorEastAsia" w:hAnsiTheme="minorEastAsia" w:eastAsiaTheme="minorEastAsia"/>
          <w:sz w:val="18"/>
          <w:szCs w:val="18"/>
          <w:highlight w:val="none"/>
          <w:lang w:val="en-US"/>
        </w:rPr>
      </w:pPr>
      <w:r>
        <w:rPr>
          <w:rFonts w:hint="eastAsia" w:cs="仿宋_GB2312" w:asciiTheme="minorEastAsia" w:hAnsiTheme="minorEastAsia" w:eastAsiaTheme="minorEastAsia"/>
          <w:szCs w:val="24"/>
          <w:highlight w:val="none"/>
          <w:lang w:val="en-US"/>
        </w:rPr>
        <w:t xml:space="preserve">    </w:t>
      </w: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六、响应文件的编制</w:t>
      </w:r>
    </w:p>
    <w:p>
      <w:pPr>
        <w:pStyle w:val="32"/>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响应文件的语言</w:t>
      </w:r>
    </w:p>
    <w:p>
      <w:pPr>
        <w:pStyle w:val="32"/>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响应文件及供应商与采购有关的来往通知、函件和文件均应使用中文。</w:t>
      </w:r>
    </w:p>
    <w:p>
      <w:pPr>
        <w:pStyle w:val="32"/>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2. 响应文件的组成</w:t>
      </w:r>
    </w:p>
    <w:p>
      <w:pPr>
        <w:pStyle w:val="32"/>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响应文件应当包括以下主要内容：</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（1）响应函</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（2）资格文件</w:t>
      </w:r>
    </w:p>
    <w:p>
      <w:pPr>
        <w:pStyle w:val="32"/>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A、</w:t>
      </w:r>
      <w:r>
        <w:rPr>
          <w:rFonts w:hint="eastAsia" w:cs="宋体" w:asciiTheme="minorEastAsia" w:hAnsiTheme="minorEastAsia" w:eastAsiaTheme="minorEastAsia"/>
          <w:sz w:val="24"/>
          <w:highlight w:val="none"/>
        </w:rPr>
        <w:t>符合参加政府采购活动应当具备的一般条件的承诺函（</w:t>
      </w:r>
      <w:r>
        <w:rPr>
          <w:rFonts w:hint="eastAsia" w:asciiTheme="minorEastAsia" w:hAnsiTheme="minorEastAsia" w:eastAsiaTheme="minorEastAsia"/>
          <w:sz w:val="24"/>
          <w:highlight w:val="none"/>
        </w:rPr>
        <w:t>如以联合体形式参加政府采购活动的，</w:t>
      </w:r>
      <w:r>
        <w:rPr>
          <w:rFonts w:hint="eastAsia" w:cs="Arial" w:asciiTheme="minorEastAsia" w:hAnsiTheme="minorEastAsia" w:eastAsiaTheme="minorEastAsia"/>
          <w:sz w:val="24"/>
          <w:highlight w:val="none"/>
        </w:rPr>
        <w:t>联合体各方均应提交该承诺函</w:t>
      </w:r>
      <w:r>
        <w:rPr>
          <w:rFonts w:hint="eastAsia" w:cs="宋体" w:asciiTheme="minorEastAsia" w:hAnsiTheme="minorEastAsia" w:eastAsiaTheme="minorEastAsia"/>
          <w:sz w:val="24"/>
          <w:highlight w:val="none"/>
        </w:rPr>
        <w:t>）；</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B、</w:t>
      </w:r>
      <w:r>
        <w:rPr>
          <w:rFonts w:hint="eastAsia" w:cs="Arial" w:asciiTheme="minorEastAsia" w:hAnsiTheme="minorEastAsia" w:eastAsiaTheme="minorEastAsia"/>
          <w:sz w:val="24"/>
          <w:highlight w:val="none"/>
        </w:rPr>
        <w:t>联合协议</w:t>
      </w:r>
      <w:r>
        <w:rPr>
          <w:rFonts w:hint="eastAsia" w:cs="仿宋_GB2312" w:asciiTheme="minorEastAsia" w:hAnsiTheme="minorEastAsia" w:eastAsiaTheme="minorEastAsia"/>
          <w:sz w:val="24"/>
          <w:highlight w:val="none"/>
        </w:rPr>
        <w:t>（如果有）；</w:t>
      </w:r>
    </w:p>
    <w:p>
      <w:pPr>
        <w:pStyle w:val="32"/>
        <w:spacing w:line="360" w:lineRule="auto"/>
        <w:ind w:firstLine="480" w:firstLineChars="200"/>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C</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落实政府采购政策需满足的资格要求</w:t>
      </w:r>
      <w:r>
        <w:rPr>
          <w:rFonts w:hint="eastAsia" w:cs="宋体" w:asciiTheme="minorEastAsia" w:hAnsiTheme="minorEastAsia" w:eastAsiaTheme="minorEastAsia"/>
          <w:snapToGrid w:val="0"/>
          <w:kern w:val="28"/>
          <w:sz w:val="24"/>
          <w:highlight w:val="none"/>
        </w:rPr>
        <w:t>（如果有)；</w:t>
      </w:r>
    </w:p>
    <w:p>
      <w:pPr>
        <w:pStyle w:val="32"/>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D、符合特定资格条件的有关证明材料（如果有）。</w:t>
      </w:r>
      <w:r>
        <w:rPr>
          <w:rFonts w:hint="eastAsia" w:cs="仿宋_GB2312" w:asciiTheme="minorEastAsia" w:hAnsiTheme="minorEastAsia" w:eastAsiaTheme="minorEastAsia"/>
          <w:sz w:val="24"/>
          <w:highlight w:val="none"/>
        </w:rPr>
        <w:tab/>
      </w:r>
      <w:r>
        <w:rPr>
          <w:rFonts w:cs="仿宋_GB2312" w:asciiTheme="minorEastAsia" w:hAnsiTheme="minorEastAsia" w:eastAsiaTheme="minorEastAsia"/>
          <w:sz w:val="24"/>
          <w:highlight w:val="none"/>
        </w:rPr>
        <w:t xml:space="preserve"> </w:t>
      </w:r>
    </w:p>
    <w:p>
      <w:pPr>
        <w:pStyle w:val="32"/>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hAnsi="宋体" w:cs="宋体"/>
          <w:sz w:val="24"/>
          <w:highlight w:val="none"/>
        </w:rPr>
        <w:t>授权委托书或法定代表人（单位负责人、自然人本人）身份证明；</w:t>
      </w:r>
    </w:p>
    <w:p>
      <w:pPr>
        <w:pStyle w:val="32"/>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（4）</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highlight w:val="none"/>
        </w:rPr>
        <w:t>（如果有)</w:t>
      </w:r>
      <w:r>
        <w:rPr>
          <w:rFonts w:hint="eastAsia" w:cs="仿宋_GB2312" w:asciiTheme="minorEastAsia" w:hAnsiTheme="minorEastAsia" w:eastAsiaTheme="minorEastAsia"/>
          <w:kern w:val="0"/>
          <w:sz w:val="24"/>
          <w:highlight w:val="none"/>
          <w:lang w:val="zh-CN"/>
        </w:rPr>
        <w:t>；</w:t>
      </w:r>
    </w:p>
    <w:p>
      <w:pPr>
        <w:pStyle w:val="32"/>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（5）所有资信文件</w:t>
      </w:r>
      <w:r>
        <w:rPr>
          <w:rFonts w:hint="eastAsia" w:cs="宋体" w:asciiTheme="minorEastAsia" w:hAnsiTheme="minorEastAsia" w:eastAsiaTheme="minorEastAsia"/>
          <w:kern w:val="0"/>
          <w:sz w:val="24"/>
          <w:highlight w:val="none"/>
        </w:rPr>
        <w:t>（如果有）；</w:t>
      </w:r>
    </w:p>
    <w:p>
      <w:pPr>
        <w:pStyle w:val="32"/>
        <w:spacing w:line="360" w:lineRule="auto"/>
        <w:ind w:firstLine="480" w:firstLineChars="200"/>
        <w:rPr>
          <w:rFonts w:cs="仿宋_GB2312" w:asciiTheme="minorEastAsia" w:hAnsiTheme="minorEastAsia" w:eastAsiaTheme="minorEastAsia"/>
          <w:b/>
          <w:sz w:val="24"/>
          <w:szCs w:val="24"/>
          <w:highlight w:val="none"/>
        </w:rPr>
      </w:pPr>
      <w:r>
        <w:rPr>
          <w:rFonts w:hint="eastAsia" w:cs="宋体" w:asciiTheme="minorEastAsia" w:hAnsiTheme="minorEastAsia" w:eastAsiaTheme="minorEastAsia"/>
          <w:kern w:val="0"/>
          <w:sz w:val="24"/>
          <w:highlight w:val="none"/>
        </w:rPr>
        <w:t>（6）</w:t>
      </w:r>
      <w:r>
        <w:rPr>
          <w:rFonts w:hint="eastAsia" w:asciiTheme="minorEastAsia" w:hAnsiTheme="minorEastAsia" w:eastAsiaTheme="minorEastAsia"/>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2"/>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napToGrid w:val="0"/>
          <w:sz w:val="24"/>
          <w:highlight w:val="none"/>
        </w:rPr>
        <w:t>（7）</w:t>
      </w:r>
      <w:r>
        <w:rPr>
          <w:rFonts w:hint="eastAsia" w:asciiTheme="minorEastAsia" w:hAnsiTheme="minorEastAsia" w:eastAsiaTheme="minorEastAsia"/>
          <w:kern w:val="0"/>
          <w:sz w:val="24"/>
          <w:highlight w:val="none"/>
          <w:lang w:val="zh-CN"/>
        </w:rPr>
        <w:t>关于对磋商文件中有关条款的拒绝声明 (如果有)</w:t>
      </w:r>
      <w:r>
        <w:rPr>
          <w:rFonts w:hint="eastAsia" w:asciiTheme="minorEastAsia" w:hAnsiTheme="minorEastAsia" w:eastAsiaTheme="minorEastAsia"/>
          <w:sz w:val="24"/>
          <w:highlight w:val="none"/>
          <w:lang w:val="zh-CN"/>
        </w:rPr>
        <w:t xml:space="preserve"> ；</w:t>
      </w:r>
    </w:p>
    <w:p>
      <w:pPr>
        <w:pStyle w:val="32"/>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（8）</w:t>
      </w:r>
      <w:r>
        <w:rPr>
          <w:rFonts w:hint="eastAsia" w:asciiTheme="minorEastAsia" w:hAnsiTheme="minorEastAsia" w:eastAsiaTheme="minorEastAsia"/>
          <w:kern w:val="0"/>
          <w:sz w:val="24"/>
          <w:highlight w:val="none"/>
          <w:lang w:val="zh-CN"/>
        </w:rPr>
        <w:t>认为需要的其他商务文件或说明 (如果有) ；</w:t>
      </w:r>
    </w:p>
    <w:p>
      <w:pPr>
        <w:pStyle w:val="32"/>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（9）</w:t>
      </w:r>
      <w:r>
        <w:rPr>
          <w:rFonts w:hint="eastAsia" w:asciiTheme="minorEastAsia" w:hAnsiTheme="minorEastAsia" w:eastAsiaTheme="minorEastAsia"/>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pPr>
        <w:pStyle w:val="32"/>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（10）组织实施方案。本项目详细工作实施组织方案，包括(但不限于)以下内容：组织机构、工作时间进度表、工作程序和步骤、管理和协调方法、关键步骤的思路和要点；</w:t>
      </w:r>
    </w:p>
    <w:p>
      <w:pPr>
        <w:pStyle w:val="32"/>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2"/>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highlight w:val="none"/>
          <w:lang w:val="zh-CN"/>
        </w:rPr>
        <w:t>资质情况等</w:t>
      </w:r>
      <w:r>
        <w:rPr>
          <w:rFonts w:hint="eastAsia" w:asciiTheme="minorEastAsia" w:hAnsiTheme="minorEastAsia" w:eastAsiaTheme="minorEastAsia"/>
          <w:kern w:val="0"/>
          <w:sz w:val="24"/>
          <w:highlight w:val="none"/>
          <w:lang w:val="zh-CN"/>
        </w:rPr>
        <w:t>；</w:t>
      </w:r>
    </w:p>
    <w:p>
      <w:pPr>
        <w:pStyle w:val="32"/>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（13）优惠条件及特殊承诺；</w:t>
      </w:r>
    </w:p>
    <w:p>
      <w:pPr>
        <w:pStyle w:val="32"/>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（14）</w:t>
      </w:r>
      <w:r>
        <w:rPr>
          <w:rFonts w:hint="eastAsia" w:cs="仿宋_GB2312" w:asciiTheme="minorEastAsia" w:hAnsiTheme="minorEastAsia" w:eastAsiaTheme="minorEastAsia"/>
          <w:kern w:val="0"/>
          <w:sz w:val="24"/>
          <w:highlight w:val="none"/>
          <w:lang w:val="zh-CN"/>
        </w:rPr>
        <w:t>培训计划（如果有）；</w:t>
      </w:r>
    </w:p>
    <w:p>
      <w:pPr>
        <w:pStyle w:val="32"/>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rPr>
        <w:t>（15）随机特殊工具和</w:t>
      </w:r>
      <w:r>
        <w:rPr>
          <w:rFonts w:hint="eastAsia" w:asciiTheme="minorEastAsia" w:hAnsiTheme="minorEastAsia" w:eastAsiaTheme="minorEastAsia"/>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2"/>
        <w:spacing w:line="360" w:lineRule="auto"/>
        <w:ind w:firstLine="480" w:firstLineChars="200"/>
        <w:rPr>
          <w:rFonts w:cs="仿宋_GB2312" w:asciiTheme="minorEastAsia" w:hAnsiTheme="minorEastAsia" w:eastAsiaTheme="minorEastAsia"/>
          <w:kern w:val="0"/>
          <w:sz w:val="24"/>
          <w:szCs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6）</w:t>
      </w:r>
      <w:r>
        <w:rPr>
          <w:rFonts w:hint="eastAsia" w:cs="仿宋_GB2312" w:asciiTheme="minorEastAsia" w:hAnsiTheme="minorEastAsia" w:eastAsiaTheme="minorEastAsia"/>
          <w:kern w:val="0"/>
          <w:sz w:val="24"/>
          <w:szCs w:val="24"/>
          <w:highlight w:val="none"/>
          <w:lang w:val="zh-CN"/>
        </w:rPr>
        <w:t>供应商认为需要的其他技术文件或说明（如果有）；</w:t>
      </w:r>
    </w:p>
    <w:p>
      <w:pPr>
        <w:pStyle w:val="32"/>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7）</w:t>
      </w:r>
      <w:r>
        <w:rPr>
          <w:rFonts w:hint="eastAsia" w:cs="仿宋_GB2312" w:asciiTheme="minorEastAsia" w:hAnsiTheme="minorEastAsia" w:eastAsiaTheme="minorEastAsia"/>
          <w:kern w:val="0"/>
          <w:sz w:val="24"/>
          <w:highlight w:val="none"/>
          <w:lang w:val="zh-CN"/>
        </w:rPr>
        <w:t>政府采购供应商廉洁自律承诺书。</w:t>
      </w:r>
    </w:p>
    <w:p>
      <w:pPr>
        <w:pStyle w:val="32"/>
        <w:spacing w:line="360" w:lineRule="auto"/>
        <w:ind w:firstLine="482"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cs="仿宋_GB2312" w:asciiTheme="minorEastAsia" w:hAnsiTheme="minorEastAsia" w:eastAsiaTheme="minorEastAsia"/>
          <w:b/>
          <w:highlight w:val="none"/>
        </w:rPr>
      </w:pPr>
      <w:r>
        <w:rPr>
          <w:rFonts w:hint="eastAsia" w:cs="仿宋_GB2312" w:asciiTheme="minorEastAsia" w:hAnsiTheme="minorEastAsia" w:eastAsiaTheme="minorEastAsia"/>
          <w:szCs w:val="24"/>
          <w:highlight w:val="none"/>
        </w:rPr>
        <w:t>3.4响应文件按照磋商文件第七部分格式要</w:t>
      </w:r>
      <w:r>
        <w:rPr>
          <w:rFonts w:hint="eastAsia" w:cs="仿宋_GB2312" w:asciiTheme="minorEastAsia" w:hAnsiTheme="minorEastAsia" w:eastAsiaTheme="minorEastAsia"/>
          <w:highlight w:val="none"/>
        </w:rPr>
        <w:t>求进行签署、盖章。</w:t>
      </w:r>
      <w:r>
        <w:rPr>
          <w:rFonts w:hint="eastAsia" w:asciiTheme="minorEastAsia" w:hAnsiTheme="minorEastAsia" w:eastAsiaTheme="minorEastAsia"/>
          <w:b/>
          <w:highlight w:val="none"/>
        </w:rPr>
        <w:t>▲</w:t>
      </w:r>
      <w:r>
        <w:rPr>
          <w:rFonts w:hint="eastAsia" w:cs="仿宋_GB2312" w:asciiTheme="minorEastAsia" w:hAnsiTheme="minorEastAsia" w:eastAsiaTheme="minorEastAsia"/>
          <w:b/>
          <w:highlight w:val="none"/>
        </w:rPr>
        <w:t>供应商的响应文件未按照磋商文件要求签署、盖章的，其响应无效</w:t>
      </w:r>
      <w:r>
        <w:rPr>
          <w:rFonts w:hint="eastAsia" w:cs="仿宋_GB2312" w:asciiTheme="minorEastAsia" w:hAnsiTheme="minorEastAsia" w:eastAsiaTheme="minorEastAsia"/>
          <w:szCs w:val="24"/>
          <w:highlight w:val="none"/>
        </w:rPr>
        <w:t>。</w:t>
      </w:r>
    </w:p>
    <w:p>
      <w:pPr>
        <w:pStyle w:val="393"/>
        <w:snapToGrid w:val="0"/>
        <w:spacing w:before="0"/>
        <w:ind w:firstLine="480"/>
        <w:rPr>
          <w:rFonts w:cs="宋体" w:asciiTheme="minorEastAsia" w:hAnsiTheme="minorEastAsia" w:eastAsiaTheme="minorEastAsia"/>
          <w:highlight w:val="none"/>
        </w:rPr>
      </w:pPr>
      <w:r>
        <w:rPr>
          <w:rFonts w:hint="eastAsia" w:cs="仿宋_GB2312" w:asciiTheme="minorEastAsia" w:hAnsiTheme="minorEastAsia" w:eastAsiaTheme="minorEastAsia"/>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3.6磋商文件对响应文件签署、盖章的要求适用于电子签名。</w:t>
      </w:r>
    </w:p>
    <w:p>
      <w:pPr>
        <w:pStyle w:val="32"/>
        <w:spacing w:line="360" w:lineRule="auto"/>
        <w:ind w:firstLine="480" w:firstLineChars="200"/>
        <w:rPr>
          <w:rFonts w:cs="仿宋_GB2312" w:asciiTheme="minorEastAsia" w:hAnsiTheme="minorEastAsia" w:eastAsiaTheme="minorEastAsia"/>
          <w:sz w:val="24"/>
          <w:szCs w:val="24"/>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七、</w:t>
      </w:r>
      <w:r>
        <w:rPr>
          <w:rFonts w:hint="eastAsia" w:asciiTheme="minorEastAsia" w:hAnsiTheme="minorEastAsia" w:eastAsiaTheme="minorEastAsia"/>
          <w:b/>
          <w:sz w:val="32"/>
          <w:szCs w:val="32"/>
          <w:highlight w:val="none"/>
        </w:rPr>
        <w:t>响应</w:t>
      </w:r>
      <w:r>
        <w:rPr>
          <w:rFonts w:hint="eastAsia" w:cs="仿宋_GB2312" w:asciiTheme="minorEastAsia" w:hAnsiTheme="minorEastAsia" w:eastAsiaTheme="minorEastAsia"/>
          <w:b/>
          <w:sz w:val="32"/>
          <w:szCs w:val="20"/>
          <w:highlight w:val="none"/>
        </w:rPr>
        <w:t>文件的提交和备份</w:t>
      </w:r>
    </w:p>
    <w:p>
      <w:pPr>
        <w:pStyle w:val="393"/>
        <w:spacing w:before="0"/>
        <w:ind w:firstLine="0" w:firstLineChars="0"/>
        <w:rPr>
          <w:rFonts w:cs="仿宋_GB2312" w:asciiTheme="minorEastAsia" w:hAnsiTheme="minorEastAsia" w:eastAsiaTheme="minorEastAsia"/>
          <w:b/>
          <w:szCs w:val="24"/>
          <w:highlight w:val="none"/>
        </w:rPr>
      </w:pPr>
    </w:p>
    <w:p>
      <w:pPr>
        <w:pStyle w:val="393"/>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1.响应文件的提交、补充、修改、撤回</w:t>
      </w:r>
    </w:p>
    <w:p>
      <w:pPr>
        <w:pStyle w:val="393"/>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 在响应截止时间以后，不能补充、修改响应文件。</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 在提交“最后报价”后，供应商不能退出磋商。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1.5 </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可以视情况延长提交响应文件的截止时间。在上述情况下，</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与供应商以前在响应截止期方面的全部权利、责任和义务，将适用于延长至新的响应截止期。</w:t>
      </w:r>
    </w:p>
    <w:p>
      <w:pPr>
        <w:pStyle w:val="32"/>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2.备份响应文件</w:t>
      </w:r>
    </w:p>
    <w:p>
      <w:pPr>
        <w:pStyle w:val="32"/>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highlight w:val="none"/>
        </w:rPr>
        <w:t>但采购人、</w:t>
      </w:r>
      <w:r>
        <w:rPr>
          <w:rFonts w:hint="eastAsia" w:cs="仿宋_GB2312" w:asciiTheme="minorEastAsia" w:hAnsiTheme="minorEastAsia" w:eastAsiaTheme="minorEastAsia"/>
          <w:b/>
          <w:sz w:val="24"/>
          <w:szCs w:val="24"/>
          <w:highlight w:val="none"/>
          <w:lang w:eastAsia="zh-CN"/>
        </w:rPr>
        <w:t>采购代理机构</w:t>
      </w:r>
      <w:r>
        <w:rPr>
          <w:rFonts w:hint="eastAsia" w:cs="仿宋_GB2312" w:asciiTheme="minorEastAsia" w:hAnsiTheme="minorEastAsia" w:eastAsiaTheme="minorEastAsia"/>
          <w:b/>
          <w:sz w:val="24"/>
          <w:szCs w:val="24"/>
          <w:highlight w:val="none"/>
        </w:rPr>
        <w:t>不强制或变相强制供应商提交备份响应文件。</w:t>
      </w:r>
    </w:p>
    <w:p>
      <w:pPr>
        <w:pStyle w:val="32"/>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2.2 备份响应文件须在“政采云投标客户端”制作生成，并储存在不可修改的</w:t>
      </w:r>
      <w:r>
        <w:rPr>
          <w:rFonts w:hint="eastAsia" w:asciiTheme="minorEastAsia" w:hAnsiTheme="minorEastAsia" w:eastAsiaTheme="minorEastAsia"/>
          <w:b/>
          <w:sz w:val="24"/>
          <w:highlight w:val="none"/>
          <w:u w:val="single"/>
        </w:rPr>
        <w:t>电子光盘</w:t>
      </w:r>
      <w:r>
        <w:rPr>
          <w:rFonts w:hint="eastAsia" w:asciiTheme="minorEastAsia" w:hAnsiTheme="minorEastAsia" w:eastAsiaTheme="minorEastAsia"/>
          <w:b/>
          <w:sz w:val="24"/>
          <w:highlight w:val="none"/>
          <w:u w:val="single"/>
          <w:lang w:val="en-US" w:eastAsia="zh-CN"/>
        </w:rPr>
        <w:t>等存储介质</w:t>
      </w:r>
      <w:r>
        <w:rPr>
          <w:rFonts w:hint="eastAsia" w:cs="仿宋_GB2312" w:asciiTheme="minorEastAsia" w:hAnsiTheme="minorEastAsia" w:eastAsiaTheme="minorEastAsia"/>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highlight w:val="none"/>
        </w:rPr>
        <w:t>▲不符合上述制作、</w:t>
      </w:r>
      <w:r>
        <w:rPr>
          <w:rFonts w:hint="eastAsia" w:cs="仿宋_GB2312" w:asciiTheme="minorEastAsia" w:hAnsiTheme="minorEastAsia" w:eastAsiaTheme="minorEastAsia"/>
          <w:b/>
          <w:sz w:val="24"/>
          <w:szCs w:val="24"/>
          <w:highlight w:val="none"/>
        </w:rPr>
        <w:t>存储、密封规定的备份响应文件将被视为无效或者被拒绝接收。</w:t>
      </w:r>
    </w:p>
    <w:p>
      <w:pPr>
        <w:pStyle w:val="32"/>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将拒绝接受逾期送达的备份响应文件。</w:t>
      </w:r>
    </w:p>
    <w:p>
      <w:pPr>
        <w:pStyle w:val="32"/>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highlight w:val="none"/>
        </w:rPr>
        <w:t>磋商文件第三部分供应商须知前附表规定的备份响应文件送达地点</w:t>
      </w:r>
      <w:r>
        <w:rPr>
          <w:rFonts w:hint="eastAsia" w:cs="仿宋_GB2312" w:asciiTheme="minorEastAsia" w:hAnsiTheme="minorEastAsia" w:eastAsiaTheme="minorEastAsia"/>
          <w:sz w:val="24"/>
          <w:szCs w:val="24"/>
          <w:highlight w:val="none"/>
        </w:rPr>
        <w:t>；送达时间以签收人签收时间为准。</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将拒绝接受逾期送达的备份响应文件。邮寄过程中，电子备份响应文件发生泄露、遗失、损坏或延期送达等情况的，由供应商自行负责。</w:t>
      </w:r>
    </w:p>
    <w:p>
      <w:pPr>
        <w:pStyle w:val="32"/>
        <w:spacing w:line="360" w:lineRule="auto"/>
        <w:ind w:firstLine="361"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 xml:space="preserve">2.5 </w:t>
      </w:r>
      <w:r>
        <w:rPr>
          <w:rFonts w:hint="eastAsia" w:asciiTheme="minorEastAsia" w:hAnsiTheme="minorEastAsia" w:eastAsiaTheme="minorEastAsia"/>
          <w:b/>
          <w:sz w:val="24"/>
          <w:highlight w:val="none"/>
        </w:rPr>
        <w:t>▲</w:t>
      </w:r>
      <w:r>
        <w:rPr>
          <w:rFonts w:hint="eastAsia" w:cs="仿宋_GB2312" w:asciiTheme="minorEastAsia" w:hAnsiTheme="minorEastAsia" w:eastAsiaTheme="minorEastAsia"/>
          <w:b/>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sz w:val="32"/>
          <w:szCs w:val="20"/>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八、</w:t>
      </w:r>
      <w:r>
        <w:rPr>
          <w:rFonts w:hint="eastAsia" w:asciiTheme="minorEastAsia" w:hAnsiTheme="minorEastAsia" w:eastAsiaTheme="minorEastAsia"/>
          <w:b/>
          <w:sz w:val="32"/>
          <w:szCs w:val="32"/>
          <w:highlight w:val="none"/>
        </w:rPr>
        <w:t>开启响应文件与信用信息查询</w:t>
      </w:r>
    </w:p>
    <w:p>
      <w:pPr>
        <w:pStyle w:val="32"/>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 开启响应文件</w:t>
      </w:r>
    </w:p>
    <w:p>
      <w:pPr>
        <w:pStyle w:val="32"/>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1.1 </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highlight w:val="none"/>
        </w:rPr>
        <w:t>供应商数量不符合规定的，不得开启响应文件。</w:t>
      </w:r>
    </w:p>
    <w:p>
      <w:pPr>
        <w:pStyle w:val="32"/>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依托电子交易平台发起开始解密指令，供应商按照平台提示和磋商文件的规定在半小时内完成在线解密。</w:t>
      </w:r>
    </w:p>
    <w:p>
      <w:pPr>
        <w:pStyle w:val="32"/>
        <w:spacing w:line="360" w:lineRule="auto"/>
        <w:ind w:firstLine="361"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2.信用信息查询</w:t>
      </w:r>
    </w:p>
    <w:p>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2.1信用信息查询渠道及截止时间：</w:t>
      </w:r>
      <w:r>
        <w:rPr>
          <w:rFonts w:hint="eastAsia" w:cs="Arial" w:asciiTheme="minorEastAsia" w:hAnsiTheme="minorEastAsia" w:eastAsiaTheme="minorEastAsia"/>
          <w:kern w:val="0"/>
          <w:szCs w:val="24"/>
          <w:highlight w:val="none"/>
          <w:lang w:eastAsia="zh-CN"/>
        </w:rPr>
        <w:t>采购代理机构</w:t>
      </w:r>
      <w:r>
        <w:rPr>
          <w:rFonts w:hint="eastAsia" w:cs="Arial" w:asciiTheme="minorEastAsia" w:hAnsiTheme="minorEastAsia" w:eastAsiaTheme="minorEastAsia"/>
          <w:kern w:val="0"/>
          <w:szCs w:val="24"/>
          <w:highlight w:val="none"/>
        </w:rPr>
        <w:t>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)、中国政府采购网(www.ccgp.gov.cn)渠道查询供应商响应截止时间前的信用记录。</w:t>
      </w:r>
    </w:p>
    <w:p>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2.2信用信息查询记录和证据留存的具体方式：现场查询的供应商的信用记录、查询结果经确认后存档。</w:t>
      </w:r>
    </w:p>
    <w:p>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2"/>
        <w:spacing w:line="360" w:lineRule="auto"/>
        <w:rPr>
          <w:rFonts w:cs="仿宋_GB2312" w:asciiTheme="minorEastAsia" w:hAnsiTheme="minorEastAsia" w:eastAsiaTheme="minorEastAsia"/>
          <w:b/>
          <w:sz w:val="24"/>
          <w:szCs w:val="24"/>
          <w:highlight w:val="none"/>
        </w:rPr>
      </w:pPr>
    </w:p>
    <w:p>
      <w:pPr>
        <w:adjustRightInd/>
        <w:spacing w:line="360" w:lineRule="auto"/>
        <w:jc w:val="center"/>
        <w:outlineLvl w:val="0"/>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九</w:t>
      </w:r>
      <w:r>
        <w:rPr>
          <w:rFonts w:hint="eastAsia" w:cs="仿宋_GB2312" w:asciiTheme="minorEastAsia" w:hAnsiTheme="minorEastAsia" w:eastAsiaTheme="minorEastAsia"/>
          <w:b/>
          <w:sz w:val="32"/>
          <w:szCs w:val="20"/>
          <w:highlight w:val="none"/>
        </w:rPr>
        <w:t>、提交</w:t>
      </w:r>
      <w:r>
        <w:rPr>
          <w:rFonts w:hint="eastAsia" w:asciiTheme="minorEastAsia" w:hAnsiTheme="minorEastAsia" w:eastAsiaTheme="minorEastAsia"/>
          <w:b/>
          <w:sz w:val="32"/>
          <w:szCs w:val="32"/>
          <w:highlight w:val="none"/>
        </w:rPr>
        <w:t>最后报价</w:t>
      </w:r>
    </w:p>
    <w:p>
      <w:pPr>
        <w:snapToGrid w:val="0"/>
        <w:spacing w:line="360" w:lineRule="auto"/>
        <w:rPr>
          <w:rFonts w:cs="仿宋_GB2312" w:asciiTheme="minorEastAsia" w:hAnsiTheme="minorEastAsia" w:eastAsiaTheme="minorEastAsia"/>
          <w:sz w:val="24"/>
          <w:highlight w:val="none"/>
          <w:u w:val="single"/>
          <w:lang w:val="zh-CN"/>
        </w:rPr>
      </w:pPr>
      <w:r>
        <w:rPr>
          <w:rFonts w:hint="eastAsia" w:asciiTheme="minorEastAsia" w:hAnsiTheme="minorEastAsia" w:eastAsiaTheme="minorEastAsia"/>
          <w:b/>
          <w:sz w:val="24"/>
          <w:highlight w:val="none"/>
        </w:rPr>
        <w:t>1.</w:t>
      </w:r>
      <w:r>
        <w:rPr>
          <w:rFonts w:hint="eastAsia" w:cs="仿宋_GB2312" w:asciiTheme="minorEastAsia" w:hAnsiTheme="minorEastAsia" w:eastAsiaTheme="minorEastAsia"/>
          <w:sz w:val="24"/>
          <w:highlight w:val="none"/>
        </w:rPr>
        <w:t>供应商的</w:t>
      </w:r>
      <w:r>
        <w:rPr>
          <w:rFonts w:hint="eastAsia" w:cs="仿宋_GB2312" w:asciiTheme="minorEastAsia" w:hAnsiTheme="minorEastAsia" w:eastAsiaTheme="minorEastAsia"/>
          <w:b/>
          <w:sz w:val="24"/>
          <w:highlight w:val="none"/>
        </w:rPr>
        <w:t>最后报价文件</w:t>
      </w:r>
      <w:r>
        <w:rPr>
          <w:rFonts w:hint="eastAsia" w:cs="仿宋_GB2312" w:asciiTheme="minorEastAsia" w:hAnsiTheme="minorEastAsia" w:eastAsiaTheme="minorEastAsia"/>
          <w:sz w:val="24"/>
          <w:highlight w:val="none"/>
        </w:rPr>
        <w:t>应包括以下内容（均需使用电子签名）：</w:t>
      </w:r>
    </w:p>
    <w:p>
      <w:pPr>
        <w:pStyle w:val="32"/>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1.1最后报价一览表；</w:t>
      </w:r>
    </w:p>
    <w:p>
      <w:pPr>
        <w:pStyle w:val="32"/>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1.2中小企业声明函（如果有）。</w:t>
      </w:r>
    </w:p>
    <w:p>
      <w:pPr>
        <w:adjustRightInd/>
        <w:spacing w:line="360" w:lineRule="auto"/>
        <w:jc w:val="center"/>
        <w:outlineLvl w:val="0"/>
        <w:rPr>
          <w:rFonts w:cs="仿宋_GB2312" w:asciiTheme="minorEastAsia" w:hAnsiTheme="minorEastAsia" w:eastAsiaTheme="minorEastAsia"/>
          <w:b/>
          <w:sz w:val="32"/>
          <w:szCs w:val="20"/>
          <w:highlight w:val="none"/>
        </w:rPr>
      </w:pPr>
    </w:p>
    <w:p>
      <w:pPr>
        <w:adjustRightInd/>
        <w:spacing w:line="360" w:lineRule="auto"/>
        <w:jc w:val="center"/>
        <w:outlineLvl w:val="0"/>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szCs w:val="20"/>
          <w:highlight w:val="none"/>
        </w:rPr>
        <w:t>十、</w:t>
      </w:r>
      <w:r>
        <w:rPr>
          <w:rFonts w:hint="eastAsia" w:asciiTheme="minorEastAsia" w:hAnsiTheme="minorEastAsia" w:eastAsiaTheme="minorEastAsia"/>
          <w:b/>
          <w:sz w:val="32"/>
          <w:szCs w:val="32"/>
          <w:highlight w:val="none"/>
        </w:rPr>
        <w:t>评审</w:t>
      </w:r>
    </w:p>
    <w:p>
      <w:pPr>
        <w:pStyle w:val="393"/>
        <w:spacing w:before="0"/>
        <w:ind w:firstLine="0" w:firstLineChars="0"/>
        <w:rPr>
          <w:rFonts w:cs="仿宋_GB2312" w:asciiTheme="minorEastAsia" w:hAnsiTheme="minorEastAsia" w:eastAsiaTheme="minorEastAsia"/>
          <w:b/>
          <w:highlight w:val="none"/>
        </w:rPr>
      </w:pPr>
      <w:r>
        <w:rPr>
          <w:rFonts w:hint="eastAsia" w:asciiTheme="minorEastAsia" w:hAnsiTheme="minorEastAsia" w:eastAsiaTheme="minorEastAsia"/>
          <w:b/>
          <w:szCs w:val="24"/>
          <w:highlight w:val="none"/>
        </w:rPr>
        <w:t>1.</w:t>
      </w:r>
      <w:r>
        <w:rPr>
          <w:rFonts w:hint="eastAsia" w:cs="仿宋_GB2312" w:asciiTheme="minorEastAsia" w:hAnsiTheme="minorEastAsia" w:eastAsiaTheme="minorEastAsia"/>
          <w:b/>
          <w:highlight w:val="none"/>
        </w:rPr>
        <w:t xml:space="preserve"> 评审方法：</w:t>
      </w:r>
      <w:r>
        <w:rPr>
          <w:rFonts w:hint="eastAsia" w:cs="仿宋_GB2312" w:asciiTheme="minorEastAsia" w:hAnsiTheme="minorEastAsia" w:eastAsiaTheme="minorEastAsia"/>
          <w:highlight w:val="none"/>
        </w:rPr>
        <w:t>综合评分法。</w:t>
      </w:r>
    </w:p>
    <w:p>
      <w:pPr>
        <w:pStyle w:val="393"/>
        <w:spacing w:before="0"/>
        <w:ind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 价格分计算方法：</w:t>
      </w:r>
      <w:r>
        <w:rPr>
          <w:rFonts w:hint="eastAsia" w:cs="仿宋_GB2312" w:asciiTheme="minorEastAsia" w:hAnsiTheme="minorEastAsia" w:eastAsiaTheme="minorEastAsia"/>
          <w:highlight w:val="none"/>
        </w:rPr>
        <w:t>低价优先法。</w:t>
      </w:r>
    </w:p>
    <w:p>
      <w:pPr>
        <w:pStyle w:val="393"/>
        <w:spacing w:before="0"/>
        <w:ind w:firstLine="0" w:firstLineChars="0"/>
        <w:rPr>
          <w:rFonts w:asciiTheme="minorEastAsia" w:hAnsiTheme="minorEastAsia" w:eastAsiaTheme="minorEastAsia"/>
          <w:szCs w:val="24"/>
          <w:highlight w:val="none"/>
        </w:rPr>
      </w:pPr>
      <w:r>
        <w:rPr>
          <w:rFonts w:hint="eastAsia" w:cs="仿宋_GB2312" w:asciiTheme="minorEastAsia" w:hAnsiTheme="minorEastAsia" w:eastAsiaTheme="minorEastAsia"/>
          <w:b/>
          <w:highlight w:val="none"/>
        </w:rPr>
        <w:t>3. 评审要求：</w:t>
      </w:r>
      <w:r>
        <w:rPr>
          <w:rFonts w:hint="eastAsia" w:cs="仿宋_GB2312" w:asciiTheme="minorEastAsia" w:hAnsiTheme="minorEastAsia" w:eastAsiaTheme="minorEastAsia"/>
          <w:highlight w:val="none"/>
        </w:rPr>
        <w:t>详见磋商文件第五部分“评审方法及评审标准”。</w:t>
      </w:r>
    </w:p>
    <w:p>
      <w:pPr>
        <w:adjustRightInd/>
        <w:spacing w:line="360" w:lineRule="auto"/>
        <w:jc w:val="center"/>
        <w:outlineLvl w:val="0"/>
        <w:rPr>
          <w:rFonts w:cs="仿宋_GB2312" w:asciiTheme="minorEastAsia" w:hAnsiTheme="minorEastAsia" w:eastAsiaTheme="minorEastAsia"/>
          <w:sz w:val="24"/>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十一、</w:t>
      </w:r>
      <w:r>
        <w:rPr>
          <w:rFonts w:hint="eastAsia" w:asciiTheme="minorEastAsia" w:hAnsiTheme="minorEastAsia" w:eastAsiaTheme="minorEastAsia"/>
          <w:b/>
          <w:sz w:val="32"/>
          <w:szCs w:val="32"/>
          <w:highlight w:val="none"/>
        </w:rPr>
        <w:t>成交</w:t>
      </w:r>
    </w:p>
    <w:p>
      <w:pPr>
        <w:pStyle w:val="32"/>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推荐成交候选供应商</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确定成交供应商</w:t>
      </w:r>
    </w:p>
    <w:p>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highlight w:val="none"/>
        </w:rPr>
      </w:pPr>
      <w:r>
        <w:rPr>
          <w:rFonts w:hint="eastAsia" w:asciiTheme="minorEastAsia" w:hAnsiTheme="minorEastAsia" w:eastAsiaTheme="minorEastAsia"/>
          <w:b/>
          <w:sz w:val="24"/>
          <w:highlight w:val="none"/>
        </w:rPr>
        <w:t>3．成交通知及成交结果公告</w:t>
      </w:r>
    </w:p>
    <w:p>
      <w:pPr>
        <w:spacing w:line="360" w:lineRule="auto"/>
        <w:ind w:firstLine="360" w:firstLineChars="150"/>
        <w:rPr>
          <w:rFonts w:ascii="宋体" w:hAnsi="宋体" w:cs="宋体"/>
          <w:sz w:val="24"/>
          <w:highlight w:val="none"/>
        </w:rPr>
      </w:pPr>
      <w:r>
        <w:rPr>
          <w:rFonts w:hint="eastAsia" w:asciiTheme="minorEastAsia" w:hAnsiTheme="minorEastAsia" w:eastAsiaTheme="minorEastAsia"/>
          <w:sz w:val="24"/>
          <w:szCs w:val="21"/>
          <w:highlight w:val="none"/>
        </w:rPr>
        <w:t>3.1自成交人确定之日起2个工作日内，</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通过电子交易平台向成交人发出成交通知书，</w:t>
      </w:r>
      <w:r>
        <w:rPr>
          <w:rFonts w:hint="eastAsia" w:cs="宋体" w:asciiTheme="minorEastAsia" w:hAnsiTheme="minorEastAsia" w:eastAsiaTheme="minorEastAsia"/>
          <w:sz w:val="24"/>
          <w:highlight w:val="none"/>
        </w:rPr>
        <w:t>同时编制发布采购</w:t>
      </w:r>
      <w:r>
        <w:rPr>
          <w:rFonts w:hint="eastAsia" w:asciiTheme="minorEastAsia" w:hAnsiTheme="minorEastAsia" w:eastAsiaTheme="minorEastAsia"/>
          <w:sz w:val="24"/>
          <w:szCs w:val="21"/>
          <w:highlight w:val="none"/>
        </w:rPr>
        <w:t>成交结果公告。</w:t>
      </w:r>
      <w:r>
        <w:rPr>
          <w:rFonts w:hint="eastAsia" w:ascii="宋体" w:hAnsi="宋体" w:cs="宋体" w:eastAsiaTheme="minorEastAsia"/>
          <w:sz w:val="24"/>
          <w:highlight w:val="none"/>
          <w:lang w:eastAsia="zh-CN"/>
        </w:rPr>
        <w:t>采购代理机构</w:t>
      </w:r>
      <w:r>
        <w:rPr>
          <w:rFonts w:hint="eastAsia" w:ascii="宋体" w:hAnsi="宋体" w:cs="宋体"/>
          <w:sz w:val="24"/>
          <w:highlight w:val="none"/>
        </w:rPr>
        <w:t>也可以以纸质形式进行成交通知。</w:t>
      </w:r>
    </w:p>
    <w:p>
      <w:pPr>
        <w:spacing w:line="360" w:lineRule="auto"/>
        <w:ind w:firstLine="360" w:firstLineChars="150"/>
        <w:rPr>
          <w:rFonts w:asciiTheme="minorEastAsia" w:hAnsiTheme="minorEastAsia" w:eastAsiaTheme="minorEastAsia"/>
          <w:sz w:val="24"/>
          <w:szCs w:val="21"/>
          <w:highlight w:val="none"/>
        </w:rPr>
      </w:pPr>
      <w:r>
        <w:rPr>
          <w:rFonts w:hint="eastAsia" w:ascii="宋体" w:hAnsi="宋体" w:cs="宋体"/>
          <w:sz w:val="24"/>
          <w:highlight w:val="none"/>
        </w:rPr>
        <w:t>3.2</w:t>
      </w:r>
      <w:r>
        <w:rPr>
          <w:rFonts w:hint="eastAsia" w:asciiTheme="minorEastAsia" w:hAnsiTheme="minorEastAsia" w:eastAsiaTheme="minorEastAsia"/>
          <w:sz w:val="24"/>
          <w:szCs w:val="21"/>
          <w:highlight w:val="none"/>
        </w:rPr>
        <w:t>成交</w:t>
      </w:r>
      <w:r>
        <w:rPr>
          <w:rFonts w:hint="eastAsia" w:cs="仿宋_GB2312" w:asciiTheme="minorEastAsia" w:hAnsiTheme="minorEastAsia" w:eastAsiaTheme="minorEastAsia"/>
          <w:sz w:val="24"/>
          <w:highlight w:val="none"/>
        </w:rPr>
        <w:t>结果公告内容包括</w:t>
      </w:r>
      <w:r>
        <w:rPr>
          <w:rFonts w:hint="eastAsia" w:cs="宋体" w:asciiTheme="minorEastAsia" w:hAnsiTheme="minorEastAsia" w:eastAsiaTheme="minorEastAsia"/>
          <w:sz w:val="24"/>
          <w:highlight w:val="none"/>
        </w:rPr>
        <w:t>采购人及其委托的</w:t>
      </w:r>
      <w:r>
        <w:rPr>
          <w:rFonts w:hint="eastAsia" w:cs="宋体" w:asciiTheme="minorEastAsia" w:hAnsiTheme="minorEastAsia" w:eastAsiaTheme="minorEastAsia"/>
          <w:sz w:val="24"/>
          <w:highlight w:val="none"/>
          <w:lang w:eastAsia="zh-CN"/>
        </w:rPr>
        <w:t>采购代理机构</w:t>
      </w:r>
      <w:r>
        <w:rPr>
          <w:rFonts w:hint="eastAsia" w:cs="宋体" w:asciiTheme="minorEastAsia" w:hAnsiTheme="minorEastAsia" w:eastAsiaTheme="minorEastAsia"/>
          <w:sz w:val="24"/>
          <w:highlight w:val="none"/>
        </w:rPr>
        <w:t>的名称、地址、联系方式，项目名称和项目编号，成交人名称、地址和成交金额，主要中标标的的名称、规格型号、数量、单价、服务要求，开标记录、</w:t>
      </w:r>
      <w:bookmarkStart w:id="45" w:name="_Hlk101184471"/>
      <w:r>
        <w:rPr>
          <w:rFonts w:hint="eastAsia" w:cs="宋体" w:asciiTheme="minorEastAsia" w:hAnsiTheme="minorEastAsia" w:eastAsiaTheme="minorEastAsia"/>
          <w:sz w:val="24"/>
          <w:highlight w:val="none"/>
        </w:rPr>
        <w:t>资格审查情况、评审专家抽取规则、符合性审查情况、</w:t>
      </w:r>
      <w:bookmarkEnd w:id="45"/>
      <w:r>
        <w:rPr>
          <w:rFonts w:hint="eastAsia" w:cs="宋体" w:asciiTheme="minorEastAsia" w:hAnsiTheme="minorEastAsia" w:eastAsiaTheme="minorEastAsia"/>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3.3公告期限为1个工作日。</w:t>
      </w:r>
    </w:p>
    <w:p>
      <w:pPr>
        <w:snapToGrid w:val="0"/>
        <w:spacing w:line="360" w:lineRule="auto"/>
        <w:jc w:val="center"/>
        <w:outlineLvl w:val="0"/>
        <w:rPr>
          <w:rFonts w:cs="仿宋_GB2312" w:asciiTheme="minorEastAsia" w:hAnsiTheme="minorEastAsia" w:eastAsiaTheme="minorEastAsia"/>
          <w:b/>
          <w:sz w:val="36"/>
          <w:szCs w:val="36"/>
          <w:highlight w:val="none"/>
        </w:rPr>
      </w:pPr>
    </w:p>
    <w:p>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十二、合同</w:t>
      </w:r>
    </w:p>
    <w:p>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1.合同主要条款：</w:t>
      </w:r>
      <w:r>
        <w:rPr>
          <w:rFonts w:hint="eastAsia" w:asciiTheme="minorEastAsia" w:hAnsiTheme="minorEastAsia" w:eastAsiaTheme="minorEastAsia"/>
          <w:sz w:val="24"/>
          <w:highlight w:val="none"/>
        </w:rPr>
        <w:t>详见“第六部分拟签订的合同文本”。</w:t>
      </w:r>
    </w:p>
    <w:p>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asciiTheme="minorEastAsia" w:hAnsiTheme="minorEastAsia" w:eastAsiaTheme="minorEastAsia"/>
          <w:szCs w:val="21"/>
          <w:highlight w:val="none"/>
        </w:rPr>
        <w:t>2.1</w:t>
      </w:r>
      <w:r>
        <w:rPr>
          <w:rFonts w:hint="eastAsia" w:cs="宋体" w:asciiTheme="minorEastAsia" w:hAnsiTheme="minorEastAsia" w:eastAsiaTheme="minorEastAsia"/>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2.5如签订合同并生效后，供应商无故拒绝或延期，除按照合同条款处理外，列入不良行为记录一次，并给予通报。</w:t>
      </w:r>
    </w:p>
    <w:p>
      <w:pPr>
        <w:pStyle w:val="393"/>
        <w:snapToGrid w:val="0"/>
        <w:spacing w:before="0" w:after="12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w:t>
      </w:r>
      <w:r>
        <w:rPr>
          <w:rFonts w:hint="eastAsia" w:cs="仿宋_GB2312" w:asciiTheme="minorEastAsia" w:hAnsiTheme="minorEastAsia" w:eastAsiaTheme="minorEastAsia"/>
          <w:highlight w:val="none"/>
        </w:rPr>
        <w:t>6</w:t>
      </w:r>
      <w:r>
        <w:rPr>
          <w:rFonts w:cs="仿宋_GB2312" w:asciiTheme="minorEastAsia" w:hAnsiTheme="minorEastAsia" w:eastAsiaTheme="minorEastAsia"/>
          <w:highlight w:val="none"/>
        </w:rPr>
        <w:t>采购合同由采购人与</w:t>
      </w:r>
      <w:r>
        <w:rPr>
          <w:rFonts w:hint="eastAsia" w:cs="仿宋_GB2312" w:asciiTheme="minorEastAsia" w:hAnsiTheme="minorEastAsia" w:eastAsiaTheme="minorEastAsia"/>
          <w:highlight w:val="none"/>
        </w:rPr>
        <w:t>成交</w:t>
      </w:r>
      <w:r>
        <w:rPr>
          <w:rFonts w:cs="仿宋_GB2312" w:asciiTheme="minorEastAsia" w:hAnsiTheme="minorEastAsia" w:eastAsiaTheme="minorEastAsia"/>
          <w:highlight w:val="none"/>
        </w:rPr>
        <w:t>供应商根据</w:t>
      </w:r>
      <w:r>
        <w:rPr>
          <w:rFonts w:hint="eastAsia" w:cs="仿宋_GB2312" w:asciiTheme="minorEastAsia" w:hAnsiTheme="minorEastAsia" w:eastAsiaTheme="minorEastAsia"/>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3．履约保证金</w:t>
      </w:r>
    </w:p>
    <w:p>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pPr>
        <w:tabs>
          <w:tab w:val="left" w:pos="0"/>
        </w:tabs>
        <w:spacing w:line="360" w:lineRule="auto"/>
        <w:ind w:firstLine="482"/>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numPr>
          <w:ilvl w:val="255"/>
          <w:numId w:val="0"/>
        </w:numPr>
        <w:ind w:left="0" w:firstLine="0"/>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highlight w:val="none"/>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pPr>
        <w:tabs>
          <w:tab w:val="left" w:pos="0"/>
        </w:tabs>
        <w:spacing w:line="360" w:lineRule="auto"/>
        <w:ind w:firstLine="0"/>
        <w:rPr>
          <w:rFonts w:cs="宋体" w:asciiTheme="minorEastAsia" w:hAnsiTheme="minorEastAsia" w:eastAsiaTheme="minorEastAsia"/>
          <w:snapToGrid w:val="0"/>
          <w:kern w:val="28"/>
          <w:sz w:val="24"/>
          <w:highlight w:val="none"/>
        </w:rPr>
      </w:pPr>
    </w:p>
    <w:p>
      <w:pPr>
        <w:snapToGrid w:val="0"/>
        <w:spacing w:line="360" w:lineRule="auto"/>
        <w:jc w:val="center"/>
        <w:rPr>
          <w:rFonts w:cs="仿宋_GB2312" w:asciiTheme="minorEastAsia" w:hAnsiTheme="minorEastAsia" w:eastAsiaTheme="minorEastAsia"/>
          <w:b/>
          <w:sz w:val="36"/>
          <w:szCs w:val="36"/>
          <w:highlight w:val="none"/>
        </w:rPr>
      </w:pPr>
    </w:p>
    <w:p>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十三、验收</w:t>
      </w:r>
    </w:p>
    <w:p>
      <w:pPr>
        <w:pStyle w:val="24"/>
        <w:spacing w:line="360" w:lineRule="auto"/>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1.验收</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sz w:val="36"/>
          <w:szCs w:val="36"/>
          <w:highlight w:val="none"/>
        </w:rPr>
      </w:pPr>
    </w:p>
    <w:p>
      <w:pPr>
        <w:snapToGrid w:val="0"/>
        <w:spacing w:line="360" w:lineRule="auto"/>
        <w:jc w:val="center"/>
        <w:rPr>
          <w:rFonts w:asciiTheme="minorEastAsia" w:hAnsiTheme="minorEastAsia" w:eastAsiaTheme="minorEastAsia"/>
          <w:b/>
          <w:sz w:val="24"/>
          <w:highlight w:val="none"/>
        </w:rPr>
      </w:pPr>
      <w:r>
        <w:rPr>
          <w:rFonts w:hint="eastAsia" w:cs="仿宋_GB2312" w:asciiTheme="minorEastAsia" w:hAnsiTheme="minorEastAsia" w:eastAsiaTheme="minorEastAsia"/>
          <w:b/>
          <w:sz w:val="36"/>
          <w:szCs w:val="36"/>
          <w:highlight w:val="none"/>
        </w:rPr>
        <w:t>十四、电子交易活动的中止</w:t>
      </w:r>
    </w:p>
    <w:p>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电子交易活动的中止</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highlight w:val="none"/>
          <w:lang w:eastAsia="zh-CN"/>
        </w:rPr>
        <w:t>采购代理机构</w:t>
      </w:r>
      <w:r>
        <w:rPr>
          <w:rFonts w:hint="eastAsia" w:cs="Helvetica" w:asciiTheme="minorEastAsia" w:hAnsiTheme="minorEastAsia" w:eastAsiaTheme="minorEastAsia"/>
          <w:kern w:val="0"/>
          <w:sz w:val="24"/>
          <w:highlight w:val="none"/>
        </w:rPr>
        <w:t>可中止电子交易活动：</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highlight w:val="none"/>
        </w:rPr>
      </w:pPr>
      <w:r>
        <w:rPr>
          <w:rFonts w:hint="eastAsia" w:cs="Helvetica" w:asciiTheme="minorEastAsia" w:hAnsiTheme="minorEastAsia" w:eastAsiaTheme="minorEastAsia"/>
          <w:b/>
          <w:kern w:val="0"/>
          <w:sz w:val="24"/>
          <w:highlight w:val="none"/>
        </w:rPr>
        <w:t>2.</w:t>
      </w:r>
      <w:r>
        <w:rPr>
          <w:rFonts w:hint="eastAsia" w:cs="Helvetica" w:asciiTheme="minorEastAsia" w:hAnsiTheme="minorEastAsia" w:eastAsiaTheme="minorEastAsi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6" w:name="_Hlt74730295"/>
      <w:bookmarkEnd w:id="46"/>
      <w:bookmarkStart w:id="47" w:name="_Hlt75236011"/>
      <w:bookmarkEnd w:id="47"/>
      <w:bookmarkStart w:id="48" w:name="_Hlt74729768"/>
      <w:bookmarkEnd w:id="48"/>
      <w:bookmarkStart w:id="49" w:name="_Hlt68072990"/>
      <w:bookmarkEnd w:id="49"/>
      <w:bookmarkStart w:id="50" w:name="_Hlt75236101"/>
      <w:bookmarkEnd w:id="50"/>
      <w:bookmarkStart w:id="51" w:name="_Hlt74714665"/>
      <w:bookmarkEnd w:id="51"/>
      <w:bookmarkStart w:id="52" w:name="_Hlt75236290"/>
      <w:bookmarkEnd w:id="52"/>
      <w:bookmarkStart w:id="53" w:name="_Hlt74707468"/>
      <w:bookmarkEnd w:id="53"/>
      <w:bookmarkStart w:id="54" w:name="_Hlt68057669"/>
      <w:bookmarkEnd w:id="54"/>
      <w:bookmarkStart w:id="55" w:name="_Toc164416483"/>
      <w:bookmarkStart w:id="56" w:name="第三部分"/>
      <w:r>
        <w:rPr>
          <w:rFonts w:cs="仿宋_GB2312" w:asciiTheme="minorEastAsia" w:hAnsiTheme="minorEastAsia" w:eastAsiaTheme="minorEastAsia"/>
          <w:b/>
          <w:sz w:val="36"/>
          <w:szCs w:val="36"/>
          <w:highlight w:val="none"/>
        </w:rPr>
        <w:br w:type="page"/>
      </w:r>
    </w:p>
    <w:p>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  采购需求</w:t>
      </w:r>
    </w:p>
    <w:p>
      <w:pPr>
        <w:spacing w:line="360" w:lineRule="auto"/>
        <w:rPr>
          <w:rFonts w:ascii="宋体" w:hAnsi="宋体" w:cs="宋体"/>
          <w:b/>
          <w:bCs/>
          <w:sz w:val="24"/>
          <w:highlight w:val="none"/>
        </w:rPr>
      </w:pPr>
      <w:r>
        <w:rPr>
          <w:rFonts w:hint="eastAsia" w:ascii="宋体" w:hAnsi="宋体" w:cs="宋体"/>
          <w:b/>
          <w:bCs/>
          <w:sz w:val="24"/>
          <w:highlight w:val="none"/>
        </w:rPr>
        <w:t>一、项目背景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认真贯彻落实《浙江省人民政府关于印发浙江省残疾人事业发展“十四五”规划的通知》（浙政发【2021】19号）相关要求，满足残疾人日益增长的美好生活需求，不断提高全省残疾人家庭无障碍环境质量和水平，全面完成我省“十四五”期间残疾人家庭无障碍改造项目工作任务。</w:t>
      </w:r>
    </w:p>
    <w:p>
      <w:pPr>
        <w:spacing w:line="360" w:lineRule="auto"/>
        <w:rPr>
          <w:rFonts w:ascii="宋体" w:hAnsi="宋体" w:cs="宋体"/>
          <w:b/>
          <w:bCs/>
          <w:sz w:val="24"/>
          <w:highlight w:val="none"/>
        </w:rPr>
      </w:pPr>
      <w:r>
        <w:rPr>
          <w:rFonts w:hint="eastAsia" w:ascii="宋体" w:hAnsi="宋体" w:cs="宋体"/>
          <w:b/>
          <w:bCs/>
          <w:sz w:val="24"/>
          <w:highlight w:val="none"/>
        </w:rPr>
        <w:t>二、总体目标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根据困难残疾人的需求和实际实施条件，对全区</w:t>
      </w:r>
      <w:r>
        <w:rPr>
          <w:rFonts w:hint="eastAsia" w:ascii="宋体" w:hAnsi="宋体" w:cs="宋体"/>
          <w:sz w:val="24"/>
          <w:highlight w:val="none"/>
          <w:lang w:val="en-US" w:eastAsia="zh-CN"/>
        </w:rPr>
        <w:t>109</w:t>
      </w:r>
      <w:r>
        <w:rPr>
          <w:rFonts w:hint="eastAsia" w:ascii="宋体" w:hAnsi="宋体" w:cs="宋体"/>
          <w:sz w:val="24"/>
          <w:highlight w:val="none"/>
        </w:rPr>
        <w:t>户困难残疾人家庭实施无障碍改造项目（具体以实际改造情况为准）。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项目预算总价控制在10</w:t>
      </w:r>
      <w:r>
        <w:rPr>
          <w:rFonts w:hint="eastAsia" w:ascii="宋体" w:hAnsi="宋体" w:cs="宋体"/>
          <w:sz w:val="24"/>
          <w:highlight w:val="none"/>
          <w:lang w:val="en-US" w:eastAsia="zh-CN"/>
        </w:rPr>
        <w:t>5</w:t>
      </w:r>
      <w:r>
        <w:rPr>
          <w:rFonts w:hint="eastAsia" w:ascii="宋体" w:hAnsi="宋体" w:cs="宋体"/>
          <w:sz w:val="24"/>
          <w:highlight w:val="none"/>
        </w:rPr>
        <w:t>万元以内，最终结算总金额不得超过总预算价，超过部分不予支付。</w:t>
      </w:r>
    </w:p>
    <w:p>
      <w:pPr>
        <w:spacing w:line="360" w:lineRule="auto"/>
        <w:rPr>
          <w:rFonts w:ascii="宋体" w:hAnsi="宋体" w:cs="宋体"/>
          <w:b/>
          <w:bCs/>
          <w:sz w:val="24"/>
          <w:highlight w:val="none"/>
        </w:rPr>
      </w:pPr>
      <w:r>
        <w:rPr>
          <w:rFonts w:hint="eastAsia" w:ascii="宋体" w:hAnsi="宋体" w:cs="宋体"/>
          <w:b/>
          <w:bCs/>
          <w:sz w:val="24"/>
          <w:highlight w:val="none"/>
        </w:rPr>
        <w:t>三、实施对象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具有临安区户籍并持有《中华人民共和国残疾人证》，且满足以下两条之一：</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1、持有低保和低收入家庭（低保边缘户）的困难残疾人家庭；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2、虽不是低保和低保边缘残疾人家庭，但存在特殊困难的残疾人家庭（优先考虑重度残疾、一户多残、符合危房改造条件的残疾人家庭）；</w:t>
      </w:r>
    </w:p>
    <w:p>
      <w:pPr>
        <w:spacing w:line="360" w:lineRule="auto"/>
        <w:rPr>
          <w:rFonts w:ascii="宋体" w:hAnsi="宋体" w:cs="宋体"/>
          <w:b/>
          <w:bCs/>
          <w:sz w:val="24"/>
          <w:highlight w:val="none"/>
        </w:rPr>
      </w:pPr>
      <w:r>
        <w:rPr>
          <w:rFonts w:hint="eastAsia" w:ascii="宋体" w:hAnsi="宋体" w:cs="宋体"/>
          <w:b/>
          <w:bCs/>
          <w:sz w:val="24"/>
          <w:highlight w:val="none"/>
        </w:rPr>
        <w:t>四、实施内容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根据残疾人残疾类别、个人特点及家庭情况，经评估后综合实施无障碍设施改造和适配无障碍辅具，坚持设施改造优先，重点解决坐卧起居、如厕洗澡、烹饪清洁和行动转移等基本要求。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1、地面：地面防滑处理，设立无障碍坡道，住宅入口处有轮椅活动的空间。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2、墙面:设置扶手与防撞板、防撞条，转角有软包处理等。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3、入户通道：确保轮椅和担架通行，可安装扶手和护墙板，安装电子闪光门铃、语音对讲门铃等。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4、卧室：可设置吊架或提升挂带，加装夜间自动照明装置等。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5、厨房：配置无障碍灶台、推拉式橱柜门等，配置语音控制、可视化预警等智能电器、炊具等。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6、卫生间、卫生间、浴室和盥洗室地面做防滑处理、配备坐便器、洗澡椅，安装扶手等。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7、阳台：设置栏杆或实体拦板，安装升降式晒衣架等。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8、门窗：在采取安全防护措施的前提下，可安装电动开窗机或电动窗帘等。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9、水电改造：对存在安全隐患、老化严重的家用水电管道等线路实施改造。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拓展项目：对居住环境破、黑、脏、乱的残疾人家庭实施墙面粉刷、地面平整、门窗更换等。具备条件的地方，可安装物联网门磁监测系统、紧急呼叫系统、燃气或电力使用监测报警器等智能设备，帮助改善居住环境，提升居家安全监护能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11、无障碍辅具适配。以提高残疾人生活自理能力或减轻护理压力为目的，配备必要辅助器具，方便其居家生活。</w:t>
      </w:r>
    </w:p>
    <w:p>
      <w:pPr>
        <w:spacing w:line="360" w:lineRule="auto"/>
        <w:rPr>
          <w:rFonts w:ascii="宋体" w:hAnsi="宋体" w:cs="宋体"/>
          <w:b/>
          <w:bCs/>
          <w:sz w:val="24"/>
          <w:highlight w:val="none"/>
        </w:rPr>
      </w:pPr>
      <w:r>
        <w:rPr>
          <w:rFonts w:hint="eastAsia" w:ascii="宋体" w:hAnsi="宋体" w:cs="宋体"/>
          <w:b/>
          <w:bCs/>
          <w:sz w:val="24"/>
          <w:highlight w:val="none"/>
        </w:rPr>
        <w:t>五、经费标准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按照残疾类别，本次残疾人家庭无障碍改造项目的平均支出标准如下：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（1）视力残疾人家庭10000元；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（2）听力、言语残疾人家庭3000元；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（3）智力、精神残疾人家庭6000元；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（4）肢体、多重残疾人家庭16000元。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无障碍改造原则不得超标准改造，如存在残疾人家庭无障碍改造需求超标准的，采取“一事一议”方式，经采购人同意后视情况统筹安排。</w:t>
      </w:r>
    </w:p>
    <w:p>
      <w:pPr>
        <w:spacing w:line="360" w:lineRule="auto"/>
        <w:ind w:firstLine="480" w:firstLineChars="200"/>
        <w:rPr>
          <w:rFonts w:ascii="宋体" w:hAnsi="宋体" w:cs="宋体"/>
          <w:sz w:val="24"/>
          <w:highlight w:val="none"/>
        </w:rPr>
      </w:pPr>
    </w:p>
    <w:p>
      <w:pPr>
        <w:widowControl/>
        <w:adjustRightInd/>
        <w:snapToGrid w:val="0"/>
        <w:spacing w:line="360" w:lineRule="auto"/>
        <w:rPr>
          <w:rFonts w:ascii="宋体" w:hAnsi="宋体" w:cs="宋体"/>
          <w:b/>
          <w:kern w:val="0"/>
          <w:sz w:val="24"/>
          <w:highlight w:val="none"/>
        </w:rPr>
      </w:pPr>
      <w:r>
        <w:rPr>
          <w:rFonts w:hint="eastAsia" w:ascii="宋体" w:hAnsi="宋体" w:cs="宋体"/>
          <w:b/>
          <w:kern w:val="0"/>
          <w:sz w:val="24"/>
          <w:highlight w:val="none"/>
        </w:rPr>
        <w:t>六、改造户数</w:t>
      </w:r>
    </w:p>
    <w:p>
      <w:pPr>
        <w:adjustRightInd/>
        <w:spacing w:line="640" w:lineRule="exact"/>
        <w:jc w:val="center"/>
        <w:rPr>
          <w:rFonts w:ascii="宋体" w:hAnsi="宋体" w:cs="宋体"/>
          <w:sz w:val="24"/>
          <w:highlight w:val="none"/>
        </w:rPr>
      </w:pPr>
      <w:r>
        <w:rPr>
          <w:rFonts w:hint="eastAsia" w:ascii="宋体" w:hAnsi="宋体" w:cs="宋体"/>
          <w:sz w:val="24"/>
          <w:highlight w:val="none"/>
          <w:lang w:eastAsia="zh-CN"/>
        </w:rPr>
        <w:t>2024年度临安区困难残疾人家庭无障碍改造项目</w:t>
      </w:r>
      <w:r>
        <w:rPr>
          <w:rFonts w:hint="eastAsia" w:ascii="宋体" w:hAnsi="宋体" w:cs="宋体"/>
          <w:sz w:val="24"/>
          <w:highlight w:val="none"/>
        </w:rPr>
        <w:t>任务分配表</w:t>
      </w:r>
    </w:p>
    <w:tbl>
      <w:tblPr>
        <w:tblStyle w:val="60"/>
        <w:tblW w:w="4999" w:type="pct"/>
        <w:tblInd w:w="0" w:type="dxa"/>
        <w:tblLayout w:type="autofit"/>
        <w:tblCellMar>
          <w:top w:w="0" w:type="dxa"/>
          <w:left w:w="108" w:type="dxa"/>
          <w:bottom w:w="0" w:type="dxa"/>
          <w:right w:w="108" w:type="dxa"/>
        </w:tblCellMar>
      </w:tblPr>
      <w:tblGrid>
        <w:gridCol w:w="5935"/>
        <w:gridCol w:w="3349"/>
      </w:tblGrid>
      <w:tr>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rPr>
              <w:t>乡镇街道</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rPr>
              <w:t>户数</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锦城街道</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rPr>
              <w:t>2</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青山湖街道</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rPr>
              <w:t>2</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玲珑街道</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kern w:val="0"/>
                <w:sz w:val="24"/>
                <w:highlight w:val="none"/>
                <w:lang w:val="en-US" w:eastAsia="zh-CN"/>
              </w:rPr>
              <w:t>10</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锦南街道</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rPr>
              <w:t>2</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锦北街道</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rPr>
              <w:t>8</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板桥镇</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kern w:val="0"/>
                <w:sz w:val="24"/>
                <w:highlight w:val="none"/>
                <w:lang w:val="en-US" w:eastAsia="zh-CN"/>
              </w:rPr>
              <w:t>10</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高虹镇</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rPr>
              <w:t>5</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太湖源镇</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kern w:val="0"/>
                <w:sz w:val="24"/>
                <w:highlight w:val="none"/>
                <w:lang w:val="en-US" w:eastAsia="zh-CN"/>
              </w:rPr>
              <w:t>10</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於潜镇</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rPr>
              <w:t>9</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天目山镇</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kern w:val="0"/>
                <w:sz w:val="24"/>
                <w:highlight w:val="none"/>
                <w:lang w:val="en-US" w:eastAsia="zh-CN"/>
              </w:rPr>
              <w:t>10</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太阳镇</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val="en-US" w:eastAsia="zh-CN"/>
              </w:rPr>
              <w:t>10</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潜川镇</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rPr>
              <w:t>2</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昌化镇</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rPr>
              <w:t>4</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龙岗镇</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rPr>
              <w:t>5</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河桥镇</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rPr>
              <w:t>8</w:t>
            </w:r>
          </w:p>
        </w:tc>
      </w:tr>
      <w:tr>
        <w:tblPrEx>
          <w:tblCellMar>
            <w:top w:w="0" w:type="dxa"/>
            <w:left w:w="108" w:type="dxa"/>
            <w:bottom w:w="0" w:type="dxa"/>
            <w:right w:w="108" w:type="dxa"/>
          </w:tblCellMar>
        </w:tblPrEx>
        <w:trPr>
          <w:trHeight w:val="376"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湍口镇</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rPr>
              <w:t>5</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清凉峰镇</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rPr>
              <w:t>1</w:t>
            </w:r>
          </w:p>
        </w:tc>
      </w:tr>
      <w:tr>
        <w:tblPrEx>
          <w:tblCellMar>
            <w:top w:w="0" w:type="dxa"/>
            <w:left w:w="108" w:type="dxa"/>
            <w:bottom w:w="0" w:type="dxa"/>
            <w:right w:w="108" w:type="dxa"/>
          </w:tblCellMar>
        </w:tblPrEx>
        <w:trPr>
          <w:trHeight w:val="420" w:hRule="atLeast"/>
        </w:trPr>
        <w:tc>
          <w:tcPr>
            <w:tcW w:w="3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岛石镇</w:t>
            </w:r>
          </w:p>
        </w:tc>
        <w:tc>
          <w:tcPr>
            <w:tcW w:w="1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rPr>
              <w:t>6</w:t>
            </w:r>
          </w:p>
        </w:tc>
      </w:tr>
    </w:tbl>
    <w:p>
      <w:pPr>
        <w:spacing w:line="360" w:lineRule="auto"/>
        <w:rPr>
          <w:rFonts w:ascii="宋体" w:hAnsi="宋体" w:cs="宋体"/>
          <w:b/>
          <w:sz w:val="24"/>
          <w:highlight w:val="none"/>
        </w:rPr>
      </w:pPr>
    </w:p>
    <w:p>
      <w:pPr>
        <w:spacing w:line="360" w:lineRule="auto"/>
        <w:rPr>
          <w:rFonts w:ascii="宋体" w:hAnsi="宋体" w:cs="宋体"/>
          <w:highlight w:val="none"/>
        </w:rPr>
      </w:pPr>
      <w:r>
        <w:rPr>
          <w:rFonts w:hint="eastAsia" w:ascii="宋体" w:hAnsi="宋体" w:cs="宋体"/>
          <w:b/>
          <w:sz w:val="24"/>
          <w:highlight w:val="none"/>
        </w:rPr>
        <w:t>七、改造需求及技术要求</w:t>
      </w:r>
    </w:p>
    <w:tbl>
      <w:tblPr>
        <w:tblStyle w:val="60"/>
        <w:tblW w:w="5458" w:type="pct"/>
        <w:tblInd w:w="-404" w:type="dxa"/>
        <w:tblLayout w:type="fixed"/>
        <w:tblCellMar>
          <w:top w:w="0" w:type="dxa"/>
          <w:left w:w="108" w:type="dxa"/>
          <w:bottom w:w="0" w:type="dxa"/>
          <w:right w:w="108" w:type="dxa"/>
        </w:tblCellMar>
      </w:tblPr>
      <w:tblGrid>
        <w:gridCol w:w="660"/>
        <w:gridCol w:w="2190"/>
        <w:gridCol w:w="5790"/>
        <w:gridCol w:w="595"/>
        <w:gridCol w:w="902"/>
      </w:tblGrid>
      <w:tr>
        <w:tblPrEx>
          <w:tblCellMar>
            <w:top w:w="0" w:type="dxa"/>
            <w:left w:w="108" w:type="dxa"/>
            <w:bottom w:w="0" w:type="dxa"/>
            <w:right w:w="108" w:type="dxa"/>
          </w:tblCellMar>
        </w:tblPrEx>
        <w:trPr>
          <w:trHeight w:val="245" w:hRule="atLeast"/>
        </w:trPr>
        <w:tc>
          <w:tcPr>
            <w:tcW w:w="66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序号</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改造项目</w:t>
            </w:r>
          </w:p>
        </w:tc>
        <w:tc>
          <w:tcPr>
            <w:tcW w:w="57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参数</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数量</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单位</w:t>
            </w:r>
          </w:p>
        </w:tc>
      </w:tr>
      <w:tr>
        <w:tblPrEx>
          <w:tblCellMar>
            <w:top w:w="0" w:type="dxa"/>
            <w:left w:w="108" w:type="dxa"/>
            <w:bottom w:w="0" w:type="dxa"/>
            <w:right w:w="108" w:type="dxa"/>
          </w:tblCellMar>
        </w:tblPrEx>
        <w:trPr>
          <w:trHeight w:val="245" w:hRule="atLeast"/>
        </w:trPr>
        <w:tc>
          <w:tcPr>
            <w:tcW w:w="66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b/>
                <w:bCs/>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b/>
                <w:bCs/>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厨房改造（安装嵚入式燃气灶+不锈钢水槽含配件）</w:t>
            </w:r>
          </w:p>
        </w:tc>
        <w:tc>
          <w:tcPr>
            <w:tcW w:w="57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left"/>
              <w:textAlignment w:val="center"/>
              <w:rPr>
                <w:rFonts w:ascii="宋体" w:hAnsi="宋体" w:cs="宋体"/>
                <w:b/>
                <w:bCs/>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厨房安装燃气灶、不锈钢水槽；整体环境符合无障碍国标，需自行上门勘察。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b/>
                <w:bCs/>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b/>
                <w:bCs/>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245" w:hRule="atLeast"/>
        </w:trPr>
        <w:tc>
          <w:tcPr>
            <w:tcW w:w="66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上翻落地扶手</w:t>
            </w:r>
          </w:p>
        </w:tc>
        <w:tc>
          <w:tcPr>
            <w:tcW w:w="57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主体颜色为白色，表面抗菌尼龙，有防滑凸点，具有保温，抗菌功能。内部金属管龙骨。整体直径3.5cm，龙骨直径2.5cm。外观呈U型，带立柱，不用时可起。规格600*100mm。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70</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L型扶手</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主体颜色为黄色，表面尼龙抗菌，有防滑凸点，具有保温，抗菌功能，内部金属龙骨，整体直径3.5CM，龙骨直径2.5CM.外观呈L型，需三个固定点，规格700mm*500mm。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一字扶手（50cm）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主体颜色为黄色，表面抗菌尼龙，有防滑凸点，具有保温，抗菌功能。内部金属管龙骨。整体直径3.5CM，龙骨直径2.5CM。两个固定点，规格50CM。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无障碍墙扶手（2+1.4M）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主体颜色为黄色，表面抗菌尼龙，有防滑凸点，具有保温，抗菌功能。内部金属管龙骨。整体直径3.5CM，龙骨直径2.5CM。两个固定点，规格50CM。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便携式斜坡板（2M）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规格：宽81，长度2M；参数：铝合金材料，坡面防滑，重量10KG，承重200KG。</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床边扶手</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主体颜色为黄色，表面抗菌尼龙，有防滑凸点，具有保温，抗菌功能。内部金属管龙骨。整体直径3.5cm，龙骨直径2.5cm。整套扶手尺寸100cm*80cm。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铝合金软座轮椅</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采用SPCC高频焊管，铝合金材质，壁厚为Ф22.2×1.2，牛津布软座垫，塑料防滑扶手，高强度塑料脚踏板。表面喷塑，座背垫的宽度：45cm,从地面到坐垫的高度48cm，坐垫长度40cm，靠背高46cm，扶手到坐垫高28cm，轮椅总宽63cm，轮椅总长104cm，轮椅最高89cm，折叠后宽度26cm，载重100kg,8寸PVC充气前轮，24寸充气后轮。</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辆</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凝胶防褥疮坐垫</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cs="宋体"/>
                <w:color w:val="000000" w:themeColor="text1"/>
                <w:kern w:val="0"/>
                <w:sz w:val="24"/>
                <w:highlight w:val="none"/>
                <w:u w:val="none"/>
                <w:shd w:val="clear"/>
                <w14:textFill>
                  <w14:solidFill>
                    <w14:schemeClr w14:val="tx1"/>
                  </w14:solidFill>
                </w14:textFill>
              </w:rPr>
              <w:t>◆</w:t>
            </w:r>
            <w:r>
              <w:rPr>
                <w:rFonts w:hint="eastAsia" w:ascii="宋体" w:hAnsi="宋体" w:eastAsia="宋体" w:cs="宋体"/>
                <w:i w:val="0"/>
                <w:iCs w:val="0"/>
                <w:color w:val="000000"/>
                <w:kern w:val="0"/>
                <w:sz w:val="22"/>
                <w:szCs w:val="22"/>
                <w:highlight w:val="none"/>
                <w:u w:val="none"/>
                <w:lang w:val="en-US" w:eastAsia="zh-CN" w:bidi="ar"/>
              </w:rPr>
              <w:t xml:space="preserve">具有透气，抗菌，除螨，防霉等功能，符合矫正坐姿的要求，医用凝胶和高密度聚氨脂复合型材料。                                                                     </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3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四脚拐</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高强度Ф22*1.2铝合金管，表面阳极氧化，高度调节范围73.5-96.5cm，分十档，高档ABS塑料手柄，防滑橡胶脚垫。</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CellMar>
            <w:top w:w="0" w:type="dxa"/>
            <w:left w:w="108" w:type="dxa"/>
            <w:bottom w:w="0" w:type="dxa"/>
            <w:right w:w="108" w:type="dxa"/>
          </w:tblCellMar>
        </w:tblPrEx>
        <w:trPr>
          <w:trHeight w:val="35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座厕椅（皮质）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技术参数：1、坐宽45cm；2、坐垫到地面：48cm；3、扶手到地面：65.5cm；4、高：86cm；5、座深：43cm；6、靠背高：35cm；7、便孔尺寸：26cm*22cm；8、便桶直径：26cm；9、便桶高：17cm；10、净重：9.4KG；11、毛重：12KG；12、承重：90KG；13、座椅和靠背皮制。</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沐浴椅</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cs="宋体"/>
                <w:color w:val="000000" w:themeColor="text1"/>
                <w:kern w:val="0"/>
                <w:sz w:val="24"/>
                <w:highlight w:val="none"/>
                <w:u w:val="none"/>
                <w:shd w:val="clear"/>
                <w14:textFill>
                  <w14:solidFill>
                    <w14:schemeClr w14:val="tx1"/>
                  </w14:solidFill>
                </w14:textFill>
              </w:rPr>
              <w:t>◆</w:t>
            </w:r>
            <w:r>
              <w:rPr>
                <w:rFonts w:hint="eastAsia" w:ascii="宋体" w:hAnsi="宋体" w:eastAsia="宋体" w:cs="宋体"/>
                <w:i w:val="0"/>
                <w:iCs w:val="0"/>
                <w:color w:val="000000"/>
                <w:kern w:val="0"/>
                <w:sz w:val="22"/>
                <w:szCs w:val="22"/>
                <w:highlight w:val="none"/>
                <w:u w:val="none"/>
                <w:lang w:val="en-US" w:eastAsia="zh-CN" w:bidi="ar"/>
              </w:rPr>
              <w:t>高度为87cm，高强度铝合金支架，脚垫防滑，坐板靠背坚固，透气，不积水。规格69cm*20cm*18cm。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防滑垫</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cs="宋体"/>
                <w:color w:val="000000" w:themeColor="text1"/>
                <w:kern w:val="0"/>
                <w:sz w:val="24"/>
                <w:highlight w:val="none"/>
                <w:u w:val="none"/>
                <w:shd w:val="clear"/>
                <w14:textFill>
                  <w14:solidFill>
                    <w14:schemeClr w14:val="tx1"/>
                  </w14:solidFill>
                </w14:textFill>
              </w:rPr>
              <w:t>◆</w:t>
            </w:r>
            <w:r>
              <w:rPr>
                <w:rFonts w:hint="eastAsia" w:ascii="宋体" w:hAnsi="宋体" w:eastAsia="宋体" w:cs="宋体"/>
                <w:i w:val="0"/>
                <w:iCs w:val="0"/>
                <w:color w:val="000000"/>
                <w:kern w:val="0"/>
                <w:sz w:val="22"/>
                <w:szCs w:val="22"/>
                <w:highlight w:val="none"/>
                <w:u w:val="none"/>
                <w:lang w:val="en-US" w:eastAsia="zh-CN" w:bidi="ar"/>
              </w:rPr>
              <w:t>规格：72cm*39cm.塑胶材质，表面防滑，底部带吸附功能。</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照面线路改造（8.6*3.8+8.6*1.3+11.4*5.6M+灯具7盏）</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更换残疾人房间中老旧线路，线路用PVC管包裹，沿房间墙角平整走线，并在合理位置安装吸顶灯、LED灯、ABS材质的可调光小夜灯、开关插座等改善房间照明。</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卫生间改造（更换座便器+拆除及垃圾清运）</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卫生间更换座便器、清运拆除垃圾，部分水管、线路也需相应更改，需自行上门勘察。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6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无障碍墙扶手（5.1+0.4M）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主体颜色为黄色，表面抗菌尼龙，有防滑凸点，具有保温，抗菌功能。内部金属管龙骨。整体直径3.5CM，龙骨直径2.5CM。两个固定点，规格50CM。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卫生间改造（更换座便器+拆除及垃圾清运+安装悬挂式台盆）</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卫生间更换座便器，安装悬挂台盆及相应配件，部分水管、线路也需相应更改，需自行上门勘察。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24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净居亮居改造（1.5*4*高1M，铲除原墙面油漆+重新粉刷墙面）</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净居亮居改造，铲除原墙面油漆,重新粉刷改造；整体环境符合无障碍国标，需自行上门勘察。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便携式斜坡板（1M）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cs="宋体"/>
                <w:color w:val="000000" w:themeColor="text1"/>
                <w:kern w:val="0"/>
                <w:sz w:val="24"/>
                <w:highlight w:val="none"/>
                <w:u w:val="none"/>
                <w:shd w:val="clear"/>
                <w14:textFill>
                  <w14:solidFill>
                    <w14:schemeClr w14:val="tx1"/>
                  </w14:solidFill>
                </w14:textFill>
              </w:rPr>
              <w:t>◆</w:t>
            </w:r>
            <w:r>
              <w:rPr>
                <w:rFonts w:hint="eastAsia" w:ascii="宋体" w:hAnsi="宋体" w:eastAsia="宋体" w:cs="宋体"/>
                <w:i w:val="0"/>
                <w:iCs w:val="0"/>
                <w:color w:val="000000"/>
                <w:kern w:val="0"/>
                <w:sz w:val="22"/>
                <w:szCs w:val="22"/>
                <w:highlight w:val="none"/>
                <w:u w:val="none"/>
                <w:lang w:val="en-US" w:eastAsia="zh-CN" w:bidi="ar"/>
              </w:rPr>
              <w:t>规格：宽81，长度1M；参数：铝合金材料，坡面防滑，重量10KG，承重200KG。</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电动升降晾衣架</w:t>
            </w:r>
          </w:p>
        </w:tc>
        <w:tc>
          <w:tcPr>
            <w:tcW w:w="57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cs="宋体"/>
                <w:color w:val="000000" w:themeColor="text1"/>
                <w:kern w:val="0"/>
                <w:sz w:val="24"/>
                <w:highlight w:val="none"/>
                <w:u w:val="none"/>
                <w:shd w:val="clear"/>
                <w14:textFill>
                  <w14:solidFill>
                    <w14:schemeClr w14:val="tx1"/>
                  </w14:solidFill>
                </w14:textFill>
              </w:rPr>
              <w:t>◆</w:t>
            </w:r>
            <w:r>
              <w:rPr>
                <w:rFonts w:hint="eastAsia" w:ascii="宋体" w:hAnsi="宋体" w:eastAsia="宋体" w:cs="宋体"/>
                <w:i w:val="0"/>
                <w:iCs w:val="0"/>
                <w:color w:val="000000"/>
                <w:kern w:val="0"/>
                <w:sz w:val="22"/>
                <w:szCs w:val="22"/>
                <w:highlight w:val="none"/>
                <w:u w:val="none"/>
                <w:lang w:val="en-US" w:eastAsia="zh-CN" w:bidi="ar"/>
              </w:rPr>
              <w:t>符合ISO认证，智能照明、烘干、承重力强，安装牢固。</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不锈钢腋拐</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1.高强度Ф19*1.2mm不锈钢管，表面本色处理，具有不掉色，抗老化、不生锈的功能；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2.扶肩、握把：高档橡胶材质，脚垫：橡胶耐磨防滑脚垫，提供良好的地面摩擦力，内藏金属垫片，更加强其耐用性;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3.高度调节范围：1140-1340mm,调节高度为：9档，腋托最小长度：190mm,握把最小长度：100mm;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color w:val="000000" w:themeColor="text1"/>
                <w:kern w:val="0"/>
                <w:sz w:val="24"/>
                <w:highlight w:val="none"/>
                <w:u w:val="none"/>
                <w:shd w:val="clear"/>
                <w14:textFill>
                  <w14:solidFill>
                    <w14:schemeClr w14:val="tx1"/>
                  </w14:solidFill>
                </w14:textFill>
              </w:rPr>
              <w:t>◆</w:t>
            </w:r>
            <w:r>
              <w:rPr>
                <w:rFonts w:hint="eastAsia" w:ascii="宋体" w:hAnsi="宋体" w:eastAsia="宋体" w:cs="宋体"/>
                <w:i w:val="0"/>
                <w:iCs w:val="0"/>
                <w:color w:val="000000"/>
                <w:kern w:val="0"/>
                <w:sz w:val="22"/>
                <w:szCs w:val="22"/>
                <w:highlight w:val="none"/>
                <w:u w:val="none"/>
                <w:lang w:val="en-US" w:eastAsia="zh-CN" w:bidi="ar"/>
              </w:rPr>
              <w:t>4.加强型中心管，提供良好的支撑力，特殊设计的伸缩管，提供更加的安全负荷。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5.单位为一副；</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副</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煤气泄漏报警器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cs="宋体"/>
                <w:color w:val="000000" w:themeColor="text1"/>
                <w:kern w:val="0"/>
                <w:sz w:val="24"/>
                <w:highlight w:val="none"/>
                <w:u w:val="none"/>
                <w:shd w:val="clear"/>
                <w14:textFill>
                  <w14:solidFill>
                    <w14:schemeClr w14:val="tx1"/>
                  </w14:solidFill>
                </w14:textFill>
              </w:rPr>
              <w:t>◆</w:t>
            </w:r>
            <w:r>
              <w:rPr>
                <w:rFonts w:hint="eastAsia" w:ascii="宋体" w:hAnsi="宋体" w:eastAsia="宋体" w:cs="宋体"/>
                <w:i w:val="0"/>
                <w:iCs w:val="0"/>
                <w:color w:val="000000"/>
                <w:kern w:val="0"/>
                <w:sz w:val="22"/>
                <w:szCs w:val="22"/>
                <w:highlight w:val="none"/>
                <w:u w:val="none"/>
                <w:lang w:val="en-US" w:eastAsia="zh-CN" w:bidi="ar"/>
              </w:rPr>
              <w:t>可燃气体泄露探测，报警方式：声光报警。</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厨房净居亮居改造（3*5*高2.8M,铲除原墙面油漆+墙面粉刷+厨房吊顶+照面线路改造+灯具）</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净居亮居改造，铲除原墙面油漆,重新粉刷改造，安装吊顶、照面线路改造及配套灯具；整体环境符合无障碍国标，需自行上门勘察。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厨房改造(2M橱柜+阻燃台面挖孔+嵌入式燃气灶+油烟机+油烟机开孔+防油板）</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厨房按残疾人身高定制成套橱柜（含大理石台面）高度，提供配套燃气灶、油烟机及防油板；整体环境符合无障碍国标，需自行上门勘察。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不锈钢护栏（1.5+1.5M）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不锈钢立柱</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音乐闪光门铃</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材质：优质PC，环保，抗冲击，耐久性好；2.可佩挂于腰间，或直立于桌面；3.具有震动和闪光二种提示方式；4.无线传输距离：室外可视空间距离≥100m2，产品待机功耗≤0.08W；5.供电方式：普通1.5V电池供电；6.使用者可触及表面均不应有外露的锐边、尖角、刃口和毛刺。</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智能电饭煲</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1.插上插头可听到语音提示，然后可按功能键进行功能操作；</w:t>
            </w:r>
            <w:r>
              <w:rPr>
                <w:rFonts w:hint="eastAsia" w:ascii="宋体" w:hAnsi="宋体" w:cs="宋体"/>
                <w:color w:val="000000" w:themeColor="text1"/>
                <w:kern w:val="0"/>
                <w:sz w:val="24"/>
                <w:highlight w:val="none"/>
                <w:u w:val="none"/>
                <w:shd w:val="clear"/>
                <w14:textFill>
                  <w14:solidFill>
                    <w14:schemeClr w14:val="tx1"/>
                  </w14:solidFill>
                </w14:textFill>
              </w:rPr>
              <w:t>◆</w:t>
            </w:r>
            <w:r>
              <w:rPr>
                <w:rFonts w:hint="eastAsia" w:ascii="宋体" w:hAnsi="宋体" w:eastAsia="宋体" w:cs="宋体"/>
                <w:i w:val="0"/>
                <w:iCs w:val="0"/>
                <w:color w:val="000000"/>
                <w:kern w:val="0"/>
                <w:sz w:val="22"/>
                <w:szCs w:val="22"/>
                <w:highlight w:val="none"/>
                <w:u w:val="none"/>
                <w:lang w:val="en-US" w:eastAsia="zh-CN" w:bidi="ar"/>
              </w:rPr>
              <w:t>2.键盘面板设置四个功能键，从左向右依次为：快煮键，精煮键，粥汤键，保温键，也叫取消键，按下个按钮均会有语音提示，每个按键上方都有盲文点位标注；3.每一项功能结束后，会自动发出多次语音提示，（功能结束，进入保温状态）；4.本产品顶部有一圆形突起，为开盖按键，按压该按钮可打开盖子。</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无障碍报警水壶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具有远距离无线感应，声光报警提示供能，操作简单，水烧开是有音乐和闪光提示，适合聋人和盲人使用。                                                                 </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13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盲杖</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盲杖：ISO11334-1《单臂操作助行器要求和试验方法第1部分：肘拐杖》国家标准作为设计生产的参照标准，其结构特点如下：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1.主架：采用轻质铝合金为主要材料，表面喷塑处理，管材规格：直径 13  mm，厚度 1.2 mm；可折叠，便于携带。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2.手把: 为塑胶手把，坚固耐用。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3.架脚：配塑胶脚垫，坚固耐用。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适用人群：辅助视觉障碍者行走，帮助辨明障碍物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功能：主要是为视觉障碍者行走时帮助提示障碍物，防止撞到。  </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听书机</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功能介绍：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1支持全程语音，步步提示，适合盲人或低视力人群使用。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2连接WIFI，在线或下载听书，共享网络资源。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3支持在线升级听书机软件。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4联网系统时间自动校准。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5内置喜玛拉雅、乐听头条、云听、酷狗音乐等平台，大于10万小时海量内容。内容包含新闻、社会、音乐、教育等，实时更新。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 内置浏览中国残联官网，了解最新残联信息。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7内置心知天气预报，关汪你我出行。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8播放电子书，支持格式：TXT、HTM、HTML、MHT、微软DOC、DOCX、EPUB、PDF、AZW、RTF、MOBI、PRC等。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9音乐播放，支持格式：MP3、WMA、FLAC、APE、 ACC、 OGG、 RA、 M4A等。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10视频文件中的音频播放，支持格式：RM、 RMVB、AVI、MP4、3GP、MOV、WMV、MPG、 MPEG、DAT等。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11支持内置麦克风及线路录音，录音格式支持WAV、MP3。</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语音报时器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参数：1、有时间、温度显示；2、按动时发光，同时播报当前时间和温度，带蓝色LED灯；3、整点报时，可设置每一整点报时或从早上7点至晚上9点整点报时；4、闹钟功能；5、有多种语言可供选择，每台机仅供1种语言；6、电源：AAA*2PCS；7、产品尺寸：80*83*57m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语音血压计</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主要参数：长135mm*高83mm*厚60mm，重量255g主要特点：数字液晶显示，测量范围：压力20mmHg-300mmHg，脉搏数：30-160次/分，加压方式：震动片式泵的加压调整方式。                                                         </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不锈钢护栏（3.6+3.6M）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21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卫生间改造（2*2*2.6M，墙面防水处理+铺贴墙砖+安装吊顶+安装风暖浴霸+接电线15M）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卫生间改造，墙地面做防水处理，铺设墙砖，安装吊顶、风暖浴霸，部分线路、水管也需相应更改，需自行上门勘察。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橡胶坡道（2cm）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规格：宽100CM，高强度ABS材质，两面坡。</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照面线路改造（7*6.2+3*8.5M，拆除原线路+重新铺设线路+灯具3盏）</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更换残疾人房间中老旧线路，线路用PVC管包裹，沿房间墙角平整走线，并在合理位置安装吸顶灯、LED灯、ABS材质的可调光小夜灯、开关插座等改善房间照明。</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厨房改造（3M橱柜+阻燃台面挖孔+嵌入式燃气灶+不锈钢水槽含配件+排污管布置+进水管移位）</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厨房按残疾人身高定制成套橱柜（含大理石台面）高度，提供配套燃气灶、不锈钢水槽；部分水管、线路也需相应更改；整体环境符合无障碍国标，需自行上门勘察。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床边餐桌</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规格：40*60cm桌面环保，耐磨，升降灵活，制动好，无噪音，可拆卸。</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厨房改造（1.6M橱柜+阻燃台面+嵌入式燃气灶）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厨房按残疾人身高定制成套橱柜（含大理石台面）高度，提供配套燃气灶、不锈钢水槽；部分水管、线路也需相应更改；整体环境符合无障碍国标，需自行上门勘察。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6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橡胶坡道（3.5cm）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规格：宽100CM，高强度ABS材质，两面坡。</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橡胶坡道（2.5cm）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规格：宽100CM，高强度ABS材质，两面坡。</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电动起身辅助器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提供四档可调节床架以满足不同床体长度要求。全新升级双向后退技术及多联杆运行机制为腰臀部提供更多变位空间，全面提升整体舒适度，提高睡眠质量。                                  【外形尺寸】长:1800/1850/1900/1950±20mm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宽:830±10mm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高:100±10mm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【背板折转】0~70°±5°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【腿板折转】0~40°±5°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【安全承重】135KG</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CellMar>
            <w:top w:w="0" w:type="dxa"/>
            <w:left w:w="108" w:type="dxa"/>
            <w:bottom w:w="0" w:type="dxa"/>
            <w:right w:w="108" w:type="dxa"/>
          </w:tblCellMar>
        </w:tblPrEx>
        <w:trPr>
          <w:trHeight w:val="92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橡胶坡道（4cm）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规格：宽100CM，高强度ABS材质，两面坡。</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114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便携式斜坡板（1.8M）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规格：宽81，长度1.8M；参数：铝合金材料，坡面防滑，重量10KG，承重200KG。</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2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便携式斜坡板（0.56M）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规格：宽81，长度0.56M；参数：铝合金材料，坡面防滑，重量10KG，承重200KG。</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无障碍墙扶手（3.6+0.8+2.5+1.1+3.2M）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无障碍墙扶手（2.4+0.4+1.3M）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8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无障碍墙扶手（1.4+1.4M）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求助报警器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响度：120db，输入电压：DC9-12v，鸣响时间：30秒－10分钟，待机电流：＜20mA，报警电流：＜30mA，接收频率：315/433Mhz，工作温度:－20°-55°，接收距离:100米。两种报警模式：按钮报警、拉绳报警</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成人纸尿片</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规格：700MM*250MM，每箱80条。</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箱</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成人纸尿裤（粘贴款）</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规格：10片*12包/箱；适用人群：卧床、术后行动不便等中重度失禁人群；主要原料：无纺布、吸水纸、绒毛浆、高吸收性树脂、PE防漏膜</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箱</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成人护理垫</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规格：100CM*60CM,每箱100片。</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箱</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移乘带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主要为尼龙布、棉布缝制而成，承重在80KG以上，适用于行动不便者起身。                                                                                            </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副</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移乘板</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规格：620±5*235±5*3±0.2mm；材质：PVC工程塑料，承重在100KG以上,净重量0.9kg。</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残疾人翻身靠垫</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规格：梯形外观，具体尺寸60cm*25cm*20cm；表面材料：高档棉布；内部材料：高密度高强度海绵。</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成人围兜</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围兜尺寸45CM*65CM。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扶手沐浴椅</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 主架为高强度6063型铝管折弯而成, 壁厚为Ф25*1.2， 表面雾银氧化处理；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座板、背板材质为高强度工程塑料，表面防滑，环保，易于清洗，带有漏水孔，不积水，透气的作用；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3.座板两边有扶手设计，配PU防滑扶手垫；扶手为弹片锁紧，可拆卸；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脚管高度5档调节，四脚配防滑斜脚垫；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5.尺寸：长：50cm，宽54cm，高：72-85cm，座宽：40cm；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6.使用者可触及表面均无外露的锐角、尖角、刃口和毛刺；</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无障碍墙扶手（0.7M）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6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智能夜光灯</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五孔插座夜灯；灯具是否带光源:带光源；控制类型:智能开关控制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盏</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双摇护理床</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cs="宋体"/>
                <w:color w:val="000000" w:themeColor="text1"/>
                <w:kern w:val="0"/>
                <w:sz w:val="24"/>
                <w:highlight w:val="none"/>
                <w:u w:val="none"/>
                <w:shd w:val="clear"/>
                <w14:textFill>
                  <w14:solidFill>
                    <w14:schemeClr w14:val="tx1"/>
                  </w14:solidFill>
                </w14:textFill>
              </w:rPr>
              <w:t>◆</w:t>
            </w:r>
            <w:r>
              <w:rPr>
                <w:rFonts w:hint="eastAsia" w:ascii="宋体" w:hAnsi="宋体" w:eastAsia="宋体" w:cs="宋体"/>
                <w:i w:val="0"/>
                <w:iCs w:val="0"/>
                <w:color w:val="000000"/>
                <w:kern w:val="0"/>
                <w:sz w:val="22"/>
                <w:szCs w:val="22"/>
                <w:highlight w:val="none"/>
                <w:u w:val="none"/>
                <w:lang w:val="en-US" w:eastAsia="zh-CN" w:bidi="ar"/>
              </w:rPr>
              <w:t>双摇三折，带便孔、床垫、可收缩铝合金扶手、可移动餐桌板、ABS床头和床尾、输液架、带刹车静音轮，床下有杂物架，根据残疾人需求定制高度。</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CellMar>
            <w:top w:w="0" w:type="dxa"/>
            <w:left w:w="108" w:type="dxa"/>
            <w:bottom w:w="0" w:type="dxa"/>
            <w:right w:w="108" w:type="dxa"/>
          </w:tblCellMar>
        </w:tblPrEx>
        <w:trPr>
          <w:trHeight w:val="8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成人纸尿裤（拉拉款）</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规格：600mmx350mm 10片*8包/箱；适用人群：卧床、术后行动不便等中重度失禁人群；主要原料：无纺布、吸水纸、绒毛浆、高吸收性树脂、PE防漏膜</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箱</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轮式沐浴椅</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主架：采用轻质铝合金为主要材料，（管直径Φ25mm，厚度1.2 mm）组合成型。，表面采用氧化处理，美观耐用，安全可靠。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座板/扶手：采用PU软质座板，环保，座感舒适，防菌，易清浩，保护健康。扶手接触面大，前端带弧度，触感自然舒适。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椅脚： 配4寸带刹前后轮，,方便移动，稳定性强。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脚踏：采用轻质铝合金为主要材料,，管直经为22mm，厚度1.2mm可收折，使用方便，稳定性佳。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背板：为白色吹塑板，舒适耐用。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座便器：马桶带桶盖，容量大，采用超大深度设计防溅出效果好，拆装方便，易清洁。</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把</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智能电磁炉</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插上插头可听到语音提示，然后可按功能键进行功能操作；2.键盘面板设置四个功能键，从左向右依次为：文火，快火，超大火，取消键，按下个按钮均会有语音提示，每个按键上方都有盲文点位标注；3.每一项功能结束后，会自动发出多次语音提示。</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语音血糖仪</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语音播报血糖仪，配备专用试纸100张。低痛采血针头，多档位自由调节。</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眼镜式助视器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1、产品符合标准Q/KJ 004-2004《助视器技术条件》要求；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2、成像清晰，无成像弯曲、发毛、边缘带色；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3、镜片无肉眼可见的气泡、条纹、白色结石、黑点、白点等；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4、镜片表面无水迹、指印、油污、尘埃、霉斑等；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5、镜片顶焦度误差符合GB10810.1-2005《眼镜镜片》“第一部分：单光和多焦点镜片”的规定；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6、镜片顶焦度：定制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7、镜片材料：光学树脂；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8、镜架：金属全框；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9、镜片透射比在90%以上；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10、包装盒具有防潮、防震、防碰撞功能；</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副</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橡胶坡道（6cm）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规格：宽100CM，高强度ABS材质，两面坡。</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无障碍墙扶手（1.8M）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橡胶坡道（4.5cm）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规格：宽100CM，高强度ABS材质，两面坡。</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残疾人翻身器</w:t>
            </w:r>
          </w:p>
        </w:tc>
        <w:tc>
          <w:tcPr>
            <w:tcW w:w="57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尺寸：48.5*16*42cm；净重：1.4g；毛重：1.8g；内部材料：多种高密度海绵，高密度低弹性海绵特殊加工；表面材料：人造革</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便盆</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规格：30cm*12cm*5cm，医用塑料材质。</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无障碍墙扶手（1M）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厨房改造（2.5M橱柜+阻燃台面挖孔+嵌入式燃气灶+不锈钢水槽含配件+排污管布置+进水管移位）</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厨房按残疾人身高定制成套橱柜（含大理石台面）高度，提供配套燃气灶、不锈钢水槽；部分水管、线路也需相应更改；整体环境符合无障碍国标，需自行上门勘察。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防褥疮充气床垫</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优质TPU+PU+防滑布，承重100KG,自动充气垫，尺寸：38CM*46CM*4.85CM.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张</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生活自助具</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十件套，塑料材质，扣带可调粗柄餐具餐勺为塑料柄，不锈钢头，长25cm，把手直径2.5-4cm。重量100g。餐具头方向可调夹持餐具餐勺为塑料柄，不锈钢头，长25cm，把手直径6cm。洒盘架由一个塑料防洒围边组成。                                  </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29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无障碍坡道改造（3*1.36M，拆除原坡道部分基础+浇筑水泥坡道）</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拆除原地面基础，水泥浇筑坡道，底部砖砌基础。</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厨房改造（挂式不锈钢水池含配件+排污管布置）</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厨房改造，根据现场环境定制不锈钢水槽及配件；部分水管、线路也需相应更改；整体环境符合无障碍国标，需自行上门勘察。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不锈钢护栏（4.6M）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便携式斜坡板(1.2M)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规格：宽81，长度1.2M；参数：铝合金材料，坡面防滑，重量10KG，承重200KG。</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24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净居亮居改造（4*3.5M，拆除原窗0.63*0.8M+安装铝合金窗户+安装玻璃0.42*0.82M+吊顶）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根据原现场环境进行净居亮居改造，拆除原窗户、玻璃等，重新安装铝合金窗户、吊顶等；整体环境符合无障碍国标，需自行上门勘察。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3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照面线路改造（4*3.5M，拆除原线路+重新铺设线路+灯具+外接电线15M）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更换残疾人房间中老旧线路，线路用PVC管包裹，沿房间墙角平整走线，并在合理位置安装吸顶灯、LED灯、ABS材质的可调光小夜灯、开关插座等改善房间照明。</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拾物器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特点：手握持的部分为弹性不锈钢夹，当用其拾取物件时，手部用力握捏钢夹，使木柄远端的铁夹合拢，可夹住物品。适用于弯腰困难者拾取物品。 适用于老年人，行动不便者，尺寸：80cm。                                                                                             </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卫生间改造（3.4*1.7M，外接电线20M+安装热水器+淋浴套装+接冷热水管3M+拆除蹲坑+清运垃圾+浇筑地坪+安装座便器+接排污管+接进水管+安装铝合金窗+铝合金门及双面门套+安装吊顶+风暖浴霸）</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卫生间改造，外接电线，安装热水器、淋浴套装、接冷热水管，拆除蹲坑、浇筑地坪、安装座便器，重新调整排污管、进水管，安装铝合金窗、铝合金门及双面门套，需自行上门勘察。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门口浇筑水泥坡道（0.3*0.9M)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拆除原地面基础，水泥浇筑坡道，底部砖砌基础。</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平米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室内平行杠</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参考规格(cm)：335×85×78～122，矫正板坡度15°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参考质量：138.0kg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结构型式：杠杆、宽度调节支架、升降管柱、固定管柱、底座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材质：不锈钢扶手、静电喷塑架、木板、地毯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杠杆直径(cm)：Φ3.8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杠杆宽度调节范围（cm）： 44～98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额定载荷(kg)：≥ 135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矫正板坡度： 15°</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净居亮居改造（4.2*3M，安装铝合金隔断双移门）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根据原现场环境进行净居亮居改造，安装铝合金隔断、移门；整体环境符合无障碍国标，需自行上门勘察。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厨房改造（1.5M橱柜+阻燃台面挖孔+嵌入式燃气灶+4.5*3*3M，铲除原墙面油漆+墙面重新粉刷）</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厨房按残疾人身高定制成套橱柜（含大理石台面）高度，提供配套燃气灶，铲除原厨房墙面油漆，重新粉刷；部分水管、线路也需相应更改；整体环境符合无障碍国标，需自行上门勘察。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弧形分指板</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1.规格：20×17×5.5cm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2.材质：塑料。</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助行器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长54.5cm，宽45.5cm，高度调节范围：78-96cm，高强度Ф25*1.2铝合金管，表面光亮阳极氧化，可折叠，EVA塑料防滑手握，高度可调，防滑橡胶脚垫</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无障碍墙扶手(1.8+1.6M）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91</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照面线路改造（5*7.5+10.5*5.5M，拆除原线路+重新铺设线路+灯具5盏）</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更换残疾人房间中老旧线路，线路用PVC管包裹，沿房间墙角平整走线，并在合理位置安装吸顶灯、LED灯、ABS材质的可调光小夜灯、开关插座等改善房间照明。</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洗浴宝</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一体式可充气PVC环保气囊，17度角斜面设计，内带舒适充气内枕；可移动式洗澡机，自带电加热系统，热水随用随取，安全可靠；配备电动充吸式气泵，减小护理人员劳动强度。长度：190cm-200cm，宽度：65cm-85cm。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13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93</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无障碍坡道改造（3.5*1.5M，拆除原坡道基础+浇筑水泥坡道）</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拆除原地面基础，水泥浇筑坡道，底部砖砌基础。</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94</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不锈钢护栏（3.5M）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0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橡胶坡道（5cm）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规格：宽100CM，高强度ABS材质，两面坡。</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无障碍墙扶手（0.6+1.1M）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净居亮居改造（7*5.5M，拆除原线路+重新铺设线路+灯具3盏+安装吊顶）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净居亮居改造，拆除原线路，重新铺设线路、安装灯具，顶部安装吊顶；整体环境符合无障碍国标，需自行上门勘察。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床靠背架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1、人性化设计，不易下滑；2、弹力式的靠背，让人体的背部自然弯曲，能缓解背部不适，舒服实用；3、海面填充靠枕，更科学地支撑颈部，躺、靠舒适；4、增加了靠背钢管的长度，可以更加舒适的躺靠；5、 钢管喷漆，支撑力大，最大承重力度为110公斤；6、可以折叠，使用、收藏方便；7、支撑架可6档调节。</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铝合金单拐</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1、铝合金仅重330克，方便老人携带。2、十档可调高度，可以在69-92之间自由调节，调节高度为10档， 22.5cm。3、高强度铝合金材质。</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安全型引流袋</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该产品选用优质医用乳胶，医用高分子等材料精制而成。设计科学，使用简便舒适，安全有效。由一个独立包装尿套和独立包装1500ML的安全型引流尿袋及导尿管组成。</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101</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手动移位器（吊式）</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该移位车实现了瘫痪、腿脚受伤的病人或老年人在床、轮椅、座椅、坐便器之间的安全转移，大大减轻了护理人员的工作强度，提高了护理效率，降低了护理风险。</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滑轮吊环训练器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锻炼和提高上肢及肩关节肌力,用于肩关节活动范围训练，关节牵引，肌力训练规格：85×12×76~130cm，升降支架调节范围0～50cm，额定载荷15kg。参数：整体框架为优质钢材表面静电喷涂，高度可调节。滑轮为万向轮。把手为优质塑料模具一次成型。</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103</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厨房改造（安装油烟机）</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厨房油烟机改造，整体环境符合无障碍国标，需自行上门勘察。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104</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防溢报警器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采用优质无毒塑料，体积小，自重轻，使用方便及便于外出携带。将产品挂在杯口，向杯中注水，当水满至报警器探测点时报警器会发出连续的鸣叫声，及时提醒适用者，起到防止溢出的效果。                                                                                                 </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厨房改造（安装油烟机+油烟机开孔）</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厨房改造，油烟机开孔+安装油烟机；部分线路也需相应更改；整体环境符合无障碍国标，需自行上门勘察。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厨房改造（拆除原油烟机、燃气灶+安装油烟机+安装嵌入式燃气灶）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厨房拆除原油烟机、燃气灶等设施；重新安装油烟机、燃气灶；部分水管、线路也需相应更改；整体环境符合无障碍国标，需自行上门勘察。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107</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滤光镜</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专用防护滤光镜，过滤日常生活中大部分有害光线，防护杂物飞溅。</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副</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折叠晾衣架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不锈钢材质，尺寸：150*45*126cm。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109</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背带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主要为尼龙布、棉布缝制而成，承重在80KG以上，适用于行动不便者起身。</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楼梯不锈钢护栏（1.5+6.5M）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204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厨房改造(2M橱柜+阻燃台面挖孔+嵌入式燃气灶）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厨房按残疾人身高定制成套橱柜（含大理石台面）高度，提供配套燃气灶；部分水管、线路也需相应更改；整体环境符合无障碍国标，需自行上门勘察。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居家监控</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200万像素超清画质，10米红外夜视，智能追踪，双向语音童话，无论何时何地，手机APP即可与摄像机进行轻松沟通。内存不小于32G，清晰度不低于1000P。</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113</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卫生间改造（1.6*1.9M，安装吊顶+安装热水器+风暖浴霸+接冷热水管+安装淋浴套装+拆除原线路重新铺设+外接电线15M）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卫生间改造，安装吊顶、热水器、风暖浴霸、接冷热水管、淋浴套装，部分水管、线路也需相应更改；整体环境符合无障碍国标，需自行上门勘察。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85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卫生间改造(安装热水器+淋浴套装+外接电线3M+接冷热水管3M）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卫生间安装热水器、安装淋浴套装，部分水管、线路也需相应更改，需自行上门勘察。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橡胶坡道（11cm）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规格：宽100CM，高强度ABS材质，两面坡。</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116</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便携式斜坡板(1.5M)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规格：宽81，长度1.5M；参数：铝合金材料，坡面防滑，重量10KG，承重200KG。</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117</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不锈钢护栏（7M）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43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118</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卫生间改造(安装热水器+淋浴套装+接冷热水管2M）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卫生间安装热水器、安装淋浴套装，部分水管、线路也需相应更改，需自行上门勘察。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6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119</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净居亮居改造（安装铝合金窗+拆除原房门+门洞修复+安装铝合金大门1.46*2.75M）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根据原现场环境进行净居亮居改造，拆除原窗房门、玻璃等，重新修复门洞，安装铝合金窗户、房门等；整体环境符合无障碍国标，需自行上门勘察。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3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卫生间改造（安装淋浴套装）</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卫生间安装安装淋浴套装，部分水管、线路也需相应更改，需自行上门勘察。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卫生间改造（更换座便器+拆除及垃圾清运+安装热水器+接冷热水管10M+外接电线+安装淋浴套装）</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卫生间更换座便器、安装热水器、安装淋浴套装，部分水管、线路也需相应更改，需自行上门勘察。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卫生间改造（更换座便器+拆除及垃圾清运+安装热水器）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卫生间改造，拆除原座便器，重新安装座便器，安装热水器并清运垃圾；部分水管、线路也需相应更改；整体环境符合无障碍国标，需自行上门勘察。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123</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无障碍墙扶手（1.1+1.1M）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124</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无障碍坡道改造（长6M*宽2.2M*高0.18M，拆除原坡道部分基础+浇筑水泥坡道)</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拆除原地面基础，水泥浇筑坡道，底部砖砌基础。</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橡胶坡道（7cm）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规格：宽100CM，高强度ABS材质，两面坡。</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防撞条</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材质：NBR，规格：4m/卷，适用范+F103:F107围：桌子，厨房，户外，卫生间，马桶，抽屉，床，客厅，冰箱，柜子，卧室，阳台，门，插座，其它</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127</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无障碍手部康复训练器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用来锻炼手指的灵敏度，进行握力训练，以及手腕的康复训练。初期康复阶段∶建议选择力度较小、手感软的产品进行握力训练，一般可以自己握拳、伸手的都可以使用该阶段产品。一点力量也没有的，也可以使用锻炼抓握的意识，为以后康复打下基础。中期康复阶段∶建议选择力度中等、手感适中的产品训练握力、指力和灵活性，一般力量达到原来30-50%左右的可以使用该阶段产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规格：8件套。</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厨房改造（拆除原油烟机+拆除燃气灶+安装油烟机+安装嵌入式燃气灶）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厨房改造，拆除原油烟机、燃气灶，重新安装油烟机、嵌入式燃气灶；部分线路也需相应更改；整体环境符合无障碍国标，需自行上门勘察。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129</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无障碍墙扶手（6.2M）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6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无障碍墙扶手（1.3M）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131</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无障碍墙扶手（0.3M）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132</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不锈钢护栏（2.8+2.2M）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229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厨房改造（4.8*3.5高1.5M，铲除原墙面油漆+墙面粉刷+安装吊顶+安装油烟机+油烟机开孔+外接电线8M+更换老式燃气灶+更换排气扇）</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厨房改造，根据现场环境铲除原墙面油漆，重新粉刷油漆，安装吊顶、油烟机、油烟机开孔，更换燃气灶、排风扇；部分水管、线路也需相应更改；整体环境符合无障碍国标，需自行上门勘察。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2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134</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识色报时手表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1.产品组成：表盘、表带和电源适配器                                   2.性能参数：                                              1）工作时间：≥8小时                                                2）颜色识别种类：基本色：黑/白，其他色：红/橙/黄/绿/青/蓝/紫/灰，并可区分浅、中、深三种色度                                        3）供电方式：锂电池                                                      4）机芯：电子报时机芯                                        3.规格：                                                             1）表盘：（长*宽）75*34mm                                        2）表带：长172mm                                                   4.材质：                                                  1）表壳采用ABS工程塑料                                                   2）表带采用硅胶                                             5.功能：                                                               1）具有语音报时功能，可播报当前时间                               2）有一个颜色识别孔，具有颜色识别功能，可播报被测物体颜色                                                 3）具有音量调节功能                                                                                   </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净居亮居改造（5.4*3M，安装吊顶）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根据原现场环境进行净居亮居改造，安装吊顶；整体环境符合无障碍国标，需自行上门勘察。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136</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卫生间改造（更换座便器+更换光暖浴霸+接电线8M）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卫生间改造，拆除原座便器，重新安装座便器，更换光暖浴霸并清运垃圾；部分水管、线路也需相应更改；整体环境符合无障碍国标，需自行上门勘察。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137</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厨房改造（拆除原油烟机+安装油烟机）</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厨房油烟机改造，拆除原油烟机重新安装，整体环境符合无障碍国标，需自行上门勘察。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138</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无障碍墙扶手（5+5+0.5M）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139</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无障碍墙扶手（12.6M）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无障碍墙扶手（1.1M）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141</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净居亮居改造（3.7*2*高2.8M，铲除原墙面油漆+墙面粉刷）</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净居亮居改造，铲除原墙面油漆,重新粉刷改造；整体环境符合无障碍国标，需自行上门勘察。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142</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厨房改造（2.3M橱柜+阻燃台面挖孔+不锈钢水槽含配件+铺设排污管+进水管连接+安装嵌入式燃气灶+更换油烟机）</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厨房按残疾人身高定制成套橱柜（含大理石台面）高度，提供配套燃气灶、不锈钢水槽，更换燃气灶；部分水管、线路也需相应更改；整体环境符合无障碍国标，需自行上门勘察。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143</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卫生间改造（安装热水器）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卫生间热水器改造，部分水管、线路也需相应更改，需自行上门勘察。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144</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卫生间改造（0.66*1.82，拆除原门+门洞修复+安装卫生间门及双面门套+更换座便器）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卫生间拆除原门，修复门洞，重新安装卫生间门及门套、更换座便器等，清运拆除垃圾，部分水管、线路也需相应更改，需自行上门勘察。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6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145</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厨房改造（0.9*2.6M拆除原门+门洞修复+安装成品房门及双面门套+4.8*3.1*高3.6M铲除原墙面油漆+墙面粉刷+安装油烟机+油烟机开孔+接电线8M+更换老式燃气灶）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根据现场环境拆除原门、修复门洞，安装成品房门及门套；铲除原墙面油漆，重新粉刷油漆，安装油烟机、油烟机开孔，更换燃气灶；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146</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无障碍墙扶手（3M）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147</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无障碍墙扶手（0.4+0.4M）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0.8</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148</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不锈钢护栏（1M）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149</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卫生间改造（2*1.5高2.4M，墙地面防水处理+铺设防滑地砖+贴墙砖+安装地漏+安装吊顶+安装座便器+立柱式台盆+淋浴套装+卫生间门及双面门套+安装风暖浴霸+热水器+新建卫生间相关辅材)</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卫生间改造，墙地面做防水处理，铺设防滑地砖、墙砖，安装吊顶、座便器、热水器、淋浴套装、安装台盆及水笼头、卫生间门及门套，部分线路、水管也需相应更改，需自行上门勘察。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毛巾架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不锈钢材质，含置物架、挂钩等，可上翻、折叠。</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12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151</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纸盒</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材质: 304不锈钢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使用方式: 上/下开口抽纸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表面工艺: 不锈钢拉丝</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应设在坐便器的侧前方，高度为400mm〜500mm。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152</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无障碍墙扶手（0.8M）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0.8</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153</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无障碍墙扶手（2+3.8+0.5M）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154</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厨房改造（1.2M橱柜+阻燃台面挖孔+嵌入式燃气灶）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厨房按残疾人身高定制成套橱柜（含大理石台面）高度，提供配套燃气灶；部分水管、线路也需相应更改；整体环境符合无障碍国标，需自行上门勘察。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155</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淋浴间改造（铲除原墙面油漆+水电开槽+防水处理+接电线25M+接冷热水管10M+铺贴墙砖+安装挡水条+挡水帘+热水器+淋浴套装）</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淋浴间改造，铲除原墙面油漆，水电管路开槽、防水处理、外接电线25M、接冷热水管、铺贴墙砖，安装挡水条、挡水帘、热水器、淋浴套装；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156</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无障碍墙扶手（0.4+1.0+0.9+1.8+0.8+0.5+1.0+0.8+1.4+1）</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157</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橡胶坡道（3cm）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规格：宽100CM，高强度ABS材质，两面坡。</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158</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镀锌管护栏</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镀锌管材质护栏，根据现场环境定制，需自行上门勘察。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0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不锈钢护栏（1.7+1.7M）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台阶找平修补</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水泥浇筑找平原台阶，使台阶相对平整。</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161</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无障碍坡道改造（2.5*1.5M+1.5*1.5M，拆除原地面基础+浇筑水泥坡道及平台)</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拆除原地面基础，水泥浇筑坡道，底部砖砌基础。</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162</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不锈钢护栏（1.5+1.5+2.5M）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163</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无障碍墙扶手（3.7M）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164</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净居亮居改造（3.8*3高3.5M,铲除原墙面油漆+墙面粉刷+原窗拆除+窗框修复+安装铝合金窗2扇1.46*1.7M+1.92*1.7M）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净居亮居改造，铲除原墙面油漆,重新粉刷改造，拆除原窗户，修复窗框，安装铝合金窗户；整体环境符合无障碍国标，需自行上门勘察。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165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镀锌管拉杆</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镀锌管材质拉杆，根据残疾人使用需求定制，需自行上门勘察。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166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高靠背座便轮椅（铁制脚板）</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（1）手驱动后轮，高靠背；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（2）车架材质采用高强度铝合金管，交叉杆双支撑结构，铝管直径≥22mm、壁厚≥2.0mm，表面喷涂或氧化处理，可折叠；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（3）轮椅总长:1172mm、总宽:673mm、总高:1241mm、座宽:465mm、座深:454mm，座高:509mm、靠背高度:461mm，载重≥100kg；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（4）坐垫为皮革材料,面开U形开口厕孔,配有大容量PVC光面方厕盆,盆托与方厕盆配合顺畅，使用安装方便；背垫为皮革材料内衬海绵，配有皮革腿垫和安全带；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（5）靠背角度90-180°调节，位置固定可靠，配置弧形软质地头枕；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（6）PU扶手垫，扶手可拆卸；骨科脚带腿托，高强度脚踏板，脚踏支架长度可调，抬高的角度可与座面达180°，并有重力自锁装置，带防倾轮；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（7）配看护刹车，便于护理人员有效制动，驻车装置制动后不高于座面；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（8）前轮为高品质8寸PVC实心轮胎；后轮为24寸轮胎，轮辐钢质，采用13#-36根辐条；</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辆</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167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照面线路改造（13*8*2M，拆除原线路+重新铺设线路+灯具8盏）</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照面线路改造，拆除原线路，根据需求重新铺设线路、安装灯具8盏；部分线路也需相应更改；整体环境符合无障碍国标，需自行上门勘察。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168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不锈钢护栏（0.8+2.6+1M）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169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照面线路改造（8.3*7M，拆除原线路+重新铺设线路+灯具6盏）</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更换残疾人房间中老旧线路，线路用PVC管包裹，沿房间墙角平整走线，并在合理位置安装吸顶灯、LED灯、ABS材质的可调光小夜灯、开关插座等改善房间照明。</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厨房改造(1.5M橱柜+阻燃台面挖孔+嵌入式燃气灶）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厨房按残疾人身高定制成套橱柜（含大理石台面）高度，提供配套燃气灶；部分水管、线路也需相应更改；整体环境符合无障碍国标，需自行上门勘察。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不锈钢护栏（0.9+4.6M）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净居亮居改造（拆除原门2扇+门洞修复+成品房门及双面门套2扇）</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根据原现场环境进行净居亮居改造，拆除原2扇房门，修复门洞，安装成品2扇房门及门套等；整体环境符合无障碍国标，需自行上门勘察。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厨房改造（安装油烟机+油烟机开孔+油烟机线路改造）</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厨房油烟机改造，安装油烟机、油烟机开孔；部分线路也需要进行改造，整体环境符合无障碍国标，需自行上门勘察。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174</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尿壶（女）</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总长：240mm；总宽：120mm；总高：170mm；净重量：111g。主体使用高强度工程塑料铸造而成，行动不便者适用。</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不锈钢护栏（6+9M）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8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无障碍墙扶手（2.6+0.8+1.5M）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无障碍墙扶手（3.8M）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尿壶（男）</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规格：7cm*5cm*1cm，医用塑料材质，男性专用。</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r>
      <w:tr>
        <w:tblPrEx>
          <w:tblCellMar>
            <w:top w:w="0" w:type="dxa"/>
            <w:left w:w="108" w:type="dxa"/>
            <w:bottom w:w="0" w:type="dxa"/>
            <w:right w:w="108" w:type="dxa"/>
          </w:tblCellMar>
        </w:tblPrEx>
        <w:trPr>
          <w:trHeight w:val="16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不锈钢护栏（5+5M）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净居亮居改造（5*3.3*3.3M，铲除原墙面油漆+重新粉刷墙面）</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净居亮居改造，铲除原墙面油漆,重新粉刷改造；整体环境符合无障碍国标，需自行上门勘察。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181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厨房改造(2M橱柜+阻燃台面挖孔+嵌入式燃气灶+不锈钢水槽含配件+油烟机开孔+安装油烟机+水管连接+更换排气扇）</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厨房按残疾人身高定制成套橱柜（含大理石台面）高度，提供配套燃气灶、不锈钢水槽，油烟机开孔及安装油烟机、更换排气扇；部分水管、线路也需相应更改；整体环境符合无障碍国标，需自行上门勘察。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182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防撞地垫</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厚度2cm，尺寸1m*1m，EVA地垫 。</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平米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183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无障碍墙扶手（2.2M）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184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橡胶坡道（5.5cm）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规格：宽100CM，高强度ABS材质，两面坡。</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185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防撞角</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材质：NBR，规格：12个/包，适用范围：桌子，厨房，户外，卫生间，马桶，抽屉，床，客厅，冰箱，柜子，卧室，阳台，门，插座</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包</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186</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不锈钢护栏（1.9+1.2+1.9+1+1.9+1.2+2.3M）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187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不锈钢护栏（1.5+3.9+1.5+1.5M）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60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188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无障碍墙扶手（6+1.7M）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189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不锈钢护栏（3+0.6M）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190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无障碍墙扶手（3.2+3.1M）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3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191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无障碍墙扶手（3.2+1+0.4+1.1M）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192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厨房改造(1.5M橱柜+阻燃台面挖孔+嵌入式燃气灶+油烟机开孔+安装油烟机+接电线15M+安装不锈钢水槽+接排污管2M+水管连接）</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厨房按残疾人身高定制成套橱柜（含大理石台面）高度，提供配套燃气灶及油烟机开孔、安装油烟机、不锈钢水槽；部分水管、线路也需相应更改；整体环境符合无障碍国标，需自行上门勘察。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193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卫生间改造（2.38*1.65M，拆除原门+门洞修复+安装铝合金移门）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卫生间拆除原门，修复门洞，重新安装卫生间移门等，清运拆除垃圾，部分水管、线路也需相应更改，需自行上门勘察。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194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净居亮居改造（3.8*2*3.3M+3.8*3.3*1.5M+3.8*3.8*2.2M,铲除原墙面油漆+重新粉刷墙面）</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净居亮居改造，铲除原墙面油漆,重新粉刷改造；整体环境符合无障碍国标，需自行上门勘察。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195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无障碍墙扶手（1+0.5M）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196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不锈钢护栏（6.2+4.5M）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197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卫生间改造（更换座便器+拆除及垃圾清运+安装热水器+接冷热水管+外接电线+安装淋浴套装）</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卫生间更换座便器、安装热水器、淋浴套装，部分水管、线路也需相应更改，需自行上门勘察。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198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不锈钢护栏（1.3+7.1+10M）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18.4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199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不锈钢护栏（1.7M）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不锈钢护栏（0.9+0.9+0.9+0.9M）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sz w:val="22"/>
                <w:szCs w:val="22"/>
                <w:highlight w:val="none"/>
                <w:lang w:val="en-US"/>
              </w:rPr>
            </w:pPr>
            <w:r>
              <w:rPr>
                <w:rFonts w:hint="eastAsia" w:ascii="宋体" w:hAnsi="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不锈钢护栏(0.5+1.5+1.5+6.5M）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净居亮居改造（4.6*2.4+4*2.4M，砖砌隔墙+墙面粉刷+安装铝合金窗+成品房门及双面门套+防滑地砖4.6*4M）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净居亮居改造，砖砌隔墙、粉刷隔墙墙面、安装铝合金窗、成品房门及门套、铺设防滑地砖；整体环境符合无障碍国标，需自行上门勘察。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无障碍墙扶手（0.8+0.9+0.5M）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无障碍墙扶手（2.3+1+0.5+0.8+0.8+2.2+0.4M)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净居亮居改造（3.8*3.47M，砖砌隔墙+墙面粉刷+安装铝合金移门+安装吊顶6*3.8M）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净居亮居改造，砖砌隔墙、粉刷隔墙墙面、安装铝合金移门、吊顶；整体环境符合无障碍国标，需自行上门勘察。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无障碍墙扶手（3.4+1.4+0.6+3.8M）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照面线路改造（双控电线25M）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更换残疾人房间中老旧线路，线路用PVC管包裹，沿房间墙角平整走线，并在合理位置安装开关插座等改善房间照明。</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照面线路改造（6.8*19M，拆除原线路+重新铺设线路+灯具6盏）</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更换残疾人房间中老旧线路，线路用PVC管包裹，沿房间墙角平整走线，并在合理位置安装吸顶灯、LED灯、ABS材质的可调光小夜灯、开关插座等改善房间照明。</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209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不锈钢护栏（1.6+1.6M）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无障碍墙扶手（3.5+0.8+1.6M）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211</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无障碍墙扶手（3.9M）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电动上下肢康复训练器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cs="宋体"/>
                <w:color w:val="000000" w:themeColor="text1"/>
                <w:kern w:val="0"/>
                <w:sz w:val="24"/>
                <w:highlight w:val="none"/>
                <w:u w:val="none"/>
                <w:shd w:val="clear"/>
                <w14:textFill>
                  <w14:solidFill>
                    <w14:schemeClr w14:val="tx1"/>
                  </w14:solidFill>
                </w14:textFill>
              </w:rPr>
              <w:t>◆</w:t>
            </w:r>
            <w:r>
              <w:rPr>
                <w:rFonts w:hint="eastAsia" w:ascii="宋体" w:hAnsi="宋体" w:eastAsia="宋体" w:cs="宋体"/>
                <w:i w:val="0"/>
                <w:iCs w:val="0"/>
                <w:color w:val="000000"/>
                <w:kern w:val="0"/>
                <w:sz w:val="22"/>
                <w:szCs w:val="22"/>
                <w:highlight w:val="none"/>
                <w:u w:val="none"/>
                <w:lang w:val="en-US" w:eastAsia="zh-CN" w:bidi="ar"/>
              </w:rPr>
              <w:t>1、独家首创输出功率可调整，80W-180W可调节；2、多级阻力调整，主动运行模式下，具有8种不同阻力大小供选择；3、采用无极调速、防痉挛模式；4、使用于脑梗中风偏瘫/脑瘫，关节多样化僵硬，截瘫、上下肢发冷麻痹，四肢瘫痪、四肢发冷麻痹神经絮乱等患者使用。</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16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213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厨房改造(2M橱柜+阻燃台面挖孔+嵌入式燃气灶+安装油烟机+油烟机开孔+墙面封补0.7*65M+原窗拆除+窗框修复+安装铝合金窗+外接电线30M）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按残疾人身高定制成套橱柜（含大理石台面）高度，提供配套燃气灶、油烟机、油烟机开孔，封补墙面、修复窗框、安装铝合金窗；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214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卫生间改造（安装热水器+接冷热水管+接电线）</w:t>
            </w:r>
          </w:p>
        </w:tc>
        <w:tc>
          <w:tcPr>
            <w:tcW w:w="57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卫生间安装热水器，部分水管、线路也需相应更改，需自行上门勘察。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215</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净居亮居改造（2.9*3.6*高2.2M,铲除原墙面油漆+墙面粉刷+护墙板）</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净居亮居改造，铲除原墙面油漆,重新粉刷改造，安装护墙板；整体环境符合无障碍国标，需自行上门勘察。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216</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照面线路改造（7.3*3.8M，拆除原线路+重新铺设线路+灯具2盏）</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更换残疾人房间中老旧线路，线路用PVC管包裹，沿房间墙角平整走线，并在合理位置安装吸顶灯、LED灯、ABS材质的可调光小夜灯、开关插座等改善房间照明。</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217</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卫生间改造（安装热水器+接冷热水管15M+保温棉包裹+水泥地面挖掘+铺设排污管道+浇筑地坪+地漏+更换座便器+安装淋浴套装）</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卫生间挖掘水泥地面，铺设排污管，浇筑水泥地面，安装热水器、淋浴套装，更换座便器，部分水管、线路也需相应更改，需自行上门勘察。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218</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门口台阶钢铁坡道（长4M*宽1.3M）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根据现场环境定制钢制坡道，表面防滑处理。</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219</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新建卫生间（1.5*2*高2.6M，防水处理+防滑地砖+铺贴墙砖+地漏+安装淋浴套装+热水器+座便器+立柱式台盆+卫生间门及双面门套+吊顶+风暖浴霸+新建卫生间辅材）</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卫生间改造，墙地面做防水处理，铺设防滑地砖、墙砖，安装吊顶、座便器、热水器、淋浴套装、安装台盆及水笼头、卫生间门及门套，部分线路、水管也需相应更改，需自行上门勘察。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220</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照面线路改造（4*8.7M，拆除原线路+重新铺设线路+灯具3盏+外接电线20M+安装吊顶+铲除原墙面油漆+重新粉刷墙面）</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照面线路改造，拆除原线路，根据需求重新铺设线路、安装灯具3盏，铲除原墙面油漆重新粉刷；部分线路也需相应更改；整体环境符合无障碍国标，需自行上门勘察。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楼梯不锈钢护栏（4.5M）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8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222</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厨房改造（1.6M橱柜+阻燃台面挖孔+嵌入式燃气灶+不锈钢水槽含配件）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厨房按残疾人身高定制成套橱柜（含大理石台面）高度，提供配套燃气灶、不锈钢水槽等；部分水管、线路也需相应更改；整体环境符合无障碍国标，需自行上门勘察。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223</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单拐</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1.主体材料为铝合金，上下肢管壁厚均: Ф22*1.2，表面亮银色阳极氧化，强度高，承重量大；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2.手柄为优质ABS防滑手柄，耐用，光滑，手感好，无毒，符合环保要求；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3.高度可调节，为九孔按钮式，分十档，每档高度调节2.5cm；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拐杖高度71.5-94cm可调。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4.支脚垫为高品质橡塑材料，可替换，弹性好、耐磨擦、使用寿命长。</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ascii="宋体" w:hAnsi="宋体"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224</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新建卫生间（1.7*2.2*高2.6M，防水处理+防滑地砖+铺贴墙砖+安装地漏、立柱式台盆+淋浴套装+安装卫生间门及双面门套+座便器+铝合金窗+新建卫生间辅材）</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卫生间改造，墙地面做防水处理，铺设防滑地砖、墙砖，安装吊顶、座便器、热水器、淋浴套装、安装台盆及水笼头、卫生间门及门套、铝合金窗等，部分线路、水管也需相应更改，需自行上门勘察。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225</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橡胶坡道（1.5cm）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规格：宽100CM，高强度ABS材质，两面坡。</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226</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居家改造（居家监控2套+线路改造5M）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居家改造，根据室内环境在指定位置安装监控，便于家人查看家中环境。</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227</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卫生间改造（1.1*0.85M，拆除蹲坑+清运垃圾+铺贴防滑地砖+墙砖+铺设排污管+安装座便器）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卫生间拆除原蹲坑，重新铺设防滑地砖、墙砖、排污管等，安装座便器，不分水管也需相应更改，需自行上门勘察。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228</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无障碍墙扶手（0.3+2.9+0.8+2+1+3.6M）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229</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厨房改造（更换嵚入式燃气灶）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厨房改造，根据现场环境更换嵌入式燃气灶；整体环境符合无障碍国标，需自行上门勘察。</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230</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照面线路改造（7.8*12.7M，拆除原线路+重新铺设线路+灯具5盏）</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更换残疾人房间中老旧线路，线路用PVC管包裹，沿房间墙角平整走线，并在合理位置安装吸顶灯、LED灯、ABS材质的可调光小夜灯、开关插座等改善房间照明。</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项</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231</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无障碍墙扶手（1.7+2.9M）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主体颜色为白黄两色可选，表面抗菌尼龙，有防滑凸点，具有保温，抗菌功能。内部金属管龙骨。整体直径3.5CM，龙骨直径2.5cm。</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232</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橡胶坡道（5cm)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规格：宽100CM，高强度ABS材质，两面坡。</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233</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坐便架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color w:val="000000" w:themeColor="text1"/>
                <w:kern w:val="0"/>
                <w:sz w:val="24"/>
                <w:highlight w:val="none"/>
                <w:u w:val="none"/>
                <w:shd w:val="clear"/>
                <w14:textFill>
                  <w14:solidFill>
                    <w14:schemeClr w14:val="tx1"/>
                  </w14:solidFill>
                </w14:textFill>
              </w:rPr>
              <w:t>◆</w:t>
            </w:r>
            <w:r>
              <w:rPr>
                <w:rFonts w:hint="eastAsia" w:ascii="宋体" w:hAnsi="宋体" w:eastAsia="宋体" w:cs="宋体"/>
                <w:i w:val="0"/>
                <w:iCs w:val="0"/>
                <w:color w:val="000000"/>
                <w:kern w:val="0"/>
                <w:sz w:val="22"/>
                <w:szCs w:val="22"/>
                <w:highlight w:val="none"/>
                <w:u w:val="none"/>
                <w:lang w:val="en-US" w:eastAsia="zh-CN" w:bidi="ar"/>
              </w:rPr>
              <w:t>产品尺寸:640*460*565-715(高度6档调节)；产品材质:PP+钢管组装式支架；挂手架高强度碳钢管焊接而成，扶手架整体喷塑处理不易生锈；管内留有排水孔、防止管内储水生锈；快手可上翻收起、扶手盖PP材质+抑菌剂抑制细菌增长。产品承重100kg以上。</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234</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钢条腰围</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适用范围：各种运动、腰部不适；产品材质：锦纶、氯丁橡胶、塑钢等</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235</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日常辅助用具</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1.四大训练领域：基础能力训练、认知能力训练、社交能力训练、执行能力训练。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2.基础能力训练是以游戏形式展现的一套教育康复基础课程，至少包含55个训练项目，涵盖听指令、模仿、感官训练、互联注意等四大类别。（提供演示）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3.认知能力训练是通过认知能力的训练，提升儿童的认知事物的能力，至少包含52个训练项目，涵盖配对、分类、序列、对比、因果、数学等六大类别。（提供演示）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4.社交能力训练通过社交沟通训练，提升儿童在生活中的社交能力，至少包含20个训练项目，涵盖社交故事、社交技巧两大类别。（提供演示）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5.执行能力训练用于提升儿童在生活中的执行能力，至少包含27个训练项目，涵盖了思维流畅性、心理定势转换、抑制控制、记忆刷新等四大类别。（提供演示）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6.每个康复训练项目完成后都可以根据儿童完成情况对训练结果进行评估，评估等级分为：P、E、F三个等级。（提供演示）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7.每个康复训练项目都会标注儿童的适合年龄段。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8.每个康复训练项目可以收藏到个人中心中，方便康复训练。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9.个人中心可以管理我的信息、查看我的成绩、查看我的收藏。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10、我的成绩系统自动记录每一次康复训练的时间和成绩。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11.用户验证方式包括手机短信验证或邮箱验证，确保安全和隐私。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12.机构用户可以管理机构信息、管理机构内学生。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13.学生管理可以单独申请学生账号，也可以批量导入学生账号信息。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14.系统支持多端操作，支持PC端和安卓移动端，配套专业APP。</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236</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儿童生活自助具</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主要包括防洒碗、缺口杯、扣带可调直头勺、扣带可调弯头勺、粗柄直头勺、粗柄弯头勺。1、 特种勺、防洒碗、缺口杯主要用于各种上肢及神经系统功能有障碍的残疾人、儿童等手部握力不足的人群使用的日常实用的餐具。2、 塑料材质。3、 扣带可调粗柄餐具餐勺为塑料柄，不锈钢头，长15+—1CM,把手直径2.5—3CM，重量60g。</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237</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智能沟通训练仪</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语音模式：1、采用标准普通话录音，语音清晰，录音能做到随洗随录；2、用户可自选卡片进行录音，每格录音最长为8秒，可录音总时长约为8分钟，所录的语音不随电池用尽或关机而消失；卡片说明：1、附有100张彩色沟通版面卡片，分为一格、二格、四格和八格四种类型。按内容所属可分为食物类、动物类、学习用品类、情绪类等等。2、共有20张空白的卡片，卡片可配合图文精灵软件使用； 图文精灵软件：通过图文精灵软件用户可自由编辑个性化训练方案；七阶段的全套训练方案，提供各阶段训练参考；体型轻巧携带方便，符合儿童身体力学；沟通板可外接耳机或功放，以适用于不同障碍人士要求使用；电源使用内装3节5号电池供电，方便更换。</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238</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防滑地垫（1.73*2.2M）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规格：根据尺寸定制.塑胶材质，表面防滑，底部带吸附功能。</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3.8</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平米</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239</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系列哑铃</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10KG一副；重量自由调节；环保PVC材质，安全耐用；加厚泡沫棉握把，安全减压。</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240</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不锈钢护栏（2M）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不锈钢材质，根据现场测量，定制。</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米</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241</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便携式斜坡板（2.8M）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规格：宽81，长度2.8M；参数：铝合金材料，坡面防滑，重量10KG，承重200KG。</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块</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242</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定制窗帘（2*2.5M）</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全遮阳（90%）布帘，打孔安装，尺寸按实计算。</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平米</w:t>
            </w:r>
          </w:p>
        </w:tc>
      </w:tr>
      <w:tr>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243</w:t>
            </w:r>
          </w:p>
        </w:tc>
        <w:tc>
          <w:tcPr>
            <w:tcW w:w="2190"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防走失手环</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传输模式：NB/4G/WiFi/蓝牙/zigbee；SOS一建求救，可用手机电话语音、短信、微信公众号等多种手段，同时向其监护人、子女、社区等提供报警相关信息。</w:t>
            </w:r>
          </w:p>
        </w:tc>
        <w:tc>
          <w:tcPr>
            <w:tcW w:w="595"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FFFFCC"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块</w:t>
            </w:r>
          </w:p>
        </w:tc>
      </w:tr>
    </w:tbl>
    <w:p>
      <w:pPr>
        <w:spacing w:line="360" w:lineRule="auto"/>
        <w:rPr>
          <w:rFonts w:ascii="宋体" w:hAnsi="宋体" w:cs="宋体"/>
          <w:b/>
          <w:szCs w:val="21"/>
          <w:highlight w:val="none"/>
        </w:rPr>
      </w:pPr>
      <w:r>
        <w:rPr>
          <w:rFonts w:hint="eastAsia" w:ascii="宋体" w:hAnsi="宋体" w:cs="宋体"/>
          <w:b/>
          <w:szCs w:val="21"/>
          <w:highlight w:val="none"/>
        </w:rPr>
        <w:t>备注：1、本次磋商的产品目录供全区1</w:t>
      </w:r>
      <w:r>
        <w:rPr>
          <w:rFonts w:hint="eastAsia" w:ascii="宋体" w:hAnsi="宋体" w:cs="宋体"/>
          <w:b/>
          <w:szCs w:val="21"/>
          <w:highlight w:val="none"/>
          <w:lang w:val="en-US" w:eastAsia="zh-CN"/>
        </w:rPr>
        <w:t>09</w:t>
      </w:r>
      <w:r>
        <w:rPr>
          <w:rFonts w:hint="eastAsia" w:ascii="宋体" w:hAnsi="宋体" w:cs="宋体"/>
          <w:b/>
          <w:szCs w:val="21"/>
          <w:highlight w:val="none"/>
        </w:rPr>
        <w:t>户残疾人家庭适配使用，磋商价格为产品单价，具体数量按实际数量计算，项目总预算为人民币</w:t>
      </w:r>
      <w:r>
        <w:rPr>
          <w:rFonts w:hint="eastAsia" w:ascii="宋体" w:hAnsi="宋体" w:cs="宋体"/>
          <w:b w:val="0"/>
          <w:bCs/>
          <w:color w:val="auto"/>
          <w:szCs w:val="21"/>
          <w:highlight w:val="none"/>
          <w:shd w:val="clear" w:color="FFFFFF" w:fill="D9D9D9"/>
        </w:rPr>
        <w:t>10</w:t>
      </w:r>
      <w:r>
        <w:rPr>
          <w:rFonts w:hint="eastAsia" w:ascii="宋体" w:hAnsi="宋体" w:cs="宋体"/>
          <w:b w:val="0"/>
          <w:bCs/>
          <w:color w:val="auto"/>
          <w:szCs w:val="21"/>
          <w:highlight w:val="none"/>
          <w:shd w:val="clear" w:color="FFFFFF" w:fill="D9D9D9"/>
          <w:lang w:val="en-US" w:eastAsia="zh-CN"/>
        </w:rPr>
        <w:t>5</w:t>
      </w:r>
      <w:r>
        <w:rPr>
          <w:rFonts w:hint="eastAsia" w:ascii="宋体" w:hAnsi="宋体" w:cs="宋体"/>
          <w:b/>
          <w:szCs w:val="21"/>
          <w:highlight w:val="none"/>
        </w:rPr>
        <w:t>万元整。报价需含上门筛查费、送货上门、安装调试、售后服务、档案填写、税费、代理服务费等所有一切费用。</w:t>
      </w:r>
    </w:p>
    <w:p>
      <w:pPr>
        <w:spacing w:line="360" w:lineRule="auto"/>
        <w:rPr>
          <w:rFonts w:ascii="宋体" w:hAnsi="宋体" w:cs="宋体"/>
          <w:b/>
          <w:szCs w:val="21"/>
          <w:highlight w:val="none"/>
        </w:rPr>
      </w:pPr>
      <w:r>
        <w:rPr>
          <w:rFonts w:hint="eastAsia" w:ascii="宋体" w:hAnsi="宋体" w:cs="宋体"/>
          <w:b/>
          <w:szCs w:val="21"/>
          <w:highlight w:val="none"/>
        </w:rPr>
        <w:t>2、如残疾人特殊需要，但此目录内没有的产品，由采购人与中标人根据目录内相似产品协商定价。</w:t>
      </w:r>
    </w:p>
    <w:p>
      <w:pPr>
        <w:spacing w:line="360" w:lineRule="auto"/>
        <w:rPr>
          <w:rFonts w:ascii="宋体" w:hAnsi="宋体" w:cs="宋体"/>
          <w:b/>
          <w:szCs w:val="21"/>
          <w:highlight w:val="none"/>
        </w:rPr>
      </w:pPr>
      <w:r>
        <w:rPr>
          <w:rFonts w:hint="eastAsia" w:ascii="宋体" w:hAnsi="宋体" w:cs="宋体"/>
          <w:b/>
          <w:szCs w:val="21"/>
          <w:highlight w:val="none"/>
        </w:rPr>
        <w:t>3、视频演示视频储存介质为U盘，视频格式为MP4，每项演示时间控制在3分钟以内。在投标截止时间前送达（或邮寄）</w:t>
      </w:r>
      <w:r>
        <w:rPr>
          <w:rFonts w:hint="eastAsia" w:ascii="宋体" w:hAnsi="宋体" w:cs="宋体"/>
          <w:b/>
          <w:szCs w:val="21"/>
          <w:highlight w:val="none"/>
          <w:lang w:eastAsia="zh-CN"/>
        </w:rPr>
        <w:t>杭州市临安区筑境花园19幢107</w:t>
      </w:r>
      <w:r>
        <w:rPr>
          <w:rFonts w:hint="eastAsia" w:ascii="宋体" w:hAnsi="宋体" w:cs="宋体"/>
          <w:b/>
          <w:szCs w:val="21"/>
          <w:highlight w:val="none"/>
        </w:rPr>
        <w:t>，收件人</w:t>
      </w:r>
      <w:r>
        <w:rPr>
          <w:rFonts w:hint="eastAsia" w:ascii="宋体" w:hAnsi="宋体" w:cs="宋体"/>
          <w:b/>
          <w:szCs w:val="21"/>
          <w:highlight w:val="none"/>
          <w:lang w:val="en-US" w:eastAsia="zh-CN"/>
        </w:rPr>
        <w:t>朗工</w:t>
      </w:r>
      <w:r>
        <w:rPr>
          <w:rFonts w:hint="eastAsia" w:ascii="宋体" w:hAnsi="宋体" w:cs="宋体"/>
          <w:b/>
          <w:szCs w:val="21"/>
          <w:highlight w:val="none"/>
        </w:rPr>
        <w:t>，联系电话</w:t>
      </w:r>
      <w:r>
        <w:rPr>
          <w:rFonts w:hint="eastAsia" w:ascii="宋体" w:hAnsi="宋体" w:cs="宋体"/>
          <w:b/>
          <w:szCs w:val="21"/>
          <w:highlight w:val="none"/>
          <w:lang w:val="en-US" w:eastAsia="zh-CN"/>
        </w:rPr>
        <w:t>0571-61111188</w:t>
      </w:r>
      <w:r>
        <w:rPr>
          <w:rFonts w:hint="eastAsia" w:ascii="宋体" w:hAnsi="宋体" w:cs="宋体"/>
          <w:b/>
          <w:szCs w:val="21"/>
          <w:highlight w:val="none"/>
        </w:rPr>
        <w:t>。</w:t>
      </w:r>
    </w:p>
    <w:p>
      <w:pPr>
        <w:spacing w:line="360" w:lineRule="auto"/>
        <w:rPr>
          <w:rFonts w:ascii="宋体" w:hAnsi="宋体" w:cs="宋体"/>
          <w:b/>
          <w:bCs/>
          <w:sz w:val="24"/>
          <w:highlight w:val="none"/>
        </w:rPr>
      </w:pPr>
    </w:p>
    <w:p>
      <w:pPr>
        <w:spacing w:line="360" w:lineRule="auto"/>
        <w:rPr>
          <w:rFonts w:ascii="宋体" w:hAnsi="宋体" w:cs="宋体"/>
          <w:b/>
          <w:bCs/>
          <w:sz w:val="24"/>
          <w:highlight w:val="none"/>
        </w:rPr>
      </w:pPr>
      <w:r>
        <w:rPr>
          <w:rFonts w:hint="eastAsia" w:ascii="宋体" w:hAnsi="宋体" w:cs="宋体"/>
          <w:b/>
          <w:bCs/>
          <w:sz w:val="24"/>
          <w:highlight w:val="none"/>
        </w:rPr>
        <w:t>八、项目实施要求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1、需求评估：中标单位按照采购人提供无障碍改造名单，根据改造对象残疾类别、经费标准、实际需求等情况完成改造评估设计，填写《“</w:t>
      </w:r>
      <w:r>
        <w:rPr>
          <w:rFonts w:hint="eastAsia" w:ascii="宋体" w:hAnsi="宋体" w:cs="宋体"/>
          <w:sz w:val="24"/>
          <w:highlight w:val="none"/>
          <w:lang w:eastAsia="zh-CN"/>
        </w:rPr>
        <w:t>2024年度临安区困难残疾人家庭无障碍改造项目</w:t>
      </w:r>
      <w:r>
        <w:rPr>
          <w:rFonts w:hint="eastAsia" w:ascii="宋体" w:hAnsi="宋体" w:cs="宋体"/>
          <w:sz w:val="24"/>
          <w:highlight w:val="none"/>
        </w:rPr>
        <w:t>”评估设计验收表》，并制作残疾人家庭无障碍改造项目需求清单，由乡镇（街道）审核确认。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施工改造：残疾人家庭无障碍设施建设与改造，必须符合国家工程建设有关规范和无障碍设施建设的要求，参照《无障碍设计规范》等有关标准执行，并充分考虑和听取残疾人的意见与建议，尽量满足残疾人个性化需求，做到严控质量、文明施工、规范建设、确保安全。项目施工时，应具备经当地残联同意的项目申报审批表；项目区域原始图、设计图和效果图（涉及结构安全的，应取得原设计单位或相应资质设计单位的审核同意）；实施对象签署的意见；施工方施工协议书等材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3、项目质量满意度要求，根据残疾人家庭无障碍改造和辅具器具项目清单，由残疾人家庭对中标单位改造质量和辅具器具质量进行评价，满意度必须达到100%，否则中标单位需进行整改到位后重新进行评价。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项目验收，辅具由采购人组织专家集中验收，验收合格后方可进场安装施工，验收费由中标人承担。改造材料进场后需经改造对象、属地乡镇（街道）对照招标文件清单中的技术要求进行验收，验收合格后方可进行施工。中标单位施工完成后，及时上报工程决算明细等有关材料，由属地乡镇（街道）对项目改造质量和完成情况进行初审验收。采购人按不少于 5%的比例进行抽查</w:t>
      </w:r>
      <w:r>
        <w:rPr>
          <w:rFonts w:hint="eastAsia" w:ascii="宋体" w:hAnsi="宋体" w:cs="宋体"/>
          <w:highlight w:val="none"/>
        </w:rPr>
        <w:t>。根</w:t>
      </w:r>
      <w:r>
        <w:rPr>
          <w:rFonts w:hint="eastAsia" w:ascii="宋体" w:hAnsi="宋体" w:cs="宋体"/>
          <w:sz w:val="24"/>
          <w:highlight w:val="none"/>
        </w:rPr>
        <w:t xml:space="preserve">据验收报告支付相应合同款。残疾人家庭与中标单位签署设施维护和安全使用协议。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5.、档案管理。中标单位要建立无障碍改造残疾人户“一户一档”纸质和电子改造档案。新建、 收集、整理和保存好入户评估方案、设计图纸、工程概算、改造前后对比照片、施工方案、施工图纸、 工程决算等一系列资料。</w:t>
      </w:r>
    </w:p>
    <w:p>
      <w:pPr>
        <w:spacing w:line="360" w:lineRule="auto"/>
        <w:rPr>
          <w:rFonts w:ascii="宋体" w:hAnsi="宋体" w:cs="宋体"/>
          <w:b/>
          <w:bCs/>
          <w:sz w:val="24"/>
          <w:highlight w:val="none"/>
        </w:rPr>
      </w:pPr>
      <w:r>
        <w:rPr>
          <w:rFonts w:hint="eastAsia" w:ascii="宋体" w:hAnsi="宋体" w:cs="宋体"/>
          <w:sz w:val="24"/>
          <w:highlight w:val="none"/>
        </w:rPr>
        <w:t>6、中标方应加强“无障碍设施进家庭”的宣传，需完成不少二篇县级及以上媒体的宣传报道。</w:t>
      </w:r>
    </w:p>
    <w:p>
      <w:pPr>
        <w:spacing w:line="360" w:lineRule="auto"/>
        <w:rPr>
          <w:rFonts w:ascii="宋体" w:hAnsi="宋体" w:cs="宋体"/>
          <w:b/>
          <w:bCs/>
          <w:sz w:val="24"/>
          <w:highlight w:val="none"/>
        </w:rPr>
      </w:pPr>
      <w:r>
        <w:rPr>
          <w:rFonts w:hint="eastAsia" w:ascii="宋体" w:hAnsi="宋体" w:cs="宋体"/>
          <w:b/>
          <w:bCs/>
          <w:sz w:val="24"/>
          <w:highlight w:val="none"/>
        </w:rPr>
        <w:t>九、售后服务要求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1、质保期限：免费质保期自交付安装并通过验收之日起不少于 1 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（1）免费质保期内，如因修理货物或更换部件，而非人为因素出现故障而造成短期停用时，则免费质保期相应顺延。如停用时间累计超过 20 天，则货物免费质保期重新计算。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（2）免费质保期内，残疾人家庭无须自行付费，中标供应商负责修理和替换任何由于货物自身的质量问题造成的损坏及故障。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（3）中标供应商在免费质保期内安装（更换）的任何零配件，必须是货物制造商原产的或是经残疾人家庭认可的。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（4）所有的替代零配件必须是新的未使用和未经修复的,除非最终用户提供书面许可，否则不可使用此范围外的其他（非新的）配件。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（5）中标人必须有可靠的售后服务保障，包括但不限于在杭州地区有固定的维修服务点，能提供正常的技术、备品备件服务。当发生故障时，中标人在接到采购单位通知后，2小时内响应，4 小时内派人赴现场处理设备质量问题。24 小时内不能修复的，则无偿提供备机或备用零件供采购单位使用。</w:t>
      </w:r>
    </w:p>
    <w:p>
      <w:pPr>
        <w:spacing w:line="360" w:lineRule="auto"/>
        <w:rPr>
          <w:rFonts w:ascii="宋体" w:hAnsi="宋体" w:cs="宋体"/>
          <w:b/>
          <w:bCs/>
          <w:sz w:val="24"/>
          <w:highlight w:val="none"/>
        </w:rPr>
      </w:pPr>
      <w:r>
        <w:rPr>
          <w:rFonts w:hint="eastAsia" w:ascii="宋体" w:hAnsi="宋体" w:cs="宋体"/>
          <w:b/>
          <w:bCs/>
          <w:sz w:val="24"/>
          <w:highlight w:val="none"/>
        </w:rPr>
        <w:t>九、其他要求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1、本项目安装所需的线缆、及其它材料与附件采用包干方式，项目实施过程中合同价格不予调整，投标人可自行现场勘察，以求得准确的报价依据，报价时投标人应考虑该风险。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2、评估费用须包含在清单各类货物的预算单价内，在报价的时候供应商须综合考虑，采购人不再另外支付。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3、实际服务过程中如遇临时加急加班情况，中标单位须积极配合，不得拒绝。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4、除非另有规定，投标人所报价格在合同实施期间应保持不变，均不受市场价格及政策性价格的调整而增减。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5、本项目所涉及的改造清单，投标人尽量选择知名度较高的品牌。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6、中标单位要保证所有工程的质量。采购人将不定期抽检，如发现质量不合格，或因质量问题造成损失，其中标资格将被取消，没收履约保证金，并承担责任。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7、中标单位合同签订前须配备具有相关资质的评估人员及施工团队，否则其中标资格将被取消，履约保证金将被没收。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8、投标单位投标时，还需提供本项目改造所涉及到的设备、设施详细清单（越细化越好），提供市场价，供采购人参考。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9、改造设备如涉及二类医疗器械，如投标单位不具有二类医疗器械经营备案证明，则需委托具有二类医疗器械经营备案证明的单位进行相关经营活动。</w:t>
      </w:r>
    </w:p>
    <w:p>
      <w:pPr>
        <w:spacing w:line="360" w:lineRule="auto"/>
        <w:rPr>
          <w:rFonts w:ascii="宋体" w:hAnsi="宋体" w:cs="宋体"/>
          <w:b/>
          <w:bCs/>
          <w:sz w:val="24"/>
          <w:highlight w:val="none"/>
        </w:rPr>
      </w:pPr>
      <w:r>
        <w:rPr>
          <w:rFonts w:hint="eastAsia" w:ascii="宋体" w:hAnsi="宋体" w:cs="宋体"/>
          <w:b/>
          <w:bCs/>
          <w:sz w:val="24"/>
          <w:highlight w:val="none"/>
        </w:rPr>
        <w:t>十、商务要求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1、工期：202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 xml:space="preserve"> 月 </w:t>
      </w:r>
      <w:r>
        <w:rPr>
          <w:rFonts w:hint="eastAsia" w:ascii="宋体" w:hAnsi="宋体" w:cs="宋体"/>
          <w:sz w:val="24"/>
          <w:highlight w:val="none"/>
          <w:lang w:val="en-US" w:eastAsia="zh-CN"/>
        </w:rPr>
        <w:t>31</w:t>
      </w:r>
      <w:r>
        <w:rPr>
          <w:rFonts w:hint="eastAsia" w:ascii="宋体" w:hAnsi="宋体" w:cs="宋体"/>
          <w:sz w:val="24"/>
          <w:highlight w:val="none"/>
        </w:rPr>
        <w:t xml:space="preserve"> 日前供货安装调试完毕并交付使用，同时项目须通过采购方验收。项目完成后需提供完整残疾人家庭改造纸质和电子档案。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2、验收方式：采购人在部分或全部改造完成后进行实地验收，由属地乡镇（街道）对项目改造质量和完成情况进行初审验收。采购人按不少于 5%的比例进行抽查，根据验收报告支付相应合同款。若因质量问题导致验收不合格，中标单位应及时予以处理，直至验收合格，期间发生的一切相关费用由中标单位承担，若因质量问题导致项目超过二次不能验收合格，采购人有权选择退货，并保留向中标单位索赔的权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3、付款方式：</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3.1本项目的履约保证金可采用转账或履约保函形式按合同总价的1%收取，中标人在合同签订后7个工作日缴纳，履约期结束后10个工作日内无息退还。</w:t>
      </w:r>
    </w:p>
    <w:p>
      <w:pPr>
        <w:widowControl/>
        <w:adjustRightInd/>
        <w:jc w:val="left"/>
        <w:rPr>
          <w:rFonts w:cs="仿宋_GB2312" w:asciiTheme="minorEastAsia" w:hAnsiTheme="minorEastAsia" w:eastAsiaTheme="minorEastAsia"/>
          <w:b/>
          <w:sz w:val="36"/>
          <w:szCs w:val="36"/>
          <w:highlight w:val="none"/>
        </w:rPr>
      </w:pPr>
      <w:r>
        <w:rPr>
          <w:rFonts w:hint="eastAsia" w:ascii="宋体" w:hAnsi="宋体" w:cs="宋体"/>
          <w:sz w:val="24"/>
          <w:highlight w:val="none"/>
        </w:rPr>
        <w:t xml:space="preserve">    3.2合同签订后中标供应商进入现场实施准备工作，并获得采购人认可后10个工作日内支付合同总价款的40%，项目全部交付并验收合格后15个工作日内支付总价款剩余的60%。</w:t>
      </w:r>
      <w:r>
        <w:rPr>
          <w:rFonts w:hint="eastAsia" w:ascii="宋体" w:hAnsi="宋体" w:cs="宋体"/>
          <w:sz w:val="24"/>
          <w:highlight w:val="none"/>
        </w:rPr>
        <w:br w:type="page"/>
      </w:r>
    </w:p>
    <w:p>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 xml:space="preserve">第五部分  </w:t>
      </w:r>
      <w:bookmarkEnd w:id="55"/>
      <w:bookmarkEnd w:id="56"/>
      <w:bookmarkStart w:id="57" w:name="第四部分"/>
      <w:r>
        <w:rPr>
          <w:rFonts w:hint="eastAsia" w:cs="仿宋_GB2312" w:asciiTheme="minorEastAsia" w:hAnsiTheme="minorEastAsia" w:eastAsiaTheme="minorEastAsia"/>
          <w:b/>
          <w:sz w:val="36"/>
          <w:szCs w:val="36"/>
          <w:highlight w:val="none"/>
        </w:rPr>
        <w:t>评审方法及评审标准</w:t>
      </w:r>
    </w:p>
    <w:p>
      <w:pPr>
        <w:pStyle w:val="393"/>
        <w:spacing w:before="0"/>
        <w:ind w:firstLine="643"/>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评审方法前附表</w:t>
      </w:r>
    </w:p>
    <w:tbl>
      <w:tblPr>
        <w:tblStyle w:val="60"/>
        <w:tblW w:w="9578" w:type="dxa"/>
        <w:jc w:val="center"/>
        <w:tblLayout w:type="fixed"/>
        <w:tblCellMar>
          <w:top w:w="0" w:type="dxa"/>
          <w:left w:w="108" w:type="dxa"/>
          <w:bottom w:w="0" w:type="dxa"/>
          <w:right w:w="108" w:type="dxa"/>
        </w:tblCellMar>
      </w:tblPr>
      <w:tblGrid>
        <w:gridCol w:w="825"/>
        <w:gridCol w:w="1197"/>
        <w:gridCol w:w="6681"/>
        <w:gridCol w:w="875"/>
      </w:tblGrid>
      <w:tr>
        <w:tblPrEx>
          <w:tblCellMar>
            <w:top w:w="0" w:type="dxa"/>
            <w:left w:w="108" w:type="dxa"/>
            <w:bottom w:w="0" w:type="dxa"/>
            <w:right w:w="108" w:type="dxa"/>
          </w:tblCellMar>
        </w:tblPrEx>
        <w:trPr>
          <w:trHeight w:val="48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序号</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评分内容</w:t>
            </w:r>
          </w:p>
        </w:tc>
        <w:tc>
          <w:tcPr>
            <w:tcW w:w="6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评审细则</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分值</w:t>
            </w:r>
          </w:p>
        </w:tc>
      </w:tr>
      <w:tr>
        <w:tblPrEx>
          <w:tblCellMar>
            <w:top w:w="0" w:type="dxa"/>
            <w:left w:w="108" w:type="dxa"/>
            <w:bottom w:w="0" w:type="dxa"/>
            <w:right w:w="108" w:type="dxa"/>
          </w:tblCellMar>
        </w:tblPrEx>
        <w:trPr>
          <w:trHeight w:val="576"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业绩情况</w:t>
            </w:r>
          </w:p>
        </w:tc>
        <w:tc>
          <w:tcPr>
            <w:tcW w:w="6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202</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年1月1以来具有类似项目业绩，每提供一份合同的，得1分，最高不超过</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分。提供合同扫描件。</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rPr>
              <w:t>0-</w:t>
            </w:r>
            <w:r>
              <w:rPr>
                <w:rFonts w:hint="eastAsia" w:ascii="宋体" w:hAnsi="宋体" w:cs="宋体"/>
                <w:color w:val="000000"/>
                <w:kern w:val="0"/>
                <w:sz w:val="24"/>
                <w:highlight w:val="none"/>
                <w:lang w:val="en-US" w:eastAsia="zh-CN"/>
              </w:rPr>
              <w:t>2</w:t>
            </w:r>
          </w:p>
        </w:tc>
      </w:tr>
      <w:tr>
        <w:tblPrEx>
          <w:tblCellMar>
            <w:top w:w="0" w:type="dxa"/>
            <w:left w:w="108" w:type="dxa"/>
            <w:bottom w:w="0" w:type="dxa"/>
            <w:right w:w="108" w:type="dxa"/>
          </w:tblCellMar>
        </w:tblPrEx>
        <w:trPr>
          <w:trHeight w:val="576"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2</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企业资质</w:t>
            </w:r>
          </w:p>
        </w:tc>
        <w:tc>
          <w:tcPr>
            <w:tcW w:w="6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具有医疗器械生产许可证或医疗器械经营许可证或医疗器械备案凭证的，得2分。提供证书扫描件</w:t>
            </w:r>
          </w:p>
        </w:tc>
        <w:tc>
          <w:tcPr>
            <w:tcW w:w="8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0-2</w:t>
            </w:r>
          </w:p>
        </w:tc>
      </w:tr>
      <w:tr>
        <w:tblPrEx>
          <w:tblCellMar>
            <w:top w:w="0" w:type="dxa"/>
            <w:left w:w="108" w:type="dxa"/>
            <w:bottom w:w="0" w:type="dxa"/>
            <w:right w:w="108" w:type="dxa"/>
          </w:tblCellMar>
        </w:tblPrEx>
        <w:trPr>
          <w:trHeight w:val="413"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sz w:val="24"/>
                <w:highlight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sz w:val="24"/>
                <w:highlight w:val="none"/>
              </w:rPr>
            </w:pPr>
          </w:p>
        </w:tc>
        <w:tc>
          <w:tcPr>
            <w:tcW w:w="6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具有建筑装饰装修工程专业承包贰级</w:t>
            </w:r>
            <w:r>
              <w:rPr>
                <w:rFonts w:hint="eastAsia" w:ascii="宋体" w:hAnsi="宋体" w:cs="宋体"/>
                <w:color w:val="000000"/>
                <w:kern w:val="0"/>
                <w:sz w:val="24"/>
                <w:highlight w:val="none"/>
                <w:lang w:val="en-US" w:eastAsia="zh-CN"/>
              </w:rPr>
              <w:t>及以上</w:t>
            </w:r>
            <w:r>
              <w:rPr>
                <w:rFonts w:hint="eastAsia" w:ascii="宋体" w:hAnsi="宋体" w:cs="宋体"/>
                <w:color w:val="000000"/>
                <w:kern w:val="0"/>
                <w:sz w:val="24"/>
                <w:highlight w:val="none"/>
              </w:rPr>
              <w:t>资质证书，得2分。</w:t>
            </w:r>
          </w:p>
          <w:p>
            <w:pPr>
              <w:widowControl/>
              <w:spacing w:line="320" w:lineRule="exact"/>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提供证书扫描件</w:t>
            </w:r>
          </w:p>
        </w:tc>
        <w:tc>
          <w:tcPr>
            <w:tcW w:w="8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sz w:val="24"/>
                <w:highlight w:val="none"/>
              </w:rPr>
            </w:pPr>
            <w:r>
              <w:rPr>
                <w:rFonts w:hint="eastAsia" w:ascii="宋体" w:hAnsi="宋体" w:cs="宋体"/>
                <w:color w:val="000000"/>
                <w:sz w:val="24"/>
                <w:highlight w:val="none"/>
              </w:rPr>
              <w:t>0-2</w:t>
            </w:r>
          </w:p>
        </w:tc>
      </w:tr>
      <w:tr>
        <w:tblPrEx>
          <w:tblCellMar>
            <w:top w:w="0" w:type="dxa"/>
            <w:left w:w="108" w:type="dxa"/>
            <w:bottom w:w="0" w:type="dxa"/>
            <w:right w:w="108" w:type="dxa"/>
          </w:tblCellMar>
        </w:tblPrEx>
        <w:trPr>
          <w:trHeight w:val="892"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3</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企业资信</w:t>
            </w:r>
          </w:p>
        </w:tc>
        <w:tc>
          <w:tcPr>
            <w:tcW w:w="668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供应商具有有效期内的ISO9001质量管理体系认证、ISO14001环境管理体系认证、OHSAS45001职业健康安全管理体系认证，每个得1分，最多得3分。（提供体系认证证书扫描件及全国认证认可信息服务平台查询截图，否则不得分）</w:t>
            </w:r>
          </w:p>
        </w:tc>
        <w:tc>
          <w:tcPr>
            <w:tcW w:w="8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0-3</w:t>
            </w:r>
          </w:p>
        </w:tc>
      </w:tr>
      <w:tr>
        <w:tblPrEx>
          <w:tblCellMar>
            <w:top w:w="0" w:type="dxa"/>
            <w:left w:w="108" w:type="dxa"/>
            <w:bottom w:w="0" w:type="dxa"/>
            <w:right w:w="108" w:type="dxa"/>
          </w:tblCellMar>
        </w:tblPrEx>
        <w:trPr>
          <w:trHeight w:val="448"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sz w:val="24"/>
                <w:highlight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sz w:val="24"/>
                <w:highlight w:val="none"/>
              </w:rPr>
            </w:pPr>
          </w:p>
        </w:tc>
        <w:tc>
          <w:tcPr>
            <w:tcW w:w="6681"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具有高新技术企业认证得</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分。</w:t>
            </w:r>
          </w:p>
        </w:tc>
        <w:tc>
          <w:tcPr>
            <w:tcW w:w="87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0-</w:t>
            </w:r>
            <w:r>
              <w:rPr>
                <w:rFonts w:hint="eastAsia" w:ascii="宋体" w:hAnsi="宋体" w:cs="宋体"/>
                <w:color w:val="000000"/>
                <w:sz w:val="24"/>
                <w:highlight w:val="none"/>
                <w:lang w:val="en-US" w:eastAsia="zh-CN"/>
              </w:rPr>
              <w:t>2</w:t>
            </w:r>
          </w:p>
        </w:tc>
      </w:tr>
      <w:tr>
        <w:tblPrEx>
          <w:tblCellMar>
            <w:top w:w="0" w:type="dxa"/>
            <w:left w:w="108" w:type="dxa"/>
            <w:bottom w:w="0" w:type="dxa"/>
            <w:right w:w="108" w:type="dxa"/>
          </w:tblCellMar>
        </w:tblPrEx>
        <w:trPr>
          <w:trHeight w:val="669"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sz w:val="24"/>
                <w:highlight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sz w:val="24"/>
                <w:highlight w:val="none"/>
              </w:rPr>
            </w:pPr>
          </w:p>
        </w:tc>
        <w:tc>
          <w:tcPr>
            <w:tcW w:w="668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投标人获得过省级及以上政府部门奖项的得2分，地市级及以上的得1分。（须提供以上证书扫描件，否则不得分）</w:t>
            </w:r>
          </w:p>
        </w:tc>
        <w:tc>
          <w:tcPr>
            <w:tcW w:w="8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sz w:val="24"/>
                <w:highlight w:val="none"/>
              </w:rPr>
            </w:pPr>
            <w:r>
              <w:rPr>
                <w:rFonts w:hint="eastAsia" w:ascii="宋体" w:hAnsi="宋体" w:cs="宋体"/>
                <w:color w:val="000000"/>
                <w:sz w:val="24"/>
                <w:highlight w:val="none"/>
              </w:rPr>
              <w:t>0-2</w:t>
            </w:r>
          </w:p>
        </w:tc>
      </w:tr>
      <w:tr>
        <w:tblPrEx>
          <w:tblCellMar>
            <w:top w:w="0" w:type="dxa"/>
            <w:left w:w="108" w:type="dxa"/>
            <w:bottom w:w="0" w:type="dxa"/>
            <w:right w:w="108" w:type="dxa"/>
          </w:tblCellMar>
        </w:tblPrEx>
        <w:trPr>
          <w:trHeight w:val="14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4</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技术参数</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指标响应</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性</w:t>
            </w:r>
          </w:p>
        </w:tc>
        <w:tc>
          <w:tcPr>
            <w:tcW w:w="6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投标产品的基本功能、技术指标与需求的满足情况：全部满足招标文件明确的功能、性能和技术指标要求，得</w:t>
            </w:r>
            <w:r>
              <w:rPr>
                <w:rFonts w:hint="eastAsia" w:ascii="宋体" w:hAnsi="宋体" w:cs="宋体"/>
                <w:color w:val="000000"/>
                <w:kern w:val="0"/>
                <w:sz w:val="24"/>
                <w:highlight w:val="none"/>
                <w:lang w:val="en-US" w:eastAsia="zh-CN"/>
              </w:rPr>
              <w:t>25</w:t>
            </w:r>
            <w:r>
              <w:rPr>
                <w:rFonts w:hint="eastAsia" w:ascii="宋体" w:hAnsi="宋体" w:cs="宋体"/>
                <w:color w:val="000000"/>
                <w:kern w:val="0"/>
                <w:sz w:val="24"/>
                <w:highlight w:val="none"/>
              </w:rPr>
              <w:t>分；功能、性能和技术指标低于招标需求（负偏离）的，每项扣0.5分，标注“◆”为重要参数，标注“◆”参数低于招标需求（负偏离）的或不提供证明材料的，每项扣1分，扣完为止。</w:t>
            </w:r>
          </w:p>
          <w:p>
            <w:pPr>
              <w:widowControl/>
              <w:spacing w:line="320" w:lineRule="exact"/>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注：要求提供检测报告复印件、证书复印件等证明材料而未提供视作一项负偏离。提供防褥疮坐垫、成人纸尿裤、手部康复训练套装、无障碍报警水壶、无障碍墙扶手、智能电饭煲、成人护理垫、日常辅助用具、音乐闪光门铃、识色报时手表、儿童生活自助具、智能沟通训练仪、眼镜式助视器、移乘板、防溢报警器、电动上下肢康复训练器检验合格的检测报告。</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kern w:val="0"/>
                <w:sz w:val="24"/>
                <w:highlight w:val="none"/>
              </w:rPr>
              <w:t>0-</w:t>
            </w:r>
            <w:r>
              <w:rPr>
                <w:rFonts w:hint="eastAsia" w:ascii="宋体" w:hAnsi="宋体" w:cs="宋体"/>
                <w:color w:val="000000"/>
                <w:kern w:val="0"/>
                <w:sz w:val="24"/>
                <w:highlight w:val="none"/>
                <w:lang w:val="en-US" w:eastAsia="zh-CN"/>
              </w:rPr>
              <w:t>25</w:t>
            </w:r>
          </w:p>
        </w:tc>
      </w:tr>
      <w:tr>
        <w:tblPrEx>
          <w:tblCellMar>
            <w:top w:w="0" w:type="dxa"/>
            <w:left w:w="108" w:type="dxa"/>
            <w:bottom w:w="0" w:type="dxa"/>
            <w:right w:w="108" w:type="dxa"/>
          </w:tblCellMar>
        </w:tblPrEx>
        <w:trPr>
          <w:trHeight w:val="576"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5</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项目实施</w:t>
            </w:r>
          </w:p>
        </w:tc>
        <w:tc>
          <w:tcPr>
            <w:tcW w:w="6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 w:val="24"/>
                <w:highlight w:val="none"/>
              </w:rPr>
            </w:pPr>
            <w:r>
              <w:rPr>
                <w:rFonts w:hint="eastAsia"/>
                <w:sz w:val="24"/>
                <w:highlight w:val="none"/>
              </w:rPr>
              <w:t>投标人提供的施工（含安装）方案科学合理、可操作性强的得3分；方案有所欠缺需完善的得2分；方案仅满足项目实施的得1分；完全偏离实际情况或未提供内容的不得分。</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0-3</w:t>
            </w:r>
          </w:p>
        </w:tc>
      </w:tr>
      <w:tr>
        <w:tblPrEx>
          <w:tblCellMar>
            <w:top w:w="0" w:type="dxa"/>
            <w:left w:w="108" w:type="dxa"/>
            <w:bottom w:w="0" w:type="dxa"/>
            <w:right w:w="108" w:type="dxa"/>
          </w:tblCellMar>
        </w:tblPrEx>
        <w:trPr>
          <w:trHeight w:val="576" w:hRule="atLeast"/>
          <w:jc w:val="center"/>
        </w:trPr>
        <w:tc>
          <w:tcPr>
            <w:tcW w:w="82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6</w:t>
            </w:r>
          </w:p>
        </w:tc>
        <w:tc>
          <w:tcPr>
            <w:tcW w:w="119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项目人员配置情况</w:t>
            </w:r>
          </w:p>
        </w:tc>
        <w:tc>
          <w:tcPr>
            <w:tcW w:w="668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1、本项目技术人员具有无障碍或辅助技术工程（肢体方面）专业资格证书的，每一人得2分，最高得4分，须提供由人力资源和社会保障部颁发的资格证书，不提供不得分；                                                          2、本项目技术人员具有建筑施工企业主要负责人（A证）的，得2分，不提供不得分；拟派人员具有建筑施工企业专职安全生产管理人员（C证）的，得2分，不提供不得分                                             （注：须提供相关证书原件扫描件，提供在投标人本单位的近6个月（投标截止月前最近6个月）的社保证明，不提供不得分）</w:t>
            </w:r>
          </w:p>
        </w:tc>
        <w:tc>
          <w:tcPr>
            <w:tcW w:w="8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0-8</w:t>
            </w:r>
          </w:p>
        </w:tc>
      </w:tr>
      <w:tr>
        <w:tblPrEx>
          <w:tblCellMar>
            <w:top w:w="0" w:type="dxa"/>
            <w:left w:w="108" w:type="dxa"/>
            <w:bottom w:w="0" w:type="dxa"/>
            <w:right w:w="108" w:type="dxa"/>
          </w:tblCellMar>
        </w:tblPrEx>
        <w:trPr>
          <w:trHeight w:val="90" w:hRule="atLeast"/>
          <w:jc w:val="center"/>
        </w:trPr>
        <w:tc>
          <w:tcPr>
            <w:tcW w:w="82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sz w:val="24"/>
                <w:highlight w:val="none"/>
              </w:rPr>
              <w:t>7</w:t>
            </w:r>
          </w:p>
        </w:tc>
        <w:tc>
          <w:tcPr>
            <w:tcW w:w="1197"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产品演示</w:t>
            </w:r>
          </w:p>
        </w:tc>
        <w:tc>
          <w:tcPr>
            <w:tcW w:w="6681"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仿宋"/>
                <w:kern w:val="0"/>
                <w:sz w:val="24"/>
                <w:szCs w:val="24"/>
                <w:highlight w:val="none"/>
              </w:rPr>
              <w:t>提供日常辅助用具</w:t>
            </w:r>
            <w:r>
              <w:rPr>
                <w:rFonts w:hint="eastAsia" w:ascii="宋体" w:hAnsi="宋体" w:cs="仿宋"/>
                <w:kern w:val="0"/>
                <w:sz w:val="24"/>
                <w:szCs w:val="24"/>
                <w:highlight w:val="none"/>
                <w:lang w:eastAsia="zh-CN"/>
              </w:rPr>
              <w:t>、沟通写字板</w:t>
            </w:r>
            <w:r>
              <w:rPr>
                <w:rFonts w:hint="eastAsia" w:ascii="宋体" w:hAnsi="宋体" w:eastAsia="宋体" w:cs="仿宋"/>
                <w:kern w:val="0"/>
                <w:sz w:val="24"/>
                <w:szCs w:val="24"/>
                <w:highlight w:val="none"/>
              </w:rPr>
              <w:t>软件功能演示，</w:t>
            </w:r>
            <w:r>
              <w:rPr>
                <w:rFonts w:hint="eastAsia" w:ascii="宋体" w:hAnsi="宋体" w:eastAsia="宋体" w:cs="宋体"/>
                <w:sz w:val="24"/>
                <w:szCs w:val="24"/>
                <w:highlight w:val="none"/>
              </w:rPr>
              <w:t>各小项功能完全符合的得满分，不完全符合每条扣</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分（提供视频演示，时间不超过15分钟，以U盘形式存储）。</w:t>
            </w:r>
            <w:r>
              <w:rPr>
                <w:rFonts w:hint="eastAsia" w:ascii="宋体" w:hAnsi="宋体" w:eastAsia="宋体" w:cs="仿宋"/>
                <w:kern w:val="0"/>
                <w:sz w:val="24"/>
                <w:szCs w:val="24"/>
                <w:highlight w:val="none"/>
              </w:rPr>
              <w:t>日</w:t>
            </w:r>
            <w:r>
              <w:rPr>
                <w:rFonts w:hint="eastAsia" w:ascii="宋体" w:hAnsi="宋体" w:cs="仿宋"/>
                <w:kern w:val="0"/>
                <w:sz w:val="24"/>
                <w:szCs w:val="24"/>
                <w:highlight w:val="none"/>
                <w:lang w:val="en-US" w:eastAsia="zh-CN"/>
              </w:rPr>
              <w:t>一、</w:t>
            </w:r>
            <w:r>
              <w:rPr>
                <w:rFonts w:hint="eastAsia" w:ascii="宋体" w:hAnsi="宋体" w:eastAsia="宋体" w:cs="仿宋"/>
                <w:kern w:val="0"/>
                <w:sz w:val="24"/>
                <w:szCs w:val="24"/>
                <w:highlight w:val="none"/>
              </w:rPr>
              <w:t>常辅助用具</w:t>
            </w:r>
            <w:r>
              <w:rPr>
                <w:rFonts w:hint="eastAsia" w:ascii="宋体" w:hAnsi="宋体" w:cs="仿宋"/>
                <w:kern w:val="0"/>
                <w:sz w:val="24"/>
                <w:szCs w:val="24"/>
                <w:highlight w:val="none"/>
                <w:lang w:eastAsia="zh-CN"/>
              </w:rPr>
              <w:t>：</w:t>
            </w:r>
          </w:p>
          <w:p>
            <w:pPr>
              <w:keepNext w:val="0"/>
              <w:keepLines w:val="0"/>
              <w:pageBreakBefore w:val="0"/>
              <w:widowControl/>
              <w:numPr>
                <w:ilvl w:val="0"/>
                <w:numId w:val="8"/>
              </w:numPr>
              <w:kinsoku/>
              <w:wordWrap/>
              <w:overflowPunct/>
              <w:topLinePunct w:val="0"/>
              <w:autoSpaceDE/>
              <w:autoSpaceDN/>
              <w:bidi w:val="0"/>
              <w:adjustRightInd/>
              <w:snapToGrid/>
              <w:spacing w:line="440" w:lineRule="exact"/>
              <w:ind w:firstLine="0" w:firstLineChars="0"/>
              <w:jc w:val="left"/>
              <w:rPr>
                <w:rFonts w:ascii="宋体" w:hAnsi="宋体" w:eastAsia="宋体" w:cs="仿宋"/>
                <w:kern w:val="0"/>
                <w:sz w:val="24"/>
                <w:szCs w:val="24"/>
                <w:highlight w:val="none"/>
              </w:rPr>
            </w:pPr>
            <w:r>
              <w:rPr>
                <w:rFonts w:hint="eastAsia" w:ascii="宋体" w:hAnsi="宋体" w:eastAsia="宋体" w:cs="仿宋"/>
                <w:kern w:val="0"/>
                <w:sz w:val="24"/>
                <w:szCs w:val="24"/>
                <w:highlight w:val="none"/>
              </w:rPr>
              <w:t>基础能力训练：至少包含55个训练项目，涵盖听指令、模仿、感官训练、互联注意四大类别。</w:t>
            </w:r>
          </w:p>
          <w:p>
            <w:pPr>
              <w:keepNext w:val="0"/>
              <w:keepLines w:val="0"/>
              <w:pageBreakBefore w:val="0"/>
              <w:widowControl/>
              <w:numPr>
                <w:ilvl w:val="0"/>
                <w:numId w:val="8"/>
              </w:numPr>
              <w:kinsoku/>
              <w:wordWrap/>
              <w:overflowPunct/>
              <w:topLinePunct w:val="0"/>
              <w:autoSpaceDE/>
              <w:autoSpaceDN/>
              <w:bidi w:val="0"/>
              <w:adjustRightInd/>
              <w:snapToGrid/>
              <w:spacing w:line="440" w:lineRule="exact"/>
              <w:ind w:firstLine="0" w:firstLineChars="0"/>
              <w:jc w:val="left"/>
              <w:rPr>
                <w:rFonts w:ascii="宋体" w:hAnsi="宋体" w:eastAsia="宋体" w:cs="仿宋"/>
                <w:kern w:val="0"/>
                <w:sz w:val="24"/>
                <w:szCs w:val="24"/>
                <w:highlight w:val="none"/>
              </w:rPr>
            </w:pPr>
            <w:r>
              <w:rPr>
                <w:rFonts w:hint="eastAsia" w:ascii="宋体" w:hAnsi="宋体" w:eastAsia="宋体" w:cs="仿宋"/>
                <w:kern w:val="0"/>
                <w:sz w:val="24"/>
                <w:szCs w:val="24"/>
                <w:highlight w:val="none"/>
              </w:rPr>
              <w:t>认知能力训练：至少包含52个训练项目，涵盖配对、分类、序列、对比、因果、数学六大类别。</w:t>
            </w:r>
          </w:p>
          <w:p>
            <w:pPr>
              <w:keepNext w:val="0"/>
              <w:keepLines w:val="0"/>
              <w:pageBreakBefore w:val="0"/>
              <w:widowControl/>
              <w:numPr>
                <w:ilvl w:val="0"/>
                <w:numId w:val="8"/>
              </w:numPr>
              <w:kinsoku/>
              <w:wordWrap/>
              <w:overflowPunct/>
              <w:topLinePunct w:val="0"/>
              <w:autoSpaceDE/>
              <w:autoSpaceDN/>
              <w:bidi w:val="0"/>
              <w:adjustRightInd/>
              <w:snapToGrid/>
              <w:spacing w:line="440" w:lineRule="exact"/>
              <w:ind w:firstLine="0" w:firstLineChars="0"/>
              <w:jc w:val="left"/>
              <w:rPr>
                <w:rFonts w:ascii="宋体" w:hAnsi="宋体" w:eastAsia="宋体" w:cs="仿宋"/>
                <w:kern w:val="0"/>
                <w:sz w:val="24"/>
                <w:szCs w:val="24"/>
                <w:highlight w:val="none"/>
              </w:rPr>
            </w:pPr>
            <w:r>
              <w:rPr>
                <w:rFonts w:hint="eastAsia" w:ascii="宋体" w:hAnsi="宋体" w:eastAsia="宋体" w:cs="宋体"/>
                <w:sz w:val="24"/>
                <w:szCs w:val="24"/>
                <w:highlight w:val="none"/>
              </w:rPr>
              <w:t>社交能力训</w:t>
            </w:r>
            <w:r>
              <w:rPr>
                <w:rFonts w:hint="eastAsia" w:ascii="宋体" w:hAnsi="宋体" w:eastAsia="宋体" w:cs="仿宋"/>
                <w:kern w:val="0"/>
                <w:sz w:val="24"/>
                <w:szCs w:val="24"/>
                <w:highlight w:val="none"/>
              </w:rPr>
              <w:t>练：至少包含20个训练项目，涵盖社交故事、社交技巧两大类别。</w:t>
            </w:r>
          </w:p>
          <w:p>
            <w:pPr>
              <w:keepNext w:val="0"/>
              <w:keepLines w:val="0"/>
              <w:pageBreakBefore w:val="0"/>
              <w:widowControl/>
              <w:numPr>
                <w:ilvl w:val="0"/>
                <w:numId w:val="8"/>
              </w:numPr>
              <w:kinsoku/>
              <w:wordWrap/>
              <w:overflowPunct/>
              <w:topLinePunct w:val="0"/>
              <w:autoSpaceDE/>
              <w:autoSpaceDN/>
              <w:bidi w:val="0"/>
              <w:adjustRightInd/>
              <w:snapToGrid/>
              <w:spacing w:line="440" w:lineRule="exact"/>
              <w:ind w:firstLine="0" w:firstLineChars="0"/>
              <w:jc w:val="left"/>
              <w:rPr>
                <w:rFonts w:ascii="宋体" w:hAnsi="宋体" w:eastAsia="宋体" w:cs="仿宋"/>
                <w:kern w:val="0"/>
                <w:sz w:val="24"/>
                <w:szCs w:val="24"/>
                <w:highlight w:val="none"/>
              </w:rPr>
            </w:pPr>
            <w:r>
              <w:rPr>
                <w:rFonts w:hint="eastAsia" w:ascii="宋体" w:hAnsi="宋体" w:eastAsia="宋体" w:cs="仿宋"/>
                <w:kern w:val="0"/>
                <w:sz w:val="24"/>
                <w:szCs w:val="24"/>
                <w:highlight w:val="none"/>
              </w:rPr>
              <w:t>执行能力训练：至少包含27个训练项目，涵盖思维流畅性、心理定势转换、抑制控制、记忆刷新四大类别。</w:t>
            </w:r>
          </w:p>
          <w:p>
            <w:pPr>
              <w:widowControl/>
              <w:spacing w:line="320" w:lineRule="exact"/>
              <w:jc w:val="left"/>
              <w:rPr>
                <w:rFonts w:hint="eastAsia" w:ascii="宋体" w:hAnsi="宋体" w:cs="仿宋"/>
                <w:kern w:val="0"/>
                <w:sz w:val="24"/>
                <w:szCs w:val="24"/>
                <w:highlight w:val="none"/>
                <w:lang w:val="en-US" w:eastAsia="zh-CN"/>
              </w:rPr>
            </w:pPr>
            <w:r>
              <w:rPr>
                <w:rFonts w:hint="eastAsia" w:ascii="宋体" w:hAnsi="宋体" w:eastAsia="宋体" w:cs="仿宋"/>
                <w:kern w:val="0"/>
                <w:sz w:val="24"/>
                <w:szCs w:val="24"/>
                <w:highlight w:val="none"/>
              </w:rPr>
              <w:t>康复训练项目完成后根据儿童完成情况对训练结果进行评估，评估等级分为：P、E、F三个等级。</w:t>
            </w:r>
            <w:r>
              <w:rPr>
                <w:rFonts w:hint="eastAsia" w:ascii="宋体" w:hAnsi="宋体" w:cs="仿宋"/>
                <w:kern w:val="0"/>
                <w:sz w:val="24"/>
                <w:szCs w:val="24"/>
                <w:highlight w:val="none"/>
                <w:lang w:val="en-US" w:eastAsia="zh-CN"/>
              </w:rPr>
              <w:t xml:space="preserve">           </w:t>
            </w:r>
          </w:p>
          <w:p>
            <w:pPr>
              <w:widowControl/>
              <w:spacing w:line="320" w:lineRule="exact"/>
              <w:jc w:val="left"/>
              <w:rPr>
                <w:rFonts w:ascii="宋体" w:hAnsi="宋体" w:cs="宋体"/>
                <w:sz w:val="24"/>
                <w:highlight w:val="none"/>
              </w:rPr>
            </w:pPr>
            <w:r>
              <w:rPr>
                <w:rFonts w:hint="eastAsia" w:ascii="宋体" w:hAnsi="宋体" w:cs="仿宋"/>
                <w:kern w:val="0"/>
                <w:sz w:val="24"/>
                <w:szCs w:val="24"/>
                <w:highlight w:val="none"/>
                <w:lang w:val="en-US" w:eastAsia="zh-CN"/>
              </w:rPr>
              <w:t>二、</w:t>
            </w:r>
            <w:r>
              <w:rPr>
                <w:rFonts w:hint="eastAsia" w:ascii="宋体" w:hAnsi="宋体" w:cs="仿宋"/>
                <w:kern w:val="0"/>
                <w:sz w:val="24"/>
                <w:szCs w:val="24"/>
                <w:highlight w:val="none"/>
                <w:lang w:eastAsia="zh-CN"/>
              </w:rPr>
              <w:t>沟通写字板：</w:t>
            </w:r>
            <w:r>
              <w:rPr>
                <w:rFonts w:hint="eastAsia" w:ascii="宋体" w:hAnsi="宋体" w:cs="仿宋"/>
                <w:kern w:val="0"/>
                <w:sz w:val="24"/>
                <w:szCs w:val="24"/>
                <w:highlight w:val="none"/>
                <w:lang w:val="en-US" w:eastAsia="zh-CN"/>
              </w:rPr>
              <w:t xml:space="preserve">                                                1、</w:t>
            </w:r>
            <w:r>
              <w:rPr>
                <w:rFonts w:hint="eastAsia" w:ascii="宋体" w:hAnsi="宋体" w:cs="仿宋"/>
                <w:kern w:val="0"/>
                <w:sz w:val="24"/>
                <w:szCs w:val="24"/>
                <w:highlight w:val="none"/>
                <w:lang w:eastAsia="zh-CN"/>
              </w:rPr>
              <w:t>主要包括“魔音之塔”、“动听之树”、“佳话小屋”、“妙语城堡”等功能模块；所有模块需在同一软件内，拼凑无效。</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0-6</w:t>
            </w:r>
          </w:p>
        </w:tc>
      </w:tr>
      <w:tr>
        <w:tblPrEx>
          <w:tblCellMar>
            <w:top w:w="0" w:type="dxa"/>
            <w:left w:w="108" w:type="dxa"/>
            <w:bottom w:w="0" w:type="dxa"/>
            <w:right w:w="108" w:type="dxa"/>
          </w:tblCellMar>
        </w:tblPrEx>
        <w:trPr>
          <w:trHeight w:val="528" w:hRule="atLeast"/>
          <w:jc w:val="center"/>
        </w:trPr>
        <w:tc>
          <w:tcPr>
            <w:tcW w:w="8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sz w:val="24"/>
                <w:highlight w:val="none"/>
              </w:rPr>
              <w:t>8</w:t>
            </w:r>
          </w:p>
        </w:tc>
        <w:tc>
          <w:tcPr>
            <w:tcW w:w="11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质量安全与进度保证</w:t>
            </w:r>
          </w:p>
        </w:tc>
        <w:tc>
          <w:tcPr>
            <w:tcW w:w="6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宋体" w:hAnsi="宋体" w:cs="宋体"/>
                <w:sz w:val="24"/>
                <w:highlight w:val="none"/>
              </w:rPr>
            </w:pPr>
            <w:r>
              <w:rPr>
                <w:rFonts w:hint="eastAsia" w:ascii="宋体" w:hAnsi="宋体" w:cs="宋体"/>
                <w:sz w:val="24"/>
                <w:highlight w:val="none"/>
              </w:rPr>
              <w:t>质量保证措施：项目质量的保障措施具体、合理、可行、有针对性的得</w:t>
            </w:r>
            <w:r>
              <w:rPr>
                <w:rFonts w:hint="eastAsia" w:ascii="宋体" w:hAnsi="宋体" w:cs="宋体"/>
                <w:sz w:val="24"/>
                <w:highlight w:val="none"/>
                <w:lang w:val="en-US" w:eastAsia="zh-CN"/>
              </w:rPr>
              <w:t>5</w:t>
            </w:r>
            <w:r>
              <w:rPr>
                <w:rFonts w:hint="eastAsia" w:ascii="宋体" w:hAnsi="宋体" w:cs="宋体"/>
                <w:sz w:val="24"/>
                <w:highlight w:val="none"/>
              </w:rPr>
              <w:t>分；保障措施有所欠缺需完善的得</w:t>
            </w:r>
            <w:r>
              <w:rPr>
                <w:rFonts w:hint="eastAsia" w:ascii="宋体" w:hAnsi="宋体" w:cs="宋体"/>
                <w:sz w:val="24"/>
                <w:highlight w:val="none"/>
                <w:lang w:val="en-US" w:eastAsia="zh-CN"/>
              </w:rPr>
              <w:t>3</w:t>
            </w:r>
            <w:r>
              <w:rPr>
                <w:rFonts w:hint="eastAsia" w:ascii="宋体" w:hAnsi="宋体" w:cs="宋体"/>
                <w:sz w:val="24"/>
                <w:highlight w:val="none"/>
              </w:rPr>
              <w:t>分；保障</w:t>
            </w:r>
            <w:r>
              <w:rPr>
                <w:rFonts w:hint="eastAsia"/>
                <w:sz w:val="24"/>
                <w:highlight w:val="none"/>
              </w:rPr>
              <w:t>措施仅满足项目正常实施的得1分；</w:t>
            </w:r>
            <w:r>
              <w:rPr>
                <w:rFonts w:hint="eastAsia" w:ascii="宋体" w:hAnsi="宋体" w:cs="宋体"/>
                <w:sz w:val="24"/>
                <w:highlight w:val="none"/>
              </w:rPr>
              <w:t>保障措施不符合项目需求或无保障措施的不得分。</w:t>
            </w:r>
          </w:p>
        </w:tc>
        <w:tc>
          <w:tcPr>
            <w:tcW w:w="8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0-</w:t>
            </w:r>
            <w:r>
              <w:rPr>
                <w:rFonts w:hint="eastAsia" w:ascii="宋体" w:hAnsi="宋体" w:cs="宋体"/>
                <w:color w:val="000000"/>
                <w:sz w:val="24"/>
                <w:highlight w:val="none"/>
                <w:lang w:val="en-US" w:eastAsia="zh-CN"/>
              </w:rPr>
              <w:t>5</w:t>
            </w:r>
          </w:p>
        </w:tc>
      </w:tr>
      <w:tr>
        <w:tblPrEx>
          <w:tblCellMar>
            <w:top w:w="0" w:type="dxa"/>
            <w:left w:w="108" w:type="dxa"/>
            <w:bottom w:w="0" w:type="dxa"/>
            <w:right w:w="108" w:type="dxa"/>
          </w:tblCellMar>
        </w:tblPrEx>
        <w:trPr>
          <w:trHeight w:val="418" w:hRule="atLeast"/>
          <w:jc w:val="center"/>
        </w:trPr>
        <w:tc>
          <w:tcPr>
            <w:tcW w:w="82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textAlignment w:val="center"/>
              <w:rPr>
                <w:rFonts w:ascii="宋体" w:hAnsi="宋体" w:cs="宋体"/>
                <w:color w:val="000000"/>
                <w:kern w:val="0"/>
                <w:sz w:val="24"/>
                <w:highlight w:val="none"/>
              </w:rPr>
            </w:pPr>
          </w:p>
        </w:tc>
        <w:tc>
          <w:tcPr>
            <w:tcW w:w="11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宋体" w:hAnsi="宋体" w:cs="宋体"/>
                <w:color w:val="000000"/>
                <w:kern w:val="0"/>
                <w:sz w:val="24"/>
                <w:highlight w:val="none"/>
              </w:rPr>
            </w:pPr>
          </w:p>
        </w:tc>
        <w:tc>
          <w:tcPr>
            <w:tcW w:w="6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outlineLvl w:val="0"/>
              <w:rPr>
                <w:rFonts w:ascii="宋体" w:hAnsi="宋体" w:cs="宋体"/>
                <w:sz w:val="24"/>
                <w:highlight w:val="none"/>
              </w:rPr>
            </w:pPr>
            <w:r>
              <w:rPr>
                <w:rFonts w:hint="eastAsia" w:ascii="宋体" w:hAnsi="宋体" w:cs="宋体"/>
                <w:sz w:val="24"/>
                <w:highlight w:val="none"/>
              </w:rPr>
              <w:t>工作时间进度安排、工作程序和步骤、管理和协调方法、关键步骤的思路和要点等科学、合理、规范、可操作性强的得</w:t>
            </w:r>
            <w:r>
              <w:rPr>
                <w:rFonts w:hint="eastAsia" w:ascii="宋体" w:hAnsi="宋体" w:cs="宋体"/>
                <w:sz w:val="24"/>
                <w:highlight w:val="none"/>
                <w:lang w:val="en-US" w:eastAsia="zh-CN"/>
              </w:rPr>
              <w:t>4</w:t>
            </w:r>
            <w:r>
              <w:rPr>
                <w:rFonts w:hint="eastAsia" w:ascii="宋体" w:hAnsi="宋体" w:cs="宋体"/>
                <w:sz w:val="24"/>
                <w:highlight w:val="none"/>
              </w:rPr>
              <w:t>分；方案基本科学、合理、规范、可操作性一般的得</w:t>
            </w:r>
            <w:r>
              <w:rPr>
                <w:rFonts w:hint="eastAsia" w:ascii="宋体" w:hAnsi="宋体" w:cs="宋体"/>
                <w:sz w:val="24"/>
                <w:highlight w:val="none"/>
                <w:lang w:val="en-US" w:eastAsia="zh-CN"/>
              </w:rPr>
              <w:t>2</w:t>
            </w:r>
            <w:r>
              <w:rPr>
                <w:rFonts w:hint="eastAsia" w:ascii="宋体" w:hAnsi="宋体" w:cs="宋体"/>
                <w:sz w:val="24"/>
                <w:highlight w:val="none"/>
              </w:rPr>
              <w:t>分；方案不科学、不合理、不规范、无法操作的或没有提供的不得分。</w:t>
            </w:r>
          </w:p>
        </w:tc>
        <w:tc>
          <w:tcPr>
            <w:tcW w:w="87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0-</w:t>
            </w:r>
            <w:r>
              <w:rPr>
                <w:rFonts w:hint="eastAsia" w:ascii="宋体" w:hAnsi="宋体" w:cs="宋体"/>
                <w:color w:val="000000"/>
                <w:sz w:val="24"/>
                <w:highlight w:val="none"/>
                <w:lang w:val="en-US" w:eastAsia="zh-CN"/>
              </w:rPr>
              <w:t>4</w:t>
            </w:r>
          </w:p>
        </w:tc>
      </w:tr>
      <w:tr>
        <w:tblPrEx>
          <w:tblCellMar>
            <w:top w:w="0" w:type="dxa"/>
            <w:left w:w="108" w:type="dxa"/>
            <w:bottom w:w="0" w:type="dxa"/>
            <w:right w:w="108" w:type="dxa"/>
          </w:tblCellMar>
        </w:tblPrEx>
        <w:trPr>
          <w:trHeight w:val="1250" w:hRule="atLeast"/>
          <w:jc w:val="center"/>
        </w:trPr>
        <w:tc>
          <w:tcPr>
            <w:tcW w:w="825"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sz w:val="24"/>
                <w:highlight w:val="none"/>
              </w:rPr>
              <w:t>9</w:t>
            </w:r>
          </w:p>
        </w:tc>
        <w:tc>
          <w:tcPr>
            <w:tcW w:w="119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售后服务方案</w:t>
            </w:r>
          </w:p>
        </w:tc>
        <w:tc>
          <w:tcPr>
            <w:tcW w:w="668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宋体" w:hAnsi="宋体" w:cs="宋体"/>
                <w:sz w:val="24"/>
                <w:highlight w:val="none"/>
              </w:rPr>
            </w:pPr>
            <w:r>
              <w:rPr>
                <w:rFonts w:hint="eastAsia" w:ascii="宋体" w:hAnsi="宋体" w:cs="宋体"/>
                <w:sz w:val="24"/>
                <w:highlight w:val="none"/>
              </w:rPr>
              <w:t>投标人提供的质保期内售后服务承诺可行、完整，服务承诺落实的保障措施合理、具体的得</w:t>
            </w:r>
            <w:r>
              <w:rPr>
                <w:rFonts w:hint="eastAsia" w:ascii="宋体" w:hAnsi="宋体" w:cs="宋体"/>
                <w:sz w:val="24"/>
                <w:highlight w:val="none"/>
                <w:lang w:val="en-US" w:eastAsia="zh-CN"/>
              </w:rPr>
              <w:t>4</w:t>
            </w:r>
            <w:r>
              <w:rPr>
                <w:rFonts w:hint="eastAsia" w:ascii="宋体" w:hAnsi="宋体" w:cs="宋体"/>
                <w:sz w:val="24"/>
                <w:highlight w:val="none"/>
              </w:rPr>
              <w:t>分；承诺相对完整、基本可行，承诺落实的保障措施相对具体、基本合理的得</w:t>
            </w:r>
            <w:r>
              <w:rPr>
                <w:rFonts w:hint="eastAsia" w:ascii="宋体" w:hAnsi="宋体" w:cs="宋体"/>
                <w:sz w:val="24"/>
                <w:highlight w:val="none"/>
                <w:lang w:val="en-US" w:eastAsia="zh-CN"/>
              </w:rPr>
              <w:t>2</w:t>
            </w:r>
            <w:r>
              <w:rPr>
                <w:rFonts w:hint="eastAsia" w:ascii="宋体" w:hAnsi="宋体" w:cs="宋体"/>
                <w:sz w:val="24"/>
                <w:highlight w:val="none"/>
              </w:rPr>
              <w:t>分；方案粗略的得1分；方案不合理、不可行或没有提供的不得分。</w:t>
            </w:r>
          </w:p>
        </w:tc>
        <w:tc>
          <w:tcPr>
            <w:tcW w:w="8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0-</w:t>
            </w:r>
            <w:r>
              <w:rPr>
                <w:rFonts w:hint="eastAsia" w:ascii="宋体" w:hAnsi="宋体" w:cs="宋体"/>
                <w:color w:val="000000"/>
                <w:sz w:val="24"/>
                <w:highlight w:val="none"/>
                <w:lang w:val="en-US" w:eastAsia="zh-CN"/>
              </w:rPr>
              <w:t>4</w:t>
            </w:r>
          </w:p>
        </w:tc>
      </w:tr>
      <w:tr>
        <w:tblPrEx>
          <w:tblCellMar>
            <w:top w:w="0" w:type="dxa"/>
            <w:left w:w="108" w:type="dxa"/>
            <w:bottom w:w="0" w:type="dxa"/>
            <w:right w:w="108" w:type="dxa"/>
          </w:tblCellMar>
        </w:tblPrEx>
        <w:trPr>
          <w:trHeight w:val="864"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ascii="宋体" w:hAnsi="宋体" w:cs="宋体"/>
                <w:color w:val="000000"/>
                <w:sz w:val="24"/>
                <w:highlight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sz w:val="24"/>
                <w:highlight w:val="none"/>
              </w:rPr>
            </w:pPr>
          </w:p>
        </w:tc>
        <w:tc>
          <w:tcPr>
            <w:tcW w:w="6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技术服务人员提供国家级或省级无障碍辅具设施改造与适配培训结业证书的，每提供一份加2分，最多加4分。（须提供相关证书原件扫描件，及其在投标人单位的社保缴纳6月以上（投标截止月前最近6个月）有效材料。）</w:t>
            </w:r>
          </w:p>
        </w:tc>
        <w:tc>
          <w:tcPr>
            <w:tcW w:w="8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sz w:val="24"/>
                <w:highlight w:val="none"/>
              </w:rPr>
            </w:pPr>
            <w:r>
              <w:rPr>
                <w:rFonts w:hint="eastAsia" w:ascii="宋体" w:hAnsi="宋体" w:cs="宋体"/>
                <w:color w:val="000000"/>
                <w:sz w:val="24"/>
                <w:highlight w:val="none"/>
              </w:rPr>
              <w:t>0-4</w:t>
            </w:r>
          </w:p>
        </w:tc>
      </w:tr>
      <w:tr>
        <w:tblPrEx>
          <w:tblCellMar>
            <w:top w:w="0" w:type="dxa"/>
            <w:left w:w="108" w:type="dxa"/>
            <w:bottom w:w="0" w:type="dxa"/>
            <w:right w:w="108" w:type="dxa"/>
          </w:tblCellMar>
        </w:tblPrEx>
        <w:trPr>
          <w:trHeight w:val="144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sz w:val="24"/>
                <w:highlight w:val="none"/>
              </w:rPr>
              <w:t>10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本项目的重点和难点、合理化建议</w:t>
            </w:r>
          </w:p>
        </w:tc>
        <w:tc>
          <w:tcPr>
            <w:tcW w:w="6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投标人队本项目实施过程的重点难点分析准确，并有良好的解决方案的得</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分；对本项目的重点难点分析不充分或解决方案不完善的得</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分；无重点难点分析或不符合项目要求的不得分。</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rPr>
              <w:t>0-</w:t>
            </w:r>
            <w:r>
              <w:rPr>
                <w:rFonts w:hint="eastAsia" w:ascii="宋体" w:hAnsi="宋体" w:cs="宋体"/>
                <w:color w:val="000000"/>
                <w:kern w:val="0"/>
                <w:sz w:val="24"/>
                <w:highlight w:val="none"/>
                <w:lang w:val="en-US" w:eastAsia="zh-CN"/>
              </w:rPr>
              <w:t>4</w:t>
            </w:r>
          </w:p>
        </w:tc>
      </w:tr>
      <w:tr>
        <w:tblPrEx>
          <w:tblCellMar>
            <w:top w:w="0" w:type="dxa"/>
            <w:left w:w="108" w:type="dxa"/>
            <w:bottom w:w="0" w:type="dxa"/>
            <w:right w:w="108" w:type="dxa"/>
          </w:tblCellMar>
        </w:tblPrEx>
        <w:trPr>
          <w:trHeight w:val="71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sz w:val="24"/>
                <w:highlight w:val="none"/>
              </w:rPr>
              <w:t>11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应急服务能力</w:t>
            </w:r>
          </w:p>
        </w:tc>
        <w:tc>
          <w:tcPr>
            <w:tcW w:w="6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应急服务能力：为应对采购人的不时之需，投标人所具备的应急服务能力和快速服务响应能力等进行评分，应急服务方案完善，针对性强的得</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分，服务方案略有缺陷的的得2分，有服务方案但针对性不强的得1分，无方案或方案不合理的不得分。</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rPr>
              <w:t>0-</w:t>
            </w:r>
            <w:r>
              <w:rPr>
                <w:rFonts w:hint="eastAsia" w:ascii="宋体" w:hAnsi="宋体" w:cs="宋体"/>
                <w:color w:val="000000"/>
                <w:kern w:val="0"/>
                <w:sz w:val="24"/>
                <w:highlight w:val="none"/>
                <w:lang w:val="en-US" w:eastAsia="zh-CN"/>
              </w:rPr>
              <w:t>4</w:t>
            </w:r>
          </w:p>
        </w:tc>
      </w:tr>
      <w:tr>
        <w:tblPrEx>
          <w:tblCellMar>
            <w:top w:w="0" w:type="dxa"/>
            <w:left w:w="108" w:type="dxa"/>
            <w:bottom w:w="0" w:type="dxa"/>
            <w:right w:w="108" w:type="dxa"/>
          </w:tblCellMar>
        </w:tblPrEx>
        <w:trPr>
          <w:trHeight w:val="71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报价</w:t>
            </w:r>
          </w:p>
        </w:tc>
        <w:tc>
          <w:tcPr>
            <w:tcW w:w="6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outlineLvl w:val="0"/>
              <w:rPr>
                <w:rFonts w:ascii="宋体" w:hAnsi="宋体" w:cs="宋体"/>
                <w:sz w:val="24"/>
                <w:highlight w:val="none"/>
              </w:rPr>
            </w:pPr>
            <w:r>
              <w:rPr>
                <w:rFonts w:hint="eastAsia" w:ascii="宋体" w:hAnsi="宋体" w:cs="宋体"/>
                <w:sz w:val="24"/>
                <w:highlight w:val="none"/>
              </w:rPr>
              <w:t>有效最后报价的最低价作为评审基准价，其最低报价为满分；按［最后报价得分=（评审基准价/最后报价）*</w:t>
            </w:r>
            <w:r>
              <w:rPr>
                <w:rFonts w:hint="eastAsia" w:ascii="宋体" w:hAnsi="宋体" w:cs="宋体"/>
                <w:sz w:val="24"/>
                <w:highlight w:val="none"/>
                <w:lang w:val="en-US" w:eastAsia="zh-CN"/>
              </w:rPr>
              <w:t>20</w:t>
            </w:r>
            <w:r>
              <w:rPr>
                <w:rFonts w:hint="eastAsia" w:ascii="宋体" w:hAnsi="宋体" w:cs="宋体"/>
                <w:sz w:val="24"/>
                <w:highlight w:val="none"/>
              </w:rPr>
              <w:t>］的计算公式计算。</w:t>
            </w:r>
          </w:p>
          <w:p>
            <w:pPr>
              <w:pStyle w:val="393"/>
              <w:widowControl/>
              <w:spacing w:before="0" w:line="320" w:lineRule="exact"/>
              <w:ind w:firstLine="0" w:firstLineChars="0"/>
              <w:jc w:val="left"/>
              <w:rPr>
                <w:rFonts w:ascii="宋体" w:hAnsi="宋体" w:cs="宋体"/>
                <w:szCs w:val="24"/>
                <w:highlight w:val="none"/>
              </w:rPr>
            </w:pPr>
            <w:r>
              <w:rPr>
                <w:rFonts w:hint="eastAsia" w:ascii="宋体" w:hAnsi="宋体" w:cs="宋体"/>
                <w:szCs w:val="24"/>
                <w:highlight w:val="none"/>
              </w:rPr>
              <w:t>评审过程中，不得去掉报价中的最高报价和最低报价。</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0-</w:t>
            </w:r>
            <w:r>
              <w:rPr>
                <w:rFonts w:hint="eastAsia" w:ascii="宋体" w:hAnsi="宋体" w:cs="宋体"/>
                <w:color w:val="000000"/>
                <w:kern w:val="0"/>
                <w:sz w:val="24"/>
                <w:highlight w:val="none"/>
                <w:lang w:val="en-US" w:eastAsia="zh-CN"/>
              </w:rPr>
              <w:t>20</w:t>
            </w:r>
          </w:p>
        </w:tc>
      </w:tr>
      <w:tr>
        <w:tblPrEx>
          <w:tblCellMar>
            <w:top w:w="0" w:type="dxa"/>
            <w:left w:w="108" w:type="dxa"/>
            <w:bottom w:w="0" w:type="dxa"/>
            <w:right w:w="108" w:type="dxa"/>
          </w:tblCellMar>
        </w:tblPrEx>
        <w:trPr>
          <w:trHeight w:val="785" w:hRule="atLeast"/>
          <w:jc w:val="center"/>
        </w:trPr>
        <w:tc>
          <w:tcPr>
            <w:tcW w:w="87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合计</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0-100</w:t>
            </w:r>
          </w:p>
        </w:tc>
      </w:tr>
    </w:tbl>
    <w:p>
      <w:pPr>
        <w:adjustRightInd/>
        <w:spacing w:line="360" w:lineRule="auto"/>
        <w:ind w:firstLine="482" w:firstLineChars="200"/>
        <w:rPr>
          <w:rFonts w:cs="Arial" w:asciiTheme="minorEastAsia" w:hAnsiTheme="minorEastAsia" w:eastAsiaTheme="minorEastAsia"/>
          <w:b/>
          <w:kern w:val="0"/>
          <w:sz w:val="24"/>
          <w:highlight w:val="none"/>
        </w:rPr>
      </w:pPr>
      <w:r>
        <w:rPr>
          <w:rFonts w:hint="eastAsia" w:cs="Arial" w:asciiTheme="minorEastAsia" w:hAnsiTheme="minorEastAsia" w:eastAsiaTheme="minorEastAsia"/>
          <w:b/>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kern w:val="0"/>
          <w:sz w:val="24"/>
          <w:highlight w:val="none"/>
        </w:rPr>
      </w:pPr>
    </w:p>
    <w:p>
      <w:pPr>
        <w:pStyle w:val="393"/>
        <w:spacing w:before="0"/>
        <w:ind w:firstLine="643"/>
        <w:jc w:val="center"/>
        <w:rPr>
          <w:rFonts w:cs="仿宋_GB2312" w:asciiTheme="minorEastAsia" w:hAnsiTheme="minorEastAsia" w:eastAsiaTheme="minorEastAsia"/>
          <w:b/>
          <w:highlight w:val="none"/>
        </w:rPr>
      </w:pPr>
      <w:r>
        <w:rPr>
          <w:rFonts w:hint="eastAsia" w:cs="仿宋_GB2312" w:asciiTheme="minorEastAsia" w:hAnsiTheme="minorEastAsia" w:eastAsiaTheme="minorEastAsia"/>
          <w:b/>
          <w:sz w:val="32"/>
          <w:highlight w:val="none"/>
        </w:rPr>
        <w:t>一、评审方法</w:t>
      </w:r>
    </w:p>
    <w:p>
      <w:pPr>
        <w:adjustRightInd/>
        <w:spacing w:line="360" w:lineRule="auto"/>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1.综合评分法。</w:t>
      </w:r>
      <w:r>
        <w:rPr>
          <w:rFonts w:hint="eastAsia" w:cs="Arial" w:asciiTheme="minorEastAsia" w:hAnsiTheme="minorEastAsia" w:eastAsiaTheme="minorEastAsia"/>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highlight w:val="none"/>
        </w:rPr>
      </w:pPr>
    </w:p>
    <w:p>
      <w:pPr>
        <w:snapToGrid w:val="0"/>
        <w:spacing w:line="360" w:lineRule="auto"/>
        <w:ind w:left="120" w:leftChars="57" w:firstLine="422" w:firstLineChars="150"/>
        <w:jc w:val="center"/>
        <w:rPr>
          <w:rFonts w:cs="仿宋_GB2312" w:asciiTheme="minorEastAsia" w:hAnsiTheme="minorEastAsia" w:eastAsiaTheme="minorEastAsia"/>
          <w:b/>
          <w:sz w:val="32"/>
          <w:highlight w:val="none"/>
        </w:rPr>
      </w:pPr>
      <w:r>
        <w:rPr>
          <w:rFonts w:hint="eastAsia" w:asciiTheme="minorEastAsia" w:hAnsiTheme="minorEastAsia" w:eastAsiaTheme="minorEastAsia"/>
          <w:b/>
          <w:sz w:val="28"/>
          <w:szCs w:val="28"/>
          <w:highlight w:val="none"/>
        </w:rPr>
        <w:t xml:space="preserve">   </w:t>
      </w:r>
      <w:r>
        <w:rPr>
          <w:rFonts w:hint="eastAsia" w:cs="仿宋_GB2312" w:asciiTheme="minorEastAsia" w:hAnsiTheme="minorEastAsia" w:eastAsiaTheme="minorEastAsia"/>
          <w:b/>
          <w:sz w:val="32"/>
          <w:highlight w:val="none"/>
        </w:rPr>
        <w:t>二、磋商小组的组成</w:t>
      </w:r>
    </w:p>
    <w:p>
      <w:pPr>
        <w:pStyle w:val="393"/>
        <w:spacing w:before="0"/>
        <w:ind w:firstLine="0" w:firstLineChars="0"/>
        <w:rPr>
          <w:rFonts w:cs="Arial" w:asciiTheme="minorEastAsia" w:hAnsiTheme="minorEastAsia" w:eastAsiaTheme="minorEastAsia"/>
          <w:b/>
          <w:kern w:val="0"/>
          <w:highlight w:val="none"/>
        </w:rPr>
      </w:pPr>
      <w:r>
        <w:rPr>
          <w:rFonts w:hint="eastAsia" w:cs="Arial" w:asciiTheme="minorEastAsia" w:hAnsiTheme="minorEastAsia" w:eastAsiaTheme="minorEastAsia"/>
          <w:b/>
          <w:kern w:val="0"/>
          <w:highlight w:val="none"/>
        </w:rPr>
        <w:t>1.磋商小组的组成。</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人员不得参加本机构代理的采购项目的评审。</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highlight w:val="none"/>
        </w:rPr>
      </w:pPr>
      <w:r>
        <w:rPr>
          <w:rFonts w:hint="eastAsia" w:cs="Arial" w:asciiTheme="minorEastAsia" w:hAnsiTheme="minorEastAsia" w:eastAsiaTheme="minorEastAsia"/>
          <w:b/>
          <w:kern w:val="0"/>
          <w:sz w:val="24"/>
          <w:szCs w:val="20"/>
          <w:highlight w:val="none"/>
        </w:rPr>
        <w:t>2.磋商小组的组成人员的回避。</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在政府采购活动中，磋商小组的组成人员与供应商有下列利害关系之一的，应当回避：</w:t>
      </w:r>
    </w:p>
    <w:p>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2.1参加采购活动前3年内与供应商存在劳动关系；</w:t>
      </w:r>
    </w:p>
    <w:p>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2.2参加采购活动前3年内担任供应商的董事、监事；</w:t>
      </w:r>
    </w:p>
    <w:p>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2.3参加采购活动前3年内是供应商的控股股东或者实际控制人；</w:t>
      </w:r>
    </w:p>
    <w:p>
      <w:pPr>
        <w:pStyle w:val="393"/>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2.4与供应商的法定代表人或者负责人有夫妻、直系血亲、三代以内旁系血亲或者近姻亲关系；</w:t>
      </w:r>
    </w:p>
    <w:p>
      <w:pPr>
        <w:pStyle w:val="393"/>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p>
    <w:p>
      <w:pPr>
        <w:snapToGrid w:val="0"/>
        <w:spacing w:line="360" w:lineRule="auto"/>
        <w:ind w:left="120" w:leftChars="57" w:firstLine="482" w:firstLineChars="150"/>
        <w:jc w:val="center"/>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三、磋商小组的职责</w:t>
      </w:r>
    </w:p>
    <w:p>
      <w:pPr>
        <w:pStyle w:val="393"/>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1.磋商小组负责具体评审事务，并独立履行下列职责：</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1.1</w:t>
      </w:r>
      <w:r>
        <w:rPr>
          <w:rFonts w:hint="eastAsia" w:asciiTheme="minorEastAsia" w:hAnsiTheme="minorEastAsia" w:eastAsiaTheme="minorEastAsia"/>
          <w:szCs w:val="24"/>
          <w:highlight w:val="none"/>
        </w:rPr>
        <w:t>对供应商的资格进行审查；</w:t>
      </w:r>
      <w:r>
        <w:rPr>
          <w:rFonts w:hint="eastAsia" w:asciiTheme="minorEastAsia" w:hAnsiTheme="minorEastAsia" w:eastAsiaTheme="minorEastAsia"/>
          <w:highlight w:val="none"/>
        </w:rPr>
        <w:t>对响应文件的有效性、完整性和响应程度进行审查；</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1.2审查、评价响应文件是否符合磋商文件的商务、技术等实质性要求；</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1.3要求供应商对响应文件有关事项作出澄清、说明或者更正；</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1.4磋商小组集中与单一供应商分别进行磋商；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1.5确定磋商文件的变动情况，并确定提交最后报价的供应商；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1.6根据磋商文件确定的评审办法及评审标准对提交最后报价的供应商的响应文件和最后报价采用综合评分法进行综合评分；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1.7编制评审报告，确定成交候选人名单，以及根据采购人委托直接确定成交人；</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1.8向采购人、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或者有关部门报告评审中发现的违法行为；</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1.9法律、法规、规章、磋商文件等规定的其它事项。</w:t>
      </w:r>
    </w:p>
    <w:p>
      <w:pPr>
        <w:pStyle w:val="393"/>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2.磋商小组及其成员不得有下列行为：</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2.1确定参与本项目至评审结束前私自接触供应商；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 xml:space="preserve">2.2接受供应商提出的“超出响应文件的范围或者改变响应文件的实质性内容”的澄清、说明或者更正； </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2.3违反评审纪律发表倾向性意见或者征询采购人的倾向性意见；</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2.4对需要专业判断的主观评审因素协商评分；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2.5在评审过程中擅离职守，影响评审程序正常进行的；</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2.6记录、复制或者带走任何评审资料；</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2.7其他不遵守评审纪律的行为。</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磋商小组成员有2.1-2.5行为之一的，其评审意见无效，并不得获取评审劳务报酬和报销异地评审差旅费。</w:t>
      </w:r>
    </w:p>
    <w:p>
      <w:pPr>
        <w:pStyle w:val="393"/>
        <w:spacing w:before="0"/>
        <w:ind w:firstLine="0" w:firstLineChars="0"/>
        <w:rPr>
          <w:rFonts w:asciiTheme="minorEastAsia" w:hAnsiTheme="minorEastAsia" w:eastAsiaTheme="minorEastAsia"/>
          <w:b/>
          <w:highlight w:val="none"/>
        </w:rPr>
      </w:pPr>
    </w:p>
    <w:p>
      <w:pPr>
        <w:pStyle w:val="393"/>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四、评审程序</w:t>
      </w:r>
    </w:p>
    <w:p>
      <w:pPr>
        <w:pStyle w:val="393"/>
        <w:spacing w:before="0"/>
        <w:ind w:firstLine="472" w:firstLineChars="196"/>
        <w:rPr>
          <w:rFonts w:asciiTheme="minorEastAsia" w:hAnsiTheme="minorEastAsia" w:eastAsiaTheme="minorEastAsia"/>
          <w:b/>
          <w:highlight w:val="none"/>
        </w:rPr>
      </w:pPr>
      <w:r>
        <w:rPr>
          <w:rFonts w:hint="eastAsia" w:asciiTheme="minorEastAsia" w:hAnsiTheme="minorEastAsia" w:eastAsiaTheme="minorEastAsia"/>
          <w:b/>
          <w:highlight w:val="none"/>
        </w:rPr>
        <w:t>详见磋商文件“第二部分 竞争性磋商流程”。</w:t>
      </w:r>
    </w:p>
    <w:p>
      <w:pPr>
        <w:pStyle w:val="393"/>
        <w:spacing w:before="0"/>
        <w:ind w:firstLine="0" w:firstLineChars="0"/>
        <w:rPr>
          <w:rFonts w:asciiTheme="minorEastAsia" w:hAnsiTheme="minorEastAsia" w:eastAsiaTheme="minorEastAsia"/>
          <w:b/>
          <w:highlight w:val="none"/>
        </w:rPr>
      </w:pPr>
    </w:p>
    <w:p>
      <w:pPr>
        <w:pStyle w:val="393"/>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五、评审须知</w:t>
      </w:r>
    </w:p>
    <w:p>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szCs w:val="24"/>
          <w:highlight w:val="none"/>
        </w:rPr>
        <w:t>1. 响应文件的澄清</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2.最后报价的修正原则</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2.6以修正后的总价作为最后报价。</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Cs/>
          <w:sz w:val="24"/>
          <w:highlight w:val="none"/>
        </w:rPr>
        <w:t>▲</w:t>
      </w:r>
      <w:r>
        <w:rPr>
          <w:rFonts w:hint="eastAsia" w:cs="仿宋_GB2312" w:asciiTheme="minorEastAsia" w:hAnsiTheme="minorEastAsia" w:eastAsiaTheme="minorEastAsia"/>
          <w:b/>
          <w:bCs/>
          <w:sz w:val="24"/>
          <w:highlight w:val="none"/>
        </w:rPr>
        <w:t>供应商对根据修正原则修正后的最后报价不确认的，响应无效。</w:t>
      </w:r>
    </w:p>
    <w:p>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3.</w:t>
      </w:r>
      <w:r>
        <w:rPr>
          <w:rFonts w:hint="eastAsia" w:asciiTheme="minorEastAsia" w:hAnsiTheme="minorEastAsia" w:eastAsiaTheme="minorEastAsia"/>
          <w:b/>
          <w:spacing w:val="20"/>
          <w:highlight w:val="none"/>
        </w:rPr>
        <w:t>响应无效</w:t>
      </w:r>
    </w:p>
    <w:p>
      <w:pPr>
        <w:pStyle w:val="24"/>
        <w:spacing w:line="360" w:lineRule="auto"/>
        <w:ind w:firstLine="600" w:firstLineChars="250"/>
        <w:rPr>
          <w:rFonts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有下列情况之一的，响应无效</w:t>
      </w:r>
      <w:r>
        <w:rPr>
          <w:rFonts w:hint="eastAsia" w:asciiTheme="minorEastAsia" w:hAnsiTheme="minorEastAsia" w:eastAsiaTheme="minorEastAsia"/>
          <w:szCs w:val="21"/>
          <w:highlight w:val="none"/>
        </w:rPr>
        <w:t>：</w:t>
      </w:r>
    </w:p>
    <w:p>
      <w:pPr>
        <w:spacing w:line="360" w:lineRule="auto"/>
        <w:ind w:firstLine="480" w:firstLineChars="200"/>
        <w:rPr>
          <w:rFonts w:cs="仿宋_GB2312" w:asciiTheme="minorEastAsia" w:hAnsiTheme="minorEastAsia" w:eastAsiaTheme="minorEastAsia"/>
          <w:sz w:val="24"/>
          <w:szCs w:val="21"/>
          <w:highlight w:val="none"/>
        </w:rPr>
      </w:pPr>
      <w:r>
        <w:rPr>
          <w:rFonts w:hint="eastAsia" w:asciiTheme="minorEastAsia" w:hAnsiTheme="minorEastAsia" w:eastAsiaTheme="minorEastAsia"/>
          <w:sz w:val="24"/>
          <w:highlight w:val="none"/>
        </w:rPr>
        <w:t>3.1</w:t>
      </w:r>
      <w:r>
        <w:rPr>
          <w:rFonts w:hint="eastAsia" w:cs="仿宋_GB2312" w:asciiTheme="minorEastAsia" w:hAnsiTheme="minorEastAsia" w:eastAsiaTheme="minorEastAsia"/>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3.8响应文件未按照磋商文件要求签署、盖章的；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3.9</w:t>
      </w:r>
      <w:r>
        <w:rPr>
          <w:rFonts w:hint="eastAsia" w:ascii="宋体" w:hAnsi="宋体" w:cs="宋体"/>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3.10响应文件含有采购人不能接受的附加条件的；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3.14最后报价高于本项目采购预算或者最高限价的;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3.18供应商提供虚假材料响应的（包括但不限于以下情节）；</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使用伪造、变造的许可证件；</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提供虚假的财务状况或者业绩；</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提供虚假的项目负责人或者主要技术人员简历、劳动关系证明；</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提供虚假的信用状况；</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其他弄虚作假的行为。</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有下列情形之一的，属于或视为恶意串通，其响应无效：</w:t>
      </w:r>
    </w:p>
    <w:p>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供应商直接或者间接从采购人或者</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处获得其他供应商的相关情况并修改其响应文件；</w:t>
      </w:r>
    </w:p>
    <w:p>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供应商按照采购人或者</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的授意撤换、修改投标文件或者响应文件；</w:t>
      </w:r>
    </w:p>
    <w:p>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供应商之间协商报价、技术方案等投标文件或者响应文件的实质性内容；</w:t>
      </w:r>
    </w:p>
    <w:p>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属于同一集团、协会、商会等组织成员的供应商按照该组织要求协同参加政府采购活动；</w:t>
      </w:r>
    </w:p>
    <w:p>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供应商之间事先约定由某一特定供应商中标、成交；</w:t>
      </w:r>
    </w:p>
    <w:p>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供应商之间商定部分供应商放弃参加政府采购活动或者放弃中标、成交；</w:t>
      </w:r>
    </w:p>
    <w:p>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供应商与采购人或者</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之间、供应商相互之间，为谋求特定供应商中标、成交或者排斥其他供应商的其他串通行为。</w:t>
      </w:r>
    </w:p>
    <w:p>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不同供应商的响应文件由同一单位或者个人编制；</w:t>
      </w:r>
    </w:p>
    <w:p>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不同供应商委托同一单位或者个人办理响应事宜；</w:t>
      </w:r>
    </w:p>
    <w:p>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不同供应商的响应文件载明的项目管理成员或者联系人员为同一人；</w:t>
      </w:r>
    </w:p>
    <w:p>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不同供应商的响应文件异常一致或者最后报价呈规律性差异；</w:t>
      </w:r>
    </w:p>
    <w:p>
      <w:pPr>
        <w:pStyle w:val="105"/>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不同供应商的响应文件相互混装。</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3.21法律、法规、规章（适用本市的）及省级以上规范性文件（适用本市的）规定的其他无效情形。</w:t>
      </w:r>
    </w:p>
    <w:p>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4. 重新开展采购活动</w:t>
      </w:r>
    </w:p>
    <w:p>
      <w:pPr>
        <w:spacing w:line="360" w:lineRule="auto"/>
        <w:ind w:firstLine="407" w:firstLineChars="194"/>
        <w:rPr>
          <w:rFonts w:asciiTheme="minorEastAsia" w:hAnsiTheme="minorEastAsia" w:eastAsiaTheme="minorEastAsia"/>
          <w:sz w:val="24"/>
          <w:szCs w:val="21"/>
          <w:highlight w:val="none"/>
        </w:rPr>
      </w:pPr>
      <w:r>
        <w:rPr>
          <w:rFonts w:hint="eastAsia" w:cs="Arial" w:asciiTheme="minorEastAsia" w:hAnsiTheme="minorEastAsia" w:eastAsiaTheme="minorEastAsia"/>
          <w:szCs w:val="21"/>
          <w:highlight w:val="none"/>
        </w:rPr>
        <w:t xml:space="preserve"> </w:t>
      </w:r>
      <w:r>
        <w:rPr>
          <w:rFonts w:hint="eastAsia" w:asciiTheme="minorEastAsia" w:hAnsiTheme="minorEastAsia" w:eastAsiaTheme="minorEastAsia"/>
          <w:sz w:val="24"/>
          <w:szCs w:val="21"/>
          <w:highlight w:val="none"/>
        </w:rPr>
        <w:t>出现下列情形之一的，</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（3）在采购过程中符合要求的供应商或者最后报价未超过采购预算的供应商不足3家的（有特殊规定的从其规定）。</w:t>
      </w:r>
    </w:p>
    <w:p>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5. 终止采购活动</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在采购活动中因重大变故，采购任务取消的，</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highlight w:val="none"/>
        </w:rPr>
      </w:pPr>
      <w:r>
        <w:rPr>
          <w:rFonts w:asciiTheme="minorEastAsia" w:hAnsiTheme="minorEastAsia" w:eastAsiaTheme="minorEastAsia"/>
          <w:b/>
          <w:sz w:val="24"/>
          <w:highlight w:val="none"/>
        </w:rPr>
        <w:t xml:space="preserve">6. </w:t>
      </w:r>
      <w:r>
        <w:rPr>
          <w:rFonts w:hint="eastAsia" w:cs="仿宋_GB2312" w:asciiTheme="minorEastAsia" w:hAnsiTheme="minorEastAsia" w:eastAsiaTheme="minorEastAsia"/>
          <w:b/>
          <w:sz w:val="24"/>
          <w:highlight w:val="none"/>
          <w:lang w:eastAsia="zh-CN"/>
        </w:rPr>
        <w:t>采购代理机构</w:t>
      </w:r>
      <w:r>
        <w:rPr>
          <w:rFonts w:hint="eastAsia" w:cs="仿宋_GB2312" w:asciiTheme="minorEastAsia" w:hAnsiTheme="minorEastAsia" w:eastAsiaTheme="minorEastAsia"/>
          <w:b/>
          <w:sz w:val="24"/>
          <w:highlight w:val="none"/>
        </w:rPr>
        <w:t>有权对磋商小组各成员的评分情况和评审意见进行合理性和合规性审查</w:t>
      </w:r>
      <w:r>
        <w:rPr>
          <w:rFonts w:hint="eastAsia" w:cs="仿宋_GB2312" w:asciiTheme="minorEastAsia" w:hAnsiTheme="minorEastAsia" w:eastAsiaTheme="minorEastAsia"/>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审查的，</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将向同级政府采购监督管理部门报告并予以处理。</w:t>
      </w:r>
    </w:p>
    <w:p>
      <w:pPr>
        <w:pStyle w:val="393"/>
        <w:spacing w:before="0"/>
        <w:ind w:firstLine="0" w:firstLineChars="0"/>
        <w:rPr>
          <w:rFonts w:cs="仿宋_GB2312" w:asciiTheme="minorEastAsia" w:hAnsiTheme="minorEastAsia" w:eastAsiaTheme="minorEastAsia"/>
          <w:b/>
          <w:highlight w:val="none"/>
        </w:rPr>
      </w:pPr>
    </w:p>
    <w:p>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1.保密。</w:t>
      </w:r>
      <w:r>
        <w:rPr>
          <w:rFonts w:hint="eastAsia" w:cs="仿宋_GB2312" w:asciiTheme="minorEastAsia" w:hAnsiTheme="minorEastAsia" w:eastAsiaTheme="minorEastAsia"/>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2.录音录像。</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pPr>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第六部分</w:t>
      </w:r>
      <w:bookmarkEnd w:id="57"/>
      <w:r>
        <w:rPr>
          <w:rFonts w:hint="eastAsia" w:cs="仿宋_GB2312" w:asciiTheme="minorEastAsia" w:hAnsiTheme="minorEastAsia" w:eastAsiaTheme="minorEastAsia"/>
          <w:b/>
          <w:sz w:val="36"/>
          <w:szCs w:val="36"/>
          <w:highlight w:val="none"/>
        </w:rPr>
        <w:t xml:space="preserve">  拟签订的合同文本</w:t>
      </w:r>
    </w:p>
    <w:p>
      <w:pPr>
        <w:spacing w:line="360" w:lineRule="auto"/>
        <w:rPr>
          <w:rFonts w:asciiTheme="minorEastAsia" w:hAnsiTheme="minorEastAsia" w:eastAsiaTheme="minorEastAsia"/>
          <w:sz w:val="24"/>
          <w:highlight w:val="none"/>
        </w:rPr>
      </w:pPr>
      <w:bookmarkStart w:id="58" w:name="第五部分"/>
      <w:bookmarkStart w:id="59" w:name="_Toc86217003"/>
    </w:p>
    <w:p>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合同编号：</w:t>
      </w:r>
      <w:r>
        <w:rPr>
          <w:rFonts w:hint="eastAsia" w:asciiTheme="minorEastAsia" w:hAnsiTheme="minorEastAsia" w:eastAsiaTheme="minorEastAsia"/>
          <w:sz w:val="24"/>
          <w:highlight w:val="none"/>
          <w:u w:val="single"/>
        </w:rPr>
        <w:t xml:space="preserve">           </w:t>
      </w:r>
    </w:p>
    <w:p>
      <w:pPr>
        <w:spacing w:line="360" w:lineRule="auto"/>
        <w:rPr>
          <w:rFonts w:asciiTheme="minorEastAsia" w:hAnsiTheme="minorEastAsia" w:eastAsiaTheme="minorEastAsia"/>
          <w:sz w:val="24"/>
          <w:highlight w:val="none"/>
          <w:u w:val="single"/>
        </w:rPr>
      </w:pPr>
    </w:p>
    <w:p>
      <w:pPr>
        <w:pStyle w:val="282"/>
        <w:ind w:leftChars="0" w:firstLine="2465" w:firstLineChars="682"/>
        <w:jc w:val="left"/>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政府采购合同书</w:t>
      </w:r>
    </w:p>
    <w:p>
      <w:pPr>
        <w:pStyle w:val="282"/>
        <w:rPr>
          <w:rFonts w:asciiTheme="minorEastAsia" w:hAnsiTheme="minorEastAsia" w:eastAsiaTheme="minorEastAsia"/>
          <w:szCs w:val="24"/>
          <w:highlight w:val="none"/>
        </w:rPr>
      </w:pPr>
    </w:p>
    <w:p>
      <w:pPr>
        <w:pStyle w:val="282"/>
        <w:rPr>
          <w:rFonts w:asciiTheme="minorEastAsia" w:hAnsiTheme="minorEastAsia" w:eastAsiaTheme="minorEastAsia"/>
          <w:szCs w:val="24"/>
          <w:highlight w:val="none"/>
        </w:rPr>
      </w:pPr>
    </w:p>
    <w:p>
      <w:pPr>
        <w:spacing w:before="120" w:line="360" w:lineRule="auto"/>
        <w:rPr>
          <w:rFonts w:asciiTheme="minorEastAsia" w:hAnsiTheme="minorEastAsia" w:eastAsiaTheme="minorEastAsia"/>
          <w:sz w:val="24"/>
          <w:highlight w:val="none"/>
        </w:rPr>
      </w:pPr>
    </w:p>
    <w:p>
      <w:pPr>
        <w:spacing w:before="120" w:line="36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项目名称：</w:t>
      </w:r>
      <w:r>
        <w:rPr>
          <w:rFonts w:hint="eastAsia" w:asciiTheme="minorEastAsia" w:hAnsiTheme="minorEastAsia" w:eastAsiaTheme="minorEastAsia"/>
          <w:sz w:val="24"/>
          <w:highlight w:val="none"/>
          <w:u w:val="single"/>
        </w:rPr>
        <w:t xml:space="preserve">                                   </w:t>
      </w:r>
    </w:p>
    <w:p>
      <w:pPr>
        <w:pStyle w:val="616"/>
        <w:spacing w:before="120"/>
        <w:rPr>
          <w:rFonts w:asciiTheme="minorEastAsia" w:hAnsiTheme="minorEastAsia" w:eastAsiaTheme="minorEastAsia"/>
          <w:szCs w:val="24"/>
          <w:highlight w:val="none"/>
        </w:rPr>
      </w:pPr>
    </w:p>
    <w:p>
      <w:pPr>
        <w:spacing w:line="360" w:lineRule="auto"/>
        <w:rPr>
          <w:rFonts w:asciiTheme="minorEastAsia" w:hAnsiTheme="minorEastAsia" w:eastAsiaTheme="minorEastAsia"/>
          <w:sz w:val="24"/>
          <w:highlight w:val="none"/>
        </w:rPr>
      </w:pPr>
    </w:p>
    <w:p>
      <w:pPr>
        <w:spacing w:before="120" w:line="36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甲方：</w:t>
      </w:r>
      <w:r>
        <w:rPr>
          <w:rFonts w:hint="eastAsia" w:asciiTheme="minorEastAsia" w:hAnsiTheme="minorEastAsia" w:eastAsiaTheme="minorEastAsia"/>
          <w:sz w:val="24"/>
          <w:highlight w:val="none"/>
          <w:u w:val="single"/>
        </w:rPr>
        <w:t xml:space="preserve">                                       </w:t>
      </w:r>
    </w:p>
    <w:p>
      <w:pPr>
        <w:spacing w:before="120" w:line="360" w:lineRule="auto"/>
        <w:rPr>
          <w:rFonts w:asciiTheme="minorEastAsia" w:hAnsiTheme="minorEastAsia" w:eastAsiaTheme="minorEastAsia"/>
          <w:sz w:val="24"/>
          <w:highlight w:val="none"/>
        </w:rPr>
      </w:pPr>
    </w:p>
    <w:p>
      <w:pPr>
        <w:spacing w:before="120" w:line="36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乙方：</w:t>
      </w:r>
      <w:r>
        <w:rPr>
          <w:rFonts w:hint="eastAsia" w:asciiTheme="minorEastAsia" w:hAnsiTheme="minorEastAsia" w:eastAsiaTheme="minorEastAsia"/>
          <w:sz w:val="24"/>
          <w:highlight w:val="none"/>
          <w:u w:val="single"/>
        </w:rPr>
        <w:t xml:space="preserve">                                       </w:t>
      </w:r>
    </w:p>
    <w:p>
      <w:pPr>
        <w:spacing w:before="120" w:line="360" w:lineRule="auto"/>
        <w:rPr>
          <w:rFonts w:asciiTheme="minorEastAsia" w:hAnsiTheme="minorEastAsia" w:eastAsiaTheme="minorEastAsia"/>
          <w:sz w:val="24"/>
          <w:highlight w:val="none"/>
        </w:rPr>
      </w:pPr>
    </w:p>
    <w:p>
      <w:pPr>
        <w:spacing w:before="120" w:line="360" w:lineRule="auto"/>
        <w:ind w:firstLine="960" w:firstLineChars="4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签订地：</w:t>
      </w:r>
      <w:r>
        <w:rPr>
          <w:rFonts w:hint="eastAsia" w:asciiTheme="minorEastAsia" w:hAnsiTheme="minorEastAsia" w:eastAsiaTheme="minorEastAsia"/>
          <w:sz w:val="24"/>
          <w:highlight w:val="none"/>
          <w:u w:val="single"/>
        </w:rPr>
        <w:t xml:space="preserve">                                     </w:t>
      </w:r>
    </w:p>
    <w:p>
      <w:pPr>
        <w:spacing w:before="120" w:line="360" w:lineRule="auto"/>
        <w:rPr>
          <w:rFonts w:asciiTheme="minorEastAsia" w:hAnsiTheme="minorEastAsia" w:eastAsiaTheme="minorEastAsia"/>
          <w:sz w:val="24"/>
          <w:highlight w:val="none"/>
        </w:rPr>
      </w:pPr>
    </w:p>
    <w:p>
      <w:pPr>
        <w:spacing w:before="120" w:line="360" w:lineRule="auto"/>
        <w:ind w:firstLine="960" w:firstLineChars="4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p>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pPr>
        <w:rPr>
          <w:rFonts w:ascii="宋体" w:hAnsi="宋体" w:cs="宋体"/>
          <w:b/>
          <w:sz w:val="24"/>
          <w:highlight w:val="none"/>
        </w:rPr>
      </w:pPr>
    </w:p>
    <w:p>
      <w:pPr>
        <w:spacing w:line="560" w:lineRule="exact"/>
        <w:ind w:firstLine="480" w:firstLineChars="200"/>
        <w:rPr>
          <w:rFonts w:ascii="宋体" w:hAnsi="宋体"/>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cs="宋体"/>
          <w:color w:val="0000FF"/>
          <w:sz w:val="24"/>
          <w:highlight w:val="none"/>
          <w:u w:val="single"/>
        </w:rPr>
        <w:t>（采购人）</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（政府采购方式）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cs="宋体"/>
          <w:color w:val="0000FF"/>
          <w:sz w:val="24"/>
          <w:highlight w:val="none"/>
          <w:u w:val="single"/>
          <w:lang w:eastAsia="zh-CN"/>
        </w:rPr>
        <w:t>2024年度临安区困难残疾人家庭无障碍改造项目</w:t>
      </w:r>
      <w:r>
        <w:rPr>
          <w:rFonts w:hint="eastAsia" w:ascii="宋体" w:hAnsi="宋体" w:cs="宋体"/>
          <w:color w:val="0000FF"/>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项目进行了采购。经</w:t>
      </w:r>
      <w:r>
        <w:rPr>
          <w:rFonts w:ascii="宋体" w:hAnsi="宋体"/>
          <w:sz w:val="24"/>
          <w:highlight w:val="none"/>
          <w:u w:val="single"/>
        </w:rPr>
        <w:t xml:space="preserve">   （相关评定主体名称）   </w:t>
      </w:r>
      <w:r>
        <w:rPr>
          <w:rFonts w:hint="eastAsia" w:ascii="宋体" w:hAnsi="宋体"/>
          <w:sz w:val="24"/>
          <w:highlight w:val="none"/>
        </w:rPr>
        <w:t>评定，</w:t>
      </w:r>
      <w:r>
        <w:rPr>
          <w:rFonts w:ascii="宋体" w:hAnsi="宋体"/>
          <w:sz w:val="24"/>
          <w:highlight w:val="none"/>
          <w:u w:val="single"/>
        </w:rPr>
        <w:t xml:space="preserve">   （中标</w:t>
      </w:r>
      <w:r>
        <w:rPr>
          <w:rFonts w:hint="eastAsia" w:ascii="宋体" w:hAnsi="宋体"/>
          <w:sz w:val="24"/>
          <w:highlight w:val="none"/>
          <w:u w:val="single"/>
        </w:rPr>
        <w:t>或者成交</w:t>
      </w:r>
      <w:r>
        <w:rPr>
          <w:rFonts w:ascii="宋体" w:hAnsi="宋体"/>
          <w:sz w:val="24"/>
          <w:highlight w:val="none"/>
          <w:u w:val="single"/>
        </w:rPr>
        <w:t xml:space="preserve">供应商名称） </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发出之日起10个工作日内，按照采购文件确定的事项签订本合同。</w:t>
      </w:r>
    </w:p>
    <w:p>
      <w:pPr>
        <w:spacing w:line="560" w:lineRule="exact"/>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ascii="宋体" w:hAnsi="宋体"/>
          <w:sz w:val="24"/>
          <w:highlight w:val="none"/>
          <w:u w:val="single"/>
        </w:rPr>
        <w:t xml:space="preserve">   </w:t>
      </w:r>
      <w:r>
        <w:rPr>
          <w:rFonts w:ascii="宋体" w:hAnsi="宋体"/>
          <w:color w:val="0000FF"/>
          <w:sz w:val="24"/>
          <w:highlight w:val="none"/>
          <w:u w:val="single"/>
        </w:rPr>
        <w:t xml:space="preserve">（采购人） </w:t>
      </w:r>
      <w:r>
        <w:rPr>
          <w:rFonts w:ascii="宋体" w:hAnsi="宋体"/>
          <w:sz w:val="24"/>
          <w:highlight w:val="none"/>
          <w:u w:val="single"/>
        </w:rPr>
        <w:t xml:space="preserve">  </w:t>
      </w:r>
      <w:r>
        <w:rPr>
          <w:rFonts w:ascii="宋体" w:hAnsi="宋体"/>
          <w:sz w:val="24"/>
          <w:highlight w:val="none"/>
          <w:lang w:val="zh-CN"/>
        </w:rPr>
        <w:t>(以下简称：甲方)和</w:t>
      </w:r>
      <w:r>
        <w:rPr>
          <w:rFonts w:ascii="宋体" w:hAnsi="宋体"/>
          <w:sz w:val="24"/>
          <w:highlight w:val="none"/>
          <w:u w:val="single"/>
        </w:rPr>
        <w:t xml:space="preserve">   （中</w:t>
      </w:r>
      <w:r>
        <w:rPr>
          <w:rFonts w:hint="eastAsia" w:ascii="宋体" w:hAnsi="宋体"/>
          <w:sz w:val="24"/>
          <w:highlight w:val="none"/>
          <w:u w:val="single"/>
        </w:rPr>
        <w:t>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pPr>
        <w:spacing w:line="560" w:lineRule="exact"/>
        <w:ind w:firstLine="482" w:firstLineChars="200"/>
        <w:outlineLvl w:val="0"/>
        <w:rPr>
          <w:rFonts w:ascii="宋体" w:hAnsi="宋体"/>
          <w:sz w:val="24"/>
          <w:highlight w:val="none"/>
        </w:rPr>
      </w:pPr>
      <w:bookmarkStart w:id="60" w:name="_Toc19273"/>
      <w:bookmarkStart w:id="61" w:name="_Toc22967"/>
      <w:bookmarkStart w:id="62" w:name="_Toc28855"/>
      <w:bookmarkStart w:id="63" w:name="_Toc15367"/>
      <w:bookmarkStart w:id="64" w:name="_Toc20421"/>
      <w:r>
        <w:rPr>
          <w:rFonts w:ascii="宋体" w:hAnsi="宋体"/>
          <w:b/>
          <w:sz w:val="24"/>
          <w:highlight w:val="none"/>
        </w:rPr>
        <w:t xml:space="preserve">1.1 </w:t>
      </w:r>
      <w:r>
        <w:rPr>
          <w:rFonts w:hint="eastAsia" w:ascii="宋体" w:hAnsi="宋体"/>
          <w:b/>
          <w:sz w:val="24"/>
          <w:highlight w:val="none"/>
        </w:rPr>
        <w:t>合同组成部分</w:t>
      </w:r>
      <w:bookmarkEnd w:id="60"/>
      <w:bookmarkEnd w:id="61"/>
      <w:bookmarkEnd w:id="62"/>
      <w:bookmarkEnd w:id="63"/>
      <w:bookmarkEnd w:id="64"/>
    </w:p>
    <w:p>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pPr>
        <w:spacing w:line="560" w:lineRule="exact"/>
        <w:ind w:firstLine="482" w:firstLineChars="200"/>
        <w:outlineLvl w:val="0"/>
        <w:rPr>
          <w:rFonts w:ascii="宋体" w:hAnsi="宋体"/>
          <w:b/>
          <w:sz w:val="24"/>
          <w:highlight w:val="none"/>
        </w:rPr>
      </w:pPr>
      <w:bookmarkStart w:id="65" w:name="_Toc6773"/>
      <w:bookmarkStart w:id="66" w:name="_Toc18585"/>
      <w:bookmarkStart w:id="67" w:name="_Toc2918"/>
      <w:bookmarkStart w:id="68" w:name="_Toc22185"/>
      <w:bookmarkStart w:id="69" w:name="_Toc6311"/>
      <w:r>
        <w:rPr>
          <w:rFonts w:ascii="宋体" w:hAnsi="宋体"/>
          <w:b/>
          <w:sz w:val="24"/>
          <w:highlight w:val="none"/>
        </w:rPr>
        <w:t xml:space="preserve">1.2 </w:t>
      </w:r>
      <w:r>
        <w:rPr>
          <w:rFonts w:hint="eastAsia" w:ascii="宋体" w:hAnsi="宋体"/>
          <w:b/>
          <w:sz w:val="24"/>
          <w:highlight w:val="none"/>
        </w:rPr>
        <w:t>标的</w:t>
      </w:r>
      <w:bookmarkEnd w:id="65"/>
      <w:bookmarkEnd w:id="66"/>
      <w:bookmarkEnd w:id="67"/>
      <w:bookmarkEnd w:id="68"/>
      <w:bookmarkEnd w:id="69"/>
    </w:p>
    <w:p>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pPr>
        <w:pStyle w:val="629"/>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否）涉及货物。若涉及货物的，则：</w:t>
      </w:r>
    </w:p>
    <w:p>
      <w:pPr>
        <w:spacing w:line="560" w:lineRule="exact"/>
        <w:ind w:firstLine="480" w:firstLineChars="200"/>
        <w:rPr>
          <w:rFonts w:ascii="宋体" w:hAnsi="宋体" w:cs="宋体"/>
          <w:sz w:val="24"/>
          <w:highlight w:val="none"/>
          <w:u w:val="single"/>
        </w:rPr>
      </w:pPr>
      <w:bookmarkStart w:id="70" w:name="_Toc21124"/>
      <w:bookmarkStart w:id="71" w:name="_Toc1386"/>
      <w:bookmarkStart w:id="72" w:name="_Toc4929"/>
      <w:bookmarkStart w:id="73" w:name="_Toc5635"/>
      <w:bookmarkStart w:id="74" w:name="_Toc13918"/>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2" w:firstLineChars="200"/>
        <w:outlineLvl w:val="0"/>
        <w:rPr>
          <w:rFonts w:ascii="宋体" w:hAnsi="宋体"/>
          <w:b/>
          <w:sz w:val="24"/>
          <w:highlight w:val="none"/>
        </w:rPr>
      </w:pPr>
      <w:r>
        <w:rPr>
          <w:rFonts w:ascii="宋体" w:hAnsi="宋体"/>
          <w:b/>
          <w:sz w:val="24"/>
          <w:highlight w:val="none"/>
        </w:rPr>
        <w:t>1.3 价款</w:t>
      </w:r>
      <w:bookmarkEnd w:id="70"/>
      <w:bookmarkEnd w:id="71"/>
      <w:bookmarkEnd w:id="72"/>
      <w:bookmarkEnd w:id="73"/>
      <w:bookmarkEnd w:id="74"/>
    </w:p>
    <w:p>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pPr>
              <w:pStyle w:val="621"/>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pPr>
              <w:pStyle w:val="621"/>
              <w:spacing w:line="560" w:lineRule="exact"/>
              <w:jc w:val="center"/>
              <w:rPr>
                <w:rFonts w:hAnsi="宋体"/>
                <w:sz w:val="24"/>
                <w:szCs w:val="24"/>
                <w:highlight w:val="none"/>
              </w:rPr>
            </w:pPr>
            <w:r>
              <w:rPr>
                <w:rFonts w:hAnsi="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highlight w:val="none"/>
              </w:rPr>
            </w:pPr>
          </w:p>
        </w:tc>
        <w:tc>
          <w:tcPr>
            <w:tcW w:w="3402" w:type="dxa"/>
            <w:vAlign w:val="center"/>
          </w:tcPr>
          <w:p>
            <w:pPr>
              <w:pStyle w:val="621"/>
              <w:spacing w:line="560" w:lineRule="exact"/>
              <w:ind w:firstLine="200"/>
              <w:jc w:val="center"/>
              <w:rPr>
                <w:rFonts w:hAnsi="宋体"/>
                <w:sz w:val="24"/>
                <w:szCs w:val="24"/>
                <w:highlight w:val="none"/>
              </w:rPr>
            </w:pPr>
          </w:p>
        </w:tc>
        <w:tc>
          <w:tcPr>
            <w:tcW w:w="2552" w:type="dxa"/>
            <w:vAlign w:val="center"/>
          </w:tcPr>
          <w:p>
            <w:pPr>
              <w:pStyle w:val="621"/>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highlight w:val="none"/>
              </w:rPr>
            </w:pPr>
          </w:p>
        </w:tc>
        <w:tc>
          <w:tcPr>
            <w:tcW w:w="3402" w:type="dxa"/>
            <w:vAlign w:val="center"/>
          </w:tcPr>
          <w:p>
            <w:pPr>
              <w:pStyle w:val="621"/>
              <w:spacing w:line="560" w:lineRule="exact"/>
              <w:ind w:firstLine="200"/>
              <w:jc w:val="center"/>
              <w:rPr>
                <w:rFonts w:hAnsi="宋体"/>
                <w:sz w:val="24"/>
                <w:szCs w:val="24"/>
                <w:highlight w:val="none"/>
              </w:rPr>
            </w:pPr>
          </w:p>
        </w:tc>
        <w:tc>
          <w:tcPr>
            <w:tcW w:w="2552" w:type="dxa"/>
            <w:vAlign w:val="center"/>
          </w:tcPr>
          <w:p>
            <w:pPr>
              <w:pStyle w:val="621"/>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highlight w:val="none"/>
              </w:rPr>
            </w:pPr>
          </w:p>
        </w:tc>
        <w:tc>
          <w:tcPr>
            <w:tcW w:w="3402" w:type="dxa"/>
            <w:vAlign w:val="center"/>
          </w:tcPr>
          <w:p>
            <w:pPr>
              <w:pStyle w:val="621"/>
              <w:spacing w:line="560" w:lineRule="exact"/>
              <w:ind w:firstLine="200"/>
              <w:jc w:val="center"/>
              <w:rPr>
                <w:rFonts w:hAnsi="宋体"/>
                <w:sz w:val="24"/>
                <w:szCs w:val="24"/>
                <w:highlight w:val="none"/>
              </w:rPr>
            </w:pPr>
          </w:p>
        </w:tc>
        <w:tc>
          <w:tcPr>
            <w:tcW w:w="2552" w:type="dxa"/>
            <w:vAlign w:val="center"/>
          </w:tcPr>
          <w:p>
            <w:pPr>
              <w:pStyle w:val="621"/>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highlight w:val="none"/>
              </w:rPr>
            </w:pPr>
          </w:p>
        </w:tc>
        <w:tc>
          <w:tcPr>
            <w:tcW w:w="3402" w:type="dxa"/>
            <w:vAlign w:val="center"/>
          </w:tcPr>
          <w:p>
            <w:pPr>
              <w:pStyle w:val="621"/>
              <w:spacing w:line="560" w:lineRule="exact"/>
              <w:ind w:firstLine="200"/>
              <w:jc w:val="center"/>
              <w:rPr>
                <w:rFonts w:hAnsi="宋体"/>
                <w:sz w:val="24"/>
                <w:szCs w:val="24"/>
                <w:highlight w:val="none"/>
              </w:rPr>
            </w:pPr>
          </w:p>
        </w:tc>
        <w:tc>
          <w:tcPr>
            <w:tcW w:w="2552" w:type="dxa"/>
            <w:vAlign w:val="center"/>
          </w:tcPr>
          <w:p>
            <w:pPr>
              <w:pStyle w:val="621"/>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1"/>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pPr>
              <w:pStyle w:val="621"/>
              <w:spacing w:line="560" w:lineRule="exact"/>
              <w:ind w:firstLine="200"/>
              <w:jc w:val="center"/>
              <w:rPr>
                <w:rFonts w:hAnsi="宋体"/>
                <w:sz w:val="24"/>
                <w:szCs w:val="24"/>
                <w:highlight w:val="none"/>
              </w:rPr>
            </w:pPr>
          </w:p>
        </w:tc>
      </w:tr>
    </w:tbl>
    <w:p>
      <w:pPr>
        <w:spacing w:line="560" w:lineRule="exact"/>
        <w:ind w:firstLine="480" w:firstLineChars="200"/>
        <w:rPr>
          <w:rFonts w:ascii="宋体" w:hAnsi="宋体"/>
          <w:sz w:val="24"/>
          <w:highlight w:val="none"/>
        </w:rPr>
      </w:pPr>
      <w:bookmarkStart w:id="75" w:name="_Toc14993"/>
      <w:bookmarkStart w:id="76" w:name="_Toc30158"/>
      <w:bookmarkStart w:id="77" w:name="_Toc26916"/>
      <w:bookmarkStart w:id="78" w:name="_Toc3654"/>
      <w:bookmarkStart w:id="79" w:name="_Toc30506"/>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pPr>
        <w:pStyle w:val="2"/>
        <w:rPr>
          <w:highlight w:val="none"/>
          <w:lang w:val="en-US"/>
        </w:rPr>
      </w:pPr>
      <w:r>
        <w:rPr>
          <w:rFonts w:hint="eastAsia" w:ascii="宋体" w:hAnsi="宋体"/>
          <w:sz w:val="24"/>
          <w:highlight w:val="none"/>
          <w:lang w:val="en-US"/>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bookmarkEnd w:id="75"/>
    <w:bookmarkEnd w:id="76"/>
    <w:bookmarkEnd w:id="77"/>
    <w:bookmarkEnd w:id="78"/>
    <w:bookmarkEnd w:id="79"/>
    <w:p>
      <w:pPr>
        <w:pStyle w:val="629"/>
        <w:spacing w:before="0" w:beforeAutospacing="0" w:after="0" w:afterAutospacing="0" w:line="360" w:lineRule="auto"/>
        <w:ind w:firstLine="480"/>
        <w:rPr>
          <w:b/>
          <w:highlight w:val="none"/>
        </w:rPr>
      </w:pPr>
      <w:bookmarkStart w:id="80" w:name="_Toc22618"/>
      <w:bookmarkStart w:id="81" w:name="_Toc1814"/>
      <w:bookmarkStart w:id="82" w:name="_Toc10340"/>
      <w:bookmarkStart w:id="83" w:name="_Toc31421"/>
      <w:bookmarkStart w:id="84" w:name="_Toc3625"/>
      <w:bookmarkStart w:id="85" w:name="_Toc4760"/>
      <w:bookmarkStart w:id="86" w:name="_Toc11108"/>
      <w:bookmarkStart w:id="87" w:name="_Toc8772"/>
      <w:r>
        <w:rPr>
          <w:rFonts w:hint="eastAsia"/>
          <w:b/>
          <w:highlight w:val="none"/>
        </w:rPr>
        <w:t>1.4履约保证金</w:t>
      </w:r>
    </w:p>
    <w:p>
      <w:pPr>
        <w:pStyle w:val="629"/>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1</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2"/>
        <w:tabs>
          <w:tab w:val="left" w:pos="0"/>
        </w:tabs>
        <w:spacing w:line="560" w:lineRule="exact"/>
        <w:ind w:left="0" w:firstLine="480" w:firstLineChars="200"/>
        <w:rPr>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80"/>
      <w:bookmarkEnd w:id="81"/>
      <w:bookmarkEnd w:id="82"/>
      <w:r>
        <w:rPr>
          <w:rFonts w:hint="eastAsia" w:ascii="宋体" w:hAnsi="宋体" w:cs="宋体"/>
          <w:b/>
          <w:sz w:val="24"/>
          <w:highlight w:val="none"/>
        </w:rPr>
        <w:t>预付款</w:t>
      </w:r>
    </w:p>
    <w:p>
      <w:pPr>
        <w:pStyle w:val="629"/>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629"/>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pPr>
        <w:pStyle w:val="629"/>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pPr>
        <w:pStyle w:val="629"/>
        <w:spacing w:before="0" w:beforeAutospacing="0" w:after="0" w:afterAutospacing="0" w:line="360" w:lineRule="auto"/>
        <w:ind w:firstLine="480"/>
        <w:rPr>
          <w:b/>
          <w:bCs/>
          <w:highlight w:val="none"/>
        </w:rPr>
      </w:pPr>
      <w:r>
        <w:rPr>
          <w:rFonts w:hint="eastAsia"/>
          <w:b/>
          <w:bCs/>
          <w:highlight w:val="none"/>
        </w:rPr>
        <w:t>1.6资金支付</w:t>
      </w:r>
    </w:p>
    <w:p>
      <w:pPr>
        <w:pStyle w:val="629"/>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bookmarkEnd w:id="83"/>
      <w:bookmarkEnd w:id="84"/>
      <w:bookmarkEnd w:id="85"/>
      <w:bookmarkEnd w:id="86"/>
      <w:bookmarkEnd w:id="87"/>
    </w:p>
    <w:p>
      <w:pPr>
        <w:spacing w:line="560" w:lineRule="exact"/>
        <w:ind w:firstLine="480" w:firstLineChars="2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pPr>
        <w:spacing w:line="560" w:lineRule="exact"/>
        <w:ind w:firstLine="480" w:firstLineChars="200"/>
        <w:outlineLvl w:val="0"/>
        <w:rPr>
          <w:rFonts w:ascii="宋体" w:hAnsi="宋体"/>
          <w:bCs/>
          <w:sz w:val="24"/>
          <w:highlight w:val="none"/>
        </w:rPr>
      </w:pPr>
      <w:bookmarkStart w:id="88" w:name="_Toc8586"/>
      <w:bookmarkStart w:id="89" w:name="_Toc2375"/>
      <w:bookmarkStart w:id="90" w:name="_Toc3079"/>
      <w:bookmarkStart w:id="91" w:name="_Toc5698"/>
      <w:bookmarkStart w:id="92" w:name="_Toc24662"/>
      <w:r>
        <w:rPr>
          <w:rFonts w:hint="eastAsia" w:ascii="宋体" w:hAnsi="宋体"/>
          <w:bCs/>
          <w:sz w:val="24"/>
          <w:highlight w:val="none"/>
        </w:rPr>
        <w:t>1.7.4若服务</w:t>
      </w:r>
      <w:r>
        <w:rPr>
          <w:rFonts w:hint="eastAsia"/>
          <w:bCs/>
          <w:sz w:val="24"/>
          <w:highlight w:val="none"/>
        </w:rPr>
        <w:t>涉及货物的，则货物的：</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bookmarkEnd w:id="88"/>
      <w:bookmarkEnd w:id="89"/>
      <w:bookmarkEnd w:id="90"/>
      <w:bookmarkEnd w:id="91"/>
      <w:bookmarkEnd w:id="92"/>
    </w:p>
    <w:p>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pPr>
        <w:pStyle w:val="2"/>
        <w:ind w:left="0"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w:t>
      </w:r>
      <w:r>
        <w:rPr>
          <w:rFonts w:hint="eastAsia" w:ascii="宋体" w:hAnsi="宋体" w:eastAsia="宋体" w:cs="宋体"/>
          <w:b w:val="0"/>
          <w:bCs w:val="0"/>
          <w:sz w:val="24"/>
          <w:szCs w:val="24"/>
          <w:highlight w:val="none"/>
          <w:lang w:val="en-US"/>
        </w:rPr>
        <w:t xml:space="preserve">5（可根据情况修改） </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pPr>
        <w:spacing w:line="560" w:lineRule="exact"/>
        <w:ind w:firstLine="480" w:firstLineChars="200"/>
        <w:rPr>
          <w:rFonts w:ascii="宋体" w:hAnsi="宋体" w:cs="宋体"/>
          <w:sz w:val="24"/>
          <w:highlight w:val="none"/>
        </w:rPr>
      </w:pPr>
      <w:bookmarkStart w:id="93" w:name="_Toc30329"/>
      <w:bookmarkStart w:id="94" w:name="_Toc26807"/>
      <w:bookmarkStart w:id="95" w:name="_Toc18683"/>
      <w:bookmarkStart w:id="96" w:name="_Toc32454"/>
      <w:bookmarkStart w:id="97" w:name="_Toc9497"/>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bookmarkEnd w:id="93"/>
    <w:bookmarkEnd w:id="94"/>
    <w:bookmarkEnd w:id="95"/>
    <w:bookmarkEnd w:id="96"/>
    <w:bookmarkEnd w:id="97"/>
    <w:p>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1.9合同争议的解决</w:t>
      </w:r>
    </w:p>
    <w:p>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2.0 合同生效</w:t>
      </w:r>
    </w:p>
    <w:p>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pPr>
        <w:autoSpaceDE w:val="0"/>
        <w:autoSpaceDN w:val="0"/>
        <w:spacing w:line="560" w:lineRule="exact"/>
        <w:rPr>
          <w:rFonts w:ascii="宋体" w:hAnsi="宋体"/>
          <w:sz w:val="24"/>
          <w:highlight w:val="none"/>
          <w:lang w:val="zh-CN"/>
        </w:rPr>
      </w:pPr>
    </w:p>
    <w:p>
      <w:pPr>
        <w:autoSpaceDE w:val="0"/>
        <w:autoSpaceDN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pPr>
        <w:autoSpaceDE w:val="0"/>
        <w:autoSpaceDN w:val="0"/>
        <w:spacing w:line="560" w:lineRule="exact"/>
        <w:rPr>
          <w:rFonts w:ascii="宋体" w:hAnsi="宋体"/>
          <w:sz w:val="24"/>
          <w:highlight w:val="none"/>
          <w:lang w:val="zh-CN"/>
        </w:rPr>
      </w:pP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pPr>
        <w:autoSpaceDE w:val="0"/>
        <w:autoSpaceDN w:val="0"/>
        <w:spacing w:line="560" w:lineRule="exact"/>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pPr>
        <w:autoSpaceDE w:val="0"/>
        <w:autoSpaceDN w:val="0"/>
        <w:spacing w:line="560" w:lineRule="exact"/>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pPr>
        <w:autoSpaceDE w:val="0"/>
        <w:autoSpaceDN w:val="0"/>
        <w:spacing w:line="560" w:lineRule="exact"/>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pPr>
        <w:autoSpaceDE w:val="0"/>
        <w:autoSpaceDN w:val="0"/>
        <w:spacing w:line="560" w:lineRule="exact"/>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pPr>
        <w:widowControl/>
        <w:spacing w:line="560" w:lineRule="exact"/>
        <w:jc w:val="left"/>
        <w:rPr>
          <w:rFonts w:ascii="宋体" w:hAnsi="宋体"/>
          <w:b/>
          <w:sz w:val="24"/>
          <w:highlight w:val="none"/>
        </w:rPr>
      </w:pPr>
    </w:p>
    <w:p>
      <w:pPr>
        <w:widowControl/>
        <w:adjustRightInd/>
        <w:jc w:val="left"/>
        <w:rPr>
          <w:rFonts w:ascii="宋体" w:hAnsi="宋体"/>
          <w:b/>
          <w:sz w:val="24"/>
          <w:highlight w:val="none"/>
        </w:rPr>
      </w:pPr>
      <w:r>
        <w:rPr>
          <w:rFonts w:ascii="宋体" w:hAnsi="宋体"/>
          <w:b/>
          <w:highlight w:val="none"/>
        </w:rPr>
        <w:br w:type="page"/>
      </w:r>
    </w:p>
    <w:p>
      <w:pPr>
        <w:pStyle w:val="282"/>
        <w:spacing w:line="560" w:lineRule="exact"/>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pPr>
        <w:spacing w:line="560" w:lineRule="exact"/>
        <w:ind w:firstLine="482" w:firstLineChars="200"/>
        <w:outlineLvl w:val="0"/>
        <w:rPr>
          <w:rFonts w:ascii="宋体" w:hAnsi="宋体"/>
          <w:b/>
          <w:sz w:val="24"/>
          <w:highlight w:val="none"/>
        </w:rPr>
      </w:pPr>
      <w:bookmarkStart w:id="98" w:name="_Toc25079"/>
      <w:bookmarkStart w:id="99" w:name="_Toc19680"/>
      <w:bookmarkStart w:id="100" w:name="_Toc14021"/>
      <w:bookmarkStart w:id="101" w:name="_Toc5228"/>
      <w:bookmarkStart w:id="102" w:name="_Toc31297"/>
      <w:r>
        <w:rPr>
          <w:rFonts w:ascii="宋体" w:hAnsi="宋体"/>
          <w:b/>
          <w:sz w:val="24"/>
          <w:highlight w:val="none"/>
        </w:rPr>
        <w:t>2.1 定义</w:t>
      </w:r>
      <w:bookmarkEnd w:id="98"/>
      <w:bookmarkEnd w:id="99"/>
      <w:bookmarkEnd w:id="100"/>
      <w:bookmarkEnd w:id="101"/>
      <w:bookmarkEnd w:id="102"/>
    </w:p>
    <w:p>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pPr>
        <w:spacing w:line="560" w:lineRule="exact"/>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pPr>
        <w:spacing w:line="560" w:lineRule="exact"/>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pPr>
        <w:spacing w:line="560" w:lineRule="exact"/>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highlight w:val="none"/>
        </w:rPr>
      </w:pPr>
      <w:r>
        <w:rPr>
          <w:rFonts w:ascii="宋体" w:hAnsi="宋体"/>
          <w:sz w:val="24"/>
          <w:highlight w:val="none"/>
        </w:rPr>
        <w:t>2.1.6 “现场”系指合同约定提供服务的地点。</w:t>
      </w:r>
    </w:p>
    <w:p>
      <w:pPr>
        <w:spacing w:line="560" w:lineRule="exact"/>
        <w:ind w:firstLine="482" w:firstLineChars="200"/>
        <w:outlineLvl w:val="0"/>
        <w:rPr>
          <w:rFonts w:ascii="宋体" w:hAnsi="宋体"/>
          <w:b/>
          <w:sz w:val="24"/>
          <w:highlight w:val="none"/>
        </w:rPr>
      </w:pPr>
      <w:bookmarkStart w:id="103" w:name="_Toc3769"/>
      <w:bookmarkStart w:id="104" w:name="_Toc19539"/>
      <w:bookmarkStart w:id="105" w:name="_Toc31402"/>
      <w:bookmarkStart w:id="106" w:name="_Toc16752"/>
      <w:bookmarkStart w:id="107" w:name="_Toc23289"/>
      <w:r>
        <w:rPr>
          <w:rFonts w:ascii="宋体" w:hAnsi="宋体"/>
          <w:b/>
          <w:sz w:val="24"/>
          <w:highlight w:val="none"/>
        </w:rPr>
        <w:t>2.2 技术规范</w:t>
      </w:r>
      <w:bookmarkEnd w:id="103"/>
      <w:bookmarkEnd w:id="104"/>
      <w:bookmarkEnd w:id="105"/>
      <w:bookmarkEnd w:id="106"/>
      <w:bookmarkEnd w:id="107"/>
    </w:p>
    <w:p>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pPr>
        <w:spacing w:line="560" w:lineRule="exact"/>
        <w:ind w:firstLine="482" w:firstLineChars="200"/>
        <w:outlineLvl w:val="0"/>
        <w:rPr>
          <w:rFonts w:ascii="宋体" w:hAnsi="宋体"/>
          <w:b/>
          <w:sz w:val="24"/>
          <w:highlight w:val="none"/>
        </w:rPr>
      </w:pPr>
      <w:bookmarkStart w:id="108" w:name="_Toc27945"/>
      <w:bookmarkStart w:id="109" w:name="_Toc12412"/>
      <w:bookmarkStart w:id="110" w:name="_Toc9161"/>
      <w:bookmarkStart w:id="111" w:name="_Toc4133"/>
      <w:bookmarkStart w:id="112" w:name="_Toc13673"/>
      <w:r>
        <w:rPr>
          <w:rFonts w:ascii="宋体" w:hAnsi="宋体"/>
          <w:b/>
          <w:sz w:val="24"/>
          <w:highlight w:val="none"/>
        </w:rPr>
        <w:t>2.3 知识产权</w:t>
      </w:r>
      <w:bookmarkEnd w:id="108"/>
      <w:bookmarkEnd w:id="109"/>
      <w:bookmarkEnd w:id="110"/>
      <w:bookmarkEnd w:id="111"/>
      <w:bookmarkEnd w:id="112"/>
    </w:p>
    <w:p>
      <w:pPr>
        <w:spacing w:line="560" w:lineRule="exact"/>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pPr>
        <w:spacing w:line="560" w:lineRule="exact"/>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pPr>
        <w:spacing w:line="560" w:lineRule="exact"/>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pPr>
        <w:spacing w:line="560" w:lineRule="exact"/>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highlight w:val="none"/>
        </w:rPr>
      </w:pPr>
      <w:bookmarkStart w:id="113" w:name="_Toc22011"/>
      <w:bookmarkStart w:id="114" w:name="_Toc26555"/>
      <w:bookmarkStart w:id="115" w:name="_Toc15447"/>
      <w:bookmarkStart w:id="116" w:name="_Toc32670"/>
      <w:bookmarkStart w:id="117" w:name="_Toc31233"/>
      <w:r>
        <w:rPr>
          <w:rFonts w:ascii="宋体" w:hAnsi="宋体"/>
          <w:b/>
          <w:sz w:val="24"/>
          <w:highlight w:val="none"/>
        </w:rPr>
        <w:t>2.5 结算方式和付款条件</w:t>
      </w:r>
      <w:bookmarkEnd w:id="113"/>
      <w:bookmarkEnd w:id="114"/>
      <w:bookmarkEnd w:id="115"/>
      <w:bookmarkEnd w:id="116"/>
      <w:bookmarkEnd w:id="117"/>
    </w:p>
    <w:p>
      <w:pPr>
        <w:spacing w:line="560" w:lineRule="exact"/>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pPr>
        <w:spacing w:line="560" w:lineRule="exact"/>
        <w:ind w:firstLine="482" w:firstLineChars="200"/>
        <w:outlineLvl w:val="0"/>
        <w:rPr>
          <w:rFonts w:ascii="宋体" w:hAnsi="宋体"/>
          <w:b/>
          <w:sz w:val="24"/>
          <w:highlight w:val="none"/>
        </w:rPr>
      </w:pPr>
      <w:bookmarkStart w:id="118" w:name="_Toc13467"/>
      <w:bookmarkStart w:id="119" w:name="_Toc30507"/>
      <w:bookmarkStart w:id="120" w:name="_Toc16163"/>
      <w:bookmarkStart w:id="121" w:name="_Toc18990"/>
      <w:bookmarkStart w:id="122" w:name="_Toc13154"/>
      <w:r>
        <w:rPr>
          <w:rFonts w:ascii="宋体" w:hAnsi="宋体"/>
          <w:b/>
          <w:sz w:val="24"/>
          <w:highlight w:val="none"/>
        </w:rPr>
        <w:t>2.6 技术资料和保密义务</w:t>
      </w:r>
      <w:bookmarkEnd w:id="118"/>
      <w:bookmarkEnd w:id="119"/>
      <w:bookmarkEnd w:id="120"/>
      <w:bookmarkEnd w:id="121"/>
      <w:bookmarkEnd w:id="122"/>
    </w:p>
    <w:p>
      <w:pPr>
        <w:spacing w:line="560" w:lineRule="exact"/>
        <w:ind w:firstLine="480" w:firstLineChars="200"/>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pPr>
        <w:spacing w:line="560" w:lineRule="exact"/>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highlight w:val="none"/>
        </w:rPr>
      </w:pPr>
      <w:bookmarkStart w:id="123" w:name="_Toc19069"/>
      <w:r>
        <w:rPr>
          <w:rFonts w:ascii="宋体" w:hAnsi="宋体"/>
          <w:b/>
          <w:sz w:val="24"/>
          <w:highlight w:val="none"/>
        </w:rPr>
        <w:t xml:space="preserve">2.7 </w:t>
      </w:r>
      <w:r>
        <w:rPr>
          <w:rFonts w:hint="eastAsia" w:ascii="宋体" w:hAnsi="宋体"/>
          <w:b/>
          <w:sz w:val="24"/>
          <w:highlight w:val="none"/>
        </w:rPr>
        <w:t>质量保证</w:t>
      </w:r>
      <w:bookmarkEnd w:id="123"/>
    </w:p>
    <w:p>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highlight w:val="none"/>
        </w:rPr>
      </w:pPr>
      <w:bookmarkStart w:id="124" w:name="_Toc22267"/>
      <w:r>
        <w:rPr>
          <w:rFonts w:ascii="宋体" w:hAnsi="宋体"/>
          <w:b/>
          <w:sz w:val="24"/>
          <w:highlight w:val="none"/>
        </w:rPr>
        <w:t xml:space="preserve">2.8 </w:t>
      </w:r>
      <w:r>
        <w:rPr>
          <w:rFonts w:hint="eastAsia" w:ascii="宋体" w:hAnsi="宋体"/>
          <w:b/>
          <w:sz w:val="24"/>
          <w:highlight w:val="none"/>
        </w:rPr>
        <w:t>延迟履行</w:t>
      </w:r>
      <w:bookmarkEnd w:id="124"/>
    </w:p>
    <w:p>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pPr>
        <w:spacing w:line="560" w:lineRule="exact"/>
        <w:ind w:firstLine="482" w:firstLineChars="200"/>
        <w:outlineLvl w:val="0"/>
        <w:rPr>
          <w:rFonts w:ascii="宋体" w:hAnsi="宋体"/>
          <w:b/>
          <w:sz w:val="24"/>
          <w:highlight w:val="none"/>
        </w:rPr>
      </w:pPr>
      <w:bookmarkStart w:id="125" w:name="_Toc10611"/>
      <w:r>
        <w:rPr>
          <w:rFonts w:ascii="宋体" w:hAnsi="宋体"/>
          <w:b/>
          <w:sz w:val="24"/>
          <w:highlight w:val="none"/>
        </w:rPr>
        <w:t xml:space="preserve">2.9 </w:t>
      </w:r>
      <w:r>
        <w:rPr>
          <w:rFonts w:hint="eastAsia" w:ascii="宋体" w:hAnsi="宋体"/>
          <w:b/>
          <w:sz w:val="24"/>
          <w:highlight w:val="none"/>
        </w:rPr>
        <w:t>合同变更</w:t>
      </w:r>
      <w:bookmarkEnd w:id="125"/>
    </w:p>
    <w:p>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highlight w:val="none"/>
        </w:rPr>
      </w:pPr>
      <w:bookmarkStart w:id="126" w:name="_Toc10663"/>
      <w:bookmarkStart w:id="127" w:name="_Toc21830"/>
      <w:bookmarkStart w:id="128" w:name="_Toc26689"/>
      <w:bookmarkStart w:id="129" w:name="_Toc42"/>
      <w:bookmarkStart w:id="130" w:name="_Toc23368"/>
      <w:r>
        <w:rPr>
          <w:rFonts w:ascii="宋体" w:hAnsi="宋体"/>
          <w:b/>
          <w:sz w:val="24"/>
          <w:highlight w:val="none"/>
        </w:rPr>
        <w:t>2.10 合同转让和分包</w:t>
      </w:r>
      <w:bookmarkEnd w:id="126"/>
      <w:bookmarkEnd w:id="127"/>
      <w:bookmarkEnd w:id="128"/>
      <w:bookmarkEnd w:id="129"/>
      <w:bookmarkEnd w:id="130"/>
    </w:p>
    <w:p>
      <w:pPr>
        <w:spacing w:line="560" w:lineRule="exact"/>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pPr>
        <w:spacing w:line="560" w:lineRule="exact"/>
        <w:ind w:firstLine="482" w:firstLineChars="200"/>
        <w:outlineLvl w:val="0"/>
        <w:rPr>
          <w:rFonts w:ascii="宋体" w:hAnsi="宋体"/>
          <w:b/>
          <w:sz w:val="24"/>
          <w:highlight w:val="none"/>
        </w:rPr>
      </w:pPr>
      <w:bookmarkStart w:id="131" w:name="_Toc14371"/>
      <w:bookmarkStart w:id="132" w:name="_Toc4720"/>
      <w:bookmarkStart w:id="133" w:name="_Toc32494"/>
      <w:bookmarkStart w:id="134" w:name="_Toc25571"/>
      <w:bookmarkStart w:id="135" w:name="_Toc26633"/>
      <w:r>
        <w:rPr>
          <w:rFonts w:ascii="宋体" w:hAnsi="宋体"/>
          <w:b/>
          <w:sz w:val="24"/>
          <w:highlight w:val="none"/>
        </w:rPr>
        <w:t>2.11 不可抗力</w:t>
      </w:r>
      <w:bookmarkEnd w:id="131"/>
      <w:bookmarkEnd w:id="132"/>
      <w:bookmarkEnd w:id="133"/>
      <w:bookmarkEnd w:id="134"/>
      <w:bookmarkEnd w:id="135"/>
    </w:p>
    <w:p>
      <w:pPr>
        <w:spacing w:line="560" w:lineRule="exact"/>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pPr>
        <w:spacing w:line="560" w:lineRule="exact"/>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pPr>
        <w:spacing w:line="560" w:lineRule="exact"/>
        <w:ind w:firstLine="482" w:firstLineChars="200"/>
        <w:outlineLvl w:val="0"/>
        <w:rPr>
          <w:rFonts w:ascii="宋体" w:hAnsi="宋体"/>
          <w:b/>
          <w:sz w:val="24"/>
          <w:highlight w:val="none"/>
        </w:rPr>
      </w:pPr>
      <w:bookmarkStart w:id="136" w:name="_Toc3638"/>
      <w:bookmarkStart w:id="137" w:name="_Toc14115"/>
      <w:bookmarkStart w:id="138" w:name="_Toc23854"/>
      <w:bookmarkStart w:id="139" w:name="_Toc25783"/>
      <w:bookmarkStart w:id="140" w:name="_Toc24465"/>
      <w:r>
        <w:rPr>
          <w:rFonts w:ascii="宋体" w:hAnsi="宋体"/>
          <w:b/>
          <w:sz w:val="24"/>
          <w:highlight w:val="none"/>
        </w:rPr>
        <w:t>2.12 税费</w:t>
      </w:r>
      <w:bookmarkEnd w:id="136"/>
      <w:bookmarkEnd w:id="137"/>
      <w:bookmarkEnd w:id="138"/>
      <w:bookmarkEnd w:id="139"/>
      <w:bookmarkEnd w:id="140"/>
    </w:p>
    <w:p>
      <w:pPr>
        <w:spacing w:line="560" w:lineRule="exact"/>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pPr>
        <w:spacing w:line="560" w:lineRule="exact"/>
        <w:ind w:firstLine="482" w:firstLineChars="200"/>
        <w:outlineLvl w:val="0"/>
        <w:rPr>
          <w:rFonts w:ascii="宋体" w:hAnsi="宋体"/>
          <w:b/>
          <w:sz w:val="24"/>
          <w:highlight w:val="none"/>
        </w:rPr>
      </w:pPr>
      <w:bookmarkStart w:id="141" w:name="_Toc7315"/>
      <w:bookmarkStart w:id="142" w:name="_Toc14814"/>
      <w:bookmarkStart w:id="143" w:name="_Toc25525"/>
      <w:bookmarkStart w:id="144" w:name="_Toc30105"/>
      <w:bookmarkStart w:id="145" w:name="_Toc26883"/>
      <w:r>
        <w:rPr>
          <w:rFonts w:ascii="宋体" w:hAnsi="宋体"/>
          <w:b/>
          <w:sz w:val="24"/>
          <w:highlight w:val="none"/>
        </w:rPr>
        <w:t>2.13 乙方破产</w:t>
      </w:r>
      <w:bookmarkEnd w:id="141"/>
      <w:bookmarkEnd w:id="142"/>
      <w:bookmarkEnd w:id="143"/>
      <w:bookmarkEnd w:id="144"/>
      <w:bookmarkEnd w:id="145"/>
    </w:p>
    <w:p>
      <w:pPr>
        <w:spacing w:line="560" w:lineRule="exact"/>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pPr>
        <w:spacing w:line="560" w:lineRule="exact"/>
        <w:ind w:firstLine="482" w:firstLineChars="200"/>
        <w:outlineLvl w:val="0"/>
        <w:rPr>
          <w:rFonts w:ascii="宋体" w:hAnsi="宋体"/>
          <w:b/>
          <w:sz w:val="24"/>
          <w:highlight w:val="none"/>
        </w:rPr>
      </w:pPr>
      <w:bookmarkStart w:id="146" w:name="_Toc23323"/>
      <w:bookmarkStart w:id="147" w:name="_Toc2016"/>
      <w:bookmarkStart w:id="148" w:name="_Toc1123"/>
      <w:r>
        <w:rPr>
          <w:rFonts w:ascii="宋体" w:hAnsi="宋体"/>
          <w:b/>
          <w:sz w:val="24"/>
          <w:highlight w:val="none"/>
        </w:rPr>
        <w:t>2.14 合同中止、终止</w:t>
      </w:r>
      <w:bookmarkEnd w:id="146"/>
      <w:bookmarkEnd w:id="147"/>
      <w:bookmarkEnd w:id="148"/>
    </w:p>
    <w:p>
      <w:pPr>
        <w:spacing w:line="560" w:lineRule="exact"/>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pPr>
        <w:spacing w:line="560" w:lineRule="exact"/>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highlight w:val="none"/>
        </w:rPr>
      </w:pPr>
      <w:bookmarkStart w:id="149" w:name="_Toc14525"/>
      <w:bookmarkStart w:id="150" w:name="_Toc17363"/>
      <w:bookmarkStart w:id="151" w:name="_Toc1969"/>
      <w:r>
        <w:rPr>
          <w:rFonts w:ascii="宋体" w:hAnsi="宋体"/>
          <w:b/>
          <w:sz w:val="24"/>
          <w:highlight w:val="none"/>
        </w:rPr>
        <w:t>2.15 检验和验收</w:t>
      </w:r>
      <w:bookmarkEnd w:id="149"/>
      <w:bookmarkEnd w:id="150"/>
      <w:bookmarkEnd w:id="151"/>
    </w:p>
    <w:p>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pPr>
        <w:spacing w:line="560" w:lineRule="exact"/>
        <w:ind w:firstLine="482" w:firstLineChars="200"/>
        <w:outlineLvl w:val="0"/>
        <w:rPr>
          <w:rFonts w:ascii="宋体" w:hAnsi="宋体"/>
          <w:b/>
          <w:sz w:val="24"/>
          <w:highlight w:val="none"/>
        </w:rPr>
      </w:pPr>
      <w:bookmarkStart w:id="152" w:name="_Toc2308"/>
      <w:bookmarkStart w:id="153" w:name="_Toc12666"/>
      <w:bookmarkStart w:id="154" w:name="_Toc9808"/>
      <w:bookmarkStart w:id="155" w:name="_Toc31892"/>
      <w:bookmarkStart w:id="156" w:name="_Toc25198"/>
      <w:r>
        <w:rPr>
          <w:rFonts w:ascii="宋体" w:hAnsi="宋体"/>
          <w:b/>
          <w:sz w:val="24"/>
          <w:highlight w:val="none"/>
        </w:rPr>
        <w:t>2.16 通知和送达</w:t>
      </w:r>
      <w:bookmarkEnd w:id="152"/>
      <w:bookmarkEnd w:id="153"/>
      <w:bookmarkEnd w:id="154"/>
      <w:bookmarkEnd w:id="155"/>
      <w:bookmarkEnd w:id="156"/>
    </w:p>
    <w:p>
      <w:pPr>
        <w:spacing w:line="560" w:lineRule="exact"/>
        <w:ind w:firstLine="480" w:firstLineChars="200"/>
        <w:rPr>
          <w:rFonts w:ascii="宋体" w:hAnsi="宋体"/>
          <w:sz w:val="24"/>
          <w:highlight w:val="none"/>
        </w:rPr>
      </w:pPr>
      <w:bookmarkStart w:id="157" w:name="_Toc18401"/>
      <w:bookmarkStart w:id="158" w:name="_Toc27674"/>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157"/>
      <w:bookmarkEnd w:id="158"/>
    </w:p>
    <w:p>
      <w:pPr>
        <w:spacing w:line="560" w:lineRule="exact"/>
        <w:ind w:firstLine="482" w:firstLineChars="200"/>
        <w:outlineLvl w:val="0"/>
        <w:rPr>
          <w:rFonts w:ascii="宋体" w:hAnsi="宋体"/>
          <w:b/>
          <w:sz w:val="24"/>
          <w:highlight w:val="none"/>
        </w:rPr>
      </w:pPr>
      <w:bookmarkStart w:id="159" w:name="_Toc27644"/>
      <w:bookmarkStart w:id="160" w:name="_Toc5063"/>
      <w:bookmarkStart w:id="161" w:name="_Toc28906"/>
      <w:bookmarkStart w:id="162" w:name="_Toc12254"/>
      <w:bookmarkStart w:id="163" w:name="_Toc20808"/>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159"/>
      <w:bookmarkEnd w:id="160"/>
      <w:bookmarkEnd w:id="161"/>
      <w:bookmarkEnd w:id="162"/>
      <w:bookmarkEnd w:id="163"/>
    </w:p>
    <w:p>
      <w:pPr>
        <w:spacing w:line="560" w:lineRule="exact"/>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2.18 计量单位</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pPr>
        <w:spacing w:line="560" w:lineRule="exact"/>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pPr>
        <w:spacing w:line="560" w:lineRule="exact"/>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pPr>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r>
        <w:rPr>
          <w:rFonts w:hint="eastAsia" w:ascii="宋体" w:hAnsi="宋体" w:cs="宋体"/>
          <w:b/>
          <w:sz w:val="24"/>
          <w:highlight w:val="none"/>
        </w:rPr>
        <w:t xml:space="preserve"> 第三部分  合同专用条款</w:t>
      </w:r>
    </w:p>
    <w:p>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534" w:type="pct"/>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1.4.2</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合同签订后7个工作日内以支票、汇票、本票或者金融机构、担保机构出具的保函等非现金形式，提交履约保证金</w:t>
            </w:r>
            <w:r>
              <w:rPr>
                <w:rFonts w:hint="eastAsia" w:ascii="宋体" w:hAnsi="宋体" w:cs="宋体"/>
                <w:sz w:val="24"/>
                <w:highlight w:val="none"/>
                <w:lang w:eastAsia="zh-CN"/>
              </w:rPr>
              <w:t>（</w:t>
            </w:r>
            <w:r>
              <w:rPr>
                <w:rFonts w:hint="eastAsia" w:ascii="宋体" w:hAnsi="宋体" w:eastAsia="宋体" w:cs="宋体"/>
                <w:color w:val="auto"/>
                <w:sz w:val="24"/>
                <w:szCs w:val="24"/>
                <w:highlight w:val="none"/>
              </w:rPr>
              <w:t>中标总额1%的履约保证金</w:t>
            </w:r>
            <w:r>
              <w:rPr>
                <w:rFonts w:hint="eastAsia" w:ascii="宋体" w:hAnsi="宋体" w:eastAsia="宋体" w:cs="宋体"/>
                <w:color w:val="auto"/>
                <w:sz w:val="24"/>
                <w:szCs w:val="24"/>
                <w:highlight w:val="none"/>
                <w:lang w:eastAsia="zh-CN"/>
              </w:rPr>
              <w:t>）</w:t>
            </w:r>
            <w:r>
              <w:rPr>
                <w:rFonts w:hint="eastAsia" w:ascii="宋体" w:hAnsi="宋体" w:cs="宋体"/>
                <w:sz w:val="24"/>
                <w:highlight w:val="none"/>
              </w:rPr>
              <w:t>；鼓励和支持乙方以银行、保险公司出具的保函形式提供履约保证，乙方以银行、保险公司出具保函形式提交履约保证金的，甲方不得拒收。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1.5.1</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合同签订后中标供应商进入现场实施准备工作，并获得采购人认可后10个工作日内支付合同总价款的40%</w:t>
            </w:r>
            <w:r>
              <w:rPr>
                <w:rFonts w:hint="eastAsia" w:ascii="宋体" w:hAnsi="宋体" w:cs="宋体"/>
                <w:snapToGrid w:val="0"/>
                <w:kern w:val="0"/>
                <w:sz w:val="24"/>
                <w:highlight w:val="none"/>
              </w:rPr>
              <w:t>（在签订合同时，若乙方明确表示无需预付款或者主动要求降低预付款比例的，甲乙双方可就预付款比例另行约定）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1.5.2 </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1.5.3</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1.6.2</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合同签订后中标供应商进入现场实施准备工作，并获得采购人认可后10个工作日内支付合同总价款的40%，项目全部交付并验收合格后15个工作日内支付总价款剩余的60%。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31</w:t>
            </w:r>
            <w:r>
              <w:rPr>
                <w:rFonts w:hint="eastAsia" w:ascii="宋体" w:hAnsi="宋体" w:cs="宋体"/>
                <w:sz w:val="24"/>
                <w:highlight w:val="none"/>
              </w:rPr>
              <w:t>日前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1.7.3</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安装调试完毕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1.8.6</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1.9</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向项目所在地人民法院起诉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4534" w:type="pct"/>
            <w:vAlign w:val="center"/>
          </w:tcPr>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2.4.1</w:t>
            </w:r>
          </w:p>
        </w:tc>
        <w:tc>
          <w:tcPr>
            <w:tcW w:w="4534" w:type="pct"/>
            <w:vAlign w:val="center"/>
          </w:tcPr>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2.4.3</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 xml:space="preserve">2.8 </w:t>
            </w:r>
          </w:p>
        </w:tc>
        <w:tc>
          <w:tcPr>
            <w:tcW w:w="4534" w:type="pct"/>
          </w:tcPr>
          <w:p>
            <w:pPr>
              <w:spacing w:line="360" w:lineRule="auto"/>
              <w:rPr>
                <w:rFonts w:ascii="宋体" w:hAnsi="宋体" w:cs="宋体"/>
                <w:sz w:val="24"/>
                <w:highlight w:val="none"/>
              </w:rPr>
            </w:pPr>
            <w:r>
              <w:rPr>
                <w:rFonts w:hint="eastAsia" w:ascii="宋体" w:hAnsi="宋体" w:cs="宋体"/>
                <w:sz w:val="24"/>
                <w:highlight w:val="none"/>
              </w:rPr>
              <w:t>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2.12.3</w:t>
            </w:r>
          </w:p>
        </w:tc>
        <w:tc>
          <w:tcPr>
            <w:tcW w:w="4534" w:type="pct"/>
            <w:vAlign w:val="center"/>
          </w:tcPr>
          <w:p>
            <w:pPr>
              <w:spacing w:line="440" w:lineRule="exact"/>
              <w:jc w:val="left"/>
              <w:rPr>
                <w:rFonts w:ascii="宋体" w:hAnsi="宋体" w:cs="宋体"/>
                <w:sz w:val="24"/>
                <w:highlight w:val="none"/>
              </w:rPr>
            </w:pPr>
            <w:r>
              <w:rPr>
                <w:rFonts w:hint="eastAsia" w:ascii="宋体" w:hAnsi="宋体" w:cs="宋体"/>
                <w:snapToGrid w:val="0"/>
                <w:kern w:val="0"/>
                <w:sz w:val="24"/>
                <w:highlight w:val="none"/>
              </w:rPr>
              <w:t>因不可抗力致使合同有变更必要的，双方当事人应在</w:t>
            </w:r>
            <w:r>
              <w:rPr>
                <w:rFonts w:hint="eastAsia" w:ascii="宋体" w:hAnsi="宋体" w:cs="宋体"/>
                <w:snapToGrid w:val="0"/>
                <w:kern w:val="0"/>
                <w:sz w:val="24"/>
                <w:highlight w:val="none"/>
                <w:u w:val="single"/>
              </w:rPr>
              <w:t>30日</w:t>
            </w:r>
            <w:r>
              <w:rPr>
                <w:rFonts w:hint="eastAsia" w:ascii="宋体" w:hAnsi="宋体" w:cs="宋体"/>
                <w:snapToGrid w:val="0"/>
                <w:kern w:val="0"/>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2.12.4</w:t>
            </w:r>
          </w:p>
        </w:tc>
        <w:tc>
          <w:tcPr>
            <w:tcW w:w="4534" w:type="pct"/>
            <w:vAlign w:val="center"/>
          </w:tcPr>
          <w:p>
            <w:pPr>
              <w:spacing w:line="440" w:lineRule="exact"/>
              <w:jc w:val="left"/>
              <w:rPr>
                <w:rFonts w:ascii="宋体" w:hAnsi="宋体" w:cs="宋体"/>
                <w:sz w:val="24"/>
                <w:highlight w:val="none"/>
              </w:rPr>
            </w:pPr>
            <w:r>
              <w:rPr>
                <w:rFonts w:hint="eastAsia" w:ascii="宋体" w:hAnsi="宋体" w:cs="宋体"/>
                <w:snapToGrid w:val="0"/>
                <w:kern w:val="0"/>
                <w:sz w:val="24"/>
                <w:highlight w:val="none"/>
              </w:rPr>
              <w:t>受不可抗力影响的一方在不可抗力发生后，应在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内以书面形式通知对方当事人，并在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2.16.1</w:t>
            </w:r>
          </w:p>
        </w:tc>
        <w:tc>
          <w:tcPr>
            <w:tcW w:w="4534" w:type="pct"/>
            <w:vAlign w:val="center"/>
          </w:tcPr>
          <w:p>
            <w:pPr>
              <w:spacing w:line="360" w:lineRule="auto"/>
              <w:rPr>
                <w:rFonts w:ascii="宋体" w:hAnsi="宋体" w:cs="宋体"/>
                <w:sz w:val="24"/>
                <w:highlight w:val="none"/>
              </w:rPr>
            </w:pPr>
            <w:r>
              <w:rPr>
                <w:rFonts w:hint="eastAsia" w:ascii="宋体" w:hAnsi="宋体" w:cs="宋体"/>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2.16.3</w:t>
            </w:r>
          </w:p>
        </w:tc>
        <w:tc>
          <w:tcPr>
            <w:tcW w:w="4534" w:type="pct"/>
            <w:vAlign w:val="center"/>
          </w:tcPr>
          <w:p>
            <w:pPr>
              <w:widowControl/>
              <w:jc w:val="left"/>
              <w:rPr>
                <w:rFonts w:ascii="宋体" w:hAnsi="宋体" w:cs="宋体"/>
                <w:sz w:val="24"/>
                <w:highlight w:val="none"/>
              </w:rPr>
            </w:pPr>
            <w:r>
              <w:rPr>
                <w:rFonts w:hint="eastAsia" w:ascii="宋体" w:hAnsi="宋体" w:cs="宋体"/>
                <w:color w:val="000000"/>
                <w:kern w:val="0"/>
                <w:sz w:val="24"/>
                <w:highlight w:val="none"/>
              </w:rPr>
              <w:t>检验和验收标准:达到甲方要求的性能和产品技术规格中的性能，并由甲方组织专家验收。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2.20 </w:t>
            </w:r>
          </w:p>
        </w:tc>
        <w:tc>
          <w:tcPr>
            <w:tcW w:w="4534" w:type="pct"/>
            <w:vAlign w:val="center"/>
          </w:tcPr>
          <w:p>
            <w:pPr>
              <w:widowControl/>
              <w:jc w:val="left"/>
              <w:rPr>
                <w:rFonts w:ascii="宋体" w:hAnsi="宋体" w:cs="宋体"/>
                <w:sz w:val="24"/>
                <w:highlight w:val="none"/>
              </w:rPr>
            </w:pPr>
            <w:r>
              <w:rPr>
                <w:rFonts w:hint="eastAsia" w:ascii="宋体" w:hAnsi="宋体" w:cs="宋体"/>
                <w:color w:val="000000"/>
                <w:kern w:val="0"/>
                <w:sz w:val="24"/>
                <w:highlight w:val="none"/>
              </w:rPr>
              <w:t>合同份数：本合同一式陆份，甲方执肆份、乙方执贰份。</w:t>
            </w:r>
          </w:p>
        </w:tc>
      </w:tr>
    </w:tbl>
    <w:p>
      <w:pPr>
        <w:spacing w:line="560" w:lineRule="exact"/>
        <w:ind w:left="-420" w:leftChars="-200" w:right="-420" w:rightChars="-200" w:firstLine="420" w:firstLineChars="200"/>
        <w:rPr>
          <w:rFonts w:ascii="宋体" w:hAnsi="宋体" w:cs="宋体"/>
          <w:highlight w:val="none"/>
        </w:rPr>
      </w:pPr>
    </w:p>
    <w:p>
      <w:pPr>
        <w:numPr>
          <w:ins w:id="0" w:author="Cjkdblb" w:date="2024-04-11T14:44:41Z"/>
        </w:numPr>
        <w:spacing w:line="240" w:lineRule="auto"/>
        <w:ind w:left="0" w:firstLine="0"/>
        <w:rPr>
          <w:highlight w:val="none"/>
        </w:rPr>
      </w:pPr>
      <w:r>
        <w:rPr>
          <w:rFonts w:ascii="宋体" w:hAnsi="宋体" w:cs="宋体"/>
          <w:sz w:val="24"/>
          <w:highlight w:val="none"/>
        </w:rPr>
        <w:br w:type="page"/>
      </w:r>
    </w:p>
    <w:p>
      <w:pPr>
        <w:spacing w:line="360" w:lineRule="auto"/>
        <w:ind w:firstLine="562" w:firstLineChars="200"/>
        <w:jc w:val="center"/>
        <w:rPr>
          <w:rFonts w:asciiTheme="minorEastAsia" w:hAnsiTheme="minorEastAsia" w:eastAsiaTheme="minorEastAsia"/>
          <w:b/>
          <w:sz w:val="28"/>
          <w:szCs w:val="28"/>
          <w:highlight w:val="none"/>
        </w:rPr>
      </w:pPr>
    </w:p>
    <w:p>
      <w:pPr>
        <w:snapToGrid w:val="0"/>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第七部分</w:t>
      </w:r>
      <w:bookmarkEnd w:id="58"/>
      <w:r>
        <w:rPr>
          <w:rFonts w:hint="eastAsia" w:cs="仿宋_GB2312" w:asciiTheme="minorEastAsia" w:hAnsiTheme="minorEastAsia" w:eastAsiaTheme="minorEastAsia"/>
          <w:b/>
          <w:sz w:val="36"/>
          <w:szCs w:val="20"/>
          <w:highlight w:val="none"/>
        </w:rPr>
        <w:t xml:space="preserve">  </w:t>
      </w:r>
      <w:bookmarkEnd w:id="59"/>
      <w:r>
        <w:rPr>
          <w:rFonts w:hint="eastAsia" w:cs="仿宋_GB2312" w:asciiTheme="minorEastAsia" w:hAnsiTheme="minorEastAsia" w:eastAsiaTheme="minorEastAsia"/>
          <w:b/>
          <w:sz w:val="36"/>
          <w:szCs w:val="20"/>
          <w:highlight w:val="none"/>
        </w:rPr>
        <w:t>应提交的有关格式范例</w:t>
      </w:r>
    </w:p>
    <w:p>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供应商按照以下格式编制响应文件。</w:t>
      </w:r>
    </w:p>
    <w:p>
      <w:pPr>
        <w:spacing w:line="360" w:lineRule="auto"/>
        <w:ind w:firstLine="480" w:firstLineChars="200"/>
        <w:rPr>
          <w:rFonts w:cs="仿宋_GB2312" w:asciiTheme="minorEastAsia" w:hAnsiTheme="minorEastAsia" w:eastAsiaTheme="minorEastAsia"/>
          <w:sz w:val="24"/>
          <w:highlight w:val="none"/>
        </w:rPr>
      </w:pPr>
    </w:p>
    <w:p>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（1）响应函………………………………………………………………………（页码）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（2）资格文件…………………………………………………………………（页码）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（3）法人授权书</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（4）分包意向协议</w:t>
      </w:r>
      <w:r>
        <w:rPr>
          <w:rFonts w:hint="eastAsia" w:cs="宋体" w:asciiTheme="minorEastAsia" w:hAnsiTheme="minorEastAsia" w:eastAsiaTheme="minorEastAsia"/>
          <w:highlight w:val="none"/>
        </w:rPr>
        <w:t>…………………………………………………………………………（页码）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（5）所有资信文件（复印件）…………………………………………………（页码）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（6）主要业绩证明</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w:t>
      </w:r>
      <w:r>
        <w:rPr>
          <w:rFonts w:hint="eastAsia" w:cs="仿宋_GB2312" w:asciiTheme="minorEastAsia" w:hAnsiTheme="minorEastAsia" w:eastAsiaTheme="minorEastAsia"/>
          <w:highlight w:val="none"/>
          <w:lang w:val="zh-CN"/>
        </w:rPr>
        <w:t>关于对磋商文件中有关条款的拒绝声明……………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（8）认为需要的其他商务文件或说明…………………………………………（页码）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（9）技术解决方案…………………………………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（10</w:t>
      </w:r>
      <w:r>
        <w:rPr>
          <w:rFonts w:cs="仿宋_GB2312" w:asciiTheme="minorEastAsia" w:hAnsiTheme="minorEastAsia" w:eastAsiaTheme="minorEastAsia"/>
          <w:kern w:val="0"/>
          <w:sz w:val="24"/>
          <w:highlight w:val="none"/>
        </w:rPr>
        <w:t>）组织实施方案………………………………………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rPr>
        <w:t>1</w:t>
      </w:r>
      <w:r>
        <w:rPr>
          <w:rFonts w:cs="仿宋_GB2312" w:asciiTheme="minorEastAsia" w:hAnsiTheme="minorEastAsia" w:eastAsiaTheme="minorEastAsia"/>
          <w:kern w:val="0"/>
          <w:sz w:val="24"/>
          <w:highlight w:val="none"/>
        </w:rPr>
        <w:t>）售后服务方案……………………………………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（12</w:t>
      </w:r>
      <w:r>
        <w:rPr>
          <w:rFonts w:cs="仿宋_GB2312" w:asciiTheme="minorEastAsia" w:hAnsiTheme="minorEastAsia" w:eastAsiaTheme="minorEastAsia"/>
          <w:kern w:val="0"/>
          <w:sz w:val="24"/>
          <w:highlight w:val="none"/>
        </w:rPr>
        <w:t>）项目小组人员名单…</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（13）</w:t>
      </w:r>
      <w:r>
        <w:rPr>
          <w:rFonts w:hint="eastAsia" w:cs="仿宋_GB2312" w:asciiTheme="minorEastAsia" w:hAnsiTheme="minorEastAsia" w:eastAsiaTheme="minorEastAsia"/>
          <w:kern w:val="0"/>
          <w:sz w:val="24"/>
          <w:highlight w:val="none"/>
          <w:lang w:val="zh-CN"/>
        </w:rPr>
        <w:t>优惠条件及特殊承诺………………………………</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（14）</w:t>
      </w:r>
      <w:r>
        <w:rPr>
          <w:rFonts w:hint="eastAsia" w:cs="仿宋_GB2312" w:asciiTheme="minorEastAsia" w:hAnsiTheme="minorEastAsia" w:eastAsiaTheme="minorEastAsia"/>
          <w:kern w:val="0"/>
          <w:sz w:val="24"/>
          <w:highlight w:val="none"/>
          <w:lang w:val="zh-CN"/>
        </w:rPr>
        <w:t>培训计划……………………………………………</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（15）</w:t>
      </w:r>
      <w:r>
        <w:rPr>
          <w:rFonts w:hint="eastAsia" w:cs="仿宋_GB2312" w:asciiTheme="minorEastAsia" w:hAnsiTheme="minorEastAsia" w:eastAsiaTheme="minorEastAsia"/>
          <w:sz w:val="24"/>
          <w:highlight w:val="none"/>
        </w:rPr>
        <w:t>随机特殊工具和备品备件清单</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spacing w:line="360" w:lineRule="auto"/>
        <w:ind w:firstLine="480"/>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（16）</w:t>
      </w:r>
      <w:r>
        <w:rPr>
          <w:rFonts w:hint="eastAsia" w:cs="仿宋_GB2312" w:asciiTheme="minorEastAsia" w:hAnsiTheme="minorEastAsia" w:eastAsiaTheme="minorEastAsia"/>
          <w:kern w:val="0"/>
          <w:sz w:val="24"/>
          <w:highlight w:val="none"/>
          <w:lang w:val="zh-CN"/>
        </w:rPr>
        <w:t>认为需要的其他技术文件或说明…………………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（17）</w:t>
      </w:r>
      <w:r>
        <w:rPr>
          <w:rFonts w:hint="eastAsia" w:cs="仿宋_GB2312" w:asciiTheme="minorEastAsia" w:hAnsiTheme="minorEastAsia" w:eastAsiaTheme="minorEastAsia"/>
          <w:kern w:val="0"/>
          <w:sz w:val="24"/>
          <w:highlight w:val="none"/>
          <w:lang w:val="zh-CN"/>
        </w:rPr>
        <w:t>政府采购供应商廉洁自律承诺书………………………………………</w:t>
      </w:r>
      <w:r>
        <w:rPr>
          <w:rFonts w:hint="eastAsia" w:cs="仿宋_GB2312" w:asciiTheme="minorEastAsia" w:hAnsiTheme="minorEastAsia" w:eastAsiaTheme="minorEastAsia"/>
          <w:kern w:val="0"/>
          <w:sz w:val="24"/>
          <w:highlight w:val="none"/>
        </w:rPr>
        <w:t>（页码）</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sz w:val="36"/>
          <w:szCs w:val="36"/>
          <w:highlight w:val="none"/>
        </w:rPr>
        <w:br w:type="page"/>
      </w:r>
      <w:r>
        <w:rPr>
          <w:rFonts w:hint="eastAsia" w:cs="仿宋_GB2312" w:asciiTheme="minorEastAsia" w:hAnsiTheme="minorEastAsia" w:eastAsiaTheme="minorEastAsia"/>
          <w:b/>
          <w:kern w:val="0"/>
          <w:sz w:val="32"/>
          <w:szCs w:val="32"/>
          <w:highlight w:val="none"/>
        </w:rPr>
        <w:t>一、响应</w:t>
      </w:r>
      <w:r>
        <w:rPr>
          <w:rFonts w:hint="eastAsia" w:cs="仿宋_GB2312" w:asciiTheme="minorEastAsia" w:hAnsiTheme="minorEastAsia" w:eastAsiaTheme="minorEastAsia"/>
          <w:b/>
          <w:sz w:val="32"/>
          <w:szCs w:val="32"/>
          <w:highlight w:val="none"/>
        </w:rPr>
        <w:t>函</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（采购人）、（采购代理机构）：</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(供应商全称)授权</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(全权代表姓名)</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(职务、职称)为全权代表，参加贵方组织的</w:t>
      </w:r>
      <w:r>
        <w:rPr>
          <w:rFonts w:hint="eastAsia" w:cs="仿宋_GB2312" w:asciiTheme="minorEastAsia" w:hAnsiTheme="minorEastAsia" w:eastAsiaTheme="minorEastAsia"/>
          <w:sz w:val="24"/>
          <w:highlight w:val="none"/>
          <w:lang w:eastAsia="zh-CN"/>
        </w:rPr>
        <w:t>2024年度临安区困难残疾人家庭无障碍改造项目</w:t>
      </w:r>
      <w:r>
        <w:rPr>
          <w:rFonts w:hint="eastAsia" w:cs="仿宋_GB2312" w:asciiTheme="minorEastAsia" w:hAnsiTheme="minorEastAsia" w:eastAsiaTheme="minorEastAsia"/>
          <w:sz w:val="24"/>
          <w:highlight w:val="none"/>
        </w:rPr>
        <w:t>【项目编号：（采购编号）】的有关活动，并对此项目进行响应。为此：</w:t>
      </w:r>
    </w:p>
    <w:p>
      <w:pPr>
        <w:pStyle w:val="105"/>
        <w:numPr>
          <w:ilvl w:val="0"/>
          <w:numId w:val="11"/>
        </w:numPr>
        <w:snapToGrid w:val="0"/>
        <w:ind w:firstLineChars="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我方承诺响应有效期从提交响应文件的截止之日起</w:t>
      </w:r>
      <w:r>
        <w:rPr>
          <w:rFonts w:hint="eastAsia" w:cs="仿宋_GB2312" w:asciiTheme="minorEastAsia" w:hAnsiTheme="minorEastAsia" w:eastAsiaTheme="minorEastAsia"/>
          <w:highlight w:val="none"/>
          <w:u w:val="single"/>
        </w:rPr>
        <w:t xml:space="preserve">     </w:t>
      </w:r>
      <w:r>
        <w:rPr>
          <w:rFonts w:hint="eastAsia" w:cs="仿宋_GB2312" w:asciiTheme="minorEastAsia" w:hAnsiTheme="minorEastAsia" w:eastAsiaTheme="minorEastAsia"/>
          <w:highlight w:val="none"/>
        </w:rPr>
        <w:t>天，</w:t>
      </w:r>
      <w:r>
        <w:rPr>
          <w:rFonts w:hint="eastAsia" w:cs="宋体" w:asciiTheme="minorEastAsia" w:hAnsiTheme="minorEastAsia" w:eastAsiaTheme="minorEastAsia"/>
          <w:highlight w:val="none"/>
        </w:rPr>
        <w:t>（不少于90天），</w:t>
      </w:r>
      <w:r>
        <w:rPr>
          <w:rFonts w:hint="eastAsia" w:cs="仿宋_GB2312" w:asciiTheme="minorEastAsia" w:hAnsiTheme="minorEastAsia" w:eastAsiaTheme="minorEastAsia"/>
          <w:highlight w:val="none"/>
        </w:rPr>
        <w:t>本响应文件在响应有效期满之前均具有约束力。</w:t>
      </w:r>
    </w:p>
    <w:p>
      <w:pPr>
        <w:numPr>
          <w:ilvl w:val="0"/>
          <w:numId w:val="11"/>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w:t>
      </w:r>
      <w:r>
        <w:rPr>
          <w:rFonts w:hint="eastAsia" w:cs="仿宋_GB2312" w:asciiTheme="minorEastAsia" w:hAnsiTheme="minorEastAsia" w:eastAsiaTheme="minorEastAsia"/>
          <w:bCs/>
          <w:kern w:val="44"/>
          <w:sz w:val="24"/>
          <w:highlight w:val="none"/>
        </w:rPr>
        <w:t>磋商文件中</w:t>
      </w:r>
      <w:r>
        <w:rPr>
          <w:rFonts w:hint="eastAsia" w:cs="仿宋_GB2312" w:asciiTheme="minorEastAsia" w:hAnsiTheme="minorEastAsia" w:eastAsiaTheme="minorEastAsia"/>
          <w:sz w:val="24"/>
          <w:highlight w:val="none"/>
        </w:rPr>
        <w:t>规定的全部响应文件。</w:t>
      </w:r>
    </w:p>
    <w:p>
      <w:pPr>
        <w:numPr>
          <w:ilvl w:val="0"/>
          <w:numId w:val="11"/>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我方承诺除响应文件列出的偏离外，我方响应磋商文件的全部要求。</w:t>
      </w:r>
    </w:p>
    <w:p>
      <w:pPr>
        <w:numPr>
          <w:ilvl w:val="0"/>
          <w:numId w:val="11"/>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保证遵守磋商文件中的其他有关规定。</w:t>
      </w:r>
    </w:p>
    <w:p>
      <w:pPr>
        <w:numPr>
          <w:ilvl w:val="0"/>
          <w:numId w:val="11"/>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我方愿意向贵方提供任何与该项目响应有关的数据、情况和技术资料。若贵方需要，我方愿意提供我方作出的一切承诺的证明材料。</w:t>
      </w:r>
    </w:p>
    <w:p>
      <w:pPr>
        <w:numPr>
          <w:ilvl w:val="0"/>
          <w:numId w:val="11"/>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10、我方已详细阅读全部磋商文件，包括磋商文件“更正（延期）公告”（如果有）、参考资料及有关附件，确认无误。</w:t>
      </w:r>
    </w:p>
    <w:p>
      <w:pPr>
        <w:numPr>
          <w:ilvl w:val="0"/>
          <w:numId w:val="11"/>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pPr>
        <w:numPr>
          <w:ilvl w:val="0"/>
          <w:numId w:val="11"/>
        </w:numPr>
        <w:adjustRightInd/>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highlight w:val="none"/>
          <w:lang w:val="zh-CN"/>
        </w:rPr>
      </w:pPr>
    </w:p>
    <w:p>
      <w:pPr>
        <w:spacing w:line="360" w:lineRule="auto"/>
        <w:ind w:firstLine="3600" w:firstLineChars="15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供应商名称（电子签名）：                          </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日期：  年   月   日</w:t>
      </w: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autoSpaceDE w:val="0"/>
        <w:autoSpaceDN w:val="0"/>
        <w:spacing w:line="360" w:lineRule="auto"/>
        <w:rPr>
          <w:rFonts w:cs="仿宋_GB2312" w:asciiTheme="minorEastAsia" w:hAnsiTheme="minorEastAsia" w:eastAsiaTheme="minorEastAsia"/>
          <w:kern w:val="0"/>
          <w:sz w:val="24"/>
          <w:highlight w:val="none"/>
        </w:rPr>
      </w:pPr>
    </w:p>
    <w:p>
      <w:pPr>
        <w:pStyle w:val="115"/>
        <w:keepNext w:val="0"/>
        <w:pageBreakBefore w:val="0"/>
        <w:tabs>
          <w:tab w:val="clear" w:pos="720"/>
        </w:tabs>
        <w:jc w:val="both"/>
        <w:outlineLvl w:val="9"/>
        <w:rPr>
          <w:rFonts w:cs="仿宋_GB2312" w:asciiTheme="minorEastAsia" w:hAnsiTheme="minorEastAsia" w:eastAsiaTheme="minorEastAsia"/>
          <w:sz w:val="24"/>
          <w:szCs w:val="24"/>
          <w:highlight w:val="none"/>
        </w:rPr>
      </w:pPr>
    </w:p>
    <w:p>
      <w:pPr>
        <w:spacing w:line="360" w:lineRule="auto"/>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18"/>
          <w:szCs w:val="18"/>
          <w:highlight w:val="none"/>
        </w:rPr>
      </w:pPr>
    </w:p>
    <w:p>
      <w:pPr>
        <w:spacing w:line="360" w:lineRule="auto"/>
        <w:rPr>
          <w:rFonts w:cs="仿宋_GB2312" w:asciiTheme="minorEastAsia" w:hAnsiTheme="minorEastAsia" w:eastAsiaTheme="minorEastAsia"/>
          <w:sz w:val="18"/>
          <w:szCs w:val="18"/>
          <w:highlight w:val="none"/>
        </w:rPr>
      </w:pPr>
    </w:p>
    <w:p>
      <w:pPr>
        <w:widowControl/>
        <w:adjustRightInd/>
        <w:jc w:val="left"/>
        <w:rPr>
          <w:rFonts w:cs="仿宋_GB2312" w:asciiTheme="minorEastAsia" w:hAnsiTheme="minorEastAsia" w:eastAsiaTheme="minorEastAsia"/>
          <w:b/>
          <w:kern w:val="0"/>
          <w:sz w:val="32"/>
          <w:szCs w:val="32"/>
          <w:highlight w:val="none"/>
        </w:rPr>
      </w:pPr>
      <w:r>
        <w:rPr>
          <w:rFonts w:cs="仿宋_GB2312" w:asciiTheme="minorEastAsia" w:hAnsiTheme="minorEastAsia" w:eastAsiaTheme="minorEastAsia"/>
          <w:b/>
          <w:kern w:val="0"/>
          <w:sz w:val="32"/>
          <w:szCs w:val="32"/>
          <w:highlight w:val="none"/>
        </w:rPr>
        <w:br w:type="page"/>
      </w:r>
    </w:p>
    <w:p>
      <w:pPr>
        <w:widowControl/>
        <w:tabs>
          <w:tab w:val="left" w:pos="1200"/>
        </w:tabs>
        <w:adjustRightInd/>
        <w:ind w:left="840"/>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二、资格文件</w:t>
      </w:r>
    </w:p>
    <w:p>
      <w:pPr>
        <w:pStyle w:val="105"/>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（采购人）、（采购代理机构）</w:t>
      </w:r>
      <w:r>
        <w:rPr>
          <w:rFonts w:hint="eastAsia" w:cs="宋体" w:asciiTheme="minorEastAsia" w:hAnsiTheme="minorEastAsia" w:eastAsiaTheme="minorEastAsia"/>
          <w:sz w:val="24"/>
          <w:highlight w:val="none"/>
        </w:rPr>
        <w:t>：</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cs="仿宋_GB2312" w:asciiTheme="minorEastAsia" w:hAnsiTheme="minorEastAsia" w:eastAsiaTheme="minorEastAsia"/>
          <w:sz w:val="24"/>
          <w:highlight w:val="none"/>
          <w:lang w:eastAsia="zh-CN"/>
        </w:rPr>
        <w:t>2024年度临安区困难残疾人家庭无障碍改造项目</w:t>
      </w:r>
      <w:r>
        <w:rPr>
          <w:rFonts w:hint="eastAsia" w:cs="仿宋_GB2312" w:asciiTheme="minorEastAsia" w:hAnsiTheme="minorEastAsia" w:eastAsiaTheme="minorEastAsia"/>
          <w:kern w:val="0"/>
          <w:sz w:val="24"/>
          <w:highlight w:val="none"/>
          <w:lang w:val="zh-CN"/>
        </w:rPr>
        <w:t>【项目编号：（采购编号）】</w:t>
      </w:r>
      <w:r>
        <w:rPr>
          <w:rFonts w:hint="eastAsia" w:cs="宋体" w:asciiTheme="minorEastAsia" w:hAnsiTheme="minorEastAsia" w:eastAsiaTheme="minorEastAsia"/>
          <w:sz w:val="24"/>
          <w:highlight w:val="none"/>
        </w:rPr>
        <w:t>政府采购活动，郑重承诺：</w:t>
      </w:r>
    </w:p>
    <w:p>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供应商名称(电子签名)：</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B、联合协议（如果有）</w:t>
      </w:r>
    </w:p>
    <w:p>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组成一个联合体，以一个供应商的身份</w:t>
      </w:r>
      <w:r>
        <w:rPr>
          <w:rFonts w:hint="eastAsia" w:cs="宋体" w:asciiTheme="minorEastAsia" w:hAnsiTheme="minorEastAsia" w:eastAsiaTheme="minorEastAsia"/>
          <w:kern w:val="0"/>
          <w:sz w:val="24"/>
          <w:highlight w:val="none"/>
        </w:rPr>
        <w:t>参加</w:t>
      </w:r>
      <w:r>
        <w:rPr>
          <w:rFonts w:hint="eastAsia" w:cs="仿宋_GB2312" w:asciiTheme="minorEastAsia" w:hAnsiTheme="minorEastAsia" w:eastAsiaTheme="minorEastAsia"/>
          <w:sz w:val="24"/>
          <w:highlight w:val="none"/>
          <w:lang w:eastAsia="zh-CN"/>
        </w:rPr>
        <w:t>2024年度临安区困难残疾人家庭无障碍改造项目</w:t>
      </w:r>
      <w:r>
        <w:rPr>
          <w:rFonts w:hint="eastAsia" w:cs="仿宋_GB2312" w:asciiTheme="minorEastAsia" w:hAnsiTheme="minorEastAsia" w:eastAsiaTheme="minorEastAsia"/>
          <w:kern w:val="0"/>
          <w:sz w:val="24"/>
          <w:highlight w:val="none"/>
          <w:lang w:val="zh-CN"/>
        </w:rPr>
        <w:t>【项目编号：（采购编号）】响应</w:t>
      </w:r>
      <w:r>
        <w:rPr>
          <w:rFonts w:hint="eastAsia" w:cs="宋体" w:asciiTheme="minorEastAsia" w:hAnsiTheme="minorEastAsia" w:eastAsiaTheme="minorEastAsia"/>
          <w:kern w:val="0"/>
          <w:sz w:val="24"/>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，代表所有联合体成员负责响应和合同实施阶段的主办、协调工作</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三、本次联合响应中，分工如下：</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164"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164"/>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165" w:name="_Hlk101133598"/>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bookmarkEnd w:id="165"/>
      <w:r>
        <w:rPr>
          <w:rFonts w:hint="eastAsia" w:cs="宋体" w:asciiTheme="minorEastAsia" w:hAnsiTheme="minorEastAsia" w:eastAsiaTheme="minorEastAsia"/>
          <w:b/>
          <w:kern w:val="0"/>
          <w:sz w:val="24"/>
          <w:highlight w:val="none"/>
          <w:lang w:val="zh-CN"/>
        </w:rPr>
        <w:t>）</w:t>
      </w:r>
    </w:p>
    <w:p>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166"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166"/>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五、如果成交，</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六、有关本次联合响应的其他事宜：</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snapToGrid w:val="0"/>
        <w:spacing w:line="360" w:lineRule="auto"/>
        <w:ind w:right="480"/>
        <w:jc w:val="center"/>
        <w:rPr>
          <w:rFonts w:cs="仿宋_GB2312" w:asciiTheme="minorEastAsia" w:hAnsiTheme="minorEastAsia" w:eastAsiaTheme="minorEastAsia"/>
          <w:b/>
          <w:sz w:val="32"/>
          <w:szCs w:val="32"/>
          <w:highlight w:val="none"/>
        </w:rPr>
      </w:pPr>
    </w:p>
    <w:p>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sz w:val="32"/>
          <w:szCs w:val="32"/>
          <w:highlight w:val="none"/>
        </w:rPr>
        <w:t>C、</w:t>
      </w:r>
      <w:r>
        <w:rPr>
          <w:rFonts w:hint="eastAsia" w:cs="宋体" w:asciiTheme="minorEastAsia" w:hAnsiTheme="minorEastAsia" w:eastAsiaTheme="minorEastAsia"/>
          <w:b/>
          <w:kern w:val="0"/>
          <w:sz w:val="32"/>
          <w:szCs w:val="32"/>
          <w:highlight w:val="none"/>
        </w:rPr>
        <w:t>落实政府采购政策需满足的资格要求</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w:t>
      </w:r>
      <w:r>
        <w:rPr>
          <w:rFonts w:hint="eastAsia" w:cs="宋体" w:asciiTheme="minorEastAsia" w:hAnsiTheme="minorEastAsia" w:eastAsiaTheme="minorEastAsia"/>
          <w:b/>
          <w:bCs/>
          <w:sz w:val="24"/>
          <w:highlight w:val="none"/>
        </w:rPr>
        <w:t>磋商文件第一部分竞争性磋商邀请公告中</w:t>
      </w:r>
      <w:r>
        <w:rPr>
          <w:rFonts w:hint="eastAsia" w:cs="宋体" w:asciiTheme="minorEastAsia" w:hAnsiTheme="minorEastAsia" w:eastAsiaTheme="minorEastAsia"/>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a</w:t>
      </w:r>
      <w:r>
        <w:rPr>
          <w:rFonts w:hint="eastAsia" w:cs="宋体" w:asciiTheme="minorEastAsia" w:hAnsiTheme="minorEastAsia" w:eastAsiaTheme="minorEastAsia"/>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 xml:space="preserve">）。 </w:t>
      </w:r>
    </w:p>
    <w:p>
      <w:pPr>
        <w:widowControl/>
        <w:spacing w:line="360" w:lineRule="auto"/>
        <w:ind w:firstLine="480"/>
        <w:jc w:val="left"/>
        <w:rPr>
          <w:rFonts w:cs="宋体" w:asciiTheme="minorEastAsia" w:hAnsiTheme="minorEastAsia" w:eastAsiaTheme="minorEastAsia"/>
          <w:sz w:val="24"/>
          <w:highlight w:val="none"/>
        </w:rPr>
      </w:pPr>
    </w:p>
    <w:p>
      <w:pPr>
        <w:widowControl/>
        <w:spacing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b.</w:t>
      </w:r>
      <w:r>
        <w:rPr>
          <w:rFonts w:hint="eastAsia" w:cs="宋体" w:asciiTheme="minorEastAsia" w:hAnsiTheme="minorEastAsia" w:eastAsiaTheme="minorEastAsia"/>
          <w:sz w:val="24"/>
          <w:highlight w:val="none"/>
        </w:rPr>
        <w:t>要求以联合体形式参加的，提供联合协议和中小企业声明函（附件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），联合协议中中小企业合同金额应当达到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 xml:space="preserve">    </w:t>
      </w:r>
    </w:p>
    <w:p>
      <w:pPr>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c、</w:t>
      </w:r>
      <w:r>
        <w:rPr>
          <w:rFonts w:hint="eastAsia" w:cs="宋体" w:asciiTheme="minorEastAsia" w:hAnsiTheme="minorEastAsia" w:eastAsiaTheme="minorEastAsia"/>
          <w:sz w:val="24"/>
          <w:highlight w:val="none"/>
        </w:rPr>
        <w:t>要求合同分包的，提供分包意向协议和中小企业声明函（附件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），分包意向协议中中小企业合同金额应当达到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载明的比例；如果供应商本身提供的所有标的均由中小企业承接的，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视同符合了资格条件，无需再向中小企业分包，无需提供分包意向协议。</w:t>
      </w:r>
    </w:p>
    <w:p>
      <w:pPr>
        <w:spacing w:line="360" w:lineRule="auto"/>
        <w:jc w:val="center"/>
        <w:rPr>
          <w:rFonts w:cs="仿宋_GB2312" w:asciiTheme="minorEastAsia" w:hAnsiTheme="minorEastAsia" w:eastAsiaTheme="minorEastAsia"/>
          <w:b/>
          <w:sz w:val="32"/>
          <w:szCs w:val="32"/>
          <w:highlight w:val="none"/>
        </w:rPr>
      </w:pPr>
    </w:p>
    <w:p>
      <w:pPr>
        <w:spacing w:line="360" w:lineRule="auto"/>
        <w:jc w:val="center"/>
        <w:rPr>
          <w:rFonts w:cs="仿宋_GB2312" w:asciiTheme="minorEastAsia" w:hAnsiTheme="minorEastAsia" w:eastAsiaTheme="minorEastAsia"/>
          <w:b/>
          <w:sz w:val="32"/>
          <w:szCs w:val="32"/>
          <w:highlight w:val="none"/>
        </w:rPr>
      </w:pP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highlight w:val="none"/>
        </w:rPr>
      </w:pPr>
    </w:p>
    <w:p>
      <w:pPr>
        <w:snapToGrid w:val="0"/>
        <w:spacing w:line="360" w:lineRule="auto"/>
        <w:ind w:firstLine="5880" w:firstLineChars="24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kern w:val="0"/>
          <w:sz w:val="24"/>
          <w:highlight w:val="none"/>
          <w:lang w:val="zh-CN"/>
        </w:rPr>
      </w:pPr>
    </w:p>
    <w:p>
      <w:pPr>
        <w:snapToGrid w:val="0"/>
        <w:spacing w:line="360" w:lineRule="auto"/>
        <w:ind w:right="480"/>
        <w:jc w:val="center"/>
        <w:rPr>
          <w:rFonts w:cs="仿宋_GB2312" w:asciiTheme="minorEastAsia" w:hAnsiTheme="minorEastAsia" w:eastAsiaTheme="minorEastAsia"/>
          <w:b/>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三、法人授权书</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（采购人）、（采购代理机构）</w:t>
      </w:r>
      <w:r>
        <w:rPr>
          <w:rFonts w:hint="eastAsia" w:cs="仿宋_GB2312" w:asciiTheme="minorEastAsia" w:hAnsiTheme="minorEastAsia" w:eastAsiaTheme="minorEastAsia"/>
          <w:kern w:val="0"/>
          <w:sz w:val="24"/>
          <w:highlight w:val="none"/>
          <w:lang w:val="zh-CN"/>
        </w:rPr>
        <w:t>：</w:t>
      </w:r>
    </w:p>
    <w:p>
      <w:pPr>
        <w:snapToGrid w:val="0"/>
        <w:spacing w:line="360" w:lineRule="auto"/>
        <w:ind w:firstLine="57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兹委派我公司</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先生/女士(其在本公司的职务是：</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 xml:space="preserve"> ，联系电话：</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传真：</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)，代表我公司全权处理</w:t>
      </w:r>
      <w:r>
        <w:rPr>
          <w:rFonts w:hint="eastAsia" w:cs="仿宋_GB2312" w:asciiTheme="minorEastAsia" w:hAnsiTheme="minorEastAsia" w:eastAsiaTheme="minorEastAsia"/>
          <w:sz w:val="24"/>
          <w:highlight w:val="none"/>
          <w:lang w:eastAsia="zh-CN"/>
        </w:rPr>
        <w:t>2024年度临安区困难残疾人家庭无障碍改造项目</w:t>
      </w:r>
      <w:r>
        <w:rPr>
          <w:rFonts w:hint="eastAsia" w:cs="仿宋_GB2312" w:asciiTheme="minorEastAsia" w:hAnsiTheme="minorEastAsia" w:eastAsiaTheme="minorEastAsia"/>
          <w:sz w:val="24"/>
          <w:highlight w:val="none"/>
        </w:rPr>
        <w:t>【项目编号：（采购编号）】</w:t>
      </w:r>
      <w:r>
        <w:rPr>
          <w:rFonts w:hint="eastAsia" w:cs="仿宋_GB2312" w:asciiTheme="minorEastAsia" w:hAnsiTheme="minorEastAsia" w:eastAsiaTheme="minorEastAsia"/>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kern w:val="0"/>
          <w:sz w:val="24"/>
          <w:highlight w:val="none"/>
          <w:lang w:val="zh-CN"/>
        </w:rPr>
      </w:pPr>
    </w:p>
    <w:p>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pPr>
        <w:snapToGrid w:val="0"/>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highlight w:val="none"/>
          <w:lang w:val="zh-CN"/>
        </w:rPr>
      </w:pPr>
      <w:r>
        <w:rPr>
          <w:rFonts w:hint="eastAsia" w:cs="仿宋_GB2312" w:asciiTheme="minorEastAsia" w:hAnsiTheme="minorEastAsia" w:eastAsiaTheme="minorEastAsia"/>
          <w:b/>
          <w:kern w:val="0"/>
          <w:sz w:val="30"/>
          <w:szCs w:val="30"/>
          <w:highlight w:val="none"/>
          <w:lang w:val="zh-CN"/>
        </w:rPr>
        <w:t>（适用于联合体响应）</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（采购人）、（采购代理机构）</w:t>
      </w:r>
      <w:r>
        <w:rPr>
          <w:rFonts w:hint="eastAsia" w:cs="仿宋_GB2312" w:asciiTheme="minorEastAsia" w:hAnsiTheme="minorEastAsia" w:eastAsiaTheme="minorEastAsia"/>
          <w:kern w:val="0"/>
          <w:sz w:val="24"/>
          <w:highlight w:val="none"/>
          <w:lang w:val="zh-CN"/>
        </w:rPr>
        <w:t>：</w:t>
      </w:r>
    </w:p>
    <w:p>
      <w:pPr>
        <w:snapToGrid w:val="0"/>
        <w:spacing w:line="360" w:lineRule="auto"/>
        <w:ind w:firstLine="576"/>
        <w:rPr>
          <w:rFonts w:cs="仿宋_GB2312"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仿宋_GB2312" w:asciiTheme="minorEastAsia" w:hAnsiTheme="minorEastAsia" w:eastAsiaTheme="minorEastAsia"/>
          <w:sz w:val="24"/>
          <w:highlight w:val="none"/>
          <w:lang w:eastAsia="zh-CN"/>
        </w:rPr>
        <w:t>2024年度临安区困难残疾人家庭无障碍改造项目</w:t>
      </w:r>
      <w:r>
        <w:rPr>
          <w:rFonts w:hint="eastAsia" w:cs="仿宋_GB2312" w:asciiTheme="minorEastAsia" w:hAnsiTheme="minorEastAsia" w:eastAsiaTheme="minorEastAsia"/>
          <w:kern w:val="0"/>
          <w:sz w:val="24"/>
          <w:highlight w:val="none"/>
          <w:lang w:val="zh-CN"/>
        </w:rPr>
        <w:t>【项目编号：（采购编号）】政府采购响应的一切事项，</w:t>
      </w:r>
      <w:r>
        <w:rPr>
          <w:rFonts w:hint="eastAsia" w:cs="宋体" w:asciiTheme="minorEastAsia" w:hAnsiTheme="minorEastAsia" w:eastAsiaTheme="minorEastAsia"/>
          <w:kern w:val="0"/>
          <w:sz w:val="24"/>
          <w:highlight w:val="none"/>
          <w:lang w:val="zh-CN"/>
        </w:rPr>
        <w:t>其法律后果由我方承担。</w:t>
      </w:r>
      <w:r>
        <w:rPr>
          <w:rFonts w:hint="eastAsia" w:cs="仿宋_GB2312" w:asciiTheme="minorEastAsia" w:hAnsiTheme="minorEastAsia" w:eastAsiaTheme="minorEastAsia"/>
          <w:kern w:val="0"/>
          <w:sz w:val="24"/>
          <w:highlight w:val="none"/>
          <w:lang w:val="zh-CN"/>
        </w:rPr>
        <w:t>。</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pPr>
        <w:widowControl/>
        <w:adjustRightInd/>
        <w:jc w:val="left"/>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br w:type="page"/>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30"/>
          <w:szCs w:val="30"/>
          <w:highlight w:val="none"/>
        </w:rPr>
        <w:t>授权代表的身份证（复印件）</w:t>
      </w:r>
    </w:p>
    <w:p>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                                 反面：</w:t>
            </w:r>
          </w:p>
          <w:p>
            <w:pPr>
              <w:pStyle w:val="618"/>
              <w:spacing w:line="360" w:lineRule="auto"/>
              <w:rPr>
                <w:rFonts w:asciiTheme="minorEastAsia" w:hAnsiTheme="minorEastAsia" w:eastAsiaTheme="minorEastAsia"/>
                <w:bCs/>
                <w:sz w:val="24"/>
                <w:highlight w:val="none"/>
              </w:rPr>
            </w:pPr>
          </w:p>
        </w:tc>
      </w:tr>
    </w:tbl>
    <w:p>
      <w:pPr>
        <w:snapToGrid w:val="0"/>
        <w:spacing w:line="360" w:lineRule="auto"/>
        <w:ind w:firstLine="576"/>
        <w:jc w:val="right"/>
        <w:rPr>
          <w:rFonts w:cs="仿宋_GB2312" w:asciiTheme="minorEastAsia" w:hAnsiTheme="minorEastAsia" w:eastAsiaTheme="minorEastAsia"/>
          <w:kern w:val="0"/>
          <w:sz w:val="24"/>
          <w:highlight w:val="none"/>
          <w:lang w:val="zh-CN"/>
        </w:rPr>
      </w:pPr>
    </w:p>
    <w:p>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highlight w:val="none"/>
        </w:rPr>
      </w:pPr>
    </w:p>
    <w:p>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四</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分包意向协议（如果有）</w:t>
      </w:r>
    </w:p>
    <w:p>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highlight w:val="none"/>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若成为</w:t>
      </w:r>
      <w:r>
        <w:rPr>
          <w:rFonts w:hint="eastAsia" w:cs="宋体" w:asciiTheme="minorEastAsia" w:hAnsiTheme="minorEastAsia" w:eastAsiaTheme="minorEastAsia"/>
          <w:sz w:val="24"/>
          <w:highlight w:val="none"/>
          <w:lang w:eastAsia="zh-CN"/>
        </w:rPr>
        <w:t>2024年度临安区困难残疾人家庭无障碍改造项目</w:t>
      </w:r>
      <w:r>
        <w:rPr>
          <w:rFonts w:hint="eastAsia" w:cs="宋体" w:asciiTheme="minorEastAsia" w:hAnsiTheme="minorEastAsia" w:eastAsiaTheme="minorEastAsia"/>
          <w:sz w:val="24"/>
          <w:highlight w:val="none"/>
        </w:rPr>
        <w:t>【项目编号：（采购编号）】</w:t>
      </w:r>
      <w:r>
        <w:rPr>
          <w:rFonts w:hint="eastAsia" w:cs="宋体" w:asciiTheme="minorEastAsia" w:hAnsiTheme="minorEastAsia" w:eastAsiaTheme="minorEastAsia"/>
          <w:kern w:val="0"/>
          <w:sz w:val="24"/>
          <w:highlight w:val="none"/>
          <w:lang w:val="zh-CN"/>
        </w:rPr>
        <w:t>的成交供应商，将依法采取分包方式履行合同。</w:t>
      </w: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pPr>
        <w:pStyle w:val="2"/>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pPr>
        <w:ind w:firstLine="305"/>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供应商名称(电子签名)：</w:t>
      </w:r>
    </w:p>
    <w:p>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kern w:val="0"/>
          <w:sz w:val="32"/>
          <w:szCs w:val="32"/>
          <w:highlight w:val="none"/>
          <w:lang w:val="zh-CN"/>
        </w:rPr>
        <w:t>五</w:t>
      </w:r>
      <w:r>
        <w:rPr>
          <w:rFonts w:hint="eastAsia" w:cs="仿宋_GB2312" w:asciiTheme="minorEastAsia" w:hAnsiTheme="minorEastAsia" w:eastAsiaTheme="minorEastAsia"/>
          <w:b/>
          <w:sz w:val="32"/>
          <w:szCs w:val="32"/>
          <w:highlight w:val="none"/>
        </w:rPr>
        <w:t>、所有资信文件（复印件）</w:t>
      </w: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sz w:val="24"/>
          <w:highlight w:val="none"/>
        </w:rPr>
        <w:t>（由供应商根据采购需求及磋商文件要求编制）</w:t>
      </w:r>
    </w:p>
    <w:p>
      <w:pPr>
        <w:spacing w:line="360" w:lineRule="auto"/>
        <w:jc w:val="center"/>
        <w:rPr>
          <w:rFonts w:cs="仿宋_GB2312" w:asciiTheme="minorEastAsia" w:hAnsiTheme="minorEastAsia" w:eastAsiaTheme="minorEastAsia"/>
          <w:b/>
          <w:sz w:val="30"/>
          <w:szCs w:val="30"/>
          <w:highlight w:val="none"/>
        </w:rPr>
      </w:pPr>
    </w:p>
    <w:p>
      <w:pPr>
        <w:snapToGrid w:val="0"/>
        <w:spacing w:line="360" w:lineRule="auto"/>
        <w:ind w:firstLine="5160" w:firstLineChars="21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pPr>
        <w:snapToGrid w:val="0"/>
        <w:spacing w:line="360" w:lineRule="auto"/>
        <w:ind w:firstLine="5160" w:firstLineChars="21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pPr>
        <w:spacing w:line="360" w:lineRule="auto"/>
        <w:jc w:val="center"/>
        <w:rPr>
          <w:rFonts w:cs="仿宋_GB2312" w:asciiTheme="minorEastAsia" w:hAnsiTheme="minorEastAsia" w:eastAsiaTheme="minorEastAsia"/>
          <w:b/>
          <w:kern w:val="0"/>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kern w:val="0"/>
          <w:sz w:val="32"/>
          <w:szCs w:val="32"/>
          <w:highlight w:val="none"/>
        </w:rPr>
        <w:t>六</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主要业绩证明</w:t>
      </w:r>
    </w:p>
    <w:p>
      <w:pPr>
        <w:autoSpaceDE w:val="0"/>
        <w:autoSpaceDN w:val="0"/>
        <w:spacing w:line="360" w:lineRule="auto"/>
        <w:ind w:firstLine="12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投资</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bl>
    <w:p>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sz w:val="24"/>
          <w:highlight w:val="none"/>
        </w:rPr>
      </w:pPr>
    </w:p>
    <w:p>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七、关于</w:t>
      </w:r>
      <w:r>
        <w:rPr>
          <w:rFonts w:hint="eastAsia" w:cs="仿宋_GB2312" w:asciiTheme="minorEastAsia" w:hAnsiTheme="minorEastAsia" w:eastAsiaTheme="minorEastAsia"/>
          <w:b/>
          <w:kern w:val="0"/>
          <w:sz w:val="32"/>
          <w:szCs w:val="32"/>
          <w:highlight w:val="none"/>
          <w:lang w:val="zh-CN"/>
        </w:rPr>
        <w:t>对磋商文件中有关条款的拒绝声明</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八、认为需要的</w:t>
      </w:r>
      <w:r>
        <w:rPr>
          <w:rFonts w:hint="eastAsia" w:cs="仿宋_GB2312" w:asciiTheme="minorEastAsia" w:hAnsiTheme="minorEastAsia" w:eastAsiaTheme="minorEastAsia"/>
          <w:b/>
          <w:kern w:val="0"/>
          <w:sz w:val="32"/>
          <w:szCs w:val="32"/>
          <w:highlight w:val="none"/>
          <w:lang w:val="zh-CN"/>
        </w:rPr>
        <w:t>其他商务文件或说明</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jc w:val="center"/>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rPr>
          <w:rFonts w:cs="仿宋_GB2312" w:asciiTheme="minorEastAsia" w:hAnsiTheme="minorEastAsia" w:eastAsiaTheme="minorEastAsia"/>
          <w:b/>
          <w:bCs/>
          <w:kern w:val="0"/>
          <w:sz w:val="24"/>
          <w:highlight w:val="none"/>
        </w:rPr>
      </w:pPr>
    </w:p>
    <w:p>
      <w:pPr>
        <w:widowControl/>
        <w:adjustRightInd/>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highlight w:val="none"/>
        </w:rPr>
        <w:br w:type="page"/>
      </w: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九、技术解决方案</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pPr>
        <w:spacing w:line="360" w:lineRule="auto"/>
        <w:jc w:val="center"/>
        <w:rPr>
          <w:rFonts w:cs="仿宋_GB2312" w:asciiTheme="minorEastAsia" w:hAnsiTheme="minorEastAsia" w:eastAsiaTheme="minorEastAsia"/>
          <w:sz w:val="24"/>
          <w:highlight w:val="none"/>
        </w:rPr>
      </w:pPr>
    </w:p>
    <w:p>
      <w:pPr>
        <w:autoSpaceDE w:val="0"/>
        <w:autoSpaceDN w:val="0"/>
        <w:spacing w:line="360" w:lineRule="auto"/>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 xml:space="preserve">       </w:t>
      </w:r>
    </w:p>
    <w:p>
      <w:pPr>
        <w:snapToGrid w:val="0"/>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序号</w:t>
            </w:r>
          </w:p>
        </w:tc>
        <w:tc>
          <w:tcPr>
            <w:tcW w:w="1531"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设备名称</w:t>
            </w:r>
          </w:p>
        </w:tc>
        <w:tc>
          <w:tcPr>
            <w:tcW w:w="2160"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响应品牌及型号</w:t>
            </w:r>
          </w:p>
        </w:tc>
        <w:tc>
          <w:tcPr>
            <w:tcW w:w="2340"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规格配置详细说明</w:t>
            </w:r>
          </w:p>
        </w:tc>
        <w:tc>
          <w:tcPr>
            <w:tcW w:w="1080"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数量</w:t>
            </w:r>
          </w:p>
        </w:tc>
        <w:tc>
          <w:tcPr>
            <w:tcW w:w="1332"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153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pPr>
              <w:spacing w:line="360" w:lineRule="auto"/>
              <w:jc w:val="center"/>
              <w:rPr>
                <w:rFonts w:cs="仿宋_GB2312" w:asciiTheme="minorEastAsia" w:hAnsiTheme="minorEastAsia" w:eastAsiaTheme="minorEastAsia"/>
                <w:sz w:val="24"/>
                <w:highlight w:val="none"/>
              </w:rPr>
            </w:pPr>
          </w:p>
        </w:tc>
        <w:tc>
          <w:tcPr>
            <w:tcW w:w="1080" w:type="dxa"/>
            <w:vAlign w:val="center"/>
          </w:tcPr>
          <w:p>
            <w:pPr>
              <w:spacing w:line="360" w:lineRule="auto"/>
              <w:jc w:val="center"/>
              <w:rPr>
                <w:rFonts w:cs="仿宋_GB2312" w:asciiTheme="minorEastAsia" w:hAnsiTheme="minorEastAsia" w:eastAsiaTheme="minorEastAsia"/>
                <w:sz w:val="24"/>
                <w:highlight w:val="none"/>
              </w:rPr>
            </w:pPr>
          </w:p>
        </w:tc>
        <w:tc>
          <w:tcPr>
            <w:tcW w:w="1332"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153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pPr>
              <w:spacing w:line="360" w:lineRule="auto"/>
              <w:jc w:val="center"/>
              <w:rPr>
                <w:rFonts w:cs="仿宋_GB2312" w:asciiTheme="minorEastAsia" w:hAnsiTheme="minorEastAsia" w:eastAsiaTheme="minorEastAsia"/>
                <w:sz w:val="24"/>
                <w:highlight w:val="none"/>
              </w:rPr>
            </w:pPr>
          </w:p>
        </w:tc>
        <w:tc>
          <w:tcPr>
            <w:tcW w:w="1080" w:type="dxa"/>
            <w:vAlign w:val="center"/>
          </w:tcPr>
          <w:p>
            <w:pPr>
              <w:spacing w:line="360" w:lineRule="auto"/>
              <w:jc w:val="center"/>
              <w:rPr>
                <w:rFonts w:cs="仿宋_GB2312" w:asciiTheme="minorEastAsia" w:hAnsiTheme="minorEastAsia" w:eastAsiaTheme="minorEastAsia"/>
                <w:sz w:val="24"/>
                <w:highlight w:val="none"/>
              </w:rPr>
            </w:pPr>
          </w:p>
        </w:tc>
        <w:tc>
          <w:tcPr>
            <w:tcW w:w="1332"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153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pPr>
              <w:spacing w:line="360" w:lineRule="auto"/>
              <w:jc w:val="center"/>
              <w:rPr>
                <w:rFonts w:cs="仿宋_GB2312" w:asciiTheme="minorEastAsia" w:hAnsiTheme="minorEastAsia" w:eastAsiaTheme="minorEastAsia"/>
                <w:sz w:val="24"/>
                <w:highlight w:val="none"/>
              </w:rPr>
            </w:pPr>
          </w:p>
        </w:tc>
        <w:tc>
          <w:tcPr>
            <w:tcW w:w="1080" w:type="dxa"/>
            <w:vAlign w:val="center"/>
          </w:tcPr>
          <w:p>
            <w:pPr>
              <w:spacing w:line="360" w:lineRule="auto"/>
              <w:jc w:val="center"/>
              <w:rPr>
                <w:rFonts w:cs="仿宋_GB2312" w:asciiTheme="minorEastAsia" w:hAnsiTheme="minorEastAsia" w:eastAsiaTheme="minorEastAsia"/>
                <w:sz w:val="24"/>
                <w:highlight w:val="none"/>
              </w:rPr>
            </w:pPr>
          </w:p>
        </w:tc>
        <w:tc>
          <w:tcPr>
            <w:tcW w:w="1332"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153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pPr>
              <w:spacing w:line="360" w:lineRule="auto"/>
              <w:jc w:val="center"/>
              <w:rPr>
                <w:rFonts w:cs="仿宋_GB2312" w:asciiTheme="minorEastAsia" w:hAnsiTheme="minorEastAsia" w:eastAsiaTheme="minorEastAsia"/>
                <w:sz w:val="24"/>
                <w:highlight w:val="none"/>
              </w:rPr>
            </w:pPr>
          </w:p>
        </w:tc>
        <w:tc>
          <w:tcPr>
            <w:tcW w:w="1080" w:type="dxa"/>
            <w:vAlign w:val="center"/>
          </w:tcPr>
          <w:p>
            <w:pPr>
              <w:spacing w:line="360" w:lineRule="auto"/>
              <w:jc w:val="center"/>
              <w:rPr>
                <w:rFonts w:cs="仿宋_GB2312" w:asciiTheme="minorEastAsia" w:hAnsiTheme="minorEastAsia" w:eastAsiaTheme="minorEastAsia"/>
                <w:sz w:val="24"/>
                <w:highlight w:val="none"/>
              </w:rPr>
            </w:pPr>
          </w:p>
        </w:tc>
        <w:tc>
          <w:tcPr>
            <w:tcW w:w="1332"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53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pPr>
              <w:spacing w:line="360" w:lineRule="auto"/>
              <w:jc w:val="center"/>
              <w:rPr>
                <w:rFonts w:cs="仿宋_GB2312" w:asciiTheme="minorEastAsia" w:hAnsiTheme="minorEastAsia" w:eastAsiaTheme="minorEastAsia"/>
                <w:sz w:val="24"/>
                <w:highlight w:val="none"/>
              </w:rPr>
            </w:pPr>
          </w:p>
        </w:tc>
        <w:tc>
          <w:tcPr>
            <w:tcW w:w="1080" w:type="dxa"/>
            <w:vAlign w:val="center"/>
          </w:tcPr>
          <w:p>
            <w:pPr>
              <w:spacing w:line="360" w:lineRule="auto"/>
              <w:jc w:val="center"/>
              <w:rPr>
                <w:rFonts w:cs="仿宋_GB2312" w:asciiTheme="minorEastAsia" w:hAnsiTheme="minorEastAsia" w:eastAsiaTheme="minorEastAsia"/>
                <w:sz w:val="24"/>
                <w:highlight w:val="none"/>
              </w:rPr>
            </w:pPr>
          </w:p>
        </w:tc>
        <w:tc>
          <w:tcPr>
            <w:tcW w:w="1332" w:type="dxa"/>
            <w:vAlign w:val="center"/>
          </w:tcPr>
          <w:p>
            <w:pPr>
              <w:spacing w:line="360" w:lineRule="auto"/>
              <w:jc w:val="center"/>
              <w:rPr>
                <w:rFonts w:cs="仿宋_GB2312" w:asciiTheme="minorEastAsia" w:hAnsiTheme="minorEastAsia" w:eastAsiaTheme="minorEastAsia"/>
                <w:sz w:val="24"/>
                <w:highlight w:val="none"/>
              </w:rPr>
            </w:pPr>
          </w:p>
        </w:tc>
      </w:tr>
    </w:tbl>
    <w:p>
      <w:pPr>
        <w:autoSpaceDE w:val="0"/>
        <w:autoSpaceDN w:val="0"/>
        <w:spacing w:line="360" w:lineRule="auto"/>
        <w:rPr>
          <w:rFonts w:cs="仿宋_GB2312" w:asciiTheme="minorEastAsia" w:hAnsiTheme="minorEastAsia" w:eastAsiaTheme="minorEastAsia"/>
          <w:b/>
          <w:kern w:val="0"/>
          <w:sz w:val="28"/>
          <w:szCs w:val="28"/>
          <w:highlight w:val="none"/>
        </w:rPr>
      </w:pPr>
      <w:r>
        <w:rPr>
          <w:rFonts w:hint="eastAsia" w:cs="仿宋_GB2312" w:asciiTheme="minorEastAsia" w:hAnsiTheme="minorEastAsia" w:eastAsiaTheme="minorEastAsia"/>
          <w:b/>
          <w:kern w:val="0"/>
          <w:sz w:val="28"/>
          <w:szCs w:val="28"/>
          <w:highlight w:val="none"/>
        </w:rPr>
        <w:t>注：</w:t>
      </w:r>
      <w:r>
        <w:rPr>
          <w:rFonts w:hint="eastAsia" w:cs="仿宋_GB2312" w:asciiTheme="minorEastAsia" w:hAnsiTheme="minorEastAsia" w:eastAsiaTheme="minorEastAsia"/>
          <w:b/>
          <w:sz w:val="28"/>
          <w:szCs w:val="28"/>
          <w:highlight w:val="none"/>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spacing w:val="6"/>
          <w:sz w:val="32"/>
          <w:szCs w:val="32"/>
          <w:highlight w:val="none"/>
        </w:rPr>
      </w:pPr>
    </w:p>
    <w:p>
      <w:pPr>
        <w:spacing w:line="360" w:lineRule="auto"/>
        <w:ind w:firstLine="1333" w:firstLineChars="400"/>
        <w:jc w:val="left"/>
        <w:rPr>
          <w:rFonts w:asciiTheme="minorEastAsia" w:hAnsiTheme="minorEastAsia" w:eastAsiaTheme="minorEastAsia"/>
          <w:b/>
          <w:spacing w:val="6"/>
          <w:sz w:val="32"/>
          <w:szCs w:val="32"/>
          <w:highlight w:val="none"/>
        </w:rPr>
      </w:pPr>
    </w:p>
    <w:p>
      <w:pPr>
        <w:spacing w:line="360" w:lineRule="auto"/>
        <w:ind w:firstLine="1333" w:firstLineChars="400"/>
        <w:jc w:val="left"/>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节能产品认证证书（电子签名）</w:t>
      </w:r>
    </w:p>
    <w:p>
      <w:pPr>
        <w:spacing w:line="360" w:lineRule="auto"/>
        <w:ind w:firstLine="1333" w:firstLineChars="400"/>
        <w:jc w:val="left"/>
        <w:rPr>
          <w:rFonts w:asciiTheme="minorEastAsia" w:hAnsiTheme="minorEastAsia" w:eastAsiaTheme="minorEastAsia"/>
          <w:b/>
          <w:spacing w:val="6"/>
          <w:sz w:val="32"/>
          <w:szCs w:val="32"/>
          <w:highlight w:val="none"/>
        </w:rPr>
      </w:pPr>
    </w:p>
    <w:p>
      <w:pPr>
        <w:spacing w:line="360" w:lineRule="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 xml:space="preserve"> </w:t>
      </w:r>
    </w:p>
    <w:p>
      <w:pPr>
        <w:spacing w:line="360" w:lineRule="auto"/>
        <w:ind w:firstLine="1000" w:firstLineChars="300"/>
        <w:jc w:val="left"/>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环境标志产品认证证书（电子签名）</w:t>
      </w:r>
    </w:p>
    <w:p>
      <w:pPr>
        <w:autoSpaceDE w:val="0"/>
        <w:autoSpaceDN w:val="0"/>
        <w:spacing w:line="360" w:lineRule="auto"/>
        <w:rPr>
          <w:rFonts w:cs="仿宋_GB2312" w:asciiTheme="minorEastAsia" w:hAnsiTheme="minorEastAsia" w:eastAsiaTheme="minorEastAsia"/>
          <w:b/>
          <w:kern w:val="0"/>
          <w:sz w:val="28"/>
          <w:szCs w:val="28"/>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r>
        <w:rPr>
          <w:rFonts w:hint="eastAsia" w:cs="仿宋_GB2312" w:asciiTheme="minorEastAsia" w:hAnsiTheme="minorEastAsia" w:eastAsiaTheme="minorEastAsia"/>
          <w:b/>
          <w:bCs/>
          <w:kern w:val="0"/>
          <w:sz w:val="32"/>
          <w:szCs w:val="32"/>
          <w:highlight w:val="none"/>
          <w:lang w:val="zh-CN"/>
        </w:rPr>
        <w:t>十、组织实施方案</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附表:项目实施进度计划表</w:t>
      </w:r>
      <w:r>
        <w:rPr>
          <w:rFonts w:hint="eastAsia" w:cs="仿宋_GB2312" w:asciiTheme="minorEastAsia" w:hAnsiTheme="minorEastAsia" w:eastAsiaTheme="minorEastAsia"/>
          <w:b/>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内容</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7</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13</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14</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15</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bl>
    <w:p>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十一、售后服务方案</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pPr>
        <w:autoSpaceDE w:val="0"/>
        <w:autoSpaceDN w:val="0"/>
        <w:spacing w:line="360" w:lineRule="auto"/>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十二、项目小组人员名单</w:t>
      </w:r>
    </w:p>
    <w:p>
      <w:pPr>
        <w:spacing w:line="360" w:lineRule="auto"/>
        <w:jc w:val="center"/>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sz w:val="24"/>
          <w:highlight w:val="none"/>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bl>
    <w:p>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附表B:本项目的项目小组人员情况表</w:t>
      </w:r>
      <w:r>
        <w:rPr>
          <w:rFonts w:hint="eastAsia" w:cs="仿宋_GB2312" w:asciiTheme="minorEastAsia" w:hAnsiTheme="minorEastAsia" w:eastAsiaTheme="minorEastAsia"/>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专业</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bl>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附表C:本项目的项目经理和小组人员交纳社保记录情况表</w:t>
      </w:r>
      <w:r>
        <w:rPr>
          <w:rFonts w:hint="eastAsia" w:cs="仿宋_GB2312" w:asciiTheme="minorEastAsia" w:hAnsiTheme="minorEastAsia" w:eastAsiaTheme="minorEastAsia"/>
          <w:sz w:val="24"/>
          <w:highlight w:val="none"/>
        </w:rPr>
        <w:t>（以社保局缴纳凭证作附件）</w:t>
      </w: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24"/>
          <w:highlight w:val="none"/>
        </w:rPr>
        <w:br w:type="page"/>
      </w:r>
      <w:r>
        <w:rPr>
          <w:rFonts w:hint="eastAsia" w:cs="仿宋_GB2312" w:asciiTheme="minorEastAsia" w:hAnsiTheme="minorEastAsia" w:eastAsiaTheme="minorEastAsia"/>
          <w:b/>
          <w:kern w:val="0"/>
          <w:sz w:val="32"/>
          <w:szCs w:val="32"/>
          <w:highlight w:val="none"/>
          <w:lang w:val="zh-CN"/>
        </w:rPr>
        <w:t>十三</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优惠条件及特殊承诺</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jc w:val="center"/>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24"/>
          <w:highlight w:val="none"/>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十四、</w:t>
      </w:r>
      <w:r>
        <w:rPr>
          <w:rFonts w:hint="eastAsia" w:cs="仿宋_GB2312" w:asciiTheme="minorEastAsia" w:hAnsiTheme="minorEastAsia" w:eastAsiaTheme="minorEastAsia"/>
          <w:b/>
          <w:kern w:val="0"/>
          <w:sz w:val="32"/>
          <w:szCs w:val="32"/>
          <w:highlight w:val="none"/>
          <w:lang w:val="zh-CN"/>
        </w:rPr>
        <w:t>培训计划</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注解:A</w:t>
      </w:r>
      <w:r>
        <w:rPr>
          <w:rFonts w:hint="eastAsia" w:cs="仿宋_GB2312" w:asciiTheme="minorEastAsia" w:hAnsiTheme="minorEastAsia" w:eastAsiaTheme="minorEastAsia"/>
          <w:sz w:val="24"/>
          <w:highlight w:val="none"/>
        </w:rPr>
        <w:tab/>
      </w:r>
      <w:r>
        <w:rPr>
          <w:rFonts w:hint="eastAsia" w:cs="仿宋_GB2312" w:asciiTheme="minorEastAsia" w:hAnsiTheme="minorEastAsia" w:eastAsiaTheme="minorEastAsia"/>
          <w:sz w:val="24"/>
          <w:highlight w:val="none"/>
        </w:rPr>
        <w:t>课程清单按时间顺序排列，并提供以下详细资料：</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课程概要</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课程目的</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教学方式</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先决条件</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教材目录</w:t>
      </w:r>
    </w:p>
    <w:p>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B  按照附表A提供授课教师的简历</w:t>
      </w:r>
    </w:p>
    <w:p>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kern w:val="0"/>
          <w:sz w:val="24"/>
          <w:highlight w:val="none"/>
        </w:rPr>
      </w:pP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名称</w:t>
            </w:r>
          </w:p>
        </w:tc>
        <w:tc>
          <w:tcPr>
            <w:tcW w:w="1900"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品牌</w:t>
            </w:r>
          </w:p>
        </w:tc>
        <w:tc>
          <w:tcPr>
            <w:tcW w:w="1800"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制造厂/原产地</w:t>
            </w:r>
          </w:p>
        </w:tc>
        <w:tc>
          <w:tcPr>
            <w:tcW w:w="2880"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规格型号</w:t>
            </w:r>
          </w:p>
        </w:tc>
        <w:tc>
          <w:tcPr>
            <w:tcW w:w="1332"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cs="仿宋_GB2312" w:asciiTheme="minorEastAsia" w:hAnsiTheme="minorEastAsia" w:eastAsiaTheme="minorEastAsia"/>
                <w:sz w:val="24"/>
                <w:highlight w:val="none"/>
              </w:rPr>
            </w:pPr>
          </w:p>
        </w:tc>
        <w:tc>
          <w:tcPr>
            <w:tcW w:w="1900" w:type="dxa"/>
          </w:tcPr>
          <w:p>
            <w:pPr>
              <w:pStyle w:val="32"/>
              <w:spacing w:line="360" w:lineRule="auto"/>
              <w:jc w:val="center"/>
              <w:rPr>
                <w:rFonts w:cs="仿宋_GB2312" w:asciiTheme="minorEastAsia" w:hAnsiTheme="minorEastAsia" w:eastAsiaTheme="minorEastAsia"/>
                <w:sz w:val="24"/>
                <w:highlight w:val="none"/>
              </w:rPr>
            </w:pPr>
          </w:p>
        </w:tc>
        <w:tc>
          <w:tcPr>
            <w:tcW w:w="1800" w:type="dxa"/>
          </w:tcPr>
          <w:p>
            <w:pPr>
              <w:pStyle w:val="32"/>
              <w:spacing w:line="360" w:lineRule="auto"/>
              <w:jc w:val="center"/>
              <w:rPr>
                <w:rFonts w:cs="仿宋_GB2312" w:asciiTheme="minorEastAsia" w:hAnsiTheme="minorEastAsia" w:eastAsiaTheme="minorEastAsia"/>
                <w:sz w:val="24"/>
                <w:highlight w:val="none"/>
              </w:rPr>
            </w:pPr>
          </w:p>
        </w:tc>
        <w:tc>
          <w:tcPr>
            <w:tcW w:w="2880" w:type="dxa"/>
          </w:tcPr>
          <w:p>
            <w:pPr>
              <w:pStyle w:val="32"/>
              <w:spacing w:line="360" w:lineRule="auto"/>
              <w:jc w:val="center"/>
              <w:rPr>
                <w:rFonts w:cs="仿宋_GB2312" w:asciiTheme="minorEastAsia" w:hAnsiTheme="minorEastAsia" w:eastAsiaTheme="minorEastAsia"/>
                <w:sz w:val="24"/>
                <w:highlight w:val="none"/>
              </w:rPr>
            </w:pPr>
          </w:p>
        </w:tc>
        <w:tc>
          <w:tcPr>
            <w:tcW w:w="1332" w:type="dxa"/>
          </w:tcPr>
          <w:p>
            <w:pPr>
              <w:pStyle w:val="32"/>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cs="仿宋_GB2312" w:asciiTheme="minorEastAsia" w:hAnsiTheme="minorEastAsia" w:eastAsiaTheme="minorEastAsia"/>
                <w:sz w:val="24"/>
                <w:highlight w:val="none"/>
              </w:rPr>
            </w:pPr>
          </w:p>
        </w:tc>
        <w:tc>
          <w:tcPr>
            <w:tcW w:w="1900" w:type="dxa"/>
          </w:tcPr>
          <w:p>
            <w:pPr>
              <w:pStyle w:val="32"/>
              <w:spacing w:line="360" w:lineRule="auto"/>
              <w:jc w:val="center"/>
              <w:rPr>
                <w:rFonts w:cs="仿宋_GB2312" w:asciiTheme="minorEastAsia" w:hAnsiTheme="minorEastAsia" w:eastAsiaTheme="minorEastAsia"/>
                <w:sz w:val="24"/>
                <w:highlight w:val="none"/>
              </w:rPr>
            </w:pPr>
          </w:p>
        </w:tc>
        <w:tc>
          <w:tcPr>
            <w:tcW w:w="1800" w:type="dxa"/>
          </w:tcPr>
          <w:p>
            <w:pPr>
              <w:pStyle w:val="32"/>
              <w:spacing w:line="360" w:lineRule="auto"/>
              <w:jc w:val="center"/>
              <w:rPr>
                <w:rFonts w:cs="仿宋_GB2312" w:asciiTheme="minorEastAsia" w:hAnsiTheme="minorEastAsia" w:eastAsiaTheme="minorEastAsia"/>
                <w:sz w:val="24"/>
                <w:highlight w:val="none"/>
              </w:rPr>
            </w:pPr>
          </w:p>
        </w:tc>
        <w:tc>
          <w:tcPr>
            <w:tcW w:w="2880" w:type="dxa"/>
          </w:tcPr>
          <w:p>
            <w:pPr>
              <w:pStyle w:val="32"/>
              <w:spacing w:line="360" w:lineRule="auto"/>
              <w:jc w:val="center"/>
              <w:rPr>
                <w:rFonts w:cs="仿宋_GB2312" w:asciiTheme="minorEastAsia" w:hAnsiTheme="minorEastAsia" w:eastAsiaTheme="minorEastAsia"/>
                <w:sz w:val="24"/>
                <w:highlight w:val="none"/>
              </w:rPr>
            </w:pPr>
          </w:p>
        </w:tc>
        <w:tc>
          <w:tcPr>
            <w:tcW w:w="1332" w:type="dxa"/>
          </w:tcPr>
          <w:p>
            <w:pPr>
              <w:pStyle w:val="32"/>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cs="仿宋_GB2312" w:asciiTheme="minorEastAsia" w:hAnsiTheme="minorEastAsia" w:eastAsiaTheme="minorEastAsia"/>
                <w:sz w:val="24"/>
                <w:highlight w:val="none"/>
              </w:rPr>
            </w:pPr>
          </w:p>
        </w:tc>
        <w:tc>
          <w:tcPr>
            <w:tcW w:w="1900" w:type="dxa"/>
          </w:tcPr>
          <w:p>
            <w:pPr>
              <w:pStyle w:val="32"/>
              <w:spacing w:line="360" w:lineRule="auto"/>
              <w:jc w:val="center"/>
              <w:rPr>
                <w:rFonts w:cs="仿宋_GB2312" w:asciiTheme="minorEastAsia" w:hAnsiTheme="minorEastAsia" w:eastAsiaTheme="minorEastAsia"/>
                <w:sz w:val="24"/>
                <w:highlight w:val="none"/>
              </w:rPr>
            </w:pPr>
          </w:p>
        </w:tc>
        <w:tc>
          <w:tcPr>
            <w:tcW w:w="1800" w:type="dxa"/>
          </w:tcPr>
          <w:p>
            <w:pPr>
              <w:pStyle w:val="32"/>
              <w:spacing w:line="360" w:lineRule="auto"/>
              <w:jc w:val="center"/>
              <w:rPr>
                <w:rFonts w:cs="仿宋_GB2312" w:asciiTheme="minorEastAsia" w:hAnsiTheme="minorEastAsia" w:eastAsiaTheme="minorEastAsia"/>
                <w:sz w:val="24"/>
                <w:highlight w:val="none"/>
              </w:rPr>
            </w:pPr>
          </w:p>
        </w:tc>
        <w:tc>
          <w:tcPr>
            <w:tcW w:w="2880" w:type="dxa"/>
          </w:tcPr>
          <w:p>
            <w:pPr>
              <w:pStyle w:val="32"/>
              <w:spacing w:line="360" w:lineRule="auto"/>
              <w:jc w:val="center"/>
              <w:rPr>
                <w:rFonts w:cs="仿宋_GB2312" w:asciiTheme="minorEastAsia" w:hAnsiTheme="minorEastAsia" w:eastAsiaTheme="minorEastAsia"/>
                <w:sz w:val="24"/>
                <w:highlight w:val="none"/>
              </w:rPr>
            </w:pPr>
          </w:p>
        </w:tc>
        <w:tc>
          <w:tcPr>
            <w:tcW w:w="1332" w:type="dxa"/>
          </w:tcPr>
          <w:p>
            <w:pPr>
              <w:pStyle w:val="32"/>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cs="仿宋_GB2312" w:asciiTheme="minorEastAsia" w:hAnsiTheme="minorEastAsia" w:eastAsiaTheme="minorEastAsia"/>
                <w:sz w:val="24"/>
                <w:highlight w:val="none"/>
              </w:rPr>
            </w:pPr>
          </w:p>
        </w:tc>
        <w:tc>
          <w:tcPr>
            <w:tcW w:w="1900" w:type="dxa"/>
          </w:tcPr>
          <w:p>
            <w:pPr>
              <w:pStyle w:val="32"/>
              <w:spacing w:line="360" w:lineRule="auto"/>
              <w:jc w:val="center"/>
              <w:rPr>
                <w:rFonts w:cs="仿宋_GB2312" w:asciiTheme="minorEastAsia" w:hAnsiTheme="minorEastAsia" w:eastAsiaTheme="minorEastAsia"/>
                <w:sz w:val="24"/>
                <w:highlight w:val="none"/>
              </w:rPr>
            </w:pPr>
          </w:p>
        </w:tc>
        <w:tc>
          <w:tcPr>
            <w:tcW w:w="1800" w:type="dxa"/>
          </w:tcPr>
          <w:p>
            <w:pPr>
              <w:pStyle w:val="32"/>
              <w:spacing w:line="360" w:lineRule="auto"/>
              <w:jc w:val="center"/>
              <w:rPr>
                <w:rFonts w:cs="仿宋_GB2312" w:asciiTheme="minorEastAsia" w:hAnsiTheme="minorEastAsia" w:eastAsiaTheme="minorEastAsia"/>
                <w:sz w:val="24"/>
                <w:highlight w:val="none"/>
              </w:rPr>
            </w:pPr>
          </w:p>
        </w:tc>
        <w:tc>
          <w:tcPr>
            <w:tcW w:w="2880" w:type="dxa"/>
          </w:tcPr>
          <w:p>
            <w:pPr>
              <w:pStyle w:val="32"/>
              <w:spacing w:line="360" w:lineRule="auto"/>
              <w:jc w:val="center"/>
              <w:rPr>
                <w:rFonts w:cs="仿宋_GB2312" w:asciiTheme="minorEastAsia" w:hAnsiTheme="minorEastAsia" w:eastAsiaTheme="minorEastAsia"/>
                <w:sz w:val="24"/>
                <w:highlight w:val="none"/>
              </w:rPr>
            </w:pPr>
          </w:p>
        </w:tc>
        <w:tc>
          <w:tcPr>
            <w:tcW w:w="1332" w:type="dxa"/>
          </w:tcPr>
          <w:p>
            <w:pPr>
              <w:pStyle w:val="32"/>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cs="仿宋_GB2312" w:asciiTheme="minorEastAsia" w:hAnsiTheme="minorEastAsia" w:eastAsiaTheme="minorEastAsia"/>
                <w:sz w:val="24"/>
                <w:highlight w:val="none"/>
              </w:rPr>
            </w:pPr>
          </w:p>
        </w:tc>
        <w:tc>
          <w:tcPr>
            <w:tcW w:w="1900" w:type="dxa"/>
          </w:tcPr>
          <w:p>
            <w:pPr>
              <w:pStyle w:val="32"/>
              <w:spacing w:line="360" w:lineRule="auto"/>
              <w:jc w:val="center"/>
              <w:rPr>
                <w:rFonts w:cs="仿宋_GB2312" w:asciiTheme="minorEastAsia" w:hAnsiTheme="minorEastAsia" w:eastAsiaTheme="minorEastAsia"/>
                <w:sz w:val="24"/>
                <w:highlight w:val="none"/>
              </w:rPr>
            </w:pPr>
          </w:p>
        </w:tc>
        <w:tc>
          <w:tcPr>
            <w:tcW w:w="1800" w:type="dxa"/>
          </w:tcPr>
          <w:p>
            <w:pPr>
              <w:pStyle w:val="32"/>
              <w:spacing w:line="360" w:lineRule="auto"/>
              <w:jc w:val="center"/>
              <w:rPr>
                <w:rFonts w:cs="仿宋_GB2312" w:asciiTheme="minorEastAsia" w:hAnsiTheme="minorEastAsia" w:eastAsiaTheme="minorEastAsia"/>
                <w:sz w:val="24"/>
                <w:highlight w:val="none"/>
              </w:rPr>
            </w:pPr>
          </w:p>
        </w:tc>
        <w:tc>
          <w:tcPr>
            <w:tcW w:w="2880" w:type="dxa"/>
          </w:tcPr>
          <w:p>
            <w:pPr>
              <w:pStyle w:val="32"/>
              <w:spacing w:line="360" w:lineRule="auto"/>
              <w:jc w:val="center"/>
              <w:rPr>
                <w:rFonts w:cs="仿宋_GB2312" w:asciiTheme="minorEastAsia" w:hAnsiTheme="minorEastAsia" w:eastAsiaTheme="minorEastAsia"/>
                <w:sz w:val="24"/>
                <w:highlight w:val="none"/>
              </w:rPr>
            </w:pPr>
          </w:p>
        </w:tc>
        <w:tc>
          <w:tcPr>
            <w:tcW w:w="1332" w:type="dxa"/>
          </w:tcPr>
          <w:p>
            <w:pPr>
              <w:pStyle w:val="32"/>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rPr>
                <w:rFonts w:cs="仿宋_GB2312" w:asciiTheme="minorEastAsia" w:hAnsiTheme="minorEastAsia" w:eastAsiaTheme="minorEastAsia"/>
                <w:sz w:val="24"/>
                <w:highlight w:val="none"/>
              </w:rPr>
            </w:pPr>
          </w:p>
        </w:tc>
        <w:tc>
          <w:tcPr>
            <w:tcW w:w="1900" w:type="dxa"/>
          </w:tcPr>
          <w:p>
            <w:pPr>
              <w:pStyle w:val="32"/>
              <w:spacing w:line="360" w:lineRule="auto"/>
              <w:jc w:val="center"/>
              <w:rPr>
                <w:rFonts w:cs="仿宋_GB2312" w:asciiTheme="minorEastAsia" w:hAnsiTheme="minorEastAsia" w:eastAsiaTheme="minorEastAsia"/>
                <w:sz w:val="24"/>
                <w:highlight w:val="none"/>
              </w:rPr>
            </w:pPr>
          </w:p>
        </w:tc>
        <w:tc>
          <w:tcPr>
            <w:tcW w:w="1800" w:type="dxa"/>
          </w:tcPr>
          <w:p>
            <w:pPr>
              <w:pStyle w:val="32"/>
              <w:spacing w:line="360" w:lineRule="auto"/>
              <w:jc w:val="center"/>
              <w:rPr>
                <w:rFonts w:cs="仿宋_GB2312" w:asciiTheme="minorEastAsia" w:hAnsiTheme="minorEastAsia" w:eastAsiaTheme="minorEastAsia"/>
                <w:sz w:val="24"/>
                <w:highlight w:val="none"/>
              </w:rPr>
            </w:pPr>
          </w:p>
        </w:tc>
        <w:tc>
          <w:tcPr>
            <w:tcW w:w="2880" w:type="dxa"/>
          </w:tcPr>
          <w:p>
            <w:pPr>
              <w:pStyle w:val="32"/>
              <w:spacing w:line="360" w:lineRule="auto"/>
              <w:jc w:val="center"/>
              <w:rPr>
                <w:rFonts w:cs="仿宋_GB2312" w:asciiTheme="minorEastAsia" w:hAnsiTheme="minorEastAsia" w:eastAsiaTheme="minorEastAsia"/>
                <w:sz w:val="24"/>
                <w:highlight w:val="none"/>
              </w:rPr>
            </w:pPr>
          </w:p>
        </w:tc>
        <w:tc>
          <w:tcPr>
            <w:tcW w:w="1332" w:type="dxa"/>
          </w:tcPr>
          <w:p>
            <w:pPr>
              <w:pStyle w:val="32"/>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2"/>
              <w:spacing w:line="360" w:lineRule="auto"/>
              <w:jc w:val="center"/>
              <w:rPr>
                <w:rFonts w:cs="仿宋_GB2312" w:asciiTheme="minorEastAsia" w:hAnsiTheme="minorEastAsia" w:eastAsiaTheme="minorEastAsia"/>
                <w:sz w:val="24"/>
                <w:highlight w:val="none"/>
              </w:rPr>
            </w:pPr>
          </w:p>
        </w:tc>
        <w:tc>
          <w:tcPr>
            <w:tcW w:w="1900" w:type="dxa"/>
          </w:tcPr>
          <w:p>
            <w:pPr>
              <w:pStyle w:val="32"/>
              <w:spacing w:line="360" w:lineRule="auto"/>
              <w:jc w:val="center"/>
              <w:rPr>
                <w:rFonts w:cs="仿宋_GB2312" w:asciiTheme="minorEastAsia" w:hAnsiTheme="minorEastAsia" w:eastAsiaTheme="minorEastAsia"/>
                <w:sz w:val="24"/>
                <w:highlight w:val="none"/>
              </w:rPr>
            </w:pPr>
          </w:p>
        </w:tc>
        <w:tc>
          <w:tcPr>
            <w:tcW w:w="1800" w:type="dxa"/>
          </w:tcPr>
          <w:p>
            <w:pPr>
              <w:pStyle w:val="32"/>
              <w:spacing w:line="360" w:lineRule="auto"/>
              <w:jc w:val="center"/>
              <w:rPr>
                <w:rFonts w:cs="仿宋_GB2312" w:asciiTheme="minorEastAsia" w:hAnsiTheme="minorEastAsia" w:eastAsiaTheme="minorEastAsia"/>
                <w:sz w:val="24"/>
                <w:highlight w:val="none"/>
              </w:rPr>
            </w:pPr>
          </w:p>
        </w:tc>
        <w:tc>
          <w:tcPr>
            <w:tcW w:w="2880" w:type="dxa"/>
          </w:tcPr>
          <w:p>
            <w:pPr>
              <w:pStyle w:val="32"/>
              <w:spacing w:line="360" w:lineRule="auto"/>
              <w:jc w:val="center"/>
              <w:rPr>
                <w:rFonts w:cs="仿宋_GB2312" w:asciiTheme="minorEastAsia" w:hAnsiTheme="minorEastAsia" w:eastAsiaTheme="minorEastAsia"/>
                <w:sz w:val="24"/>
                <w:highlight w:val="none"/>
              </w:rPr>
            </w:pPr>
          </w:p>
        </w:tc>
        <w:tc>
          <w:tcPr>
            <w:tcW w:w="1332" w:type="dxa"/>
          </w:tcPr>
          <w:p>
            <w:pPr>
              <w:pStyle w:val="32"/>
              <w:spacing w:line="360" w:lineRule="auto"/>
              <w:jc w:val="center"/>
              <w:rPr>
                <w:rFonts w:cs="仿宋_GB2312" w:asciiTheme="minorEastAsia" w:hAnsiTheme="minorEastAsia" w:eastAsiaTheme="minorEastAsia"/>
                <w:sz w:val="24"/>
                <w:highlight w:val="none"/>
              </w:rPr>
            </w:pPr>
          </w:p>
        </w:tc>
      </w:tr>
    </w:tbl>
    <w:p>
      <w:pPr>
        <w:spacing w:line="360" w:lineRule="auto"/>
        <w:ind w:firstLine="470" w:firstLineChars="196"/>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kern w:val="0"/>
          <w:sz w:val="24"/>
          <w:highlight w:val="none"/>
        </w:rPr>
      </w:pPr>
    </w:p>
    <w:p>
      <w:pPr>
        <w:spacing w:line="360" w:lineRule="auto"/>
        <w:jc w:val="center"/>
        <w:rPr>
          <w:rFonts w:cs="仿宋_GB2312" w:asciiTheme="minorEastAsia" w:hAnsiTheme="minorEastAsia" w:eastAsiaTheme="minorEastAsia"/>
          <w:kern w:val="0"/>
          <w:sz w:val="24"/>
          <w:highlight w:val="none"/>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十六、认为需求的</w:t>
      </w:r>
      <w:r>
        <w:rPr>
          <w:rFonts w:hint="eastAsia" w:cs="仿宋_GB2312" w:asciiTheme="minorEastAsia" w:hAnsiTheme="minorEastAsia" w:eastAsiaTheme="minorEastAsia"/>
          <w:b/>
          <w:kern w:val="0"/>
          <w:sz w:val="32"/>
          <w:szCs w:val="32"/>
          <w:highlight w:val="none"/>
          <w:lang w:val="zh-CN"/>
        </w:rPr>
        <w:t>其他技术文件或说明</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highlight w:val="none"/>
        </w:rPr>
      </w:pPr>
    </w:p>
    <w:p>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p>
    <w:p>
      <w:pPr>
        <w:widowControl/>
        <w:adjustRightInd/>
        <w:jc w:val="left"/>
        <w:rPr>
          <w:rFonts w:cs="仿宋_GB2312" w:asciiTheme="minorEastAsia" w:hAnsiTheme="minorEastAsia" w:eastAsiaTheme="minorEastAsia"/>
          <w:b/>
          <w:bCs/>
          <w:sz w:val="30"/>
          <w:szCs w:val="30"/>
          <w:highlight w:val="none"/>
        </w:rPr>
      </w:pPr>
      <w:r>
        <w:rPr>
          <w:rFonts w:cs="仿宋_GB2312" w:asciiTheme="minorEastAsia" w:hAnsiTheme="minorEastAsia" w:eastAsiaTheme="minorEastAsia"/>
          <w:b/>
          <w:bCs/>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t>十七、</w:t>
      </w:r>
      <w:r>
        <w:rPr>
          <w:rFonts w:hint="eastAsia" w:cs="宋体" w:asciiTheme="minorEastAsia" w:hAnsiTheme="minorEastAsia" w:eastAsiaTheme="minorEastAsia"/>
          <w:b/>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（采购人）</w:t>
      </w:r>
      <w:r>
        <w:rPr>
          <w:rFonts w:hint="eastAsia" w:cs="仿宋_GB2312" w:asciiTheme="minorEastAsia" w:hAnsiTheme="minorEastAsia" w:eastAsiaTheme="minorEastAsia"/>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kern w:val="0"/>
          <w:sz w:val="24"/>
          <w:highlight w:val="none"/>
          <w:lang w:val="zh-CN"/>
        </w:rPr>
        <w:t>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pPr>
        <w:spacing w:line="360" w:lineRule="auto"/>
        <w:jc w:val="center"/>
        <w:rPr>
          <w:rFonts w:cs="仿宋_GB2312" w:asciiTheme="minorEastAsia" w:hAnsiTheme="minorEastAsia" w:eastAsiaTheme="minorEastAsia"/>
          <w:b/>
          <w:sz w:val="36"/>
          <w:szCs w:val="36"/>
          <w:highlight w:val="none"/>
        </w:rPr>
      </w:pPr>
    </w:p>
    <w:p>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pPr>
        <w:pStyle w:val="115"/>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3"/>
        <w:ind w:firstLine="0" w:firstLineChars="0"/>
        <w:jc w:val="center"/>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第八部分 最后报价格式</w:t>
      </w:r>
    </w:p>
    <w:p>
      <w:pPr>
        <w:pStyle w:val="115"/>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（一）最后报价一览表</w:t>
      </w:r>
    </w:p>
    <w:p>
      <w:pPr>
        <w:autoSpaceDE w:val="0"/>
        <w:autoSpaceDN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（采购人）、（采购代理机构）</w:t>
      </w:r>
      <w:r>
        <w:rPr>
          <w:rFonts w:hint="eastAsia" w:cs="仿宋_GB2312" w:asciiTheme="minorEastAsia" w:hAnsiTheme="minorEastAsia" w:eastAsiaTheme="minorEastAsia"/>
          <w:kern w:val="0"/>
          <w:sz w:val="24"/>
          <w:highlight w:val="none"/>
          <w:lang w:val="zh-CN"/>
        </w:rPr>
        <w:t>：</w:t>
      </w:r>
    </w:p>
    <w:p>
      <w:pPr>
        <w:spacing w:line="360" w:lineRule="auto"/>
        <w:ind w:firstLine="72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按你方磋商文件要求，</w:t>
      </w:r>
      <w:r>
        <w:rPr>
          <w:rFonts w:hint="eastAsia" w:cs="仿宋_GB2312" w:asciiTheme="minorEastAsia" w:hAnsiTheme="minorEastAsia" w:eastAsiaTheme="minorEastAsia"/>
          <w:sz w:val="24"/>
          <w:highlight w:val="none"/>
        </w:rPr>
        <w:t>我们即</w:t>
      </w:r>
      <w:r>
        <w:rPr>
          <w:rFonts w:hint="eastAsia" w:cs="仿宋_GB2312" w:asciiTheme="minorEastAsia" w:hAnsiTheme="minorEastAsia" w:eastAsiaTheme="minorEastAsia"/>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highlight w:val="none"/>
          <w:lang w:eastAsia="zh-CN"/>
        </w:rPr>
        <w:t>2024年度临安区困难残疾人家庭无障碍改造项目</w:t>
      </w:r>
      <w:r>
        <w:rPr>
          <w:rFonts w:hint="eastAsia" w:cs="仿宋_GB2312" w:asciiTheme="minorEastAsia" w:hAnsiTheme="minorEastAsia" w:eastAsiaTheme="minorEastAsia"/>
          <w:sz w:val="24"/>
          <w:highlight w:val="none"/>
        </w:rPr>
        <w:t>【项目编号：（采购编号）】</w:t>
      </w:r>
      <w:r>
        <w:rPr>
          <w:rFonts w:hint="eastAsia" w:cs="仿宋_GB2312" w:asciiTheme="minorEastAsia" w:hAnsiTheme="minorEastAsia" w:eastAsiaTheme="minorEastAsia"/>
          <w:kern w:val="0"/>
          <w:sz w:val="24"/>
          <w:highlight w:val="none"/>
          <w:lang w:val="zh-CN"/>
        </w:rPr>
        <w:t>的实施。</w:t>
      </w:r>
    </w:p>
    <w:p>
      <w:pPr>
        <w:snapToGrid w:val="0"/>
        <w:spacing w:line="360" w:lineRule="auto"/>
        <w:ind w:left="480"/>
        <w:jc w:val="center"/>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992"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2268" w:type="dxa"/>
          </w:tcPr>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服务时间</w:t>
            </w:r>
          </w:p>
        </w:tc>
        <w:tc>
          <w:tcPr>
            <w:tcW w:w="2126"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2126" w:type="dxa"/>
            <w:vAlign w:val="center"/>
          </w:tcPr>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pPr>
              <w:spacing w:line="360" w:lineRule="auto"/>
              <w:jc w:val="center"/>
              <w:rPr>
                <w:rFonts w:cs="宋体" w:asciiTheme="minorEastAsia" w:hAnsiTheme="minorEastAsia" w:eastAsiaTheme="minorEastAsia"/>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992" w:type="dxa"/>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992" w:type="dxa"/>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992"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p>
        </w:tc>
        <w:tc>
          <w:tcPr>
            <w:tcW w:w="992"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p>
        </w:tc>
        <w:tc>
          <w:tcPr>
            <w:tcW w:w="992"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最后报价（小写）</w:t>
            </w:r>
          </w:p>
        </w:tc>
        <w:tc>
          <w:tcPr>
            <w:tcW w:w="8647" w:type="dxa"/>
            <w:gridSpan w:val="4"/>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最后报价（大写）</w:t>
            </w:r>
          </w:p>
        </w:tc>
        <w:tc>
          <w:tcPr>
            <w:tcW w:w="8647" w:type="dxa"/>
            <w:gridSpan w:val="4"/>
          </w:tcPr>
          <w:p>
            <w:pPr>
              <w:spacing w:line="360" w:lineRule="auto"/>
              <w:jc w:val="center"/>
              <w:rPr>
                <w:rFonts w:cs="宋体" w:asciiTheme="minorEastAsia" w:hAnsiTheme="minorEastAsia" w:eastAsiaTheme="minorEastAsia"/>
                <w:sz w:val="24"/>
                <w:highlight w:val="none"/>
              </w:rPr>
            </w:pPr>
          </w:p>
        </w:tc>
      </w:tr>
    </w:tbl>
    <w:p>
      <w:pPr>
        <w:spacing w:line="360" w:lineRule="auto"/>
        <w:ind w:left="-2" w:leftChars="-1"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注：</w:t>
      </w:r>
      <w:r>
        <w:rPr>
          <w:rFonts w:hint="eastAsia" w:cs="仿宋_GB2312"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lang w:val="zh-CN"/>
        </w:rPr>
        <w:t>供应商需按本表格式填写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响应文件含有采购人不能接受的附加条件，响应无效</w:t>
      </w:r>
      <w:r>
        <w:rPr>
          <w:rFonts w:hint="eastAsia" w:cs="仿宋_GB2312" w:asciiTheme="minorEastAsia" w:hAnsiTheme="minorEastAsia" w:eastAsiaTheme="minorEastAsia"/>
          <w:kern w:val="0"/>
          <w:sz w:val="24"/>
          <w:highlight w:val="none"/>
          <w:lang w:val="zh-CN"/>
        </w:rPr>
        <w:t>。</w:t>
      </w:r>
    </w:p>
    <w:p>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2</w:t>
      </w:r>
      <w:r>
        <w:rPr>
          <w:rFonts w:cs="仿宋_GB2312"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lang w:val="zh-CN"/>
        </w:rPr>
        <w:t>有关本项目实施所涉及的一切费用均计入报价。</w:t>
      </w:r>
      <w:r>
        <w:rPr>
          <w:rFonts w:hint="eastAsia" w:cs="宋体" w:asciiTheme="minorEastAsia" w:hAnsiTheme="minorEastAsia" w:eastAsiaTheme="minorEastAsia"/>
          <w:b/>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不得出现“0元”“免费赠送”等形式的无偿报价，</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最后报价文件含有采购人不能接受的附加条件，响应无效</w:t>
      </w:r>
      <w:r>
        <w:rPr>
          <w:rFonts w:hint="eastAsia" w:cs="宋体" w:asciiTheme="minorEastAsia" w:hAnsiTheme="minorEastAsia" w:eastAsiaTheme="minorEastAsia"/>
          <w:b/>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kern w:val="0"/>
          <w:sz w:val="24"/>
          <w:highlight w:val="none"/>
        </w:rPr>
        <w:t>视为</w:t>
      </w:r>
      <w:r>
        <w:rPr>
          <w:rFonts w:hint="eastAsia" w:cs="宋体" w:asciiTheme="minorEastAsia" w:hAnsiTheme="minorEastAsia" w:eastAsiaTheme="minorEastAsia"/>
          <w:b/>
          <w:sz w:val="24"/>
          <w:highlight w:val="none"/>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kern w:val="0"/>
          <w:sz w:val="24"/>
          <w:highlight w:val="none"/>
          <w:lang w:val="zh-CN"/>
        </w:rPr>
        <w:t>。</w:t>
      </w:r>
    </w:p>
    <w:p>
      <w:pPr>
        <w:spacing w:line="360" w:lineRule="auto"/>
        <w:ind w:firstLine="480" w:firstLineChars="200"/>
        <w:rPr>
          <w:rFonts w:cs="仿宋_GB2312" w:asciiTheme="minorEastAsia" w:hAnsiTheme="minorEastAsia" w:eastAsiaTheme="minorEastAsia"/>
          <w:kern w:val="0"/>
          <w:sz w:val="24"/>
          <w:highlight w:val="none"/>
          <w:u w:val="single"/>
          <w:lang w:val="zh-CN"/>
        </w:rPr>
      </w:pPr>
      <w:r>
        <w:rPr>
          <w:rFonts w:hint="eastAsia" w:cs="仿宋_GB2312" w:asciiTheme="minorEastAsia" w:hAnsiTheme="minorEastAsia" w:eastAsiaTheme="minorEastAsia"/>
          <w:kern w:val="0"/>
          <w:sz w:val="24"/>
          <w:szCs w:val="22"/>
          <w:highlight w:val="none"/>
          <w:lang w:val="zh-CN"/>
        </w:rPr>
        <w:t>4</w:t>
      </w:r>
      <w:r>
        <w:rPr>
          <w:rFonts w:cs="仿宋_GB2312" w:asciiTheme="minorEastAsia" w:hAnsiTheme="minorEastAsia" w:eastAsiaTheme="minorEastAsia"/>
          <w:kern w:val="0"/>
          <w:sz w:val="24"/>
          <w:szCs w:val="22"/>
          <w:highlight w:val="none"/>
          <w:lang w:val="zh-CN"/>
        </w:rPr>
        <w:t>、</w:t>
      </w:r>
      <w:r>
        <w:rPr>
          <w:rFonts w:hint="eastAsia" w:cs="仿宋_GB2312" w:asciiTheme="minorEastAsia" w:hAnsiTheme="minorEastAsia" w:eastAsiaTheme="minorEastAsia"/>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sz w:val="24"/>
          <w:highlight w:val="none"/>
        </w:rPr>
      </w:pPr>
    </w:p>
    <w:p>
      <w:pPr>
        <w:spacing w:line="360" w:lineRule="auto"/>
        <w:ind w:right="-874" w:rightChars="-416"/>
        <w:rPr>
          <w:rFonts w:cs="仿宋_GB2312" w:asciiTheme="minorEastAsia" w:hAnsiTheme="minorEastAsia" w:eastAsiaTheme="minorEastAsia"/>
          <w:sz w:val="24"/>
          <w:highlight w:val="none"/>
        </w:rPr>
      </w:pPr>
    </w:p>
    <w:p>
      <w:pPr>
        <w:spacing w:line="360" w:lineRule="auto"/>
        <w:ind w:right="-874" w:rightChars="-416"/>
        <w:rPr>
          <w:rFonts w:cs="仿宋_GB2312" w:asciiTheme="minorEastAsia" w:hAnsiTheme="minorEastAsia" w:eastAsiaTheme="minorEastAsia"/>
          <w:sz w:val="24"/>
          <w:highlight w:val="none"/>
        </w:rPr>
      </w:pPr>
    </w:p>
    <w:p>
      <w:pPr>
        <w:spacing w:line="360" w:lineRule="auto"/>
        <w:ind w:right="-874" w:rightChars="-41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kern w:val="0"/>
          <w:sz w:val="24"/>
          <w:highlight w:val="none"/>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   日</w:t>
      </w:r>
    </w:p>
    <w:p>
      <w:pPr>
        <w:widowControl/>
        <w:adjustRightInd/>
        <w:jc w:val="left"/>
        <w:rPr>
          <w:rFonts w:cs="仿宋_GB2312" w:asciiTheme="minorEastAsia" w:hAnsiTheme="minorEastAsia" w:eastAsiaTheme="minorEastAsia"/>
          <w:kern w:val="0"/>
          <w:sz w:val="24"/>
          <w:highlight w:val="none"/>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（二）中小企业声明函</w:t>
      </w:r>
      <w:bookmarkStart w:id="167" w:name="_Toc465665161"/>
      <w:r>
        <w:rPr>
          <w:rFonts w:hint="eastAsia" w:asciiTheme="minorEastAsia" w:hAnsiTheme="minorEastAsia" w:eastAsiaTheme="minorEastAsia"/>
          <w:b/>
          <w:sz w:val="32"/>
          <w:szCs w:val="32"/>
          <w:highlight w:val="none"/>
        </w:rPr>
        <w:t>（如果有）</w:t>
      </w:r>
    </w:p>
    <w:p>
      <w:pPr>
        <w:widowControl/>
        <w:spacing w:line="360" w:lineRule="auto"/>
        <w:ind w:firstLine="120" w:firstLineChars="50"/>
        <w:jc w:val="left"/>
        <w:rPr>
          <w:rFonts w:cs="宋体" w:asciiTheme="minorEastAsia" w:hAnsiTheme="minorEastAsia" w:eastAsiaTheme="minorEastAsia"/>
          <w:b/>
          <w:sz w:val="24"/>
          <w:highlight w:val="none"/>
        </w:rPr>
      </w:pPr>
    </w:p>
    <w:p>
      <w:pPr>
        <w:widowControl/>
        <w:spacing w:line="360" w:lineRule="auto"/>
        <w:ind w:firstLine="120" w:firstLineChars="5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b/>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highlight w:val="none"/>
        </w:rPr>
        <w:t>5</w:t>
      </w:r>
      <w:r>
        <w:rPr>
          <w:rFonts w:hint="eastAsia" w:cs="宋体" w:asciiTheme="minorEastAsia" w:hAnsiTheme="minorEastAsia" w:eastAsiaTheme="minorEastAsia"/>
          <w:b/>
          <w:sz w:val="24"/>
          <w:highlight w:val="none"/>
        </w:rPr>
        <w:t>）。]</w:t>
      </w:r>
    </w:p>
    <w:p>
      <w:pPr>
        <w:widowControl/>
        <w:adjustRightInd/>
        <w:jc w:val="center"/>
        <w:rPr>
          <w:rFonts w:cs="仿宋_GB2312" w:asciiTheme="minorEastAsia" w:hAnsiTheme="minorEastAsia" w:eastAsiaTheme="minorEastAsia"/>
          <w:sz w:val="24"/>
          <w:highlight w:val="none"/>
        </w:rPr>
      </w:pPr>
    </w:p>
    <w:p>
      <w:pPr>
        <w:widowControl/>
        <w:adjustRightInd/>
        <w:jc w:val="left"/>
        <w:rPr>
          <w:rFonts w:cs="宋体" w:asciiTheme="minorEastAsia" w:hAnsiTheme="minorEastAsia" w:eastAsiaTheme="minorEastAsia"/>
          <w:b/>
          <w:sz w:val="32"/>
          <w:szCs w:val="32"/>
          <w:highlight w:val="none"/>
        </w:rPr>
      </w:pPr>
      <w:r>
        <w:rPr>
          <w:rFonts w:cs="宋体" w:asciiTheme="minorEastAsia" w:hAnsiTheme="minorEastAsia" w:eastAsiaTheme="minorEastAsia"/>
          <w:b/>
          <w:sz w:val="32"/>
          <w:szCs w:val="32"/>
          <w:highlight w:val="none"/>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附件</w:t>
      </w:r>
      <w:bookmarkEnd w:id="167"/>
    </w:p>
    <w:p>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一、质疑供应商基本信息</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质疑供应商：</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地址：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地址： </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二、质疑项目基本情况</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质疑项目的名称：</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采购文件获取日期：</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三、质疑事项具体内容</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质疑事项1：</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质疑事项2</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p>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四、与质疑事项相关的质疑请求</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highlight w:val="none"/>
        </w:rPr>
      </w:pPr>
    </w:p>
    <w:p>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z w:val="24"/>
          <w:highlight w:val="none"/>
        </w:rPr>
        <w:br w:type="page"/>
      </w:r>
      <w:r>
        <w:rPr>
          <w:rFonts w:hint="eastAsia" w:cs="仿宋_GB2312" w:asciiTheme="minorEastAsia" w:hAnsiTheme="minorEastAsia" w:eastAsiaTheme="minorEastAsia"/>
          <w:b/>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sz w:val="24"/>
          <w:highlight w:val="none"/>
        </w:rPr>
      </w:pPr>
    </w:p>
    <w:p>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投诉书范本</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一、投诉相关主体基本情况</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tabs>
          <w:tab w:val="left" w:pos="6510"/>
        </w:tabs>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法定代表人/主要负责人：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pPr>
        <w:tabs>
          <w:tab w:val="left" w:pos="6510"/>
        </w:tabs>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被投诉人1：</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被投诉人2</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相关供应商：</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二、投诉项目基本情况</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采购项目名称：</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采购项目编号：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代理机构名称：</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采购文件公告: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采购结果公告: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三、质疑基本情况</w:t>
      </w:r>
    </w:p>
    <w:p>
      <w:pPr>
        <w:spacing w:line="360" w:lineRule="auto"/>
        <w:ind w:firstLine="480" w:firstLineChars="200"/>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日,向</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提出质疑，质疑事项为：</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pPr>
        <w:spacing w:line="360" w:lineRule="auto"/>
        <w:ind w:firstLine="360" w:firstLineChars="15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采购人/代理机构</w:t>
      </w:r>
      <w:r>
        <w:rPr>
          <w:rFonts w:hint="eastAsia" w:cs="仿宋_GB2312" w:asciiTheme="minorEastAsia" w:hAnsiTheme="minorEastAsia" w:eastAsiaTheme="minorEastAsia"/>
          <w:sz w:val="24"/>
          <w:highlight w:val="none"/>
        </w:rPr>
        <w:t>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日,就质疑事项作出了答复/没有在法定期限内作出答复。</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四、投诉事项具体内容</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投诉事项 1：</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投诉事项2</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五、与投诉事项相关的投诉请求</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投诉书制作说明：</w:t>
      </w:r>
    </w:p>
    <w:p>
      <w:pPr>
        <w:widowControl/>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highlight w:val="none"/>
        </w:rPr>
      </w:pPr>
    </w:p>
    <w:p>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pPr>
        <w:spacing w:line="360" w:lineRule="auto"/>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附件3：</w:t>
      </w:r>
    </w:p>
    <w:p>
      <w:pPr>
        <w:spacing w:line="360" w:lineRule="auto"/>
        <w:rPr>
          <w:rFonts w:asciiTheme="minorEastAsia" w:hAnsiTheme="minorEastAsia" w:eastAsiaTheme="minorEastAsia"/>
          <w:b/>
          <w:spacing w:val="6"/>
          <w:sz w:val="32"/>
          <w:szCs w:val="32"/>
          <w:highlight w:val="none"/>
        </w:rPr>
      </w:pPr>
    </w:p>
    <w:p>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残疾人福利性单位声明函</w:t>
      </w:r>
    </w:p>
    <w:p>
      <w:pPr>
        <w:spacing w:line="360" w:lineRule="auto"/>
        <w:rPr>
          <w:rFonts w:asciiTheme="minorEastAsia" w:hAnsiTheme="minorEastAsia" w:eastAsiaTheme="minorEastAsia"/>
          <w:b/>
          <w:spacing w:val="6"/>
          <w:sz w:val="30"/>
          <w:szCs w:val="30"/>
          <w:highlight w:val="none"/>
        </w:rPr>
      </w:pPr>
    </w:p>
    <w:p>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highlight w:val="none"/>
          <w:u w:val="single"/>
        </w:rPr>
        <w:t xml:space="preserve">   （采购人）    </w:t>
      </w:r>
      <w:r>
        <w:rPr>
          <w:rFonts w:hint="eastAsia" w:cs="仿宋_GB2312" w:asciiTheme="minorEastAsia" w:hAnsiTheme="minorEastAsia" w:eastAsiaTheme="minorEastAsia"/>
          <w:sz w:val="24"/>
          <w:highlight w:val="none"/>
        </w:rPr>
        <w:t>单位的</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2024年度临安区困难残疾人家庭无障碍改造项目</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highlight w:val="none"/>
        </w:rPr>
      </w:pPr>
    </w:p>
    <w:p>
      <w:pPr>
        <w:spacing w:line="360" w:lineRule="auto"/>
        <w:ind w:firstLine="480" w:firstLineChars="200"/>
        <w:rPr>
          <w:rFonts w:cs="仿宋_GB2312" w:asciiTheme="minorEastAsia" w:hAnsiTheme="minorEastAsia" w:eastAsiaTheme="minorEastAsia"/>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单位名称（</w:t>
      </w:r>
      <w:r>
        <w:rPr>
          <w:rFonts w:hint="eastAsia" w:cs="仿宋_GB2312" w:asciiTheme="minorEastAsia" w:hAnsiTheme="minorEastAsia" w:eastAsiaTheme="minorEastAsia"/>
          <w:kern w:val="0"/>
          <w:sz w:val="24"/>
          <w:highlight w:val="none"/>
        </w:rPr>
        <w:t>电子签名</w:t>
      </w:r>
      <w:r>
        <w:rPr>
          <w:rFonts w:hint="eastAsia" w:cs="仿宋_GB2312" w:asciiTheme="minorEastAsia" w:hAnsiTheme="minorEastAsia" w:eastAsiaTheme="minorEastAsia"/>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  期：</w:t>
      </w:r>
    </w:p>
    <w:p>
      <w:pPr>
        <w:spacing w:line="360" w:lineRule="auto"/>
        <w:ind w:firstLine="480" w:firstLineChars="200"/>
        <w:rPr>
          <w:rFonts w:cs="仿宋_GB2312" w:asciiTheme="minorEastAsia" w:hAnsiTheme="minorEastAsia" w:eastAsiaTheme="minorEastAsia"/>
          <w:sz w:val="24"/>
          <w:highlight w:val="none"/>
        </w:rPr>
      </w:pPr>
    </w:p>
    <w:p>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pPr>
        <w:autoSpaceDE w:val="0"/>
        <w:autoSpaceDN w:val="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32"/>
          <w:szCs w:val="32"/>
          <w:highlight w:val="none"/>
        </w:rPr>
        <w:t>附件4：</w:t>
      </w:r>
    </w:p>
    <w:p>
      <w:pPr>
        <w:spacing w:line="360" w:lineRule="auto"/>
        <w:jc w:val="left"/>
        <w:rPr>
          <w:rFonts w:cs="仿宋_GB2312" w:asciiTheme="minorEastAsia" w:hAnsiTheme="minorEastAsia" w:eastAsiaTheme="minorEastAsia"/>
          <w:b/>
          <w:sz w:val="24"/>
          <w:highlight w:val="none"/>
        </w:rPr>
      </w:pPr>
    </w:p>
    <w:p>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业务专用章使用说明函</w:t>
      </w:r>
    </w:p>
    <w:p>
      <w:pPr>
        <w:autoSpaceDE w:val="0"/>
        <w:autoSpaceDN w:val="0"/>
        <w:jc w:val="center"/>
        <w:rPr>
          <w:rFonts w:asciiTheme="minorEastAsia" w:hAnsiTheme="minorEastAsia" w:eastAsiaTheme="minorEastAsia"/>
          <w:b/>
          <w:bCs/>
          <w:sz w:val="32"/>
          <w:szCs w:val="32"/>
          <w:highlight w:val="none"/>
        </w:rPr>
      </w:pPr>
    </w:p>
    <w:p>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（采购人）、（采购代理机构）：</w:t>
      </w:r>
    </w:p>
    <w:p>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贵方组织的</w:t>
      </w:r>
      <w:r>
        <w:rPr>
          <w:rFonts w:hint="eastAsia" w:cs="仿宋_GB2312" w:asciiTheme="minorEastAsia" w:hAnsiTheme="minorEastAsia" w:eastAsiaTheme="minorEastAsia"/>
          <w:sz w:val="24"/>
          <w:highlight w:val="none"/>
          <w:lang w:eastAsia="zh-CN"/>
        </w:rPr>
        <w:t>2024年度临安区困难残疾人家庭无障碍改造项目</w:t>
      </w:r>
      <w:r>
        <w:rPr>
          <w:rFonts w:hint="eastAsia" w:cs="仿宋_GB2312" w:asciiTheme="minorEastAsia" w:hAnsiTheme="minorEastAsia" w:eastAsiaTheme="minorEastAsia"/>
          <w:sz w:val="24"/>
          <w:highlight w:val="none"/>
        </w:rPr>
        <w:t>【项目编号：（采购编号）】</w:t>
      </w:r>
      <w:r>
        <w:rPr>
          <w:rFonts w:hint="eastAsia" w:cs="宋体" w:asciiTheme="minorEastAsia" w:hAnsiTheme="minorEastAsia" w:eastAsiaTheme="minorEastAsia"/>
          <w:bCs/>
          <w:sz w:val="24"/>
          <w:highlight w:val="none"/>
        </w:rPr>
        <w:t>采购活动中作如下说明：</w:t>
      </w:r>
      <w:r>
        <w:rPr>
          <w:rFonts w:hint="eastAsia" w:cs="宋体" w:asciiTheme="minorEastAsia" w:hAnsiTheme="minorEastAsia" w:eastAsiaTheme="minorEastAsia"/>
          <w:sz w:val="24"/>
          <w:highlight w:val="none"/>
        </w:rPr>
        <w:t>我方所使用的“</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供应商（法定名称章）：</w:t>
      </w:r>
    </w:p>
    <w:p>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pPr>
        <w:spacing w:line="360" w:lineRule="auto"/>
        <w:rPr>
          <w:rFonts w:asciiTheme="minorEastAsia" w:hAnsiTheme="minorEastAsia" w:eastAsiaTheme="minorEastAsia"/>
          <w:bCs/>
          <w:sz w:val="24"/>
          <w:highlight w:val="none"/>
        </w:rPr>
      </w:pPr>
      <w:r>
        <w:rPr>
          <w:rFonts w:asciiTheme="minorEastAsia" w:hAnsiTheme="minorEastAsia" w:eastAsiaTheme="minorEastAsia"/>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供应商法定名称章（印模）                供应商“</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pPr>
        <w:widowControl/>
        <w:spacing w:line="360" w:lineRule="auto"/>
        <w:ind w:firstLine="480" w:firstLineChars="200"/>
        <w:jc w:val="left"/>
        <w:rPr>
          <w:rFonts w:cs="宋体" w:asciiTheme="minorEastAsia" w:hAnsiTheme="minorEastAsia" w:eastAsiaTheme="minorEastAsia"/>
          <w:kern w:val="0"/>
          <w:sz w:val="24"/>
          <w:highlight w:val="none"/>
        </w:rPr>
      </w:pPr>
    </w:p>
    <w:p>
      <w:pPr>
        <w:snapToGrid w:val="0"/>
        <w:spacing w:line="360" w:lineRule="auto"/>
        <w:jc w:val="center"/>
        <w:rPr>
          <w:rFonts w:cs="仿宋_GB2312" w:asciiTheme="minorEastAsia" w:hAnsiTheme="minorEastAsia" w:eastAsiaTheme="minorEastAsia"/>
          <w:b/>
          <w:sz w:val="24"/>
          <w:highlight w:val="none"/>
        </w:rPr>
      </w:pPr>
    </w:p>
    <w:p>
      <w:pPr>
        <w:widowControl/>
        <w:adjustRightInd/>
        <w:jc w:val="left"/>
        <w:rPr>
          <w:rFonts w:cs="仿宋_GB2312" w:asciiTheme="minorEastAsia" w:hAnsiTheme="minorEastAsia" w:eastAsiaTheme="minorEastAsia"/>
          <w:b/>
          <w:sz w:val="24"/>
          <w:highlight w:val="none"/>
        </w:rPr>
      </w:pPr>
      <w:r>
        <w:rPr>
          <w:rFonts w:cs="仿宋_GB2312" w:asciiTheme="minorEastAsia" w:hAnsiTheme="minorEastAsia" w:eastAsiaTheme="minorEastAsia"/>
          <w:b/>
          <w:sz w:val="24"/>
          <w:highlight w:val="none"/>
        </w:rPr>
        <w:br w:type="page"/>
      </w:r>
    </w:p>
    <w:p>
      <w:pPr>
        <w:autoSpaceDE w:val="0"/>
        <w:autoSpaceDN w:val="0"/>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附件5：</w:t>
      </w:r>
    </w:p>
    <w:p>
      <w:pPr>
        <w:spacing w:line="360" w:lineRule="auto"/>
        <w:jc w:val="center"/>
        <w:rPr>
          <w:rFonts w:cs="宋体" w:asciiTheme="minorEastAsia" w:hAnsiTheme="minorEastAsia" w:eastAsiaTheme="minorEastAsia"/>
          <w:b/>
          <w:sz w:val="32"/>
          <w:szCs w:val="32"/>
          <w:highlight w:val="none"/>
        </w:rPr>
      </w:pPr>
    </w:p>
    <w:p>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中小企业声明函（服务）</w:t>
      </w:r>
    </w:p>
    <w:p>
      <w:pPr>
        <w:spacing w:line="360" w:lineRule="auto"/>
        <w:jc w:val="center"/>
        <w:rPr>
          <w:rFonts w:cs="宋体" w:asciiTheme="minorEastAsia" w:hAnsiTheme="minorEastAsia" w:eastAsiaTheme="minorEastAsia"/>
          <w:b/>
          <w:sz w:val="32"/>
          <w:szCs w:val="32"/>
          <w:highlight w:val="none"/>
        </w:rPr>
      </w:pPr>
    </w:p>
    <w:p>
      <w:pPr>
        <w:spacing w:line="360" w:lineRule="auto"/>
        <w:ind w:firstLine="360" w:firstLineChars="1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rPr>
        <w:t xml:space="preserve">（采购人） </w:t>
      </w:r>
      <w:r>
        <w:rPr>
          <w:rFonts w:hint="eastAsia" w:cs="宋体" w:asciiTheme="minorEastAsia" w:hAnsiTheme="minorEastAsia" w:eastAsiaTheme="minorEastAsia"/>
          <w:sz w:val="24"/>
          <w:highlight w:val="none"/>
        </w:rPr>
        <w:t>的</w:t>
      </w:r>
      <w:r>
        <w:rPr>
          <w:rFonts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2024年度临安区困难残疾人家庭无障碍改造项目</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供应商名称（电子签名）：</w:t>
      </w:r>
    </w:p>
    <w:p>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highlight w:val="none"/>
        </w:rPr>
      </w:pP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sz w:val="24"/>
          <w:highlight w:val="none"/>
        </w:rPr>
      </w:pPr>
    </w:p>
    <w:p>
      <w:pPr>
        <w:spacing w:line="360" w:lineRule="auto"/>
        <w:ind w:firstLine="482" w:firstLineChars="200"/>
        <w:rPr>
          <w:rFonts w:cs="仿宋_GB2312" w:asciiTheme="minorEastAsia" w:hAnsiTheme="minorEastAsia" w:eastAsiaTheme="minorEastAsia"/>
          <w:b/>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8" w:name="_Toc164085800"/>
    <w:bookmarkStart w:id="169" w:name="_Toc36110187"/>
    <w:bookmarkStart w:id="170" w:name="_Toc131845147"/>
    <w:bookmarkStart w:id="171" w:name="_Toc91899912"/>
    <w:r>
      <w:rPr>
        <w:rFonts w:hint="eastAsia" w:ascii="仿宋_GB2312" w:eastAsia="仿宋_GB2312"/>
        <w:kern w:val="0"/>
        <w:szCs w:val="21"/>
      </w:rPr>
      <w:t xml:space="preserve"> 页</w:t>
    </w:r>
    <w:bookmarkEnd w:id="168"/>
    <w:bookmarkEnd w:id="169"/>
    <w:bookmarkEnd w:id="170"/>
    <w:bookmarkEnd w:id="17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78818"/>
    <w:multiLevelType w:val="singleLevel"/>
    <w:tmpl w:val="B4B78818"/>
    <w:lvl w:ilvl="0" w:tentative="0">
      <w:start w:val="1"/>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11"/>
  </w:num>
  <w:num w:numId="8">
    <w:abstractNumId w:val="0"/>
  </w:num>
  <w:num w:numId="9">
    <w:abstractNumId w:val="6"/>
  </w:num>
  <w:num w:numId="10">
    <w:abstractNumId w:val="9"/>
  </w:num>
  <w:num w:numId="11">
    <w:abstractNumId w:val="7"/>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jkdblb">
    <w15:presenceInfo w15:providerId="WPS Office" w15:userId="2094012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NGRhYjY0YWMxZjY1N2M3MDA3NmY2YzNjNTcyNz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6E3B"/>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65A6178"/>
    <w:rsid w:val="075562B7"/>
    <w:rsid w:val="07F6164B"/>
    <w:rsid w:val="08182385"/>
    <w:rsid w:val="087A1B7A"/>
    <w:rsid w:val="096B2097"/>
    <w:rsid w:val="0A5B7E63"/>
    <w:rsid w:val="0B705909"/>
    <w:rsid w:val="0C87121B"/>
    <w:rsid w:val="0CE20630"/>
    <w:rsid w:val="0DF702FE"/>
    <w:rsid w:val="0E3F698B"/>
    <w:rsid w:val="0F21508F"/>
    <w:rsid w:val="0F816ACD"/>
    <w:rsid w:val="0FB94501"/>
    <w:rsid w:val="10B047CF"/>
    <w:rsid w:val="10FC16EA"/>
    <w:rsid w:val="118963A1"/>
    <w:rsid w:val="11CC1121"/>
    <w:rsid w:val="125171C3"/>
    <w:rsid w:val="127723A9"/>
    <w:rsid w:val="13072A44"/>
    <w:rsid w:val="145044FA"/>
    <w:rsid w:val="186742B0"/>
    <w:rsid w:val="1B2A271F"/>
    <w:rsid w:val="1B890139"/>
    <w:rsid w:val="1D266CE1"/>
    <w:rsid w:val="1D3963AF"/>
    <w:rsid w:val="1E714A66"/>
    <w:rsid w:val="1FE868A9"/>
    <w:rsid w:val="207361DF"/>
    <w:rsid w:val="20CC439E"/>
    <w:rsid w:val="211E26D6"/>
    <w:rsid w:val="21283D08"/>
    <w:rsid w:val="22D553FC"/>
    <w:rsid w:val="25B440B3"/>
    <w:rsid w:val="2AA1365A"/>
    <w:rsid w:val="2D597D7C"/>
    <w:rsid w:val="2DD15014"/>
    <w:rsid w:val="2FD25781"/>
    <w:rsid w:val="319C6071"/>
    <w:rsid w:val="32DB72BE"/>
    <w:rsid w:val="342E63AB"/>
    <w:rsid w:val="345D260B"/>
    <w:rsid w:val="365302AE"/>
    <w:rsid w:val="37F142D2"/>
    <w:rsid w:val="39A13F14"/>
    <w:rsid w:val="3C5F759A"/>
    <w:rsid w:val="3D5C78D4"/>
    <w:rsid w:val="3FFF72A6"/>
    <w:rsid w:val="42E1381E"/>
    <w:rsid w:val="43FB717C"/>
    <w:rsid w:val="451E447A"/>
    <w:rsid w:val="45345B76"/>
    <w:rsid w:val="47307808"/>
    <w:rsid w:val="486F747C"/>
    <w:rsid w:val="4D861CF6"/>
    <w:rsid w:val="51A0432A"/>
    <w:rsid w:val="527140E5"/>
    <w:rsid w:val="5292508F"/>
    <w:rsid w:val="52A96B6F"/>
    <w:rsid w:val="550764A4"/>
    <w:rsid w:val="551926E0"/>
    <w:rsid w:val="561279B9"/>
    <w:rsid w:val="56515F3B"/>
    <w:rsid w:val="572B71CA"/>
    <w:rsid w:val="57E958DA"/>
    <w:rsid w:val="58AE4F0C"/>
    <w:rsid w:val="5A2A7C7B"/>
    <w:rsid w:val="5C80234E"/>
    <w:rsid w:val="5E261785"/>
    <w:rsid w:val="5FCC5339"/>
    <w:rsid w:val="5FE70807"/>
    <w:rsid w:val="60E53485"/>
    <w:rsid w:val="61054A27"/>
    <w:rsid w:val="611D2366"/>
    <w:rsid w:val="62885958"/>
    <w:rsid w:val="64CE2EAA"/>
    <w:rsid w:val="662E75B1"/>
    <w:rsid w:val="66342C2E"/>
    <w:rsid w:val="663E784C"/>
    <w:rsid w:val="67661800"/>
    <w:rsid w:val="685867EC"/>
    <w:rsid w:val="6E8E12EF"/>
    <w:rsid w:val="71D43752"/>
    <w:rsid w:val="73DD6243"/>
    <w:rsid w:val="749C4185"/>
    <w:rsid w:val="75DA2C18"/>
    <w:rsid w:val="775319EF"/>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autoRedefine/>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1"/>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next w:val="23"/>
    <w:link w:val="511"/>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4"/>
    <w:autoRedefine/>
    <w:qFormat/>
    <w:uiPriority w:val="0"/>
    <w:pPr>
      <w:ind w:firstLine="420"/>
    </w:pPr>
    <w:rPr>
      <w:szCs w:val="20"/>
    </w:rPr>
  </w:style>
  <w:style w:type="paragraph" w:styleId="24">
    <w:name w:val="Body Text Indent"/>
    <w:basedOn w:val="1"/>
    <w:link w:val="47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6"/>
    <w:autoRedefine/>
    <w:qFormat/>
    <w:uiPriority w:val="0"/>
    <w:pPr>
      <w:ind w:left="100" w:leftChars="2500"/>
    </w:pPr>
    <w:rPr>
      <w:rFonts w:ascii="宋体"/>
      <w:sz w:val="24"/>
      <w:szCs w:val="21"/>
      <w:lang w:val="zh-CN"/>
    </w:rPr>
  </w:style>
  <w:style w:type="paragraph" w:styleId="36">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3"/>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5"/>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6"/>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4"/>
    <w:link w:val="501"/>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character" w:customStyle="1" w:styleId="71">
    <w:name w:val="标题 1 Char"/>
    <w:link w:val="3"/>
    <w:autoRedefine/>
    <w:qFormat/>
    <w:uiPriority w:val="0"/>
    <w:rPr>
      <w:b/>
      <w:bCs/>
      <w:kern w:val="44"/>
      <w:sz w:val="44"/>
      <w:szCs w:val="44"/>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2"/>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autoRedefine/>
    <w:qFormat/>
    <w:uiPriority w:val="0"/>
    <w:pPr>
      <w:tabs>
        <w:tab w:val="left" w:pos="2356"/>
      </w:tabs>
    </w:pPr>
  </w:style>
  <w:style w:type="paragraph" w:customStyle="1" w:styleId="170">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0" w:beforeLines="0" w:after="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2"/>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156" w:beforeLines="50" w:line="360" w:lineRule="auto"/>
    </w:pPr>
    <w:rPr>
      <w:b/>
      <w:sz w:val="24"/>
    </w:rPr>
  </w:style>
  <w:style w:type="paragraph" w:customStyle="1" w:styleId="200">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5"/>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autoRedefine/>
    <w:qFormat/>
    <w:uiPriority w:val="0"/>
    <w:pPr>
      <w:snapToGrid w:val="0"/>
      <w:spacing w:line="360" w:lineRule="auto"/>
    </w:pPr>
    <w:rPr>
      <w:rFonts w:ascii="宋体"/>
      <w:b/>
      <w:sz w:val="24"/>
      <w:szCs w:val="20"/>
    </w:rPr>
  </w:style>
  <w:style w:type="paragraph" w:customStyle="1" w:styleId="229">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2"/>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2"/>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2">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2"/>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4"/>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2"/>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40"/>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2"/>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Char"/>
    <w:link w:val="9"/>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Char"/>
    <w:link w:val="48"/>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8"/>
    <w:autoRedefine/>
    <w:qFormat/>
    <w:uiPriority w:val="0"/>
    <w:rPr>
      <w:b/>
      <w:bCs/>
      <w:kern w:val="2"/>
      <w:sz w:val="24"/>
      <w:szCs w:val="24"/>
    </w:rPr>
  </w:style>
  <w:style w:type="character" w:customStyle="1" w:styleId="481">
    <w:name w:val="称呼 Char"/>
    <w:link w:val="20"/>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5"/>
    <w:autoRedefine/>
    <w:qFormat/>
    <w:uiPriority w:val="0"/>
    <w:rPr>
      <w:rFonts w:ascii="Arial" w:hAnsi="Arial" w:eastAsia="隶书"/>
      <w:b/>
      <w:bCs/>
      <w:kern w:val="28"/>
      <w:sz w:val="44"/>
      <w:szCs w:val="32"/>
      <w:lang w:val="en-US" w:eastAsia="zh-CN" w:bidi="ar-SA"/>
    </w:rPr>
  </w:style>
  <w:style w:type="character" w:customStyle="1" w:styleId="488">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59"/>
    <w:autoRedefine/>
    <w:qFormat/>
    <w:uiPriority w:val="0"/>
    <w:rPr>
      <w:rFonts w:ascii="宋体" w:hAnsi="宋体"/>
      <w:kern w:val="2"/>
      <w:sz w:val="21"/>
      <w:szCs w:val="24"/>
    </w:rPr>
  </w:style>
  <w:style w:type="character" w:customStyle="1" w:styleId="502">
    <w:name w:val="正文文本缩进 2 Char"/>
    <w:link w:val="36"/>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3"/>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Char"/>
    <w:link w:val="10"/>
    <w:autoRedefine/>
    <w:qFormat/>
    <w:uiPriority w:val="0"/>
    <w:rPr>
      <w:rFonts w:ascii="Arial" w:hAnsi="Arial" w:eastAsia="黑体"/>
      <w:kern w:val="2"/>
      <w:sz w:val="21"/>
      <w:szCs w:val="21"/>
    </w:rPr>
  </w:style>
  <w:style w:type="character" w:customStyle="1" w:styleId="519">
    <w:name w:val="md"/>
    <w:basedOn w:val="62"/>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2"/>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Char"/>
    <w:link w:val="55"/>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Char"/>
    <w:link w:val="23"/>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8"/>
    <w:autoRedefine/>
    <w:qFormat/>
    <w:uiPriority w:val="0"/>
    <w:rPr>
      <w:rFonts w:ascii="Verdana" w:hAnsi="Verdana"/>
      <w:b/>
      <w:bCs/>
      <w:color w:val="4A82CA"/>
      <w:sz w:val="17"/>
      <w:szCs w:val="17"/>
    </w:rPr>
  </w:style>
  <w:style w:type="character" w:customStyle="1" w:styleId="550">
    <w:name w:val="标题4-dyf Char"/>
    <w:link w:val="346"/>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9"/>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5"/>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1"/>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5"/>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7"/>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116</Pages>
  <Words>35925</Words>
  <Characters>37496</Characters>
  <Lines>379</Lines>
  <Paragraphs>106</Paragraphs>
  <TotalTime>20</TotalTime>
  <ScaleCrop>false</ScaleCrop>
  <LinksUpToDate>false</LinksUpToDate>
  <CharactersWithSpaces>43789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yyqx_</cp:lastModifiedBy>
  <cp:lastPrinted>2021-10-22T18:37:00Z</cp:lastPrinted>
  <dcterms:modified xsi:type="dcterms:W3CDTF">2024-05-08T09:25:52Z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133A60E45FED45199D7CE9BFB0EB6FFE_13</vt:lpwstr>
  </property>
</Properties>
</file>