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绍兴市人民医院医用食品（FSMP）审方系统和智慧医保管理平台采购项目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r>
        <w:rPr>
          <w:rFonts w:hint="eastAsia" w:ascii="仿宋" w:hAnsi="仿宋" w:eastAsia="仿宋" w:cs="仿宋"/>
          <w:sz w:val="44"/>
        </w:rPr>
        <w:t>（电子招投标）</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HCSY-2024-0510-1</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trPr>
          <w:trHeight w:val="12609" w:hRule="atLeast"/>
        </w:trPr>
        <w:tc>
          <w:tcPr>
            <w:tcW w:w="8749" w:type="dxa"/>
            <w:vAlign w:val="center"/>
          </w:tcPr>
          <w:p>
            <w:pPr>
              <w:rPr>
                <w:rFonts w:ascii="仿宋" w:hAnsi="仿宋" w:eastAsia="仿宋" w:cs="仿宋"/>
              </w:rPr>
            </w:pPr>
            <w:r>
              <w:rPr>
                <w:rFonts w:hint="eastAsia" w:ascii="仿宋" w:hAnsi="仿宋" w:eastAsia="仿宋" w:cs="仿宋"/>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 w:hAnsi="仿宋" w:eastAsia="仿宋" w:cs="仿宋"/>
                      <w:szCs w:val="24"/>
                    </w:rPr>
                  </w:pPr>
                  <w:r>
                    <w:rPr>
                      <w:rFonts w:hint="eastAsia" w:ascii="仿宋" w:hAnsi="仿宋" w:eastAsia="仿宋" w:cs="仿宋"/>
                      <w:szCs w:val="24"/>
                    </w:rPr>
                    <w:t>项目概况：</w:t>
                  </w:r>
                </w:p>
                <w:p>
                  <w:pPr>
                    <w:pStyle w:val="99"/>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lang w:eastAsia="zh-CN"/>
                    </w:rPr>
                    <w:t>绍兴市人民医院医用食品（FSMP）审方系统和智慧医保管理平台采购项目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6</w:t>
                  </w:r>
                  <w:r>
                    <w:rPr>
                      <w:rFonts w:hint="eastAsia" w:ascii="仿宋" w:hAnsi="仿宋" w:eastAsia="仿宋" w:cs="仿宋"/>
                      <w:szCs w:val="24"/>
                    </w:rPr>
                    <w:t>月</w:t>
                  </w:r>
                  <w:r>
                    <w:rPr>
                      <w:rFonts w:hint="eastAsia" w:ascii="仿宋" w:hAnsi="仿宋" w:eastAsia="仿宋" w:cs="仿宋"/>
                      <w:szCs w:val="24"/>
                      <w:lang w:val="en-US" w:eastAsia="zh-CN"/>
                    </w:rPr>
                    <w:t>4</w:t>
                  </w:r>
                  <w:r>
                    <w:rPr>
                      <w:rFonts w:hint="eastAsia" w:ascii="仿宋" w:hAnsi="仿宋" w:eastAsia="仿宋" w:cs="仿宋"/>
                      <w:szCs w:val="24"/>
                    </w:rPr>
                    <w:t>日9点30分00秒（北京时间）前递交（上传）投标文件。</w:t>
                  </w:r>
                </w:p>
              </w:tc>
            </w:tr>
          </w:tbl>
          <w:p>
            <w:pPr>
              <w:pStyle w:val="99"/>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 xml:space="preserve">项目编号：HCSY-2024-0510-1 </w:t>
            </w:r>
            <w:r>
              <w:rPr>
                <w:rFonts w:hint="eastAsia" w:ascii="仿宋" w:hAnsi="仿宋" w:eastAsia="仿宋" w:cs="仿宋"/>
                <w:szCs w:val="24"/>
              </w:rPr>
              <w:t xml:space="preserve"> </w:t>
            </w:r>
          </w:p>
          <w:p>
            <w:pPr>
              <w:pStyle w:val="99"/>
              <w:spacing w:afterLines="0" w:line="440" w:lineRule="exact"/>
              <w:ind w:right="-508" w:rightChars="-242" w:firstLine="482"/>
              <w:rPr>
                <w:rFonts w:hint="eastAsia" w:ascii="仿宋" w:hAnsi="仿宋" w:eastAsia="仿宋" w:cs="仿宋"/>
                <w:szCs w:val="24"/>
                <w:lang w:eastAsia="zh-CN"/>
              </w:rPr>
            </w:pPr>
            <w:r>
              <w:rPr>
                <w:rFonts w:hint="eastAsia" w:ascii="仿宋" w:hAnsi="仿宋" w:eastAsia="仿宋" w:cs="仿宋"/>
                <w:b/>
                <w:szCs w:val="24"/>
              </w:rPr>
              <w:t>项目名称：</w:t>
            </w:r>
            <w:r>
              <w:rPr>
                <w:rFonts w:hint="eastAsia" w:ascii="仿宋" w:hAnsi="仿宋" w:eastAsia="仿宋" w:cs="仿宋"/>
                <w:szCs w:val="24"/>
                <w:lang w:eastAsia="zh-CN"/>
              </w:rPr>
              <w:t>绍兴市人民医院医用食品（FSMP）审方系统和智慧医保管理平台采购项目</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pPr>
              <w:pStyle w:val="99"/>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预算金额（元）：</w:t>
            </w:r>
            <w:r>
              <w:rPr>
                <w:rFonts w:hint="eastAsia" w:ascii="仿宋" w:hAnsi="仿宋" w:eastAsia="仿宋" w:cs="仿宋"/>
                <w:szCs w:val="24"/>
              </w:rPr>
              <w:t xml:space="preserve"> </w:t>
            </w:r>
            <w:r>
              <w:rPr>
                <w:rFonts w:hint="eastAsia" w:ascii="仿宋" w:hAnsi="仿宋" w:eastAsia="仿宋" w:cs="仿宋"/>
                <w:szCs w:val="24"/>
                <w:lang w:val="en-US" w:eastAsia="zh-CN"/>
              </w:rPr>
              <w:t>1020000</w:t>
            </w:r>
          </w:p>
          <w:p>
            <w:pPr>
              <w:pStyle w:val="99"/>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最高限价（元）：</w:t>
            </w:r>
            <w:r>
              <w:rPr>
                <w:rFonts w:hint="eastAsia" w:ascii="仿宋" w:hAnsi="仿宋" w:eastAsia="仿宋" w:cs="仿宋"/>
                <w:szCs w:val="24"/>
              </w:rPr>
              <w:t xml:space="preserve"> </w:t>
            </w:r>
            <w:r>
              <w:rPr>
                <w:rFonts w:hint="eastAsia" w:ascii="仿宋" w:hAnsi="仿宋" w:eastAsia="仿宋" w:cs="仿宋"/>
                <w:szCs w:val="24"/>
                <w:lang w:val="en-US" w:eastAsia="zh-CN"/>
              </w:rPr>
              <w:t>300000；720000</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99"/>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绍兴市人民医院医用食品（FSMP）审方系统采购项目</w:t>
            </w:r>
          </w:p>
          <w:p>
            <w:pPr>
              <w:pStyle w:val="99"/>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预算金额（元）: </w:t>
            </w:r>
            <w:r>
              <w:rPr>
                <w:rFonts w:hint="eastAsia" w:ascii="仿宋" w:hAnsi="仿宋" w:eastAsia="仿宋" w:cs="仿宋"/>
                <w:szCs w:val="24"/>
                <w:lang w:val="en-US" w:eastAsia="zh-CN"/>
              </w:rPr>
              <w:t>300000</w:t>
            </w:r>
          </w:p>
          <w:p>
            <w:pPr>
              <w:pStyle w:val="99"/>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w:t>
            </w:r>
            <w:r>
              <w:rPr>
                <w:rFonts w:hint="eastAsia" w:ascii="仿宋" w:hAnsi="仿宋" w:eastAsia="仿宋" w:cs="仿宋"/>
                <w:szCs w:val="24"/>
                <w:lang w:val="en-US" w:eastAsia="zh-CN"/>
              </w:rPr>
              <w:t>二</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绍兴市人民医院智慧医保管理平台采购项目</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预算金额（元）: </w:t>
            </w:r>
            <w:r>
              <w:rPr>
                <w:rFonts w:hint="eastAsia" w:ascii="仿宋" w:hAnsi="仿宋" w:eastAsia="仿宋" w:cs="仿宋"/>
                <w:szCs w:val="24"/>
                <w:lang w:val="en-US" w:eastAsia="zh-CN"/>
              </w:rPr>
              <w:t>720000</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pPr>
              <w:pStyle w:val="99"/>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9"/>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szCs w:val="21"/>
                    <w:lang w:val="en-US" w:eastAsia="zh-CN"/>
                  </w:rPr>
                  <w:t xml:space="preserve"> </w:t>
                </w:r>
                <w:r>
                  <w:rPr>
                    <w:rFonts w:hint="eastAsia" w:ascii="仿宋" w:hAnsi="仿宋" w:eastAsia="仿宋" w:cs="仿宋"/>
                  </w:rPr>
                  <w:sym w:font="Wingdings" w:char="00FE"/>
                </w:r>
              </w:sdtContent>
            </w:sdt>
            <w:sdt>
              <w:sdtPr>
                <w:rPr>
                  <w:rFonts w:hint="eastAsia" w:ascii="仿宋" w:hAnsi="仿宋" w:eastAsia="仿宋" w:cs="仿宋"/>
                  <w:szCs w:val="21"/>
                </w:rPr>
                <w:id w:val="104311606"/>
              </w:sdtPr>
              <w:sdtEndPr>
                <w:rPr>
                  <w:rFonts w:hint="eastAsia" w:ascii="仿宋" w:hAnsi="仿宋" w:eastAsia="仿宋" w:cs="仿宋"/>
                  <w:szCs w:val="21"/>
                </w:rPr>
              </w:sdtEndPr>
              <w:sdtContent>
                <w:sdt>
                  <w:sdtPr>
                    <w:rPr>
                      <w:rFonts w:hint="eastAsia" w:ascii="仿宋" w:hAnsi="仿宋" w:eastAsia="仿宋" w:cs="仿宋"/>
                      <w:kern w:val="0"/>
                      <w:sz w:val="24"/>
                    </w:rPr>
                    <w:id w:val="279565509"/>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9"/>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pPr>
              <w:pStyle w:val="99"/>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4日9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bookmarkStart w:id="23" w:name="_GoBack"/>
            <w:bookmarkEnd w:id="23"/>
          </w:p>
          <w:p>
            <w:pPr>
              <w:pStyle w:val="99"/>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w:t>
            </w:r>
            <w:r>
              <w:rPr>
                <w:rFonts w:hint="eastAsia" w:ascii="仿宋" w:hAnsi="仿宋" w:eastAsia="仿宋" w:cs="仿宋"/>
              </w:rPr>
              <w:t>政采云平台（https://www.zcygov.cn/）</w:t>
            </w:r>
            <w:r>
              <w:rPr>
                <w:rFonts w:hint="eastAsia" w:ascii="仿宋" w:hAnsi="仿宋" w:eastAsia="仿宋" w:cs="仿宋"/>
                <w:szCs w:val="24"/>
              </w:rPr>
              <w:t>  </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99"/>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99"/>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99"/>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99"/>
              <w:spacing w:afterLines="0" w:line="440" w:lineRule="exact"/>
              <w:ind w:firstLine="4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马雪峰</w:t>
            </w:r>
          </w:p>
          <w:p>
            <w:pPr>
              <w:pStyle w:val="99"/>
              <w:spacing w:afterLines="0" w:line="440" w:lineRule="exact"/>
              <w:ind w:firstLine="480"/>
              <w:rPr>
                <w:rFonts w:ascii="仿宋" w:hAnsi="仿宋" w:eastAsia="仿宋" w:cs="仿宋"/>
                <w:szCs w:val="24"/>
              </w:rPr>
            </w:pPr>
            <w:r>
              <w:rPr>
                <w:rFonts w:hint="eastAsia" w:ascii="仿宋" w:hAnsi="仿宋" w:eastAsia="仿宋" w:cs="仿宋"/>
                <w:color w:val="auto"/>
                <w:sz w:val="24"/>
                <w:szCs w:val="24"/>
              </w:rPr>
              <w:t>质疑联系方式：0575-88558842</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15757156272</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pPr>
              <w:pStyle w:val="99"/>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99"/>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9"/>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绍兴市越城区越西路800号金德隆商业中心8幢二楼华诚工程咨询集团有限公司开标室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标项一：</w:t>
            </w:r>
          </w:p>
          <w:p>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医用食品（FSMP）审方系统 </w:t>
            </w:r>
            <w:r>
              <w:rPr>
                <w:rFonts w:hint="eastAsia" w:ascii="仿宋" w:hAnsi="仿宋" w:eastAsia="仿宋" w:cs="仿宋"/>
                <w:sz w:val="24"/>
              </w:rPr>
              <w:t>。</w:t>
            </w:r>
          </w:p>
          <w:p>
            <w:pPr>
              <w:snapToGrid w:val="0"/>
              <w:spacing w:line="440" w:lineRule="exact"/>
              <w:rPr>
                <w:rFonts w:hint="eastAsia"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p>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标项二：</w:t>
            </w:r>
          </w:p>
          <w:p>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智慧医保管理平台 </w:t>
            </w:r>
            <w:r>
              <w:rPr>
                <w:rFonts w:hint="eastAsia" w:ascii="仿宋" w:hAnsi="仿宋" w:eastAsia="仿宋" w:cs="仿宋"/>
                <w:sz w:val="24"/>
              </w:rPr>
              <w:t>。</w:t>
            </w:r>
          </w:p>
          <w:p>
            <w:pPr>
              <w:pStyle w:val="81"/>
              <w:ind w:left="0" w:leftChars="0" w:firstLine="0" w:firstLineChars="0"/>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2</w:t>
            </w:r>
            <w:r>
              <w:rPr>
                <w:rFonts w:hint="eastAsia" w:ascii="仿宋" w:hAnsi="仿宋" w:eastAsia="仿宋" w:cs="仿宋"/>
                <w:kern w:val="0"/>
                <w:sz w:val="24"/>
              </w:rPr>
              <w:t>）标的：</w:t>
            </w:r>
            <w:r>
              <w:rPr>
                <w:rFonts w:hint="eastAsia" w:ascii="仿宋" w:hAnsi="仿宋" w:eastAsia="仿宋" w:cs="仿宋"/>
                <w:kern w:val="0"/>
                <w:sz w:val="24"/>
                <w:u w:val="single"/>
              </w:rPr>
              <w:t xml:space="preserve"> 0</w:t>
            </w:r>
            <w:r>
              <w:rPr>
                <w:rFonts w:hint="eastAsia" w:ascii="仿宋" w:hAnsi="仿宋" w:eastAsia="仿宋" w:cs="仿宋"/>
                <w:kern w:val="0"/>
                <w:sz w:val="24"/>
                <w:u w:val="single"/>
                <w:lang w:val="en-US" w:eastAsia="zh-CN"/>
              </w:rPr>
              <w:t>2</w:t>
            </w:r>
            <w:r>
              <w:rPr>
                <w:rFonts w:hint="eastAsia" w:ascii="仿宋" w:hAnsi="仿宋" w:eastAsia="仿宋" w:cs="仿宋"/>
                <w:kern w:val="0"/>
                <w:sz w:val="24"/>
                <w:u w:val="single"/>
              </w:rPr>
              <w:t xml:space="preserve">标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p>
            <w:pPr>
              <w:snapToGrid w:val="0"/>
              <w:spacing w:line="360"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b/>
                <w:bCs/>
                <w:sz w:val="24"/>
              </w:rPr>
              <w:t>采购代理服务费：</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（2）招标代理服务费的交纳方式：</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公司名称：华诚工程咨询集团有限公司</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开户行：上海浦东发展银行股份有限公司杭州和睦支行</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账  号：95220078801100000315</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hint="eastAsia" w:ascii="仿宋" w:hAnsi="仿宋" w:eastAsia="仿宋" w:cs="仿宋"/>
          <w:b/>
          <w:sz w:val="32"/>
          <w:szCs w:val="32"/>
        </w:rPr>
      </w:pP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bookmarkStart w:id="1" w:name="_Toc84325929"/>
      <w:bookmarkStart w:id="2" w:name="_Toc81372953"/>
      <w:bookmarkStart w:id="3" w:name="_Toc81372776"/>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jc w:val="left"/>
        <w:rPr>
          <w:rFonts w:ascii="仿宋" w:hAnsi="仿宋" w:eastAsia="仿宋" w:cs="仿宋"/>
          <w:b/>
        </w:rPr>
      </w:pPr>
      <w:r>
        <w:rPr>
          <w:rFonts w:hint="eastAsia" w:ascii="仿宋" w:hAnsi="仿宋" w:eastAsia="仿宋" w:cs="仿宋"/>
          <w:b/>
          <w:sz w:val="24"/>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82"/>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2"/>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8"/>
        <w:spacing w:after="120" w:line="440" w:lineRule="exact"/>
        <w:ind w:left="0"/>
        <w:rPr>
          <w:rFonts w:ascii="仿宋" w:hAnsi="仿宋" w:eastAsia="仿宋" w:cs="仿宋"/>
          <w:b/>
        </w:rPr>
      </w:pPr>
      <w:r>
        <w:rPr>
          <w:rFonts w:hint="eastAsia" w:ascii="仿宋" w:hAnsi="仿宋" w:eastAsia="仿宋" w:cs="仿宋"/>
          <w:b/>
        </w:rPr>
        <w:t>7.投标文件的澄清</w:t>
      </w:r>
    </w:p>
    <w:p>
      <w:pPr>
        <w:pStyle w:val="18"/>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4"/>
        <w:adjustRightInd w:val="0"/>
        <w:spacing w:line="360" w:lineRule="auto"/>
        <w:ind w:firstLine="726"/>
        <w:jc w:val="center"/>
        <w:rPr>
          <w:rFonts w:ascii="仿宋" w:hAnsi="仿宋" w:eastAsia="仿宋" w:cs="仿宋"/>
          <w:b/>
          <w:snapToGrid w:val="0"/>
          <w:sz w:val="32"/>
          <w:szCs w:val="32"/>
        </w:rPr>
      </w:pPr>
    </w:p>
    <w:p>
      <w:pPr>
        <w:pStyle w:val="34"/>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pStyle w:val="18"/>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pPr>
        <w:rPr>
          <w:rFonts w:ascii="仿宋" w:hAnsi="仿宋" w:eastAsia="仿宋" w:cs="仿宋"/>
          <w:b/>
          <w:bCs/>
          <w:sz w:val="24"/>
          <w:szCs w:val="20"/>
        </w:rPr>
      </w:pPr>
      <w:r>
        <w:rPr>
          <w:rFonts w:hint="eastAsia" w:ascii="仿宋" w:hAnsi="仿宋" w:eastAsia="仿宋" w:cs="仿宋"/>
          <w:b/>
          <w:bCs/>
          <w:sz w:val="24"/>
          <w:szCs w:val="20"/>
        </w:rPr>
        <w:br w:type="page"/>
      </w:r>
    </w:p>
    <w:p>
      <w:pPr>
        <w:pageBreakBefore w:val="0"/>
        <w:widowControl w:val="0"/>
        <w:numPr>
          <w:ilvl w:val="0"/>
          <w:numId w:val="6"/>
        </w:numPr>
        <w:kinsoku/>
        <w:wordWrap/>
        <w:overflowPunct/>
        <w:topLinePunct w:val="0"/>
        <w:autoSpaceDE/>
        <w:autoSpaceDN/>
        <w:bidi w:val="0"/>
        <w:adjustRightInd/>
        <w:snapToGrid w:val="0"/>
        <w:spacing w:line="360" w:lineRule="auto"/>
        <w:jc w:val="center"/>
        <w:textAlignment w:val="auto"/>
        <w:rPr>
          <w:rFonts w:ascii="仿宋" w:hAnsi="仿宋" w:eastAsia="仿宋" w:cs="仿宋"/>
          <w:b/>
          <w:sz w:val="36"/>
          <w:szCs w:val="36"/>
        </w:rPr>
      </w:pPr>
      <w:r>
        <w:rPr>
          <w:rFonts w:hint="eastAsia" w:ascii="仿宋" w:hAnsi="仿宋" w:eastAsia="仿宋" w:cs="仿宋"/>
          <w:b/>
          <w:sz w:val="36"/>
          <w:szCs w:val="36"/>
        </w:rPr>
        <w:t>招标项目范围及要求</w:t>
      </w:r>
    </w:p>
    <w:p>
      <w:pPr>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bCs/>
          <w:sz w:val="24"/>
          <w:lang w:val="en-US" w:eastAsia="zh-CN"/>
        </w:rPr>
      </w:pPr>
      <w:bookmarkStart w:id="4" w:name="_Toc151354173"/>
      <w:bookmarkStart w:id="5" w:name="_Toc84325981"/>
      <w:bookmarkStart w:id="6" w:name="_Toc80157775"/>
      <w:bookmarkStart w:id="7" w:name="_Toc81372964"/>
      <w:bookmarkStart w:id="8" w:name="_Toc81372787"/>
      <w:r>
        <w:rPr>
          <w:rFonts w:hint="eastAsia" w:ascii="仿宋" w:hAnsi="仿宋" w:eastAsia="仿宋" w:cs="仿宋"/>
          <w:b/>
          <w:bCs/>
          <w:sz w:val="24"/>
          <w:bdr w:val="single" w:color="auto" w:sz="4" w:space="0"/>
        </w:rPr>
        <w:t>01标</w:t>
      </w:r>
      <w:bookmarkStart w:id="9" w:name="_Toc7206"/>
      <w:bookmarkStart w:id="10" w:name="_Toc32678"/>
      <w:r>
        <w:rPr>
          <w:rFonts w:hint="eastAsia" w:ascii="仿宋" w:hAnsi="仿宋" w:eastAsia="仿宋" w:cs="仿宋"/>
          <w:b/>
          <w:bCs/>
          <w:sz w:val="24"/>
          <w:lang w:eastAsia="zh-CN"/>
        </w:rPr>
        <w:t>绍兴市人民医院医用食品（FSMP）审方系统采购项目</w:t>
      </w:r>
      <w:r>
        <w:rPr>
          <w:rFonts w:hint="eastAsia" w:ascii="仿宋" w:hAnsi="仿宋" w:eastAsia="仿宋" w:cs="仿宋"/>
          <w:b/>
          <w:bCs/>
          <w:sz w:val="24"/>
          <w:lang w:val="en-US" w:eastAsia="zh-CN"/>
        </w:rPr>
        <w:t xml:space="preserve"> </w:t>
      </w:r>
    </w:p>
    <w:p>
      <w:pPr>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4"/>
        </w:rPr>
      </w:pPr>
      <w:r>
        <w:rPr>
          <w:rFonts w:hint="eastAsia" w:ascii="仿宋" w:hAnsi="仿宋" w:eastAsia="仿宋" w:cs="仿宋"/>
          <w:b/>
          <w:sz w:val="24"/>
        </w:rPr>
        <w:t>预算金额：</w:t>
      </w:r>
      <w:r>
        <w:rPr>
          <w:rFonts w:hint="eastAsia" w:ascii="仿宋" w:hAnsi="仿宋" w:eastAsia="仿宋" w:cs="仿宋"/>
          <w:b/>
          <w:sz w:val="24"/>
          <w:lang w:val="en-US" w:eastAsia="zh-CN"/>
        </w:rPr>
        <w:t>300000</w:t>
      </w:r>
      <w:r>
        <w:rPr>
          <w:rFonts w:hint="eastAsia" w:ascii="仿宋" w:hAnsi="仿宋" w:eastAsia="仿宋" w:cs="仿宋"/>
          <w:b/>
          <w:sz w:val="24"/>
        </w:rPr>
        <w:t>元</w:t>
      </w:r>
    </w:p>
    <w:p>
      <w:pPr>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仿宋" w:hAnsi="仿宋" w:eastAsia="仿宋" w:cs="仿宋"/>
          <w:b/>
          <w:bCs/>
          <w:sz w:val="24"/>
        </w:rPr>
      </w:pPr>
      <w:r>
        <w:rPr>
          <w:rFonts w:hint="eastAsia" w:ascii="仿宋" w:hAnsi="仿宋" w:eastAsia="仿宋" w:cs="仿宋"/>
          <w:b/>
          <w:bCs/>
          <w:kern w:val="2"/>
          <w:sz w:val="24"/>
          <w:szCs w:val="24"/>
          <w:lang w:val="en-US" w:eastAsia="zh-CN" w:bidi="ar-SA"/>
        </w:rPr>
        <w:t>一、</w:t>
      </w:r>
      <w:r>
        <w:rPr>
          <w:rFonts w:hint="eastAsia" w:ascii="仿宋" w:hAnsi="仿宋" w:eastAsia="仿宋" w:cs="仿宋"/>
          <w:b/>
          <w:bCs/>
          <w:sz w:val="24"/>
        </w:rPr>
        <w:t>招标内容及需求</w:t>
      </w:r>
    </w:p>
    <w:p>
      <w:pPr>
        <w:pStyle w:val="6"/>
        <w:pageBreakBefore w:val="0"/>
        <w:widowControl w:val="0"/>
        <w:numPr>
          <w:ilvl w:val="0"/>
          <w:numId w:val="0"/>
        </w:numPr>
        <w:kinsoku/>
        <w:wordWrap/>
        <w:overflowPunct/>
        <w:topLinePunct w:val="0"/>
        <w:autoSpaceDE/>
        <w:autoSpaceDN/>
        <w:bidi w:val="0"/>
        <w:adjustRightInd/>
        <w:spacing w:before="0" w:after="0" w:line="360" w:lineRule="auto"/>
        <w:ind w:leftChars="0"/>
        <w:textAlignment w:val="auto"/>
        <w:rPr>
          <w:rFonts w:ascii="仿宋" w:hAnsi="仿宋" w:eastAsia="仿宋"/>
          <w:sz w:val="24"/>
          <w:szCs w:val="24"/>
        </w:rPr>
      </w:pPr>
      <w:bookmarkStart w:id="11" w:name="_Toc6472867"/>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采购内容一览表</w:t>
      </w:r>
      <w:bookmarkEnd w:id="11"/>
    </w:p>
    <w:tbl>
      <w:tblPr>
        <w:tblStyle w:val="65"/>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序号</w:t>
            </w:r>
          </w:p>
        </w:tc>
        <w:tc>
          <w:tcPr>
            <w:tcW w:w="3575"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名称</w:t>
            </w:r>
          </w:p>
        </w:tc>
        <w:tc>
          <w:tcPr>
            <w:tcW w:w="3142"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功能要求</w:t>
            </w:r>
          </w:p>
        </w:tc>
        <w:tc>
          <w:tcPr>
            <w:tcW w:w="1384"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3575"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医用食品（FSMP）审方系统</w:t>
            </w:r>
          </w:p>
        </w:tc>
        <w:tc>
          <w:tcPr>
            <w:tcW w:w="3142"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详见技术参数要求表</w:t>
            </w:r>
          </w:p>
        </w:tc>
        <w:tc>
          <w:tcPr>
            <w:tcW w:w="1384"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r>
    </w:tbl>
    <w:p>
      <w:pPr>
        <w:pStyle w:val="6"/>
        <w:numPr>
          <w:ilvl w:val="0"/>
          <w:numId w:val="0"/>
        </w:numPr>
        <w:spacing w:before="0" w:after="0" w:line="360" w:lineRule="auto"/>
        <w:ind w:leftChars="0"/>
        <w:rPr>
          <w:rFonts w:hint="eastAsia" w:ascii="仿宋" w:hAnsi="仿宋" w:eastAsia="仿宋"/>
          <w:sz w:val="24"/>
          <w:szCs w:val="24"/>
        </w:rPr>
      </w:pPr>
    </w:p>
    <w:p>
      <w:pPr>
        <w:pStyle w:val="6"/>
        <w:numPr>
          <w:ilvl w:val="0"/>
          <w:numId w:val="0"/>
        </w:numPr>
        <w:spacing w:before="0" w:after="0" w:line="360" w:lineRule="auto"/>
        <w:ind w:leftChars="0"/>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_GB2312" w:hAnsi="宋体" w:eastAsia="仿宋_GB2312"/>
          <w:sz w:val="24"/>
        </w:rPr>
        <w:t>医用食品（FSMP）审方系统</w:t>
      </w:r>
      <w:r>
        <w:rPr>
          <w:rFonts w:hint="eastAsia" w:ascii="仿宋" w:hAnsi="仿宋" w:eastAsia="仿宋" w:cs="宋体"/>
          <w:bCs/>
          <w:kern w:val="0"/>
          <w:sz w:val="24"/>
        </w:rPr>
        <w:t>功能模块及其它要求</w:t>
      </w:r>
    </w:p>
    <w:tbl>
      <w:tblPr>
        <w:tblStyle w:val="64"/>
        <w:tblW w:w="51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7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4494"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05"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一</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审查规则定义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剂量范围：</w:t>
            </w:r>
          </w:p>
          <w:p>
            <w:pPr>
              <w:spacing w:line="440" w:lineRule="exact"/>
              <w:rPr>
                <w:rFonts w:hint="eastAsia" w:ascii="仿宋_GB2312" w:hAnsi="等线" w:eastAsia="仿宋_GB2312" w:cs="宋体"/>
                <w:color w:val="auto"/>
                <w:kern w:val="0"/>
                <w:sz w:val="24"/>
                <w:lang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lang w:eastAsia="zh-CN"/>
              </w:rPr>
              <w:t>支持</w:t>
            </w:r>
            <w:r>
              <w:rPr>
                <w:rFonts w:hint="eastAsia" w:ascii="仿宋_GB2312" w:hAnsi="等线" w:eastAsia="仿宋_GB2312" w:cs="宋体"/>
                <w:color w:val="auto"/>
                <w:kern w:val="0"/>
                <w:sz w:val="24"/>
              </w:rPr>
              <w:t>审查食品用法用量自定义剂量范围</w:t>
            </w:r>
            <w:r>
              <w:rPr>
                <w:rFonts w:hint="eastAsia" w:ascii="仿宋_GB2312" w:hAnsi="等线" w:eastAsia="仿宋_GB2312" w:cs="宋体"/>
                <w:color w:val="auto"/>
                <w:kern w:val="0"/>
                <w:sz w:val="24"/>
                <w:lang w:eastAsia="zh-CN"/>
              </w:rPr>
              <w:t>。</w:t>
            </w:r>
          </w:p>
          <w:p>
            <w:p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lang w:val="en-US" w:eastAsia="zh-CN"/>
              </w:rPr>
              <w:t>2、</w:t>
            </w:r>
            <w:r>
              <w:rPr>
                <w:rFonts w:hint="eastAsia" w:ascii="仿宋_GB2312" w:hAnsi="等线" w:eastAsia="仿宋_GB2312" w:cs="宋体"/>
                <w:color w:val="auto"/>
                <w:kern w:val="0"/>
                <w:sz w:val="24"/>
              </w:rPr>
              <w:t>支持对最大、最小剂量（次剂量、日剂量）、进食频率、进食持续时间、疗程总剂量、进食天数进行审查</w:t>
            </w:r>
            <w:r>
              <w:rPr>
                <w:rFonts w:hint="eastAsia" w:ascii="仿宋_GB2312" w:hAnsi="等线" w:eastAsia="仿宋_GB2312" w:cs="宋体"/>
                <w:color w:val="auto"/>
                <w:kern w:val="0"/>
                <w:sz w:val="24"/>
                <w:lang w:eastAsia="zh-CN"/>
              </w:rPr>
              <w:t>。</w:t>
            </w:r>
          </w:p>
          <w:p>
            <w:p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lang w:val="en-US" w:eastAsia="zh-CN"/>
              </w:rPr>
              <w:t>3、</w:t>
            </w:r>
            <w:r>
              <w:rPr>
                <w:rFonts w:hint="eastAsia" w:ascii="仿宋_GB2312" w:hAnsi="等线" w:eastAsia="仿宋_GB2312" w:cs="宋体"/>
                <w:color w:val="auto"/>
                <w:kern w:val="0"/>
                <w:sz w:val="24"/>
              </w:rPr>
              <w:t>支持年龄、体重范围</w:t>
            </w:r>
            <w:r>
              <w:rPr>
                <w:rFonts w:hint="eastAsia" w:ascii="仿宋_GB2312" w:hAnsi="等线" w:eastAsia="仿宋_GB2312" w:cs="宋体"/>
                <w:color w:val="auto"/>
                <w:kern w:val="0"/>
                <w:sz w:val="24"/>
                <w:lang w:eastAsia="zh-CN"/>
              </w:rPr>
              <w:t>自定义</w:t>
            </w:r>
            <w:r>
              <w:rPr>
                <w:rFonts w:hint="eastAsia" w:ascii="仿宋_GB2312" w:hAnsi="等线" w:eastAsia="仿宋_GB2312" w:cs="宋体"/>
                <w:color w:val="auto"/>
                <w:kern w:val="0"/>
                <w:sz w:val="24"/>
              </w:rPr>
              <w:t>设定</w:t>
            </w:r>
            <w:r>
              <w:rPr>
                <w:rFonts w:hint="eastAsia" w:ascii="仿宋_GB2312" w:hAnsi="等线" w:eastAsia="仿宋_GB2312" w:cs="宋体"/>
                <w:color w:val="auto"/>
                <w:kern w:val="0"/>
                <w:sz w:val="24"/>
                <w:lang w:eastAsia="zh-CN"/>
              </w:rPr>
              <w:t>。</w:t>
            </w:r>
          </w:p>
          <w:p>
            <w:p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lang w:val="en-US" w:eastAsia="zh-CN"/>
              </w:rPr>
              <w:t>4、</w:t>
            </w:r>
            <w:r>
              <w:rPr>
                <w:rFonts w:hint="eastAsia" w:ascii="仿宋_GB2312" w:hAnsi="等线" w:eastAsia="仿宋_GB2312" w:cs="宋体"/>
                <w:color w:val="auto"/>
                <w:kern w:val="0"/>
                <w:sz w:val="24"/>
              </w:rPr>
              <w:t>支持维护剂量范围规则</w:t>
            </w:r>
            <w:r>
              <w:rPr>
                <w:rFonts w:hint="eastAsia" w:ascii="仿宋_GB2312" w:hAnsi="等线" w:eastAsia="仿宋_GB2312" w:cs="宋体"/>
                <w:color w:val="auto"/>
                <w:kern w:val="0"/>
                <w:sz w:val="24"/>
                <w:lang w:eastAsia="zh-CN"/>
              </w:rPr>
              <w:t>定义及维护。</w:t>
            </w:r>
          </w:p>
          <w:p>
            <w:pPr>
              <w:spacing w:line="440" w:lineRule="exact"/>
              <w:rPr>
                <w:color w:val="auto"/>
              </w:rPr>
            </w:pPr>
            <w:r>
              <w:rPr>
                <w:rFonts w:hint="eastAsia" w:ascii="仿宋_GB2312" w:hAnsi="等线" w:eastAsia="仿宋_GB2312" w:cs="宋体"/>
                <w:color w:val="auto"/>
                <w:kern w:val="0"/>
                <w:sz w:val="24"/>
                <w:lang w:val="en-US" w:eastAsia="zh-CN"/>
              </w:rPr>
              <w:t>5、</w:t>
            </w: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94" w:type="pct"/>
          </w:tcPr>
          <w:p>
            <w:pPr>
              <w:pStyle w:val="1041"/>
              <w:ind w:firstLine="0" w:firstLineChars="0"/>
              <w:rPr>
                <w:rFonts w:ascii="仿宋" w:hAnsi="仿宋" w:eastAsia="仿宋" w:cs="仿宋"/>
                <w:b/>
                <w:bCs/>
                <w:color w:val="auto"/>
                <w:sz w:val="24"/>
              </w:rPr>
            </w:pPr>
            <w:r>
              <w:rPr>
                <w:rFonts w:hint="eastAsia" w:ascii="仿宋" w:hAnsi="仿宋" w:eastAsia="仿宋" w:cs="仿宋"/>
                <w:b/>
                <w:bCs/>
                <w:color w:val="auto"/>
                <w:sz w:val="24"/>
              </w:rPr>
              <w:t>进食途径：</w:t>
            </w:r>
          </w:p>
          <w:p>
            <w:pPr>
              <w:pStyle w:val="1041"/>
              <w:numPr>
                <w:ilvl w:val="0"/>
                <w:numId w:val="7"/>
              </w:numPr>
              <w:ind w:firstLine="0" w:firstLineChars="0"/>
              <w:rPr>
                <w:rFonts w:hint="eastAsia" w:ascii="仿宋_GB2312" w:hAnsi="等线" w:eastAsia="仿宋_GB2312" w:cs="宋体"/>
                <w:color w:val="auto"/>
                <w:kern w:val="0"/>
                <w:sz w:val="24"/>
              </w:rPr>
            </w:pPr>
            <w:r>
              <w:rPr>
                <w:rFonts w:hint="eastAsia" w:ascii="仿宋" w:hAnsi="仿宋" w:eastAsia="仿宋" w:cs="仿宋"/>
                <w:color w:val="auto"/>
                <w:sz w:val="24"/>
                <w:lang w:eastAsia="zh-CN"/>
              </w:rPr>
              <w:t>支持</w:t>
            </w:r>
            <w:r>
              <w:rPr>
                <w:rFonts w:hint="eastAsia" w:ascii="仿宋_GB2312" w:hAnsi="等线" w:eastAsia="仿宋_GB2312" w:cs="宋体"/>
                <w:color w:val="auto"/>
                <w:kern w:val="0"/>
                <w:sz w:val="24"/>
              </w:rPr>
              <w:t>审查处方或医嘱中是否存在不合理的进食途径</w:t>
            </w:r>
            <w:r>
              <w:rPr>
                <w:rFonts w:hint="eastAsia" w:ascii="仿宋_GB2312" w:hAnsi="等线" w:eastAsia="仿宋_GB2312" w:cs="宋体"/>
                <w:color w:val="auto"/>
                <w:kern w:val="0"/>
                <w:sz w:val="24"/>
                <w:lang w:eastAsia="zh-CN"/>
              </w:rPr>
              <w:t>。</w:t>
            </w:r>
          </w:p>
          <w:p>
            <w:pPr>
              <w:pStyle w:val="1041"/>
              <w:numPr>
                <w:ilvl w:val="0"/>
                <w:numId w:val="7"/>
              </w:numPr>
              <w:ind w:firstLine="0" w:firstLineChars="0"/>
              <w:rPr>
                <w:rFonts w:hint="eastAsia" w:ascii="仿宋" w:hAnsi="仿宋" w:eastAsia="仿宋" w:cs="仿宋"/>
                <w:color w:val="auto"/>
                <w:sz w:val="24"/>
              </w:rPr>
            </w:pPr>
            <w:r>
              <w:rPr>
                <w:rFonts w:hint="eastAsia" w:ascii="仿宋_GB2312" w:hAnsi="等线" w:eastAsia="仿宋_GB2312" w:cs="宋体"/>
                <w:color w:val="auto"/>
                <w:kern w:val="0"/>
                <w:sz w:val="24"/>
              </w:rPr>
              <w:t>支持维护进食途径规则；支持信息检索。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相互作用：</w:t>
            </w:r>
          </w:p>
          <w:p>
            <w:pPr>
              <w:numPr>
                <w:ilvl w:val="0"/>
                <w:numId w:val="8"/>
              </w:numPr>
              <w:spacing w:line="440" w:lineRule="exact"/>
              <w:rPr>
                <w:rFonts w:hint="eastAsia" w:ascii="仿宋" w:hAnsi="仿宋" w:eastAsia="仿宋" w:cs="仿宋"/>
                <w:color w:val="auto"/>
                <w:sz w:val="24"/>
              </w:rPr>
            </w:pPr>
            <w:r>
              <w:rPr>
                <w:rFonts w:hint="eastAsia" w:ascii="仿宋" w:hAnsi="仿宋" w:eastAsia="仿宋" w:cs="仿宋"/>
                <w:color w:val="auto"/>
                <w:sz w:val="24"/>
              </w:rPr>
              <w:t>支持本院相互作用规则一览，支持维护不同的相互作用，支持相互作用搜索。包括食品本身的相互作用和与其它食品的相互作用。</w:t>
            </w:r>
          </w:p>
          <w:p>
            <w:pPr>
              <w:numPr>
                <w:ilvl w:val="0"/>
                <w:numId w:val="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审查两种或多种肠内（食字号）合用时可能产生的不良相互作用</w:t>
            </w:r>
            <w:r>
              <w:rPr>
                <w:rFonts w:hint="eastAsia" w:ascii="仿宋_GB2312" w:hAnsi="等线" w:eastAsia="仿宋_GB2312" w:cs="宋体"/>
                <w:color w:val="auto"/>
                <w:kern w:val="0"/>
                <w:sz w:val="24"/>
                <w:lang w:eastAsia="zh-CN"/>
              </w:rPr>
              <w:t>。</w:t>
            </w:r>
          </w:p>
          <w:p>
            <w:pPr>
              <w:numPr>
                <w:ilvl w:val="0"/>
                <w:numId w:val="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支持同时审查同一病人当日不同科室多张处方中存在的肠内制剂相互作用</w:t>
            </w:r>
            <w:r>
              <w:rPr>
                <w:rFonts w:hint="eastAsia" w:ascii="仿宋_GB2312" w:hAnsi="等线" w:eastAsia="仿宋_GB2312" w:cs="宋体"/>
                <w:color w:val="auto"/>
                <w:kern w:val="0"/>
                <w:sz w:val="24"/>
                <w:lang w:eastAsia="zh-CN"/>
              </w:rPr>
              <w:t>。</w:t>
            </w:r>
          </w:p>
          <w:p>
            <w:pPr>
              <w:numPr>
                <w:ilvl w:val="0"/>
                <w:numId w:val="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支持维护相互作用规则</w:t>
            </w:r>
            <w:r>
              <w:rPr>
                <w:rFonts w:hint="eastAsia" w:ascii="仿宋_GB2312" w:hAnsi="等线" w:eastAsia="仿宋_GB2312" w:cs="宋体"/>
                <w:color w:val="auto"/>
                <w:kern w:val="0"/>
                <w:sz w:val="24"/>
                <w:lang w:eastAsia="zh-CN"/>
              </w:rPr>
              <w:t>。</w:t>
            </w:r>
          </w:p>
          <w:p>
            <w:pPr>
              <w:numPr>
                <w:ilvl w:val="0"/>
                <w:numId w:val="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输注方式：</w:t>
            </w:r>
          </w:p>
          <w:p>
            <w:pPr>
              <w:numPr>
                <w:ilvl w:val="0"/>
                <w:numId w:val="9"/>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审查肠内（食字号）的输注方式</w:t>
            </w:r>
            <w:r>
              <w:rPr>
                <w:rFonts w:hint="eastAsia" w:ascii="仿宋_GB2312" w:hAnsi="等线" w:eastAsia="仿宋_GB2312" w:cs="宋体"/>
                <w:color w:val="auto"/>
                <w:kern w:val="0"/>
                <w:sz w:val="24"/>
                <w:lang w:eastAsia="zh-CN"/>
              </w:rPr>
              <w:t>。</w:t>
            </w:r>
          </w:p>
          <w:p>
            <w:pPr>
              <w:numPr>
                <w:ilvl w:val="0"/>
                <w:numId w:val="9"/>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支持维护输注方式规则</w:t>
            </w:r>
            <w:r>
              <w:rPr>
                <w:rFonts w:hint="eastAsia" w:ascii="仿宋_GB2312" w:hAnsi="等线" w:eastAsia="仿宋_GB2312" w:cs="宋体"/>
                <w:color w:val="auto"/>
                <w:kern w:val="0"/>
                <w:sz w:val="24"/>
                <w:lang w:eastAsia="zh-CN"/>
              </w:rPr>
              <w:t>。</w:t>
            </w:r>
          </w:p>
          <w:p>
            <w:pPr>
              <w:numPr>
                <w:ilvl w:val="0"/>
                <w:numId w:val="9"/>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食品过敏：</w:t>
            </w:r>
          </w:p>
          <w:p>
            <w:pPr>
              <w:numPr>
                <w:ilvl w:val="0"/>
                <w:numId w:val="10"/>
              </w:numPr>
              <w:spacing w:line="440" w:lineRule="exact"/>
              <w:rPr>
                <w:rFonts w:hint="eastAsia" w:ascii="仿宋_GB2312" w:hAnsi="等线" w:eastAsia="仿宋_GB2312" w:cs="宋体"/>
                <w:color w:val="auto"/>
                <w:kern w:val="0"/>
                <w:sz w:val="24"/>
              </w:rPr>
            </w:pPr>
            <w:r>
              <w:rPr>
                <w:rFonts w:hint="eastAsia" w:ascii="仿宋_GB2312" w:hAnsi="等线" w:eastAsia="仿宋_GB2312" w:cs="宋体"/>
                <w:color w:val="auto"/>
                <w:kern w:val="0"/>
                <w:sz w:val="24"/>
              </w:rPr>
              <w:t>审查病人处方或医嘱中是否存在与病人既往过敏原相关、可能导致类似过敏反应的特医食品</w:t>
            </w:r>
            <w:r>
              <w:rPr>
                <w:rFonts w:hint="eastAsia" w:ascii="仿宋_GB2312" w:hAnsi="等线" w:eastAsia="仿宋_GB2312" w:cs="宋体"/>
                <w:color w:val="auto"/>
                <w:kern w:val="0"/>
                <w:sz w:val="24"/>
                <w:lang w:eastAsia="zh-CN"/>
              </w:rPr>
              <w:t>。</w:t>
            </w:r>
          </w:p>
          <w:p>
            <w:pPr>
              <w:numPr>
                <w:ilvl w:val="0"/>
                <w:numId w:val="10"/>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支持维护食品过敏规则</w:t>
            </w:r>
            <w:r>
              <w:rPr>
                <w:rFonts w:hint="eastAsia" w:ascii="仿宋_GB2312" w:hAnsi="等线" w:eastAsia="仿宋_GB2312" w:cs="宋体"/>
                <w:color w:val="auto"/>
                <w:kern w:val="0"/>
                <w:sz w:val="24"/>
                <w:lang w:eastAsia="zh-CN"/>
              </w:rPr>
              <w:t>。</w:t>
            </w:r>
          </w:p>
          <w:p>
            <w:pPr>
              <w:numPr>
                <w:ilvl w:val="0"/>
                <w:numId w:val="10"/>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围术期饮食：</w:t>
            </w:r>
          </w:p>
          <w:p>
            <w:pPr>
              <w:spacing w:line="440" w:lineRule="exact"/>
              <w:rPr>
                <w:rFonts w:ascii="仿宋" w:hAnsi="仿宋" w:eastAsia="仿宋" w:cs="仿宋"/>
                <w:color w:val="auto"/>
                <w:sz w:val="24"/>
              </w:rPr>
            </w:pPr>
            <w:r>
              <w:rPr>
                <w:rFonts w:hint="eastAsia" w:ascii="仿宋" w:hAnsi="仿宋" w:eastAsia="仿宋" w:cs="仿宋"/>
                <w:color w:val="auto"/>
                <w:sz w:val="24"/>
              </w:rPr>
              <w:t>基于手术信息对应的进食进行系统性审查。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儿童饮食：</w:t>
            </w:r>
          </w:p>
          <w:p>
            <w:pPr>
              <w:numPr>
                <w:ilvl w:val="0"/>
                <w:numId w:val="11"/>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审查儿童的性别、肝、肾功能不全（需系统自动计算患者是否有功能不全情况）病理生理状态下进行特医食品使用</w:t>
            </w:r>
            <w:r>
              <w:rPr>
                <w:rFonts w:hint="eastAsia" w:ascii="仿宋_GB2312" w:hAnsi="等线" w:eastAsia="仿宋_GB2312" w:cs="宋体"/>
                <w:color w:val="auto"/>
                <w:kern w:val="0"/>
                <w:sz w:val="24"/>
                <w:lang w:eastAsia="zh-CN"/>
              </w:rPr>
              <w:t>。</w:t>
            </w:r>
          </w:p>
          <w:p>
            <w:pPr>
              <w:numPr>
                <w:ilvl w:val="0"/>
                <w:numId w:val="11"/>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支持规则</w:t>
            </w:r>
            <w:r>
              <w:rPr>
                <w:rFonts w:hint="eastAsia" w:ascii="仿宋_GB2312" w:hAnsi="等线" w:eastAsia="仿宋_GB2312" w:cs="宋体"/>
                <w:color w:val="auto"/>
                <w:kern w:val="0"/>
                <w:sz w:val="24"/>
                <w:lang w:eastAsia="zh-CN"/>
              </w:rPr>
              <w:t>自定义维护。</w:t>
            </w:r>
          </w:p>
          <w:p>
            <w:pPr>
              <w:numPr>
                <w:ilvl w:val="0"/>
                <w:numId w:val="11"/>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成人饮食：</w:t>
            </w:r>
          </w:p>
          <w:p>
            <w:pPr>
              <w:numPr>
                <w:ilvl w:val="0"/>
                <w:numId w:val="12"/>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审查成人的性别、肝、肾功能不全（需系统自动计算患者是否有功能不全情况）病理生理状态下进行特医食品使用</w:t>
            </w:r>
            <w:r>
              <w:rPr>
                <w:rFonts w:hint="eastAsia" w:ascii="仿宋_GB2312" w:hAnsi="等线" w:eastAsia="仿宋_GB2312" w:cs="宋体"/>
                <w:color w:val="auto"/>
                <w:kern w:val="0"/>
                <w:sz w:val="24"/>
                <w:lang w:eastAsia="zh-CN"/>
              </w:rPr>
              <w:t>。</w:t>
            </w:r>
          </w:p>
          <w:p>
            <w:pPr>
              <w:numPr>
                <w:ilvl w:val="0"/>
                <w:numId w:val="12"/>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支持维护规则</w:t>
            </w:r>
            <w:r>
              <w:rPr>
                <w:rFonts w:hint="eastAsia" w:ascii="仿宋_GB2312" w:hAnsi="等线" w:eastAsia="仿宋_GB2312" w:cs="宋体"/>
                <w:color w:val="auto"/>
                <w:kern w:val="0"/>
                <w:sz w:val="24"/>
                <w:lang w:eastAsia="zh-CN"/>
              </w:rPr>
              <w:t>自定义维护。</w:t>
            </w:r>
          </w:p>
          <w:p>
            <w:pPr>
              <w:numPr>
                <w:ilvl w:val="0"/>
                <w:numId w:val="12"/>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4494" w:type="pct"/>
          </w:tcPr>
          <w:p>
            <w:pPr>
              <w:numPr>
                <w:ilvl w:val="-1"/>
                <w:numId w:val="0"/>
              </w:numPr>
              <w:spacing w:line="440" w:lineRule="exact"/>
              <w:rPr>
                <w:rFonts w:ascii="仿宋" w:hAnsi="仿宋" w:eastAsia="仿宋" w:cs="仿宋"/>
                <w:b/>
                <w:bCs/>
                <w:color w:val="auto"/>
                <w:sz w:val="24"/>
              </w:rPr>
            </w:pPr>
            <w:r>
              <w:rPr>
                <w:rFonts w:hint="eastAsia" w:ascii="仿宋" w:hAnsi="仿宋" w:eastAsia="仿宋" w:cs="仿宋"/>
                <w:b/>
                <w:bCs/>
                <w:color w:val="auto"/>
                <w:sz w:val="24"/>
              </w:rPr>
              <w:t>老人饮食：</w:t>
            </w:r>
          </w:p>
          <w:p>
            <w:pPr>
              <w:numPr>
                <w:ilvl w:val="0"/>
                <w:numId w:val="13"/>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审查老人的性别、肝、肾功能不全（需系统自动计算患者是否有功能不全情况）病理生理状态下进行特医食品使用</w:t>
            </w:r>
            <w:r>
              <w:rPr>
                <w:rFonts w:hint="eastAsia" w:ascii="仿宋_GB2312" w:hAnsi="等线" w:eastAsia="仿宋_GB2312" w:cs="宋体"/>
                <w:color w:val="auto"/>
                <w:kern w:val="0"/>
                <w:sz w:val="24"/>
                <w:lang w:eastAsia="zh-CN"/>
              </w:rPr>
              <w:t>。</w:t>
            </w:r>
          </w:p>
          <w:p>
            <w:pPr>
              <w:numPr>
                <w:ilvl w:val="0"/>
                <w:numId w:val="13"/>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支持维护规则</w:t>
            </w:r>
            <w:r>
              <w:rPr>
                <w:rFonts w:hint="eastAsia" w:ascii="仿宋_GB2312" w:hAnsi="等线" w:eastAsia="仿宋_GB2312" w:cs="宋体"/>
                <w:color w:val="auto"/>
                <w:kern w:val="0"/>
                <w:sz w:val="24"/>
                <w:lang w:eastAsia="zh-CN"/>
              </w:rPr>
              <w:t>自定义维护。</w:t>
            </w:r>
          </w:p>
          <w:p>
            <w:pPr>
              <w:numPr>
                <w:ilvl w:val="0"/>
                <w:numId w:val="13"/>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妊娠饮食：</w:t>
            </w:r>
          </w:p>
          <w:p>
            <w:pPr>
              <w:numPr>
                <w:ilvl w:val="0"/>
                <w:numId w:val="14"/>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审查妊娠期妇女肝、肾功能不全（需系统自动计算患者是否有功能不全情况）病理生理状态下进行特医食品使用</w:t>
            </w:r>
            <w:r>
              <w:rPr>
                <w:rFonts w:hint="eastAsia" w:ascii="仿宋_GB2312" w:hAnsi="等线" w:eastAsia="仿宋_GB2312" w:cs="宋体"/>
                <w:color w:val="auto"/>
                <w:kern w:val="0"/>
                <w:sz w:val="24"/>
                <w:lang w:eastAsia="zh-CN"/>
              </w:rPr>
              <w:t>。</w:t>
            </w:r>
          </w:p>
          <w:p>
            <w:pPr>
              <w:numPr>
                <w:ilvl w:val="0"/>
                <w:numId w:val="14"/>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w:t>
            </w:r>
            <w:r>
              <w:rPr>
                <w:rFonts w:hint="eastAsia" w:ascii="仿宋_GB2312" w:hAnsi="等线" w:eastAsia="仿宋_GB2312" w:cs="宋体"/>
                <w:color w:val="auto"/>
                <w:kern w:val="0"/>
                <w:sz w:val="24"/>
                <w:lang w:eastAsia="zh-CN"/>
              </w:rPr>
              <w:t>自定义维护。</w:t>
            </w:r>
          </w:p>
          <w:p>
            <w:pPr>
              <w:numPr>
                <w:ilvl w:val="0"/>
                <w:numId w:val="14"/>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r>
              <w:rPr>
                <w:rFonts w:hint="eastAsia" w:ascii="仿宋_GB2312" w:hAnsi="等线" w:eastAsia="仿宋_GB2312" w:cs="宋体"/>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哺乳饮食：</w:t>
            </w:r>
          </w:p>
          <w:p>
            <w:pPr>
              <w:numPr>
                <w:ilvl w:val="0"/>
                <w:numId w:val="15"/>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审查哺乳期妇女</w:t>
            </w:r>
            <w:r>
              <w:rPr>
                <w:rFonts w:hint="eastAsia" w:ascii="仿宋_GB2312" w:hAnsi="等线" w:eastAsia="仿宋_GB2312" w:cs="宋体"/>
                <w:color w:val="auto"/>
                <w:kern w:val="0"/>
                <w:sz w:val="24"/>
                <w:lang w:val="en-US" w:eastAsia="zh-CN"/>
              </w:rPr>
              <w:t>的</w:t>
            </w:r>
            <w:r>
              <w:rPr>
                <w:rFonts w:hint="eastAsia" w:ascii="仿宋_GB2312" w:hAnsi="等线" w:eastAsia="仿宋_GB2312" w:cs="宋体"/>
                <w:color w:val="auto"/>
                <w:kern w:val="0"/>
                <w:sz w:val="24"/>
              </w:rPr>
              <w:t>肝、肾功能不全（需系统自动计算患者是否有功能不全情况）病理生理状态下进行特医食品使用</w:t>
            </w:r>
            <w:r>
              <w:rPr>
                <w:rFonts w:hint="eastAsia" w:ascii="仿宋_GB2312" w:hAnsi="等线" w:eastAsia="仿宋_GB2312" w:cs="宋体"/>
                <w:color w:val="auto"/>
                <w:kern w:val="0"/>
                <w:sz w:val="24"/>
                <w:lang w:eastAsia="zh-CN"/>
              </w:rPr>
              <w:t>。</w:t>
            </w:r>
          </w:p>
          <w:p>
            <w:pPr>
              <w:numPr>
                <w:ilvl w:val="0"/>
                <w:numId w:val="15"/>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w:t>
            </w:r>
            <w:r>
              <w:rPr>
                <w:rFonts w:hint="eastAsia" w:ascii="仿宋_GB2312" w:hAnsi="等线" w:eastAsia="仿宋_GB2312" w:cs="宋体"/>
                <w:color w:val="auto"/>
                <w:kern w:val="0"/>
                <w:sz w:val="24"/>
                <w:lang w:eastAsia="zh-CN"/>
              </w:rPr>
              <w:t>自定义维护。</w:t>
            </w:r>
          </w:p>
          <w:p>
            <w:pPr>
              <w:numPr>
                <w:ilvl w:val="0"/>
                <w:numId w:val="15"/>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w:t>
            </w:r>
            <w:r>
              <w:rPr>
                <w:rFonts w:hint="eastAsia" w:ascii="仿宋_GB2312" w:hAnsi="等线" w:eastAsia="仿宋_GB2312" w:cs="宋体"/>
                <w:color w:val="auto"/>
                <w:kern w:val="0"/>
                <w:sz w:val="24"/>
                <w:lang w:eastAsia="zh-CN"/>
              </w:rPr>
              <w:t>查询</w:t>
            </w:r>
            <w:r>
              <w:rPr>
                <w:rFonts w:hint="eastAsia" w:ascii="仿宋_GB2312" w:hAnsi="等线" w:eastAsia="仿宋_GB2312" w:cs="宋体"/>
                <w:color w:val="auto"/>
                <w:kern w:val="0"/>
                <w:sz w:val="24"/>
              </w:rPr>
              <w:t>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营养成分：</w:t>
            </w:r>
          </w:p>
          <w:p>
            <w:pPr>
              <w:numPr>
                <w:ilvl w:val="0"/>
                <w:numId w:val="16"/>
              </w:num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支持本院营养成分规则一览</w:t>
            </w:r>
            <w:r>
              <w:rPr>
                <w:rFonts w:hint="eastAsia" w:ascii="仿宋" w:hAnsi="仿宋" w:eastAsia="仿宋" w:cs="仿宋"/>
                <w:color w:val="auto"/>
                <w:sz w:val="24"/>
                <w:lang w:eastAsia="zh-CN"/>
              </w:rPr>
              <w:t>。</w:t>
            </w:r>
          </w:p>
          <w:p>
            <w:pPr>
              <w:numPr>
                <w:ilvl w:val="0"/>
                <w:numId w:val="16"/>
              </w:numPr>
              <w:spacing w:line="440" w:lineRule="exact"/>
              <w:rPr>
                <w:rFonts w:ascii="仿宋" w:hAnsi="仿宋" w:eastAsia="仿宋" w:cs="仿宋"/>
                <w:color w:val="auto"/>
                <w:sz w:val="24"/>
              </w:rPr>
            </w:pPr>
            <w:r>
              <w:rPr>
                <w:rFonts w:hint="eastAsia" w:ascii="仿宋" w:hAnsi="仿宋" w:eastAsia="仿宋" w:cs="仿宋"/>
                <w:color w:val="auto"/>
                <w:sz w:val="24"/>
              </w:rPr>
              <w:t>支持维护不同的营养成分</w:t>
            </w:r>
            <w:r>
              <w:rPr>
                <w:rFonts w:hint="eastAsia" w:ascii="仿宋" w:hAnsi="仿宋" w:eastAsia="仿宋" w:cs="仿宋"/>
                <w:color w:val="auto"/>
                <w:sz w:val="24"/>
                <w:lang w:eastAsia="zh-CN"/>
              </w:rPr>
              <w:t>。</w:t>
            </w:r>
          </w:p>
          <w:p>
            <w:pPr>
              <w:numPr>
                <w:ilvl w:val="0"/>
                <w:numId w:val="16"/>
              </w:numPr>
              <w:spacing w:line="440" w:lineRule="exact"/>
              <w:rPr>
                <w:rFonts w:ascii="仿宋" w:hAnsi="仿宋" w:eastAsia="仿宋" w:cs="仿宋"/>
                <w:color w:val="auto"/>
                <w:sz w:val="24"/>
              </w:rPr>
            </w:pPr>
            <w:r>
              <w:rPr>
                <w:rFonts w:hint="eastAsia" w:ascii="仿宋" w:hAnsi="仿宋" w:eastAsia="仿宋" w:cs="仿宋"/>
                <w:color w:val="auto"/>
                <w:sz w:val="24"/>
              </w:rPr>
              <w:t>支持营养成分搜索。</w:t>
            </w:r>
          </w:p>
          <w:p>
            <w:pPr>
              <w:numPr>
                <w:ilvl w:val="0"/>
                <w:numId w:val="16"/>
              </w:numPr>
              <w:spacing w:line="440" w:lineRule="exact"/>
              <w:rPr>
                <w:rFonts w:ascii="仿宋" w:hAnsi="仿宋" w:eastAsia="仿宋" w:cs="仿宋"/>
                <w:color w:val="auto"/>
                <w:sz w:val="24"/>
              </w:rPr>
            </w:pPr>
            <w:r>
              <w:rPr>
                <w:rFonts w:hint="eastAsia" w:ascii="仿宋" w:hAnsi="仿宋" w:eastAsia="仿宋" w:cs="仿宋"/>
                <w:color w:val="auto"/>
                <w:sz w:val="24"/>
              </w:rPr>
              <w:t>支持自定义营养成分。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4494" w:type="pct"/>
          </w:tcPr>
          <w:p>
            <w:pPr>
              <w:spacing w:line="440" w:lineRule="exact"/>
              <w:rPr>
                <w:rFonts w:ascii="仿宋" w:hAnsi="仿宋" w:eastAsia="仿宋" w:cs="仿宋"/>
                <w:color w:val="auto"/>
                <w:sz w:val="24"/>
              </w:rPr>
            </w:pPr>
            <w:r>
              <w:rPr>
                <w:rFonts w:hint="eastAsia" w:ascii="仿宋" w:hAnsi="仿宋" w:eastAsia="仿宋" w:cs="仿宋"/>
                <w:b/>
                <w:bCs/>
                <w:color w:val="auto"/>
                <w:sz w:val="24"/>
              </w:rPr>
              <w:t>监测指标：</w:t>
            </w:r>
            <w:r>
              <w:rPr>
                <w:rFonts w:hint="eastAsia" w:ascii="仿宋" w:hAnsi="仿宋" w:eastAsia="仿宋" w:cs="仿宋"/>
                <w:color w:val="auto"/>
                <w:sz w:val="24"/>
              </w:rPr>
              <w:tab/>
            </w:r>
          </w:p>
          <w:p>
            <w:pPr>
              <w:numPr>
                <w:ilvl w:val="0"/>
                <w:numId w:val="17"/>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审查病人是否在使用特医食品期间按要求监测特定指标</w:t>
            </w:r>
            <w:r>
              <w:rPr>
                <w:rFonts w:hint="eastAsia" w:ascii="仿宋_GB2312" w:hAnsi="等线" w:eastAsia="仿宋_GB2312" w:cs="宋体"/>
                <w:color w:val="auto"/>
                <w:kern w:val="0"/>
                <w:sz w:val="24"/>
                <w:lang w:eastAsia="zh-CN"/>
              </w:rPr>
              <w:t>。</w:t>
            </w:r>
          </w:p>
          <w:p>
            <w:pPr>
              <w:numPr>
                <w:ilvl w:val="0"/>
                <w:numId w:val="17"/>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支持维护监测指标规则</w:t>
            </w:r>
            <w:r>
              <w:rPr>
                <w:rFonts w:hint="eastAsia" w:ascii="仿宋_GB2312" w:hAnsi="等线" w:eastAsia="仿宋_GB2312" w:cs="宋体"/>
                <w:color w:val="auto"/>
                <w:kern w:val="0"/>
                <w:sz w:val="24"/>
                <w:lang w:eastAsia="zh-CN"/>
              </w:rPr>
              <w:t>。</w:t>
            </w:r>
          </w:p>
          <w:p>
            <w:pPr>
              <w:numPr>
                <w:ilvl w:val="0"/>
                <w:numId w:val="17"/>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营养均衡：</w:t>
            </w:r>
          </w:p>
          <w:p>
            <w:pPr>
              <w:numPr>
                <w:ilvl w:val="0"/>
                <w:numId w:val="18"/>
              </w:numPr>
              <w:spacing w:line="440" w:lineRule="exact"/>
              <w:rPr>
                <w:rFonts w:hint="eastAsia" w:ascii="仿宋_GB2312" w:hAnsi="等线" w:eastAsia="仿宋_GB2312" w:cs="宋体"/>
                <w:color w:val="auto"/>
                <w:kern w:val="0"/>
                <w:sz w:val="24"/>
                <w:lang w:eastAsia="zh-CN"/>
              </w:rPr>
            </w:pPr>
            <w:r>
              <w:rPr>
                <w:rFonts w:hint="eastAsia" w:ascii="仿宋_GB2312" w:hAnsi="等线" w:eastAsia="仿宋_GB2312" w:cs="宋体"/>
                <w:color w:val="auto"/>
                <w:kern w:val="0"/>
                <w:sz w:val="24"/>
              </w:rPr>
              <w:t>审查处方或医嘱的电解质、氨基酸、脂肪乳等营养物质比例是否均衡</w:t>
            </w:r>
            <w:r>
              <w:rPr>
                <w:rFonts w:hint="eastAsia" w:ascii="仿宋_GB2312" w:hAnsi="等线" w:eastAsia="仿宋_GB2312" w:cs="宋体"/>
                <w:color w:val="auto"/>
                <w:kern w:val="0"/>
                <w:sz w:val="24"/>
                <w:lang w:eastAsia="zh-CN"/>
              </w:rPr>
              <w:t>。</w:t>
            </w:r>
          </w:p>
          <w:p>
            <w:pPr>
              <w:numPr>
                <w:ilvl w:val="0"/>
                <w:numId w:val="1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审查后的处方或医嘱糖脂比、热氮比、离子浓度、每日补液量的均衡性或浓度要求</w:t>
            </w:r>
            <w:r>
              <w:rPr>
                <w:rFonts w:hint="eastAsia" w:ascii="仿宋_GB2312" w:hAnsi="等线" w:eastAsia="仿宋_GB2312" w:cs="宋体"/>
                <w:color w:val="auto"/>
                <w:kern w:val="0"/>
                <w:sz w:val="24"/>
                <w:lang w:eastAsia="zh-CN"/>
              </w:rPr>
              <w:t>。</w:t>
            </w:r>
          </w:p>
          <w:p>
            <w:pPr>
              <w:numPr>
                <w:ilvl w:val="0"/>
                <w:numId w:val="1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支持维护营养均衡规则</w:t>
            </w:r>
            <w:r>
              <w:rPr>
                <w:rFonts w:hint="eastAsia" w:ascii="仿宋_GB2312" w:hAnsi="等线" w:eastAsia="仿宋_GB2312" w:cs="宋体"/>
                <w:color w:val="auto"/>
                <w:kern w:val="0"/>
                <w:sz w:val="24"/>
                <w:lang w:eastAsia="zh-CN"/>
              </w:rPr>
              <w:t>。</w:t>
            </w:r>
          </w:p>
          <w:p>
            <w:pPr>
              <w:numPr>
                <w:ilvl w:val="0"/>
                <w:numId w:val="18"/>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诊断</w:t>
            </w:r>
            <w:r>
              <w:rPr>
                <w:rFonts w:hint="eastAsia" w:ascii="仿宋" w:hAnsi="仿宋" w:eastAsia="仿宋" w:cs="仿宋"/>
                <w:b/>
                <w:bCs/>
                <w:color w:val="auto"/>
                <w:sz w:val="24"/>
                <w:lang w:val="en-US" w:eastAsia="zh-CN"/>
              </w:rPr>
              <w:t>审查</w:t>
            </w:r>
            <w:r>
              <w:rPr>
                <w:rFonts w:hint="eastAsia" w:ascii="仿宋" w:hAnsi="仿宋" w:eastAsia="仿宋" w:cs="仿宋"/>
                <w:b/>
                <w:bCs/>
                <w:color w:val="auto"/>
                <w:sz w:val="24"/>
              </w:rPr>
              <w:t>：</w:t>
            </w:r>
          </w:p>
          <w:p>
            <w:pPr>
              <w:numPr>
                <w:ilvl w:val="0"/>
                <w:numId w:val="19"/>
              </w:numPr>
              <w:spacing w:line="440" w:lineRule="exact"/>
              <w:rPr>
                <w:rFonts w:hint="eastAsia" w:ascii="仿宋_GB2312" w:hAnsi="等线" w:eastAsia="仿宋_GB2312" w:cs="宋体"/>
                <w:color w:val="auto"/>
                <w:kern w:val="0"/>
                <w:sz w:val="24"/>
                <w:lang w:eastAsia="zh-CN"/>
              </w:rPr>
            </w:pPr>
            <w:r>
              <w:rPr>
                <w:rFonts w:hint="eastAsia" w:ascii="仿宋" w:hAnsi="仿宋" w:eastAsia="仿宋" w:cs="仿宋"/>
                <w:color w:val="auto"/>
                <w:sz w:val="24"/>
              </w:rPr>
              <w:t>支持HIS中ICD标准诊断、诊断关键字与肠内营养合理性的规则定义，并支持</w:t>
            </w:r>
            <w:r>
              <w:rPr>
                <w:rFonts w:hint="eastAsia" w:ascii="仿宋_GB2312" w:hAnsi="等线" w:eastAsia="仿宋_GB2312" w:cs="宋体"/>
                <w:color w:val="auto"/>
                <w:kern w:val="0"/>
                <w:sz w:val="24"/>
              </w:rPr>
              <w:t>审查病人在特定诊断下特医食品禁用的情况</w:t>
            </w:r>
            <w:r>
              <w:rPr>
                <w:rFonts w:hint="eastAsia" w:ascii="仿宋_GB2312" w:hAnsi="等线" w:eastAsia="仿宋_GB2312" w:cs="宋体"/>
                <w:color w:val="auto"/>
                <w:kern w:val="0"/>
                <w:sz w:val="24"/>
                <w:lang w:eastAsia="zh-CN"/>
              </w:rPr>
              <w:t>。</w:t>
            </w:r>
          </w:p>
          <w:p>
            <w:pPr>
              <w:numPr>
                <w:ilvl w:val="0"/>
                <w:numId w:val="19"/>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支持维护诊断审查规则</w:t>
            </w:r>
            <w:r>
              <w:rPr>
                <w:rFonts w:hint="eastAsia" w:ascii="仿宋_GB2312" w:hAnsi="等线" w:eastAsia="仿宋_GB2312" w:cs="宋体"/>
                <w:color w:val="auto"/>
                <w:kern w:val="0"/>
                <w:sz w:val="24"/>
                <w:lang w:eastAsia="zh-CN"/>
              </w:rPr>
              <w:t>。</w:t>
            </w:r>
          </w:p>
          <w:p>
            <w:pPr>
              <w:numPr>
                <w:ilvl w:val="0"/>
                <w:numId w:val="19"/>
              </w:num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vAlign w:val="center"/>
          </w:tcPr>
          <w:p>
            <w:pPr>
              <w:spacing w:line="60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16</w:t>
            </w:r>
          </w:p>
        </w:tc>
        <w:tc>
          <w:tcPr>
            <w:tcW w:w="4494" w:type="pct"/>
          </w:tcPr>
          <w:p>
            <w:pPr>
              <w:spacing w:line="440" w:lineRule="exact"/>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更新：</w:t>
            </w:r>
          </w:p>
          <w:p>
            <w:pPr>
              <w:spacing w:line="440" w:lineRule="exact"/>
              <w:rPr>
                <w:rFonts w:hint="default"/>
                <w:color w:val="auto"/>
                <w:lang w:val="en-US"/>
              </w:rPr>
            </w:pPr>
            <w:r>
              <w:rPr>
                <w:rFonts w:hint="eastAsia" w:ascii="仿宋" w:hAnsi="仿宋" w:eastAsia="仿宋" w:cs="仿宋"/>
                <w:color w:val="auto"/>
                <w:sz w:val="24"/>
                <w:lang w:val="en-US" w:eastAsia="zh-CN"/>
              </w:rPr>
              <w:t>规则知识库、规则定期更新（如遇紧急情况能及时更新处理），同时支持自定义审查。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05" w:type="pct"/>
            <w:vAlign w:val="center"/>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lang w:val="en-US" w:eastAsia="zh-CN"/>
              </w:rPr>
              <w:t xml:space="preserve">  二</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审查规则管理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lang w:val="en-US" w:eastAsia="zh-CN"/>
              </w:rPr>
              <w:t>审查参数设置</w:t>
            </w:r>
            <w:r>
              <w:rPr>
                <w:rFonts w:hint="eastAsia" w:ascii="仿宋" w:hAnsi="仿宋" w:eastAsia="仿宋" w:cs="仿宋"/>
                <w:b/>
                <w:bCs/>
                <w:color w:val="auto"/>
                <w:sz w:val="24"/>
              </w:rPr>
              <w:t>：</w:t>
            </w:r>
          </w:p>
          <w:p>
            <w:pPr>
              <w:numPr>
                <w:ilvl w:val="0"/>
                <w:numId w:val="20"/>
              </w:num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支持本院对年龄范围的定义</w:t>
            </w:r>
            <w:r>
              <w:rPr>
                <w:rFonts w:hint="eastAsia" w:ascii="仿宋" w:hAnsi="仿宋" w:eastAsia="仿宋" w:cs="仿宋"/>
                <w:color w:val="auto"/>
                <w:sz w:val="24"/>
                <w:lang w:eastAsia="zh-CN"/>
              </w:rPr>
              <w:t>。</w:t>
            </w:r>
          </w:p>
          <w:p>
            <w:pPr>
              <w:numPr>
                <w:ilvl w:val="0"/>
                <w:numId w:val="20"/>
              </w:numPr>
              <w:spacing w:line="440" w:lineRule="exact"/>
              <w:rPr>
                <w:rFonts w:ascii="仿宋" w:hAnsi="仿宋" w:eastAsia="仿宋" w:cs="仿宋"/>
                <w:color w:val="auto"/>
                <w:sz w:val="24"/>
              </w:rPr>
            </w:pPr>
            <w:r>
              <w:rPr>
                <w:rFonts w:hint="eastAsia" w:ascii="仿宋" w:hAnsi="仿宋" w:eastAsia="仿宋" w:cs="仿宋"/>
                <w:color w:val="auto"/>
                <w:sz w:val="24"/>
              </w:rPr>
              <w:t>支持修改警示级别</w:t>
            </w:r>
            <w:r>
              <w:rPr>
                <w:rFonts w:hint="eastAsia" w:ascii="仿宋" w:hAnsi="仿宋" w:eastAsia="仿宋" w:cs="仿宋"/>
                <w:color w:val="auto"/>
                <w:sz w:val="24"/>
                <w:lang w:eastAsia="zh-CN"/>
              </w:rPr>
              <w:t>。</w:t>
            </w:r>
          </w:p>
          <w:p>
            <w:pPr>
              <w:numPr>
                <w:ilvl w:val="0"/>
                <w:numId w:val="20"/>
              </w:numPr>
              <w:spacing w:line="440" w:lineRule="exact"/>
              <w:rPr>
                <w:rFonts w:ascii="仿宋" w:hAnsi="仿宋" w:eastAsia="仿宋" w:cs="仿宋"/>
                <w:color w:val="auto"/>
                <w:sz w:val="24"/>
              </w:rPr>
            </w:pPr>
            <w:r>
              <w:rPr>
                <w:rFonts w:hint="eastAsia" w:ascii="仿宋" w:hAnsi="仿宋" w:eastAsia="仿宋" w:cs="仿宋"/>
                <w:color w:val="auto"/>
                <w:sz w:val="24"/>
              </w:rPr>
              <w:t>支持修改妊娠相关设置</w:t>
            </w:r>
            <w:r>
              <w:rPr>
                <w:rFonts w:hint="eastAsia" w:ascii="仿宋" w:hAnsi="仿宋" w:eastAsia="仿宋" w:cs="仿宋"/>
                <w:color w:val="auto"/>
                <w:sz w:val="24"/>
                <w:lang w:eastAsia="zh-CN"/>
              </w:rPr>
              <w:t>。</w:t>
            </w:r>
          </w:p>
          <w:p>
            <w:pPr>
              <w:numPr>
                <w:ilvl w:val="0"/>
                <w:numId w:val="20"/>
              </w:numPr>
              <w:spacing w:line="440" w:lineRule="exact"/>
              <w:rPr>
                <w:rFonts w:ascii="仿宋" w:hAnsi="仿宋" w:eastAsia="仿宋" w:cs="仿宋"/>
                <w:color w:val="auto"/>
                <w:sz w:val="24"/>
              </w:rPr>
            </w:pPr>
            <w:r>
              <w:rPr>
                <w:rFonts w:hint="eastAsia" w:ascii="仿宋" w:hAnsi="仿宋" w:eastAsia="仿宋" w:cs="仿宋"/>
                <w:color w:val="auto"/>
                <w:sz w:val="24"/>
              </w:rPr>
              <w:t>支持关键字设置。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94" w:type="pct"/>
          </w:tcPr>
          <w:p>
            <w:pPr>
              <w:spacing w:line="440" w:lineRule="exact"/>
              <w:rPr>
                <w:rFonts w:ascii="仿宋" w:hAnsi="仿宋" w:eastAsia="仿宋" w:cs="仿宋"/>
                <w:color w:val="auto"/>
                <w:sz w:val="24"/>
              </w:rPr>
            </w:pPr>
            <w:r>
              <w:rPr>
                <w:rFonts w:hint="eastAsia" w:ascii="仿宋" w:hAnsi="仿宋" w:eastAsia="仿宋" w:cs="仿宋"/>
                <w:b/>
                <w:bCs/>
                <w:color w:val="auto"/>
                <w:sz w:val="24"/>
                <w:lang w:val="en-US" w:eastAsia="zh-CN"/>
              </w:rPr>
              <w:t>审查方案设置</w:t>
            </w:r>
            <w:r>
              <w:rPr>
                <w:rFonts w:hint="eastAsia" w:ascii="仿宋" w:hAnsi="仿宋" w:eastAsia="仿宋" w:cs="仿宋"/>
                <w:color w:val="auto"/>
                <w:sz w:val="24"/>
              </w:rPr>
              <w:t>：</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规则复制用于将A医用食品或特医食品的规则复制到B医用食品和或特医食品，快速实现医用食品和特医食品自定义规则的维护。</w:t>
            </w:r>
          </w:p>
          <w:p>
            <w:pPr>
              <w:pStyle w:val="2"/>
              <w:ind w:firstLine="0" w:firstLineChars="0"/>
              <w:rPr>
                <w:color w:val="auto"/>
              </w:rPr>
            </w:pPr>
            <w:r>
              <w:rPr>
                <w:rFonts w:hint="eastAsia" w:ascii="仿宋_GB2312" w:hAnsi="等线" w:eastAsia="仿宋_GB2312" w:cs="宋体"/>
                <w:color w:val="auto"/>
                <w:kern w:val="0"/>
                <w:sz w:val="24"/>
                <w:lang w:val="en-US" w:eastAsia="zh-CN"/>
              </w:rPr>
              <w:t>2、</w:t>
            </w:r>
            <w:r>
              <w:rPr>
                <w:rFonts w:hint="eastAsia" w:ascii="仿宋_GB2312" w:hAnsi="等线" w:eastAsia="仿宋_GB2312" w:cs="宋体"/>
                <w:color w:val="auto"/>
                <w:kern w:val="0"/>
                <w:sz w:val="24"/>
              </w:rPr>
              <w:t>支持定义审查方案，可设置信息包括审查方式和提示信息。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94" w:type="pct"/>
          </w:tcPr>
          <w:p>
            <w:pPr>
              <w:spacing w:line="440" w:lineRule="exact"/>
              <w:rPr>
                <w:rFonts w:ascii="仿宋" w:hAnsi="仿宋" w:eastAsia="仿宋" w:cs="仿宋"/>
                <w:b/>
                <w:bCs/>
                <w:color w:val="auto"/>
                <w:sz w:val="24"/>
              </w:rPr>
            </w:pPr>
            <w:r>
              <w:rPr>
                <w:rFonts w:hint="default" w:ascii="仿宋" w:hAnsi="仿宋" w:eastAsia="仿宋" w:cs="仿宋"/>
                <w:b/>
                <w:bCs/>
                <w:color w:val="auto"/>
                <w:sz w:val="24"/>
                <w:lang w:val="en-US"/>
              </w:rPr>
              <w:t>豁免对象</w:t>
            </w:r>
            <w:r>
              <w:rPr>
                <w:rFonts w:hint="eastAsia" w:ascii="仿宋" w:hAnsi="仿宋" w:eastAsia="仿宋" w:cs="仿宋"/>
                <w:b/>
                <w:bCs/>
                <w:color w:val="auto"/>
                <w:sz w:val="24"/>
                <w:lang w:val="en-US" w:eastAsia="zh-CN"/>
              </w:rPr>
              <w:t>设置</w:t>
            </w:r>
            <w:r>
              <w:rPr>
                <w:rFonts w:hint="eastAsia" w:ascii="仿宋" w:hAnsi="仿宋" w:eastAsia="仿宋" w:cs="仿宋"/>
                <w:b/>
                <w:bCs/>
                <w:color w:val="auto"/>
                <w:sz w:val="24"/>
              </w:rPr>
              <w:t>：</w:t>
            </w:r>
          </w:p>
          <w:p>
            <w:pPr>
              <w:spacing w:line="440" w:lineRule="exact"/>
              <w:rPr>
                <w:rFonts w:ascii="仿宋" w:hAnsi="仿宋" w:eastAsia="仿宋" w:cs="仿宋"/>
                <w:color w:val="auto"/>
                <w:sz w:val="24"/>
              </w:rPr>
            </w:pPr>
            <w:r>
              <w:rPr>
                <w:rFonts w:hint="eastAsia" w:ascii="仿宋_GB2312" w:hAnsi="等线" w:eastAsia="仿宋_GB2312" w:cs="宋体"/>
                <w:color w:val="auto"/>
                <w:kern w:val="0"/>
                <w:sz w:val="24"/>
              </w:rPr>
              <w:t>支持设置豁免规则，依据规则豁免审查</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5" w:type="pct"/>
            <w:vAlign w:val="center"/>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lang w:val="en-US" w:eastAsia="zh-CN"/>
              </w:rPr>
              <w:t>三</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lang w:val="en-US" w:eastAsia="zh-CN"/>
              </w:rPr>
              <w:t>处方</w:t>
            </w:r>
            <w:r>
              <w:rPr>
                <w:rFonts w:hint="eastAsia" w:ascii="仿宋" w:hAnsi="仿宋" w:eastAsia="仿宋" w:cs="仿宋"/>
                <w:b/>
                <w:bCs/>
                <w:color w:val="auto"/>
                <w:sz w:val="24"/>
              </w:rPr>
              <w:t>点评</w:t>
            </w:r>
          </w:p>
          <w:p>
            <w:pPr>
              <w:spacing w:line="440" w:lineRule="exact"/>
              <w:jc w:val="center"/>
              <w:rPr>
                <w:rFonts w:ascii="仿宋" w:hAnsi="仿宋" w:eastAsia="仿宋" w:cs="仿宋"/>
                <w:b/>
                <w:bCs/>
                <w:color w:val="auto"/>
                <w:sz w:val="24"/>
              </w:rPr>
            </w:pPr>
            <w:r>
              <w:rPr>
                <w:rFonts w:hint="eastAsia" w:ascii="仿宋" w:hAnsi="仿宋" w:eastAsia="仿宋" w:cs="仿宋"/>
                <w:b w:val="0"/>
                <w:bCs w:val="0"/>
                <w:color w:val="auto"/>
                <w:sz w:val="24"/>
              </w:rPr>
              <w:t>（HIS系统定时发送涉及医用食品和特医食品的处方给系统，系统支持点评处方明细信息。）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lang w:val="en-US" w:eastAsia="zh-CN"/>
              </w:rPr>
              <w:t>病历筛选</w:t>
            </w:r>
            <w:r>
              <w:rPr>
                <w:rFonts w:hint="eastAsia" w:ascii="仿宋" w:hAnsi="仿宋" w:eastAsia="仿宋" w:cs="仿宋"/>
                <w:b/>
                <w:bCs/>
                <w:color w:val="auto"/>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基于自定义条件筛选点评病例，自定义条件包括但不限于时间维度、患者维度、医生维度、特医食品维度，支持筛选后对筛选处方进行点评任务分配。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lang w:val="en-US" w:eastAsia="zh-CN"/>
              </w:rPr>
              <w:t>任务处理</w:t>
            </w:r>
            <w:r>
              <w:rPr>
                <w:rFonts w:hint="eastAsia" w:ascii="仿宋" w:hAnsi="仿宋" w:eastAsia="仿宋" w:cs="仿宋"/>
                <w:b/>
                <w:bCs/>
                <w:color w:val="auto"/>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支持营养师接受点评任务并进行点评，支持查看点评任务，合并点评任务，查看点评任务状态。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lang w:val="en-US" w:eastAsia="zh-CN"/>
              </w:rPr>
              <w:t>处方</w:t>
            </w:r>
            <w:r>
              <w:rPr>
                <w:rFonts w:hint="eastAsia" w:ascii="仿宋" w:hAnsi="仿宋" w:eastAsia="仿宋" w:cs="仿宋"/>
                <w:b/>
                <w:bCs/>
                <w:color w:val="auto"/>
                <w:sz w:val="24"/>
              </w:rPr>
              <w:t>点评：</w:t>
            </w:r>
          </w:p>
          <w:p>
            <w:pPr>
              <w:numPr>
                <w:ilvl w:val="0"/>
                <w:numId w:val="21"/>
              </w:num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支持用户对系统自动审核通过的处方进行二次点评，点评界面支持</w:t>
            </w:r>
            <w:r>
              <w:rPr>
                <w:rFonts w:hint="eastAsia" w:ascii="仿宋" w:hAnsi="仿宋" w:eastAsia="仿宋" w:cs="仿宋"/>
                <w:color w:val="auto"/>
                <w:sz w:val="24"/>
                <w:lang w:eastAsia="zh-CN"/>
              </w:rPr>
              <w:t>查</w:t>
            </w:r>
            <w:r>
              <w:rPr>
                <w:rFonts w:hint="eastAsia" w:ascii="仿宋" w:hAnsi="仿宋" w:eastAsia="仿宋" w:cs="仿宋"/>
                <w:color w:val="auto"/>
                <w:sz w:val="24"/>
              </w:rPr>
              <w:t>看患者的患者信息、处方/医嘱信息、检查检验信息、费用信息、处方笺及会诊信息</w:t>
            </w:r>
            <w:r>
              <w:rPr>
                <w:rFonts w:hint="eastAsia" w:ascii="仿宋" w:hAnsi="仿宋" w:eastAsia="仿宋" w:cs="仿宋"/>
                <w:color w:val="auto"/>
                <w:sz w:val="24"/>
                <w:lang w:eastAsia="zh-CN"/>
              </w:rPr>
              <w:t>。</w:t>
            </w:r>
          </w:p>
          <w:p>
            <w:pPr>
              <w:numPr>
                <w:ilvl w:val="0"/>
                <w:numId w:val="21"/>
              </w:numPr>
              <w:spacing w:line="440" w:lineRule="exact"/>
              <w:rPr>
                <w:rFonts w:ascii="仿宋" w:hAnsi="仿宋" w:eastAsia="仿宋" w:cs="仿宋"/>
                <w:color w:val="auto"/>
                <w:sz w:val="24"/>
              </w:rPr>
            </w:pPr>
            <w:r>
              <w:rPr>
                <w:rFonts w:hint="eastAsia" w:ascii="仿宋" w:hAnsi="仿宋" w:eastAsia="仿宋" w:cs="仿宋"/>
                <w:color w:val="auto"/>
                <w:sz w:val="24"/>
              </w:rPr>
              <w:t xml:space="preserve">支持查看点评历史，支持点评求助，支持点评复核；保存点评后发送点评信息给医生。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05" w:type="pct"/>
            <w:vAlign w:val="center"/>
          </w:tcPr>
          <w:p>
            <w:pPr>
              <w:spacing w:line="60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4494" w:type="pct"/>
          </w:tcPr>
          <w:p>
            <w:pPr>
              <w:spacing w:line="44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点评反馈：</w:t>
            </w:r>
          </w:p>
          <w:p>
            <w:pPr>
              <w:pStyle w:val="2"/>
              <w:ind w:firstLine="0" w:firstLineChars="0"/>
              <w:rPr>
                <w:rFonts w:hint="default"/>
                <w:color w:val="auto"/>
                <w:lang w:val="en-US" w:eastAsia="zh-CN"/>
              </w:rPr>
            </w:pPr>
            <w:r>
              <w:rPr>
                <w:rFonts w:hint="eastAsia" w:ascii="仿宋" w:hAnsi="仿宋" w:eastAsia="仿宋" w:cs="仿宋"/>
                <w:color w:val="auto"/>
                <w:kern w:val="2"/>
                <w:sz w:val="24"/>
                <w:lang w:val="en-US" w:eastAsia="zh-CN"/>
              </w:rPr>
              <w:t>医生获取点评反馈后，支持查看处方点评信息和营养师点评信息，支持医生对点评的申诉，支持查看申诉信息。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05" w:type="pct"/>
            <w:vAlign w:val="center"/>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lang w:val="en-US" w:eastAsia="zh-CN"/>
              </w:rPr>
              <w:t>四</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系统设置：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系统设置：</w:t>
            </w:r>
          </w:p>
          <w:p>
            <w:pPr>
              <w:spacing w:line="440" w:lineRule="exact"/>
              <w:rPr>
                <w:rFonts w:ascii="仿宋" w:hAnsi="仿宋" w:eastAsia="仿宋" w:cs="仿宋"/>
                <w:color w:val="auto"/>
                <w:sz w:val="24"/>
              </w:rPr>
            </w:pPr>
            <w:r>
              <w:rPr>
                <w:rFonts w:hint="eastAsia" w:ascii="仿宋" w:hAnsi="仿宋" w:eastAsia="仿宋" w:cs="仿宋"/>
                <w:color w:val="auto"/>
                <w:sz w:val="24"/>
              </w:rPr>
              <w:t>用于设置系统信息。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05" w:type="pct"/>
            <w:vAlign w:val="center"/>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lang w:val="en-US" w:eastAsia="zh-CN"/>
              </w:rPr>
              <w:t>五</w:t>
            </w:r>
          </w:p>
        </w:tc>
        <w:tc>
          <w:tcPr>
            <w:tcW w:w="4494" w:type="pct"/>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rPr>
              <w:t>用户管理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用户管理：</w:t>
            </w:r>
          </w:p>
          <w:p>
            <w:pPr>
              <w:spacing w:line="440" w:lineRule="exact"/>
              <w:rPr>
                <w:rFonts w:ascii="仿宋" w:hAnsi="仿宋" w:eastAsia="仿宋" w:cs="仿宋"/>
                <w:color w:val="auto"/>
                <w:sz w:val="24"/>
              </w:rPr>
            </w:pPr>
            <w:r>
              <w:rPr>
                <w:rFonts w:hint="eastAsia" w:ascii="仿宋" w:hAnsi="仿宋" w:eastAsia="仿宋" w:cs="仿宋"/>
                <w:color w:val="auto"/>
                <w:sz w:val="24"/>
              </w:rPr>
              <w:t>管理系统用户和权限数据。</w:t>
            </w:r>
            <w:r>
              <w:rPr>
                <w:rFonts w:hint="eastAsia" w:ascii="仿宋_GB2312" w:hAnsi="等线" w:eastAsia="仿宋_GB2312" w:cs="宋体"/>
                <w:color w:val="auto"/>
                <w:kern w:val="0"/>
                <w:sz w:val="24"/>
              </w:rPr>
              <w:t>支持用户的增删改查；支持系统权限控制；支持用户的密码重置、信息修改等。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5" w:type="pct"/>
            <w:vAlign w:val="center"/>
          </w:tcPr>
          <w:p>
            <w:pPr>
              <w:spacing w:line="600" w:lineRule="exact"/>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六</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lang w:eastAsia="zh-Hans"/>
              </w:rPr>
              <w:t>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统计分析：</w:t>
            </w:r>
          </w:p>
          <w:p>
            <w:pPr>
              <w:pStyle w:val="2"/>
              <w:ind w:firstLine="0" w:firstLineChars="0"/>
              <w:rPr>
                <w:color w:val="auto"/>
              </w:rPr>
            </w:pPr>
            <w:r>
              <w:rPr>
                <w:rFonts w:hint="eastAsia" w:ascii="仿宋" w:hAnsi="仿宋" w:eastAsia="仿宋" w:cs="仿宋"/>
                <w:color w:val="auto"/>
                <w:kern w:val="2"/>
                <w:sz w:val="24"/>
                <w:szCs w:val="24"/>
              </w:rPr>
              <w:t>支持对审查信息进行统计分析，支持用户自建报表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05" w:type="pct"/>
            <w:vAlign w:val="center"/>
          </w:tcPr>
          <w:p>
            <w:pPr>
              <w:spacing w:line="44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七</w:t>
            </w:r>
          </w:p>
        </w:tc>
        <w:tc>
          <w:tcPr>
            <w:tcW w:w="4494"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数据日志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05"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94" w:type="pct"/>
          </w:tcPr>
          <w:p>
            <w:pPr>
              <w:spacing w:line="440" w:lineRule="exact"/>
              <w:rPr>
                <w:rFonts w:ascii="仿宋" w:hAnsi="仿宋" w:eastAsia="仿宋" w:cs="仿宋"/>
                <w:color w:val="auto"/>
                <w:sz w:val="24"/>
              </w:rPr>
            </w:pPr>
            <w:r>
              <w:rPr>
                <w:rFonts w:hint="eastAsia" w:ascii="仿宋" w:hAnsi="仿宋" w:eastAsia="仿宋" w:cs="仿宋"/>
                <w:color w:val="auto"/>
                <w:sz w:val="24"/>
              </w:rPr>
              <w:t>数据日志：</w:t>
            </w:r>
          </w:p>
          <w:p>
            <w:pPr>
              <w:spacing w:line="440" w:lineRule="exact"/>
              <w:rPr>
                <w:rFonts w:ascii="仿宋" w:hAnsi="仿宋" w:eastAsia="仿宋" w:cs="仿宋"/>
                <w:color w:val="auto"/>
                <w:sz w:val="24"/>
              </w:rPr>
            </w:pPr>
            <w:r>
              <w:rPr>
                <w:rFonts w:hint="eastAsia" w:ascii="仿宋" w:hAnsi="仿宋" w:eastAsia="仿宋" w:cs="仿宋"/>
                <w:color w:val="auto"/>
                <w:sz w:val="24"/>
              </w:rPr>
              <w:t>记录系统审查日志信息和用户操作信息。</w:t>
            </w:r>
          </w:p>
        </w:tc>
      </w:tr>
    </w:tbl>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仿宋_GB2312" w:hAnsi="宋体" w:eastAsia="仿宋_GB2312"/>
          <w:b/>
          <w:sz w:val="24"/>
        </w:rPr>
      </w:pPr>
      <w:r>
        <w:rPr>
          <w:rFonts w:hint="eastAsia" w:ascii="仿宋_GB2312" w:hAnsi="宋体" w:eastAsia="仿宋_GB2312"/>
          <w:b/>
          <w:sz w:val="24"/>
        </w:rPr>
        <w:t>注:</w:t>
      </w:r>
    </w:p>
    <w:p>
      <w:pPr>
        <w:pStyle w:val="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仿宋" w:hAnsi="仿宋" w:eastAsia="仿宋" w:cs="仿宋"/>
          <w:b/>
          <w:bCs/>
          <w:sz w:val="24"/>
        </w:rPr>
      </w:pPr>
      <w:r>
        <w:rPr>
          <w:rFonts w:hint="eastAsia" w:ascii="仿宋" w:hAnsi="仿宋" w:eastAsia="仿宋" w:cs="仿宋"/>
          <w:b/>
          <w:sz w:val="24"/>
        </w:rPr>
        <w:t>1、支持达到电子病历六级、智慧管理六级及智慧服务四级信息建设要求，须每年提供相关操作文档包括开发文档及数据采集相关材料。</w:t>
      </w:r>
      <w:r>
        <w:rPr>
          <w:rFonts w:ascii="仿宋" w:hAnsi="仿宋" w:eastAsia="仿宋" w:cs="仿宋"/>
          <w:b/>
          <w:sz w:val="24"/>
        </w:rPr>
        <w:br w:type="textWrapping"/>
      </w:r>
      <w:r>
        <w:rPr>
          <w:rFonts w:ascii="仿宋" w:hAnsi="仿宋" w:eastAsia="仿宋" w:cs="仿宋"/>
          <w:b/>
          <w:sz w:val="24"/>
        </w:rPr>
        <w:t>2、维保期内未涉及产品框架改造，投标人应按医院业务需求修改，不收取任何费用。</w:t>
      </w:r>
      <w:r>
        <w:rPr>
          <w:rFonts w:ascii="仿宋" w:hAnsi="仿宋" w:eastAsia="仿宋" w:cs="仿宋"/>
          <w:b/>
          <w:sz w:val="24"/>
        </w:rPr>
        <w:br w:type="textWrapping"/>
      </w:r>
      <w:r>
        <w:rPr>
          <w:rFonts w:ascii="仿宋" w:hAnsi="仿宋" w:eastAsia="仿宋" w:cs="仿宋"/>
          <w:b/>
          <w:sz w:val="24"/>
        </w:rPr>
        <w:t>3、系统应符合应用系统等保要求。</w:t>
      </w:r>
      <w:r>
        <w:rPr>
          <w:rFonts w:ascii="仿宋" w:hAnsi="仿宋" w:eastAsia="仿宋" w:cs="仿宋"/>
          <w:b/>
          <w:sz w:val="24"/>
        </w:rPr>
        <w:br w:type="textWrapping"/>
      </w:r>
      <w:r>
        <w:rPr>
          <w:rFonts w:ascii="仿宋" w:hAnsi="仿宋" w:eastAsia="仿宋" w:cs="仿宋"/>
          <w:b/>
          <w:sz w:val="24"/>
        </w:rPr>
        <w:t>4、此项目实施过程中所产生的一切实施费用均包含在投标报价中。</w:t>
      </w:r>
      <w:r>
        <w:rPr>
          <w:rFonts w:ascii="仿宋" w:hAnsi="仿宋" w:eastAsia="仿宋" w:cs="仿宋"/>
          <w:b/>
          <w:sz w:val="24"/>
        </w:rPr>
        <w:br w:type="textWrapping"/>
      </w:r>
      <w:r>
        <w:rPr>
          <w:rFonts w:ascii="仿宋" w:hAnsi="仿宋" w:eastAsia="仿宋" w:cs="仿宋"/>
          <w:b/>
          <w:sz w:val="24"/>
        </w:rPr>
        <w:t>5、投标方提供免费接口供其它系统使用及认证并承担与本软件相关的His、PACS、LIS、集成平台等相关医院信息系统接口费用。</w:t>
      </w:r>
      <w:r>
        <w:rPr>
          <w:rFonts w:ascii="仿宋" w:hAnsi="仿宋" w:eastAsia="仿宋" w:cs="仿宋"/>
          <w:b/>
          <w:sz w:val="24"/>
        </w:rPr>
        <w:br w:type="textWrapping"/>
      </w:r>
      <w:r>
        <w:rPr>
          <w:rFonts w:ascii="仿宋" w:hAnsi="仿宋" w:eastAsia="仿宋" w:cs="仿宋"/>
          <w:b/>
          <w:sz w:val="24"/>
        </w:rPr>
        <w:t>6、本项目系统支持绍兴市人民医院一院两区。</w:t>
      </w:r>
    </w:p>
    <w:p>
      <w:pPr>
        <w:spacing w:line="360" w:lineRule="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、项目实施进度要求：</w:t>
      </w:r>
    </w:p>
    <w:bookmarkEnd w:id="4"/>
    <w:bookmarkEnd w:id="9"/>
    <w:bookmarkEnd w:id="10"/>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仿宋_GB2312" w:hAnsi="宋体" w:eastAsia="仿宋_GB2312"/>
          <w:sz w:val="24"/>
        </w:rPr>
      </w:pPr>
      <w:r>
        <w:rPr>
          <w:rFonts w:hint="eastAsia" w:ascii="仿宋_GB2312" w:hAnsi="宋体" w:eastAsia="仿宋_GB2312"/>
          <w:sz w:val="24"/>
          <w:lang w:val="en-US" w:eastAsia="zh-CN"/>
        </w:rPr>
        <w:t>2.1</w:t>
      </w:r>
      <w:r>
        <w:rPr>
          <w:rFonts w:hint="eastAsia" w:ascii="仿宋_GB2312" w:hAnsi="宋体" w:eastAsia="仿宋_GB2312"/>
          <w:sz w:val="24"/>
        </w:rPr>
        <w:t>安装地点：绍兴市人民医院。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2.2</w:t>
      </w:r>
      <w:r>
        <w:rPr>
          <w:rFonts w:hint="eastAsia" w:ascii="仿宋_GB2312" w:hAnsi="宋体" w:eastAsia="仿宋_GB2312"/>
          <w:sz w:val="24"/>
        </w:rPr>
        <w:t>项目完成时间：自合同签订后，3个月内完成，投标人应在投标文件中标明工期及实施计划、进度。</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三</w:t>
      </w:r>
      <w:r>
        <w:rPr>
          <w:rFonts w:hint="eastAsia" w:ascii="仿宋" w:hAnsi="仿宋" w:eastAsia="仿宋" w:cs="仿宋"/>
          <w:b/>
          <w:bCs/>
          <w:sz w:val="24"/>
          <w:lang w:val="zh-CN"/>
        </w:rPr>
        <w:t>、项目培训要求：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系统操作培训：</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1.主要面向使用人员，投标人需提供操作培训及文档，线下至少培训2个工作人员熟练掌握自定义规则。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2.需要定期对医院工作人员进行系统操作培训。</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四</w:t>
      </w:r>
      <w:r>
        <w:rPr>
          <w:rFonts w:hint="eastAsia" w:ascii="仿宋" w:hAnsi="仿宋" w:eastAsia="仿宋" w:cs="仿宋"/>
          <w:b/>
          <w:bCs/>
          <w:sz w:val="24"/>
          <w:lang w:val="zh-CN"/>
        </w:rPr>
        <w:t>、项目售后服务要求：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4.1投标人必须根据本次招标文件所制定的目标和范围，提出相应的售后服务方案。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4.2提供7*24小时日常服务，通过提供邮件、电话、VPN远程连接等技术支持方式，以解决日常系统出现的问题咨询和故障处理。当采购人出现紧急故障情况时，立即向投标人电话报修，要求投标人10分钟内响应，积极配合诊断并进行处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4.3要求针对本项目成立软件开发实施项目组，明确项目经理及其他具体人员组成和分工。项目经理负责定期每月向甲方提交工作计划月报以及每周提交工作周报总结，监管项目按进度和计划有效开展。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4.4在本合同项目实施及维保期间内，投标人应承诺对合同范围内的产品免费提供更新、升级服务。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4.5免费质保期：自项目验收之日起，至少为期1年免费质保（具体质保期按投标文件中响应文件为准）。</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五</w:t>
      </w:r>
      <w:r>
        <w:rPr>
          <w:rFonts w:hint="eastAsia" w:ascii="仿宋" w:hAnsi="仿宋" w:eastAsia="仿宋" w:cs="仿宋"/>
          <w:b/>
          <w:bCs/>
          <w:sz w:val="24"/>
          <w:lang w:val="zh-CN"/>
        </w:rPr>
        <w:t>、项目验收要求：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360" w:lineRule="auto"/>
        <w:ind w:firstLine="480" w:firstLineChars="20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实施确认书；</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培训资料；</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安装维护手册；</w:t>
      </w:r>
    </w:p>
    <w:p>
      <w:pPr>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使用操作手册；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ascii="仿宋" w:hAnsi="仿宋" w:eastAsia="仿宋" w:cs="仿宋"/>
          <w:sz w:val="24"/>
        </w:rPr>
        <w:t>(</w:t>
      </w: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项目验收报告。</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六</w:t>
      </w:r>
      <w:r>
        <w:rPr>
          <w:rFonts w:hint="eastAsia" w:ascii="仿宋" w:hAnsi="仿宋" w:eastAsia="仿宋" w:cs="仿宋"/>
          <w:b/>
          <w:bCs/>
          <w:sz w:val="24"/>
          <w:lang w:val="zh-CN"/>
        </w:rPr>
        <w:t>、付款方式：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b w:val="0"/>
          <w:bCs w:val="0"/>
          <w:sz w:val="24"/>
          <w:lang w:val="zh-CN"/>
        </w:rPr>
      </w:pPr>
      <w:r>
        <w:rPr>
          <w:rFonts w:hint="eastAsia" w:ascii="仿宋" w:hAnsi="仿宋" w:eastAsia="仿宋" w:cs="仿宋"/>
          <w:b w:val="0"/>
          <w:bCs w:val="0"/>
          <w:sz w:val="24"/>
          <w:lang w:val="zh-CN"/>
        </w:rPr>
        <w:t>按《浙江省财政厅关于进一步发挥政府采购政策 功能全力推动经济稳进提质的通知》（浙财采监〔2022〕3号）等文件要求执行，具体付款方式由双方协商后在合同中明确。</w:t>
      </w:r>
    </w:p>
    <w:p>
      <w:pPr>
        <w:pStyle w:val="81"/>
        <w:rPr>
          <w:rFonts w:hint="eastAsia" w:ascii="仿宋" w:hAnsi="仿宋" w:eastAsia="仿宋" w:cs="仿宋"/>
          <w:b w:val="0"/>
          <w:bCs w:val="0"/>
          <w:sz w:val="24"/>
          <w:lang w:val="zh-CN"/>
        </w:rPr>
      </w:pPr>
    </w:p>
    <w:p>
      <w:pPr>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4"/>
        </w:rPr>
      </w:pPr>
      <w:r>
        <w:rPr>
          <w:rFonts w:hint="eastAsia" w:ascii="仿宋" w:hAnsi="仿宋" w:eastAsia="仿宋" w:cs="仿宋"/>
          <w:b/>
          <w:bCs/>
          <w:sz w:val="24"/>
          <w:bdr w:val="single" w:color="auto" w:sz="4" w:space="0"/>
        </w:rPr>
        <w:t>0</w:t>
      </w:r>
      <w:r>
        <w:rPr>
          <w:rFonts w:hint="eastAsia" w:ascii="仿宋" w:hAnsi="仿宋" w:eastAsia="仿宋" w:cs="仿宋"/>
          <w:b/>
          <w:bCs/>
          <w:sz w:val="24"/>
          <w:bdr w:val="single" w:color="auto" w:sz="4" w:space="0"/>
          <w:lang w:val="en-US" w:eastAsia="zh-CN"/>
        </w:rPr>
        <w:t>2</w:t>
      </w:r>
      <w:r>
        <w:rPr>
          <w:rFonts w:hint="eastAsia" w:ascii="仿宋" w:hAnsi="仿宋" w:eastAsia="仿宋" w:cs="仿宋"/>
          <w:b/>
          <w:bCs/>
          <w:sz w:val="24"/>
          <w:bdr w:val="single" w:color="auto" w:sz="4" w:space="0"/>
        </w:rPr>
        <w:t>标</w:t>
      </w:r>
      <w:r>
        <w:rPr>
          <w:rFonts w:hint="eastAsia" w:ascii="仿宋" w:hAnsi="仿宋" w:eastAsia="仿宋" w:cs="仿宋"/>
          <w:b/>
          <w:bCs/>
          <w:sz w:val="24"/>
          <w:lang w:eastAsia="zh-CN"/>
        </w:rPr>
        <w:t>绍兴市人民医院智慧医保管理平台采购项目</w:t>
      </w:r>
      <w:r>
        <w:rPr>
          <w:rFonts w:hint="eastAsia" w:ascii="仿宋" w:hAnsi="仿宋" w:eastAsia="仿宋" w:cs="仿宋"/>
          <w:b/>
          <w:bCs/>
          <w:sz w:val="24"/>
        </w:rPr>
        <w:t xml:space="preserve">     </w:t>
      </w:r>
      <w:r>
        <w:rPr>
          <w:rFonts w:hint="eastAsia" w:ascii="仿宋" w:hAnsi="仿宋" w:eastAsia="仿宋" w:cs="仿宋"/>
          <w:b/>
          <w:sz w:val="24"/>
        </w:rPr>
        <w:t>预算金额：</w:t>
      </w:r>
      <w:r>
        <w:rPr>
          <w:rFonts w:hint="eastAsia" w:ascii="仿宋" w:hAnsi="仿宋" w:eastAsia="仿宋" w:cs="仿宋"/>
          <w:b/>
          <w:sz w:val="24"/>
          <w:lang w:val="en-US" w:eastAsia="zh-CN"/>
        </w:rPr>
        <w:t>720000</w:t>
      </w:r>
      <w:r>
        <w:rPr>
          <w:rFonts w:hint="eastAsia" w:ascii="仿宋" w:hAnsi="仿宋" w:eastAsia="仿宋" w:cs="仿宋"/>
          <w:b/>
          <w:sz w:val="24"/>
        </w:rPr>
        <w:t>元</w:t>
      </w:r>
    </w:p>
    <w:p>
      <w:pPr>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仿宋" w:hAnsi="仿宋" w:eastAsia="仿宋" w:cs="仿宋"/>
          <w:b/>
          <w:bCs/>
          <w:sz w:val="24"/>
        </w:rPr>
      </w:pPr>
      <w:r>
        <w:rPr>
          <w:rFonts w:hint="eastAsia" w:ascii="仿宋" w:hAnsi="仿宋" w:eastAsia="仿宋" w:cs="仿宋"/>
          <w:b/>
          <w:bCs/>
          <w:kern w:val="2"/>
          <w:sz w:val="24"/>
          <w:szCs w:val="24"/>
          <w:lang w:val="en-US" w:eastAsia="zh-CN" w:bidi="ar-SA"/>
        </w:rPr>
        <w:t>一、</w:t>
      </w:r>
      <w:r>
        <w:rPr>
          <w:rFonts w:hint="eastAsia" w:ascii="仿宋" w:hAnsi="仿宋" w:eastAsia="仿宋" w:cs="仿宋"/>
          <w:b/>
          <w:bCs/>
          <w:sz w:val="24"/>
        </w:rPr>
        <w:t>招标内容及需求</w:t>
      </w:r>
    </w:p>
    <w:p>
      <w:pPr>
        <w:pStyle w:val="6"/>
        <w:pageBreakBefore w:val="0"/>
        <w:widowControl w:val="0"/>
        <w:numPr>
          <w:ilvl w:val="0"/>
          <w:numId w:val="0"/>
        </w:numPr>
        <w:kinsoku/>
        <w:wordWrap/>
        <w:overflowPunct/>
        <w:topLinePunct w:val="0"/>
        <w:autoSpaceDE/>
        <w:autoSpaceDN/>
        <w:bidi w:val="0"/>
        <w:adjustRightInd/>
        <w:spacing w:before="0" w:after="0" w:line="360" w:lineRule="auto"/>
        <w:ind w:leftChars="0"/>
        <w:textAlignment w:val="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、采购内容一览表</w:t>
      </w:r>
    </w:p>
    <w:tbl>
      <w:tblPr>
        <w:tblStyle w:val="65"/>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序号</w:t>
            </w:r>
          </w:p>
        </w:tc>
        <w:tc>
          <w:tcPr>
            <w:tcW w:w="3575"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名称</w:t>
            </w:r>
          </w:p>
        </w:tc>
        <w:tc>
          <w:tcPr>
            <w:tcW w:w="3142"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功能要求</w:t>
            </w:r>
          </w:p>
        </w:tc>
        <w:tc>
          <w:tcPr>
            <w:tcW w:w="1384"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3575"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智慧医保管理平台</w:t>
            </w:r>
          </w:p>
        </w:tc>
        <w:tc>
          <w:tcPr>
            <w:tcW w:w="3142"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详见技术参数要求表</w:t>
            </w:r>
          </w:p>
        </w:tc>
        <w:tc>
          <w:tcPr>
            <w:tcW w:w="1384"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仿宋" w:hAnsi="仿宋" w:eastAsia="仿宋"/>
          <w:sz w:val="24"/>
          <w:szCs w:val="24"/>
        </w:rPr>
      </w:pPr>
      <w:bookmarkStart w:id="12" w:name="_Toc6472868"/>
      <w:r>
        <w:rPr>
          <w:rFonts w:hint="eastAsia" w:ascii="仿宋" w:hAnsi="仿宋" w:eastAsia="仿宋"/>
          <w:sz w:val="24"/>
          <w:szCs w:val="24"/>
        </w:rPr>
        <w:t>1.2、</w:t>
      </w:r>
      <w:bookmarkEnd w:id="12"/>
      <w:r>
        <w:rPr>
          <w:rFonts w:hint="eastAsia" w:ascii="仿宋" w:hAnsi="仿宋" w:eastAsia="仿宋"/>
          <w:sz w:val="24"/>
          <w:szCs w:val="24"/>
        </w:rPr>
        <w:t>项目要求</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仿宋" w:hAnsi="仿宋" w:eastAsia="仿宋"/>
          <w:sz w:val="24"/>
          <w:szCs w:val="24"/>
        </w:rPr>
      </w:pPr>
      <w:r>
        <w:rPr>
          <w:rFonts w:hint="eastAsia" w:ascii="仿宋" w:hAnsi="仿宋" w:eastAsia="仿宋"/>
          <w:sz w:val="24"/>
          <w:szCs w:val="24"/>
        </w:rPr>
        <w:t>1.2.1指导思想</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医院是医疗保障的提供方，提供基本的医疗服务，而医保是医疗保障内容，保障公民的基本医疗服务。医院和医保目标都是保障区域居民的健康。但是由于资源的缺少和有限性与需要无限性之间的矛盾是客观存在的，所以医院和医保又是对立统一的双方。当医院和保方利益达到平衡时，患者的利益也就得到了保障，医方和保方必须长期、有效的合作、协调沟通才能实现共赢。</w:t>
      </w:r>
    </w:p>
    <w:p>
      <w:pPr>
        <w:pStyle w:val="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在行业自律的大环境下，医院需要不断的提高自己的管理水平，从之前以数量增长为主的粗放式经营逐步转为以质量提升为主的精细化管理模式转变。在这个过程中就需要医院在成本管理、经营结构调整、临床路径管理等方面加强投入，实现医院的战略转型。</w:t>
      </w:r>
    </w:p>
    <w:p>
      <w:pPr>
        <w:pStyle w:val="8"/>
        <w:ind w:firstLine="0" w:firstLineChars="0"/>
        <w:rPr>
          <w:rFonts w:ascii="仿宋" w:hAnsi="仿宋" w:eastAsia="仿宋"/>
          <w:sz w:val="24"/>
        </w:rPr>
      </w:pPr>
      <w:r>
        <w:rPr>
          <w:rFonts w:hint="eastAsia" w:ascii="仿宋" w:hAnsi="仿宋" w:eastAsia="仿宋"/>
          <w:b/>
          <w:bCs/>
          <w:sz w:val="24"/>
        </w:rPr>
        <w:t>1.2.2规划设计</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充分利用信息化的手段，完善院内自查自测机制，全面实现“统一运作、整合资源、提升管理、优化服务”的信息化目标，进一步提升医院信息化建设水平，提高医保办办事效率及服务质量，违规数据有效治理，实现医保违规数据可视化，透明化。</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（一）统一运作</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建设整体的信息化运作体系，以统一规划为指导，以统一标准规范、管理制度和安全体系建立为手段，实现集团信息化建设、管理与维护的整体、协调、一体化运作。</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（二）整合资源</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以医院医保办为主管部门，实现院内各个科室细致化管理，充分利用信息化资源，对现有信息资源进行整合与共享，各个科室可以利用信息化手段，查看到每个月的医保行为数据分析情况，科室内的医生违规情况等信息，进而提高医院整体医疗质量。</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（三）提升管理</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通过信息化建设，实现医院内部办公协同化、信息网络化、业务电子化和决策分析数字化，全面提升医保办事的工作效能、管理水平和决策能力。</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（四）优化服务</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建立医保管理医保审核服务系统，提升整体医疗服务质量和水平，为患者提供更优质的医疗服务。</w:t>
      </w:r>
    </w:p>
    <w:p>
      <w:pPr>
        <w:pStyle w:val="8"/>
        <w:ind w:firstLine="0" w:firstLineChars="0"/>
        <w:rPr>
          <w:rFonts w:ascii="仿宋" w:hAnsi="仿宋" w:eastAsia="仿宋"/>
          <w:sz w:val="24"/>
        </w:rPr>
      </w:pPr>
      <w:r>
        <w:rPr>
          <w:rFonts w:hint="eastAsia" w:ascii="仿宋" w:hAnsi="仿宋" w:eastAsia="仿宋"/>
          <w:b/>
          <w:bCs/>
          <w:sz w:val="24"/>
        </w:rPr>
        <w:t>1.2.3建设目标</w:t>
      </w:r>
    </w:p>
    <w:p>
      <w:pPr>
        <w:pStyle w:val="8"/>
        <w:spacing w:line="360" w:lineRule="auto"/>
        <w:ind w:firstLine="480"/>
        <w:rPr>
          <w:rFonts w:ascii="仿宋" w:hAnsi="仿宋" w:eastAsia="仿宋" w:cs="仿宋"/>
          <w:color w:val="000000"/>
          <w:sz w:val="24"/>
        </w:rPr>
      </w:pPr>
      <w:r>
        <w:rPr>
          <w:rFonts w:hint="eastAsia" w:ascii="仿宋" w:hAnsi="仿宋" w:eastAsia="仿宋" w:cs="仿宋"/>
          <w:color w:val="000000"/>
          <w:sz w:val="24"/>
        </w:rPr>
        <w:t>根据国家医疗保障局对于医保基金监管的要求，同时结合浙江省医疗保障局的指导意见：信息化建设的重点为利用信息化的手段建设“一个平台、二大系统”，即建立医保自律平台；建立和完善以医疗行为管理为主线、以成本、安全和质量管理为核心的综合项目管理系统，建立和完善以互联网和大数据库技术为基础的数据管理系统。建立医保自律管理信息平台，院内各系统数据的抽取；建立医保数据分析模型，已实现现代化、透明化、节约化和快速化医疗行为管理解决方案。</w:t>
      </w:r>
    </w:p>
    <w:p>
      <w:pPr>
        <w:pStyle w:val="6"/>
        <w:numPr>
          <w:ilvl w:val="0"/>
          <w:numId w:val="0"/>
        </w:numPr>
        <w:spacing w:before="0" w:after="0" w:line="360" w:lineRule="auto"/>
        <w:ind w:leftChars="0"/>
      </w:pPr>
      <w:r>
        <w:rPr>
          <w:rFonts w:hint="eastAsia" w:ascii="仿宋" w:hAnsi="仿宋" w:eastAsia="仿宋"/>
          <w:sz w:val="24"/>
          <w:szCs w:val="24"/>
        </w:rPr>
        <w:t>1.</w:t>
      </w:r>
      <w:r>
        <w:rPr>
          <w:rFonts w:hint="eastAsia" w:ascii="仿宋" w:hAnsi="仿宋" w:eastAsia="仿宋"/>
          <w:sz w:val="24"/>
          <w:szCs w:val="24"/>
          <w:lang w:val="en-US" w:eastAsia="zh-CN"/>
        </w:rPr>
        <w:t>3</w:t>
      </w:r>
      <w:r>
        <w:rPr>
          <w:rFonts w:hint="eastAsia" w:ascii="仿宋" w:hAnsi="仿宋" w:eastAsia="仿宋"/>
          <w:sz w:val="24"/>
          <w:szCs w:val="24"/>
        </w:rPr>
        <w:t>、</w:t>
      </w:r>
      <w:r>
        <w:rPr>
          <w:rFonts w:hint="eastAsia" w:ascii="仿宋_GB2312" w:hAnsi="宋体" w:eastAsia="仿宋_GB2312"/>
          <w:sz w:val="24"/>
        </w:rPr>
        <w:t>智慧医保管理平台采购项目功能模块及其它要求</w:t>
      </w:r>
    </w:p>
    <w:tbl>
      <w:tblPr>
        <w:tblStyle w:val="64"/>
        <w:tblW w:w="51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序号</w:t>
            </w:r>
          </w:p>
        </w:tc>
        <w:tc>
          <w:tcPr>
            <w:tcW w:w="4490" w:type="pct"/>
            <w:vAlign w:val="center"/>
          </w:tcPr>
          <w:p>
            <w:pPr>
              <w:spacing w:line="600" w:lineRule="exact"/>
              <w:jc w:val="cente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一</w:t>
            </w:r>
          </w:p>
        </w:tc>
        <w:tc>
          <w:tcPr>
            <w:tcW w:w="4490"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数据中心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数据中心</w:t>
            </w:r>
          </w:p>
          <w:p>
            <w:pPr>
              <w:spacing w:line="440" w:lineRule="exact"/>
              <w:rPr>
                <w:rFonts w:ascii="仿宋" w:hAnsi="仿宋" w:eastAsia="仿宋" w:cs="仿宋"/>
                <w:sz w:val="24"/>
              </w:rPr>
            </w:pPr>
            <w:r>
              <w:rPr>
                <w:rFonts w:hint="eastAsia" w:ascii="仿宋" w:hAnsi="仿宋" w:eastAsia="仿宋" w:cs="仿宋"/>
                <w:sz w:val="24"/>
              </w:rPr>
              <w:t>根据用户医保主体数据为主索引，通过抽取工具，对接抽取各个系统中关于该主体相关的数据构建医保大数据管理数据仓库。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数据模型管理：</w:t>
            </w:r>
          </w:p>
          <w:p>
            <w:pPr>
              <w:spacing w:line="440" w:lineRule="exact"/>
              <w:rPr>
                <w:rFonts w:ascii="仿宋" w:hAnsi="仿宋" w:eastAsia="仿宋" w:cs="仿宋"/>
                <w:sz w:val="24"/>
              </w:rPr>
            </w:pPr>
            <w:r>
              <w:rPr>
                <w:rFonts w:hint="eastAsia" w:ascii="仿宋" w:hAnsi="仿宋" w:eastAsia="仿宋" w:cs="仿宋"/>
                <w:sz w:val="24"/>
              </w:rPr>
              <w:t>1.支持查看医保部门所需等业务数据表结构，字段，字段的属性等；</w:t>
            </w:r>
          </w:p>
          <w:p>
            <w:pPr>
              <w:spacing w:line="440" w:lineRule="exact"/>
              <w:rPr>
                <w:rFonts w:ascii="仿宋" w:hAnsi="仿宋" w:eastAsia="仿宋" w:cs="仿宋"/>
                <w:sz w:val="24"/>
              </w:rPr>
            </w:pPr>
            <w:r>
              <w:rPr>
                <w:rFonts w:hint="eastAsia" w:ascii="仿宋" w:hAnsi="仿宋" w:eastAsia="仿宋" w:cs="仿宋"/>
                <w:sz w:val="24"/>
              </w:rPr>
              <w:t>2.支持查看每个表的数据量，数据明细。提供搜索及管理等功能；</w:t>
            </w:r>
          </w:p>
          <w:p>
            <w:pPr>
              <w:spacing w:line="440" w:lineRule="exact"/>
              <w:rPr>
                <w:rFonts w:ascii="仿宋" w:hAnsi="仿宋" w:eastAsia="仿宋" w:cs="仿宋"/>
                <w:sz w:val="24"/>
              </w:rPr>
            </w:pPr>
            <w:r>
              <w:rPr>
                <w:rFonts w:hint="eastAsia" w:ascii="仿宋" w:hAnsi="仿宋" w:eastAsia="仿宋" w:cs="仿宋"/>
                <w:sz w:val="24"/>
              </w:rPr>
              <w:t>3.支持用建模工具或者数据库管理软件对数据模型进行管理。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二</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患者数据统计：</w:t>
            </w:r>
          </w:p>
          <w:p>
            <w:pPr>
              <w:spacing w:line="440" w:lineRule="exact"/>
              <w:rPr>
                <w:rFonts w:ascii="仿宋" w:hAnsi="仿宋" w:eastAsia="仿宋" w:cs="仿宋"/>
                <w:sz w:val="24"/>
              </w:rPr>
            </w:pPr>
            <w:r>
              <w:rPr>
                <w:rFonts w:hint="eastAsia" w:ascii="仿宋" w:hAnsi="仿宋" w:eastAsia="仿宋" w:cs="仿宋"/>
                <w:sz w:val="24"/>
              </w:rPr>
              <w:t>1.支持多模式查看参保患者临床数据信息。</w:t>
            </w:r>
          </w:p>
          <w:p>
            <w:pPr>
              <w:spacing w:line="440" w:lineRule="exact"/>
            </w:pPr>
            <w:r>
              <w:rPr>
                <w:rFonts w:hint="eastAsia" w:ascii="仿宋" w:hAnsi="仿宋" w:eastAsia="仿宋" w:cs="仿宋"/>
                <w:sz w:val="24"/>
              </w:rPr>
              <w:t>2.数据域包含：门诊病历、门诊申请单、门诊处方、门诊就诊登记、门诊检验检查报告、门诊结算。住院入出院登记、住院医嘱、住院检验检查报告、住院计费、住院结算等。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pStyle w:val="1041"/>
              <w:ind w:firstLine="0" w:firstLineChars="0"/>
              <w:rPr>
                <w:rFonts w:ascii="仿宋" w:hAnsi="仿宋" w:eastAsia="仿宋" w:cs="仿宋"/>
                <w:b/>
                <w:bCs/>
                <w:sz w:val="24"/>
              </w:rPr>
            </w:pPr>
            <w:r>
              <w:rPr>
                <w:rFonts w:hint="eastAsia" w:ascii="仿宋" w:hAnsi="仿宋" w:eastAsia="仿宋" w:cs="仿宋"/>
                <w:b/>
                <w:bCs/>
                <w:sz w:val="24"/>
              </w:rPr>
              <w:t>医保业务统计：</w:t>
            </w:r>
          </w:p>
          <w:p>
            <w:pPr>
              <w:pStyle w:val="1041"/>
              <w:ind w:firstLine="0" w:firstLineChars="0"/>
              <w:rPr>
                <w:rFonts w:ascii="仿宋" w:hAnsi="仿宋" w:eastAsia="仿宋" w:cs="仿宋"/>
                <w:sz w:val="24"/>
              </w:rPr>
            </w:pPr>
            <w:r>
              <w:rPr>
                <w:rFonts w:hint="eastAsia" w:ascii="仿宋" w:hAnsi="仿宋" w:eastAsia="仿宋" w:cs="仿宋"/>
                <w:sz w:val="24"/>
              </w:rPr>
              <w:t>1、根据医保数据业务统计需求，可以灵活的选择查询条件，设置统计指标，生成医保部门统计数据、报表。</w:t>
            </w:r>
          </w:p>
          <w:p>
            <w:pPr>
              <w:pStyle w:val="1041"/>
              <w:ind w:firstLine="0" w:firstLineChars="0"/>
              <w:rPr>
                <w:rFonts w:ascii="仿宋" w:hAnsi="仿宋" w:eastAsia="仿宋" w:cs="仿宋"/>
                <w:sz w:val="24"/>
              </w:rPr>
            </w:pPr>
            <w:r>
              <w:rPr>
                <w:rFonts w:hint="eastAsia" w:ascii="仿宋" w:hAnsi="仿宋" w:eastAsia="仿宋" w:cs="仿宋"/>
                <w:sz w:val="24"/>
              </w:rPr>
              <w:t>2、统计的结果可以导出，供制作报表、分析共享。对于已使用的查询条件，可保存在系统中，支持重复使用。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三</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可疑数据分析：</w:t>
            </w:r>
          </w:p>
          <w:p>
            <w:pPr>
              <w:spacing w:line="440" w:lineRule="exact"/>
              <w:rPr>
                <w:rFonts w:ascii="仿宋" w:hAnsi="仿宋" w:eastAsia="仿宋" w:cs="仿宋"/>
                <w:sz w:val="24"/>
              </w:rPr>
            </w:pPr>
            <w:r>
              <w:rPr>
                <w:rFonts w:hint="eastAsia" w:ascii="仿宋" w:hAnsi="仿宋" w:eastAsia="仿宋" w:cs="仿宋"/>
                <w:sz w:val="24"/>
              </w:rPr>
              <w:t>1、支持根据规则分类、规则明细，查询违规记录，并追溯违规详情</w:t>
            </w:r>
            <w:r>
              <w:rPr>
                <w:rFonts w:hint="eastAsia" w:ascii="仿宋" w:hAnsi="仿宋" w:eastAsia="仿宋" w:cs="仿宋"/>
                <w:sz w:val="24"/>
                <w:lang w:eastAsia="zh-CN"/>
              </w:rPr>
              <w:t>信</w:t>
            </w:r>
            <w:r>
              <w:rPr>
                <w:rFonts w:hint="eastAsia" w:ascii="仿宋" w:hAnsi="仿宋" w:eastAsia="仿宋" w:cs="仿宋"/>
                <w:sz w:val="24"/>
              </w:rPr>
              <w:t>息。</w:t>
            </w:r>
          </w:p>
          <w:p>
            <w:pPr>
              <w:spacing w:line="440" w:lineRule="exact"/>
              <w:rPr>
                <w:rFonts w:ascii="仿宋" w:hAnsi="仿宋" w:eastAsia="仿宋" w:cs="仿宋"/>
                <w:sz w:val="24"/>
              </w:rPr>
            </w:pPr>
            <w:r>
              <w:rPr>
                <w:rFonts w:hint="eastAsia" w:ascii="仿宋" w:hAnsi="仿宋" w:eastAsia="仿宋" w:cs="仿宋"/>
                <w:sz w:val="24"/>
              </w:rPr>
              <w:t>2、针对已结算的就诊数据，根据预先设定好的规则参数，对数据进行逐一检查，筛选出违反规则的费用或疑点对象（两定、医师、参保人），系统将预审结果分门别类地展示给工作人员审查，有针对性地开展医疗服务审核、稽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科室医生分析：</w:t>
            </w:r>
          </w:p>
          <w:p>
            <w:pPr>
              <w:spacing w:line="440" w:lineRule="exact"/>
              <w:rPr>
                <w:rFonts w:ascii="仿宋" w:hAnsi="仿宋" w:eastAsia="仿宋" w:cs="仿宋"/>
                <w:sz w:val="24"/>
              </w:rPr>
            </w:pPr>
            <w:r>
              <w:rPr>
                <w:rFonts w:hint="eastAsia" w:ascii="仿宋" w:hAnsi="仿宋" w:eastAsia="仿宋" w:cs="仿宋"/>
                <w:sz w:val="24"/>
              </w:rPr>
              <w:t>支持根据科室、医生，查询分析医保基金使用情况，并支持追溯异常数据详情信息。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b/>
                <w:bCs/>
                <w:sz w:val="24"/>
                <w:highlight w:val="none"/>
              </w:rPr>
            </w:pPr>
            <w:r>
              <w:rPr>
                <w:rFonts w:hint="eastAsia" w:ascii="仿宋" w:hAnsi="仿宋" w:eastAsia="仿宋" w:cs="仿宋"/>
                <w:b/>
                <w:bCs/>
                <w:sz w:val="24"/>
                <w:highlight w:val="none"/>
                <w:lang w:eastAsia="zh-CN"/>
              </w:rPr>
              <w:t>医院业务</w:t>
            </w:r>
            <w:r>
              <w:rPr>
                <w:rFonts w:hint="eastAsia" w:ascii="仿宋" w:hAnsi="仿宋" w:eastAsia="仿宋" w:cs="仿宋"/>
                <w:b/>
                <w:bCs/>
                <w:sz w:val="24"/>
                <w:highlight w:val="none"/>
              </w:rPr>
              <w:t>分析：</w:t>
            </w:r>
          </w:p>
          <w:p>
            <w:pPr>
              <w:spacing w:line="440" w:lineRule="exact"/>
              <w:rPr>
                <w:rFonts w:ascii="仿宋" w:hAnsi="仿宋" w:eastAsia="仿宋" w:cs="仿宋"/>
                <w:sz w:val="24"/>
              </w:rPr>
            </w:pPr>
            <w:r>
              <w:rPr>
                <w:rFonts w:hint="eastAsia" w:ascii="仿宋" w:hAnsi="仿宋" w:eastAsia="仿宋" w:cs="仿宋"/>
                <w:sz w:val="24"/>
                <w:highlight w:val="none"/>
                <w:lang w:eastAsia="zh-CN"/>
              </w:rPr>
              <w:t>支持全院业务数据分析并提供相应建议、解决方案（</w:t>
            </w:r>
            <w:r>
              <w:rPr>
                <w:rFonts w:hint="eastAsia" w:ascii="仿宋" w:hAnsi="仿宋" w:eastAsia="仿宋" w:cs="仿宋"/>
                <w:sz w:val="24"/>
                <w:highlight w:val="none"/>
              </w:rPr>
              <w:t>药品控费、耗材控费、日间手术、分解住院、15天再入院等</w:t>
            </w:r>
            <w:r>
              <w:rPr>
                <w:rFonts w:hint="eastAsia" w:ascii="仿宋" w:hAnsi="仿宋" w:eastAsia="仿宋" w:cs="仿宋"/>
                <w:sz w:val="24"/>
                <w:highlight w:val="none"/>
                <w:lang w:eastAsia="zh-CN"/>
              </w:rPr>
              <w:t>医保相关</w:t>
            </w:r>
            <w:r>
              <w:rPr>
                <w:rFonts w:hint="eastAsia" w:ascii="仿宋" w:hAnsi="仿宋" w:eastAsia="仿宋" w:cs="仿宋"/>
                <w:sz w:val="24"/>
                <w:highlight w:val="none"/>
              </w:rPr>
              <w:t>内容</w:t>
            </w:r>
            <w:r>
              <w:rPr>
                <w:rFonts w:hint="eastAsia" w:ascii="仿宋" w:hAnsi="仿宋" w:eastAsia="仿宋" w:cs="仿宋"/>
                <w:sz w:val="24"/>
                <w:highlight w:val="none"/>
                <w:lang w:eastAsia="zh-CN"/>
              </w:rPr>
              <w:t>）</w:t>
            </w:r>
            <w:r>
              <w:rPr>
                <w:rFonts w:hint="eastAsia" w:ascii="仿宋" w:hAnsi="仿宋" w:eastAsia="仿宋" w:cs="仿宋"/>
                <w:sz w:val="24"/>
                <w:highlight w:val="none"/>
              </w:rPr>
              <w:t>，并分析原因提供建议或解决方案。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4</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自定义分析：</w:t>
            </w:r>
          </w:p>
          <w:p>
            <w:pPr>
              <w:spacing w:line="440" w:lineRule="exact"/>
              <w:rPr>
                <w:rFonts w:ascii="仿宋" w:hAnsi="仿宋" w:eastAsia="仿宋" w:cs="仿宋"/>
                <w:sz w:val="24"/>
              </w:rPr>
            </w:pPr>
            <w:r>
              <w:rPr>
                <w:rFonts w:hint="eastAsia" w:ascii="仿宋" w:hAnsi="仿宋" w:eastAsia="仿宋" w:cs="仿宋"/>
                <w:sz w:val="24"/>
              </w:rPr>
              <w:t>支持基于医院自身特点提供个性化分析方案，支持不同账号权限查看不同报表，以及同一报表不同账号显示不同数据。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5</w:t>
            </w:r>
          </w:p>
        </w:tc>
        <w:tc>
          <w:tcPr>
            <w:tcW w:w="4490" w:type="pct"/>
          </w:tcPr>
          <w:p>
            <w:pPr>
              <w:spacing w:line="440" w:lineRule="exact"/>
              <w:rPr>
                <w:rFonts w:ascii="仿宋" w:hAnsi="仿宋" w:eastAsia="仿宋" w:cs="仿宋"/>
                <w:b/>
                <w:bCs/>
                <w:sz w:val="24"/>
                <w:highlight w:val="none"/>
              </w:rPr>
            </w:pPr>
            <w:r>
              <w:rPr>
                <w:rFonts w:hint="eastAsia" w:ascii="仿宋" w:hAnsi="仿宋" w:eastAsia="仿宋" w:cs="仿宋"/>
                <w:b/>
                <w:bCs/>
                <w:sz w:val="24"/>
                <w:highlight w:val="none"/>
              </w:rPr>
              <w:t>政策知识库：</w:t>
            </w:r>
          </w:p>
          <w:p>
            <w:pPr>
              <w:spacing w:line="440" w:lineRule="exact"/>
              <w:rPr>
                <w:rFonts w:ascii="仿宋" w:hAnsi="仿宋" w:eastAsia="仿宋" w:cs="仿宋"/>
                <w:sz w:val="24"/>
              </w:rPr>
            </w:pPr>
            <w:r>
              <w:rPr>
                <w:rFonts w:hint="eastAsia" w:ascii="仿宋" w:hAnsi="仿宋" w:eastAsia="仿宋" w:cs="仿宋"/>
                <w:sz w:val="24"/>
                <w:highlight w:val="none"/>
              </w:rPr>
              <w:t>支持</w:t>
            </w:r>
            <w:r>
              <w:rPr>
                <w:rFonts w:hint="eastAsia" w:ascii="仿宋" w:hAnsi="仿宋" w:eastAsia="仿宋" w:cs="仿宋"/>
                <w:sz w:val="24"/>
                <w:highlight w:val="none"/>
                <w:lang w:eastAsia="zh-CN"/>
              </w:rPr>
              <w:t>定期同步更新省医保知识库，保持最新版本省医保知识库，以便查阅。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6</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患者分析：</w:t>
            </w:r>
          </w:p>
          <w:p>
            <w:pPr>
              <w:spacing w:line="440" w:lineRule="exact"/>
              <w:rPr>
                <w:rFonts w:ascii="仿宋" w:hAnsi="仿宋" w:eastAsia="仿宋" w:cs="仿宋"/>
                <w:sz w:val="24"/>
              </w:rPr>
            </w:pPr>
            <w:r>
              <w:rPr>
                <w:rFonts w:hint="eastAsia" w:ascii="仿宋" w:hAnsi="仿宋" w:eastAsia="仿宋" w:cs="仿宋"/>
                <w:sz w:val="24"/>
              </w:rPr>
              <w:t>支持根据患者，查询诊疗过程中医保基金使用情况，并追溯异常数据详情信息。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四</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数据审核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医保数据自检：</w:t>
            </w:r>
          </w:p>
          <w:p>
            <w:pPr>
              <w:spacing w:line="440" w:lineRule="exact"/>
              <w:rPr>
                <w:rFonts w:ascii="仿宋" w:hAnsi="仿宋" w:eastAsia="仿宋" w:cs="仿宋"/>
                <w:sz w:val="24"/>
              </w:rPr>
            </w:pPr>
            <w:r>
              <w:rPr>
                <w:rFonts w:hint="eastAsia" w:ascii="仿宋" w:hAnsi="仿宋" w:eastAsia="仿宋" w:cs="仿宋"/>
                <w:sz w:val="24"/>
              </w:rPr>
              <w:t>1、管理员可按照各个科室实际要求进行差异化规则新建，支持不同场景下执行不同规则。所执行的规则可在任务执行页面进行查看。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自动审核：</w:t>
            </w:r>
          </w:p>
          <w:p>
            <w:pPr>
              <w:spacing w:line="440" w:lineRule="exact"/>
              <w:rPr>
                <w:rFonts w:ascii="仿宋" w:hAnsi="仿宋" w:eastAsia="仿宋" w:cs="仿宋"/>
                <w:sz w:val="24"/>
              </w:rPr>
            </w:pPr>
            <w:r>
              <w:rPr>
                <w:rFonts w:hint="eastAsia" w:ascii="仿宋" w:hAnsi="仿宋" w:eastAsia="仿宋" w:cs="仿宋"/>
                <w:sz w:val="24"/>
              </w:rPr>
              <w:t>1、支持定时任务或临时任务完成执行后，针对任务规则，显示疑似违规数据。</w:t>
            </w:r>
          </w:p>
          <w:p>
            <w:pPr>
              <w:spacing w:line="440" w:lineRule="exact"/>
              <w:rPr>
                <w:rFonts w:ascii="仿宋" w:hAnsi="仿宋" w:eastAsia="仿宋" w:cs="仿宋"/>
                <w:sz w:val="24"/>
              </w:rPr>
            </w:pPr>
            <w:r>
              <w:rPr>
                <w:rFonts w:hint="eastAsia" w:ascii="仿宋" w:hAnsi="仿宋" w:eastAsia="仿宋" w:cs="仿宋"/>
                <w:sz w:val="24"/>
              </w:rPr>
              <w:t>2、支持自定义时间进行任务启动，显示指定时间段内的疑似违规数据。</w:t>
            </w:r>
          </w:p>
          <w:p>
            <w:pPr>
              <w:spacing w:line="440" w:lineRule="exact"/>
              <w:rPr>
                <w:rFonts w:ascii="仿宋" w:hAnsi="仿宋" w:eastAsia="仿宋" w:cs="仿宋"/>
                <w:sz w:val="24"/>
              </w:rPr>
            </w:pPr>
            <w:r>
              <w:rPr>
                <w:rFonts w:hint="eastAsia" w:ascii="仿宋" w:hAnsi="仿宋" w:eastAsia="仿宋" w:cs="仿宋"/>
                <w:sz w:val="24"/>
              </w:rPr>
              <w:t>3、支持将多个任务的同一违规行为进行合并。</w:t>
            </w:r>
          </w:p>
          <w:p>
            <w:pPr>
              <w:spacing w:line="440" w:lineRule="exact"/>
              <w:rPr>
                <w:rFonts w:ascii="仿宋" w:hAnsi="仿宋" w:eastAsia="仿宋" w:cs="仿宋"/>
                <w:sz w:val="24"/>
              </w:rPr>
            </w:pPr>
            <w:r>
              <w:rPr>
                <w:rFonts w:hint="eastAsia" w:ascii="仿宋" w:hAnsi="仿宋" w:eastAsia="仿宋" w:cs="仿宋"/>
                <w:sz w:val="24"/>
              </w:rPr>
              <w:t>4、支持用户启用或禁用的规则，并且规则启用时可以排除不需要审核的科室。</w:t>
            </w:r>
          </w:p>
          <w:p>
            <w:pPr>
              <w:spacing w:line="440" w:lineRule="exact"/>
              <w:rPr>
                <w:rFonts w:ascii="仿宋" w:hAnsi="仿宋" w:eastAsia="仿宋" w:cs="仿宋"/>
                <w:sz w:val="24"/>
              </w:rPr>
            </w:pPr>
            <w:r>
              <w:rPr>
                <w:rFonts w:hint="eastAsia" w:ascii="仿宋" w:hAnsi="仿宋" w:eastAsia="仿宋" w:cs="仿宋"/>
                <w:sz w:val="24"/>
              </w:rPr>
              <w:t>5、通过审核引擎调用系统已启用的审核规则对每个病例的医疗费用进行逐个审核，并展现审核结果，并向审核专家提供人工</w:t>
            </w:r>
            <w:r>
              <w:rPr>
                <w:rFonts w:hint="eastAsia" w:ascii="仿宋" w:hAnsi="仿宋" w:eastAsia="仿宋" w:cs="仿宋"/>
                <w:sz w:val="24"/>
                <w:lang w:val="en-US" w:eastAsia="zh-CN"/>
              </w:rPr>
              <w:t>审核</w:t>
            </w:r>
            <w:r>
              <w:rPr>
                <w:rFonts w:hint="eastAsia" w:ascii="仿宋" w:hAnsi="仿宋" w:eastAsia="仿宋" w:cs="仿宋"/>
                <w:sz w:val="24"/>
              </w:rPr>
              <w:t>功能。系统既支持病例批量审核，也支持单个病例审核。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人工复核：</w:t>
            </w:r>
          </w:p>
          <w:p>
            <w:pPr>
              <w:spacing w:line="440" w:lineRule="exact"/>
              <w:rPr>
                <w:rFonts w:ascii="仿宋" w:hAnsi="仿宋" w:eastAsia="仿宋" w:cs="仿宋"/>
                <w:sz w:val="24"/>
              </w:rPr>
            </w:pPr>
            <w:r>
              <w:rPr>
                <w:rFonts w:hint="eastAsia" w:ascii="仿宋" w:hAnsi="仿宋" w:eastAsia="仿宋" w:cs="仿宋"/>
                <w:sz w:val="24"/>
              </w:rPr>
              <w:t>支持手动修改违规记录，标记正常、疑似。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五</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申诉反馈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文件导入：</w:t>
            </w:r>
          </w:p>
          <w:p>
            <w:pPr>
              <w:spacing w:line="440" w:lineRule="exact"/>
              <w:rPr>
                <w:rFonts w:ascii="仿宋" w:hAnsi="仿宋" w:eastAsia="仿宋" w:cs="仿宋"/>
                <w:sz w:val="24"/>
              </w:rPr>
            </w:pPr>
            <w:r>
              <w:rPr>
                <w:rFonts w:hint="eastAsia" w:ascii="仿宋" w:hAnsi="仿宋" w:eastAsia="仿宋" w:cs="仿宋"/>
                <w:sz w:val="24"/>
              </w:rPr>
              <w:t>衔接医保中心端反馈系统，支持将中心端下载的审核意见书直接导入系统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自动分发：</w:t>
            </w:r>
          </w:p>
          <w:p>
            <w:pPr>
              <w:spacing w:line="440" w:lineRule="exact"/>
              <w:rPr>
                <w:rFonts w:ascii="仿宋" w:hAnsi="仿宋" w:eastAsia="仿宋" w:cs="仿宋"/>
                <w:sz w:val="24"/>
              </w:rPr>
            </w:pPr>
            <w:r>
              <w:rPr>
                <w:rFonts w:hint="eastAsia" w:ascii="仿宋" w:hAnsi="仿宋" w:eastAsia="仿宋" w:cs="仿宋"/>
                <w:sz w:val="24"/>
              </w:rPr>
              <w:t>将审核意见书中的问题数据，自动归类按住院、门诊不同类别分发给医院各科室、医生。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反馈：</w:t>
            </w:r>
          </w:p>
          <w:p>
            <w:pPr>
              <w:spacing w:line="440" w:lineRule="exact"/>
              <w:rPr>
                <w:rFonts w:ascii="仿宋" w:hAnsi="仿宋" w:eastAsia="仿宋" w:cs="仿宋"/>
                <w:sz w:val="24"/>
              </w:rPr>
            </w:pPr>
            <w:r>
              <w:rPr>
                <w:rFonts w:hint="eastAsia" w:ascii="仿宋" w:hAnsi="仿宋" w:eastAsia="仿宋" w:cs="仿宋"/>
                <w:sz w:val="24"/>
              </w:rPr>
              <w:t>医生对下发的数据，上传图片和文字反馈依据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4</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反馈审核：</w:t>
            </w:r>
          </w:p>
          <w:p>
            <w:pPr>
              <w:spacing w:line="440" w:lineRule="exact"/>
              <w:rPr>
                <w:rFonts w:ascii="仿宋" w:hAnsi="仿宋" w:eastAsia="仿宋" w:cs="仿宋"/>
                <w:sz w:val="24"/>
              </w:rPr>
            </w:pPr>
            <w:r>
              <w:rPr>
                <w:rFonts w:hint="eastAsia" w:ascii="仿宋" w:hAnsi="仿宋" w:eastAsia="仿宋" w:cs="仿宋"/>
                <w:sz w:val="24"/>
              </w:rPr>
              <w:t>医保办对医生反馈的数据进行全面的审核，针对异议反馈数据，支持退回操作。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5</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数据上传：</w:t>
            </w:r>
          </w:p>
          <w:p>
            <w:pPr>
              <w:spacing w:line="440" w:lineRule="exact"/>
              <w:rPr>
                <w:rFonts w:ascii="仿宋" w:hAnsi="仿宋" w:eastAsia="仿宋" w:cs="仿宋"/>
                <w:sz w:val="24"/>
              </w:rPr>
            </w:pPr>
            <w:r>
              <w:rPr>
                <w:rFonts w:hint="eastAsia" w:ascii="仿宋" w:hAnsi="仿宋" w:eastAsia="仿宋" w:cs="仿宋"/>
                <w:sz w:val="24"/>
              </w:rPr>
              <w:t>支持对反馈完成数据生成压缩包，直接上传医保中心。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六</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系统设置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系统管理：</w:t>
            </w:r>
          </w:p>
          <w:p>
            <w:pPr>
              <w:spacing w:line="440" w:lineRule="exact"/>
              <w:rPr>
                <w:rFonts w:ascii="仿宋" w:hAnsi="仿宋" w:eastAsia="仿宋" w:cs="仿宋"/>
                <w:sz w:val="24"/>
              </w:rPr>
            </w:pPr>
            <w:r>
              <w:rPr>
                <w:rFonts w:hint="eastAsia" w:ascii="仿宋" w:hAnsi="仿宋" w:eastAsia="仿宋" w:cs="仿宋"/>
                <w:sz w:val="24"/>
              </w:rPr>
              <w:t>包括参数设置用户管理、角色管理、菜单管理、限定权限，审核规则配置等功能。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七</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数据BI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结算费用维度：</w:t>
            </w:r>
          </w:p>
          <w:p>
            <w:pPr>
              <w:spacing w:line="440" w:lineRule="exact"/>
              <w:rPr>
                <w:rFonts w:ascii="仿宋" w:hAnsi="仿宋" w:eastAsia="仿宋" w:cs="仿宋"/>
                <w:sz w:val="24"/>
              </w:rPr>
            </w:pPr>
            <w:r>
              <w:rPr>
                <w:rFonts w:hint="eastAsia" w:ascii="仿宋" w:hAnsi="仿宋" w:eastAsia="仿宋" w:cs="仿宋"/>
                <w:sz w:val="24"/>
              </w:rPr>
              <w:t>展示本院医保结算人次、费用。药品、诊疗、耗材费用占比。展示本院总体医保结算费用总额。展示本院核查违规数据总额分布情况。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医保数据维度：</w:t>
            </w:r>
          </w:p>
          <w:p>
            <w:pPr>
              <w:spacing w:line="440" w:lineRule="exact"/>
              <w:rPr>
                <w:rFonts w:ascii="仿宋" w:hAnsi="仿宋" w:eastAsia="仿宋" w:cs="仿宋"/>
                <w:sz w:val="24"/>
              </w:rPr>
            </w:pPr>
            <w:r>
              <w:rPr>
                <w:rFonts w:hint="eastAsia" w:ascii="仿宋" w:hAnsi="仿宋" w:eastAsia="仿宋" w:cs="仿宋"/>
                <w:sz w:val="24"/>
              </w:rPr>
              <w:t>支持查询医保就诊人次趋势、医保就诊构成比、医保违规构成比、医保就诊科室占比。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异常数据</w:t>
            </w:r>
            <w:r>
              <w:rPr>
                <w:rFonts w:hint="eastAsia" w:ascii="仿宋" w:hAnsi="仿宋" w:eastAsia="仿宋" w:cs="仿宋"/>
                <w:b/>
                <w:bCs/>
                <w:sz w:val="24"/>
                <w:lang w:eastAsia="zh-CN"/>
              </w:rPr>
              <w:t>维度</w:t>
            </w:r>
            <w:r>
              <w:rPr>
                <w:rFonts w:hint="eastAsia" w:ascii="仿宋" w:hAnsi="仿宋" w:eastAsia="仿宋" w:cs="仿宋"/>
                <w:b/>
                <w:bCs/>
                <w:sz w:val="24"/>
              </w:rPr>
              <w:t>：</w:t>
            </w:r>
          </w:p>
          <w:p>
            <w:pPr>
              <w:spacing w:line="440" w:lineRule="exact"/>
              <w:rPr>
                <w:rFonts w:hint="eastAsia" w:ascii="仿宋" w:hAnsi="仿宋" w:eastAsia="仿宋" w:cs="仿宋"/>
                <w:sz w:val="24"/>
                <w:lang w:eastAsia="zh-CN"/>
              </w:rPr>
            </w:pPr>
            <w:r>
              <w:rPr>
                <w:rFonts w:hint="eastAsia" w:ascii="仿宋" w:hAnsi="仿宋" w:eastAsia="仿宋" w:cs="仿宋"/>
                <w:sz w:val="24"/>
                <w:highlight w:val="none"/>
                <w:lang w:eastAsia="zh-CN"/>
              </w:rPr>
              <w:t>支持</w:t>
            </w:r>
            <w:r>
              <w:rPr>
                <w:rFonts w:hint="eastAsia" w:ascii="仿宋" w:hAnsi="仿宋" w:eastAsia="仿宋" w:cs="仿宋"/>
                <w:sz w:val="24"/>
                <w:highlight w:val="none"/>
              </w:rPr>
              <w:t>医保大额费用</w:t>
            </w:r>
            <w:r>
              <w:rPr>
                <w:rFonts w:hint="eastAsia" w:ascii="仿宋" w:hAnsi="仿宋" w:eastAsia="仿宋" w:cs="仿宋"/>
                <w:sz w:val="24"/>
                <w:highlight w:val="none"/>
                <w:lang w:eastAsia="zh-CN"/>
              </w:rPr>
              <w:t>分析，</w:t>
            </w:r>
            <w:r>
              <w:rPr>
                <w:rFonts w:hint="eastAsia" w:ascii="仿宋" w:hAnsi="仿宋" w:eastAsia="仿宋" w:cs="仿宋"/>
                <w:sz w:val="24"/>
                <w:highlight w:val="none"/>
              </w:rPr>
              <w:t>医院医保智能审核情况展示。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4</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监控大屏：</w:t>
            </w:r>
          </w:p>
          <w:p>
            <w:pPr>
              <w:spacing w:line="440" w:lineRule="exact"/>
              <w:rPr>
                <w:rFonts w:ascii="仿宋" w:hAnsi="仿宋" w:eastAsia="仿宋" w:cs="仿宋"/>
                <w:sz w:val="24"/>
              </w:rPr>
            </w:pPr>
            <w:r>
              <w:rPr>
                <w:rFonts w:hint="eastAsia" w:ascii="仿宋" w:hAnsi="仿宋" w:eastAsia="仿宋" w:cs="仿宋"/>
                <w:sz w:val="24"/>
              </w:rPr>
              <w:t>从时间维度、科室维度、自检审核维度展示数据情况；实时违规监控：实时分析当前违规提醒日志，展示控费拦截细节。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5</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数据趋势：</w:t>
            </w:r>
          </w:p>
          <w:p>
            <w:pPr>
              <w:spacing w:line="440" w:lineRule="exact"/>
              <w:rPr>
                <w:rFonts w:ascii="仿宋" w:hAnsi="仿宋" w:eastAsia="仿宋" w:cs="仿宋"/>
                <w:sz w:val="24"/>
              </w:rPr>
            </w:pPr>
            <w:r>
              <w:rPr>
                <w:rFonts w:hint="eastAsia" w:ascii="仿宋" w:hAnsi="仿宋" w:eastAsia="仿宋" w:cs="仿宋"/>
                <w:sz w:val="24"/>
              </w:rPr>
              <w:t>支持查询按年/月度医保相关数据趋势图。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八</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基础数据维护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药品目录：</w:t>
            </w:r>
          </w:p>
          <w:p>
            <w:pPr>
              <w:spacing w:line="440" w:lineRule="exact"/>
              <w:rPr>
                <w:rFonts w:ascii="仿宋" w:hAnsi="仿宋" w:eastAsia="仿宋" w:cs="仿宋"/>
                <w:sz w:val="24"/>
              </w:rPr>
            </w:pPr>
            <w:r>
              <w:rPr>
                <w:rFonts w:hint="eastAsia" w:ascii="仿宋" w:hAnsi="仿宋" w:eastAsia="仿宋" w:cs="仿宋"/>
                <w:sz w:val="24"/>
              </w:rPr>
              <w:t>支持查询医保药品目录。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诊疗目录：</w:t>
            </w:r>
          </w:p>
          <w:p>
            <w:pPr>
              <w:spacing w:line="440" w:lineRule="exact"/>
              <w:rPr>
                <w:rFonts w:ascii="仿宋" w:hAnsi="仿宋" w:eastAsia="仿宋" w:cs="仿宋"/>
                <w:sz w:val="24"/>
              </w:rPr>
            </w:pPr>
            <w:r>
              <w:rPr>
                <w:rFonts w:hint="eastAsia" w:ascii="仿宋" w:hAnsi="仿宋" w:eastAsia="仿宋" w:cs="仿宋"/>
                <w:sz w:val="24"/>
              </w:rPr>
              <w:t>支持查询医保诊疗目录。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sz w:val="24"/>
              </w:rPr>
            </w:pPr>
            <w:r>
              <w:rPr>
                <w:rFonts w:hint="eastAsia" w:ascii="仿宋" w:hAnsi="仿宋" w:eastAsia="仿宋" w:cs="仿宋"/>
                <w:b/>
                <w:bCs/>
                <w:sz w:val="24"/>
              </w:rPr>
              <w:t>疾病目录：</w:t>
            </w:r>
          </w:p>
          <w:p>
            <w:pPr>
              <w:spacing w:line="440" w:lineRule="exact"/>
              <w:rPr>
                <w:rFonts w:ascii="仿宋" w:hAnsi="仿宋" w:eastAsia="仿宋" w:cs="仿宋"/>
                <w:sz w:val="24"/>
              </w:rPr>
            </w:pPr>
            <w:r>
              <w:rPr>
                <w:rFonts w:hint="eastAsia" w:ascii="仿宋" w:hAnsi="仿宋" w:eastAsia="仿宋" w:cs="仿宋"/>
                <w:sz w:val="24"/>
              </w:rPr>
              <w:t>支持查询医保疾病目录。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4</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科室目录：</w:t>
            </w:r>
          </w:p>
          <w:p>
            <w:pPr>
              <w:spacing w:line="440" w:lineRule="exact"/>
              <w:rPr>
                <w:rFonts w:ascii="仿宋" w:hAnsi="仿宋" w:eastAsia="仿宋" w:cs="仿宋"/>
                <w:sz w:val="24"/>
              </w:rPr>
            </w:pPr>
            <w:r>
              <w:rPr>
                <w:rFonts w:hint="eastAsia" w:ascii="仿宋" w:hAnsi="仿宋" w:eastAsia="仿宋" w:cs="仿宋"/>
                <w:sz w:val="24"/>
              </w:rPr>
              <w:t>支持查询医保科室目录，支持关联医保科室、医院科室。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九</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医生绩效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★医生记分：</w:t>
            </w:r>
          </w:p>
          <w:p>
            <w:pPr>
              <w:spacing w:line="440" w:lineRule="exact"/>
              <w:rPr>
                <w:rFonts w:hint="eastAsia" w:ascii="仿宋" w:hAnsi="仿宋" w:eastAsia="仿宋" w:cs="仿宋"/>
                <w:sz w:val="24"/>
                <w:lang w:eastAsia="zh-CN"/>
              </w:rPr>
            </w:pPr>
            <w:r>
              <w:rPr>
                <w:rFonts w:hint="eastAsia" w:ascii="仿宋" w:hAnsi="仿宋" w:eastAsia="仿宋" w:cs="仿宋"/>
                <w:sz w:val="24"/>
              </w:rPr>
              <w:t>根据医保医师行为管理规范，规范监管医保医生行为，针对于违规操作、违反医保基金使用等情况的医师，</w:t>
            </w:r>
            <w:r>
              <w:rPr>
                <w:rFonts w:hint="eastAsia" w:ascii="仿宋" w:hAnsi="仿宋" w:eastAsia="仿宋" w:cs="仿宋"/>
                <w:sz w:val="24"/>
                <w:lang w:val="en-US" w:eastAsia="zh-CN"/>
              </w:rPr>
              <w:t>支持根据医院绩效管理办定制扣分规则库，实现记分管理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个人信息管理：</w:t>
            </w:r>
          </w:p>
          <w:p>
            <w:pPr>
              <w:spacing w:line="440" w:lineRule="exact"/>
              <w:rPr>
                <w:rFonts w:ascii="仿宋" w:hAnsi="仿宋" w:eastAsia="仿宋" w:cs="仿宋"/>
                <w:sz w:val="24"/>
              </w:rPr>
            </w:pPr>
            <w:r>
              <w:rPr>
                <w:rFonts w:hint="eastAsia" w:ascii="仿宋" w:hAnsi="仿宋" w:eastAsia="仿宋" w:cs="仿宋"/>
                <w:sz w:val="24"/>
              </w:rPr>
              <w:t>支持查看医生个人违规扣分情况，包括：扣分分值，扣分原因，扣分佐证，违规记录等。可对扣分进行申诉。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约谈管理：</w:t>
            </w:r>
          </w:p>
          <w:p>
            <w:pPr>
              <w:spacing w:line="440" w:lineRule="exact"/>
              <w:rPr>
                <w:rFonts w:ascii="仿宋" w:hAnsi="仿宋" w:eastAsia="仿宋" w:cs="仿宋"/>
                <w:sz w:val="24"/>
              </w:rPr>
            </w:pPr>
            <w:r>
              <w:rPr>
                <w:rFonts w:hint="eastAsia" w:ascii="仿宋" w:hAnsi="仿宋" w:eastAsia="仿宋" w:cs="仿宋"/>
                <w:sz w:val="24"/>
              </w:rPr>
              <w:t>根据医生记分情况，针对于扣分较多，情节严重的医生，进行约谈，系统自动生成待约谈列表，并管理约谈时间。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w:t>
            </w:r>
            <w:r>
              <w:rPr>
                <w:rFonts w:hint="eastAsia" w:ascii="仿宋" w:hAnsi="仿宋" w:eastAsia="仿宋" w:cs="仿宋"/>
                <w:b/>
                <w:bCs/>
                <w:sz w:val="24"/>
                <w:lang w:eastAsia="zh-CN"/>
              </w:rPr>
              <w:t>报表</w:t>
            </w:r>
            <w:r>
              <w:rPr>
                <w:rFonts w:hint="eastAsia" w:ascii="仿宋" w:hAnsi="仿宋" w:eastAsia="仿宋" w:cs="仿宋"/>
                <w:b/>
                <w:bCs/>
                <w:sz w:val="24"/>
              </w:rPr>
              <w:t>管理：</w:t>
            </w:r>
          </w:p>
          <w:p>
            <w:pPr>
              <w:spacing w:line="440" w:lineRule="exact"/>
              <w:rPr>
                <w:rFonts w:hint="eastAsia" w:ascii="仿宋" w:hAnsi="仿宋" w:eastAsia="仿宋" w:cs="仿宋"/>
                <w:sz w:val="24"/>
              </w:rPr>
            </w:pPr>
            <w:r>
              <w:rPr>
                <w:rFonts w:hint="eastAsia" w:ascii="仿宋" w:hAnsi="仿宋" w:eastAsia="仿宋" w:cs="仿宋"/>
                <w:sz w:val="24"/>
              </w:rPr>
              <w:t>根据医生违规、违纪等情况，系统中扣除该医生的个人</w:t>
            </w:r>
            <w:r>
              <w:rPr>
                <w:rFonts w:hint="eastAsia" w:ascii="仿宋" w:hAnsi="仿宋" w:eastAsia="仿宋" w:cs="仿宋"/>
                <w:sz w:val="24"/>
                <w:lang w:eastAsia="zh-CN"/>
              </w:rPr>
              <w:t>分值</w:t>
            </w:r>
            <w:r>
              <w:rPr>
                <w:rFonts w:hint="eastAsia" w:ascii="仿宋" w:hAnsi="仿宋" w:eastAsia="仿宋" w:cs="仿宋"/>
                <w:sz w:val="24"/>
              </w:rPr>
              <w:t>，可根据</w:t>
            </w:r>
            <w:r>
              <w:rPr>
                <w:rFonts w:hint="eastAsia" w:ascii="仿宋" w:hAnsi="仿宋" w:eastAsia="仿宋" w:cs="仿宋"/>
                <w:sz w:val="24"/>
                <w:lang w:eastAsia="zh-CN"/>
              </w:rPr>
              <w:t>医院相应的赋分规则形成相应报表</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十</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综合管理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规则管理：</w:t>
            </w:r>
          </w:p>
          <w:p>
            <w:pPr>
              <w:spacing w:line="440" w:lineRule="exact"/>
              <w:rPr>
                <w:rFonts w:ascii="仿宋" w:hAnsi="仿宋" w:eastAsia="仿宋" w:cs="仿宋"/>
                <w:sz w:val="24"/>
              </w:rPr>
            </w:pPr>
            <w:r>
              <w:rPr>
                <w:rFonts w:hint="eastAsia" w:ascii="仿宋" w:hAnsi="仿宋" w:eastAsia="仿宋" w:cs="仿宋"/>
                <w:sz w:val="24"/>
              </w:rPr>
              <w:t>1、支持院内所有规则明细的查询，包括规则名称、项目名称和编码、规则提示、预警级别、预警应用场景等</w:t>
            </w:r>
          </w:p>
          <w:p>
            <w:pPr>
              <w:spacing w:line="440" w:lineRule="exact"/>
              <w:rPr>
                <w:rFonts w:ascii="仿宋" w:hAnsi="仿宋" w:eastAsia="仿宋" w:cs="仿宋"/>
                <w:sz w:val="24"/>
              </w:rPr>
            </w:pPr>
            <w:r>
              <w:rPr>
                <w:rFonts w:hint="eastAsia" w:ascii="仿宋" w:hAnsi="仿宋" w:eastAsia="仿宋" w:cs="仿宋"/>
                <w:sz w:val="24"/>
              </w:rPr>
              <w:t>2、支持规则明细新增，新增流程可视化操作，通过选择即可完成规则新增</w:t>
            </w:r>
          </w:p>
          <w:p>
            <w:pPr>
              <w:spacing w:line="440" w:lineRule="exact"/>
              <w:rPr>
                <w:rFonts w:ascii="仿宋" w:hAnsi="仿宋" w:eastAsia="仿宋" w:cs="仿宋"/>
                <w:sz w:val="24"/>
              </w:rPr>
            </w:pPr>
            <w:r>
              <w:rPr>
                <w:rFonts w:hint="eastAsia" w:ascii="仿宋" w:hAnsi="仿宋" w:eastAsia="仿宋" w:cs="仿宋"/>
                <w:sz w:val="24"/>
              </w:rPr>
              <w:t>3、支持规则大类和规则明细的关闭</w:t>
            </w:r>
          </w:p>
          <w:p>
            <w:pPr>
              <w:spacing w:line="440" w:lineRule="exact"/>
              <w:rPr>
                <w:rFonts w:ascii="仿宋" w:hAnsi="仿宋" w:eastAsia="仿宋" w:cs="仿宋"/>
                <w:sz w:val="24"/>
              </w:rPr>
            </w:pPr>
            <w:r>
              <w:rPr>
                <w:rFonts w:hint="eastAsia" w:ascii="仿宋" w:hAnsi="仿宋" w:eastAsia="仿宋" w:cs="仿宋"/>
                <w:sz w:val="24"/>
              </w:rPr>
              <w:t>4、支持调整规则预警级别、预警应用场景、规则提示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2</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rPr>
              <w:t>规则管理记录：</w:t>
            </w:r>
          </w:p>
          <w:p>
            <w:pPr>
              <w:spacing w:line="440" w:lineRule="exact"/>
              <w:rPr>
                <w:rFonts w:ascii="仿宋" w:hAnsi="仿宋" w:eastAsia="仿宋" w:cs="仿宋"/>
                <w:sz w:val="24"/>
              </w:rPr>
            </w:pPr>
            <w:r>
              <w:rPr>
                <w:rFonts w:hint="eastAsia" w:ascii="仿宋" w:hAnsi="仿宋" w:eastAsia="仿宋" w:cs="仿宋"/>
                <w:sz w:val="24"/>
              </w:rPr>
              <w:t>1、支持查询规则大类的关闭记录</w:t>
            </w:r>
          </w:p>
          <w:p>
            <w:pPr>
              <w:spacing w:line="440" w:lineRule="exact"/>
              <w:rPr>
                <w:rFonts w:ascii="仿宋" w:hAnsi="仿宋" w:eastAsia="仿宋" w:cs="仿宋"/>
                <w:sz w:val="24"/>
              </w:rPr>
            </w:pPr>
            <w:r>
              <w:rPr>
                <w:rFonts w:hint="eastAsia" w:ascii="仿宋" w:hAnsi="仿宋" w:eastAsia="仿宋" w:cs="仿宋"/>
                <w:sz w:val="24"/>
              </w:rPr>
              <w:t>2、支持查询规则明细调整、新增、关闭记录</w:t>
            </w:r>
          </w:p>
          <w:p>
            <w:pPr>
              <w:spacing w:line="440" w:lineRule="exact"/>
              <w:rPr>
                <w:rFonts w:ascii="仿宋" w:hAnsi="仿宋" w:eastAsia="仿宋" w:cs="仿宋"/>
                <w:sz w:val="24"/>
              </w:rPr>
            </w:pPr>
            <w:r>
              <w:rPr>
                <w:rFonts w:hint="eastAsia" w:ascii="仿宋" w:hAnsi="仿宋" w:eastAsia="仿宋" w:cs="仿宋"/>
                <w:sz w:val="24"/>
              </w:rPr>
              <w:t>3、支持查询规则包导入记录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3</w:t>
            </w:r>
          </w:p>
        </w:tc>
        <w:tc>
          <w:tcPr>
            <w:tcW w:w="4490" w:type="pct"/>
          </w:tcPr>
          <w:p>
            <w:pPr>
              <w:spacing w:line="440" w:lineRule="exact"/>
              <w:rPr>
                <w:rFonts w:ascii="仿宋" w:hAnsi="仿宋" w:eastAsia="仿宋" w:cs="仿宋"/>
                <w:b/>
                <w:bCs/>
                <w:sz w:val="24"/>
              </w:rPr>
            </w:pPr>
            <w:r>
              <w:rPr>
                <w:rFonts w:hint="eastAsia" w:ascii="仿宋" w:hAnsi="仿宋" w:eastAsia="仿宋" w:cs="仿宋"/>
                <w:b/>
                <w:bCs/>
                <w:sz w:val="24"/>
                <w:lang w:val="en-US" w:eastAsia="zh-CN"/>
              </w:rPr>
              <w:t xml:space="preserve"> 其他管理</w:t>
            </w:r>
            <w:r>
              <w:rPr>
                <w:rFonts w:hint="eastAsia" w:ascii="仿宋" w:hAnsi="仿宋" w:eastAsia="仿宋" w:cs="仿宋"/>
                <w:b/>
                <w:bCs/>
                <w:sz w:val="24"/>
              </w:rPr>
              <w:t>：</w:t>
            </w:r>
          </w:p>
          <w:p>
            <w:pPr>
              <w:spacing w:line="440" w:lineRule="exact"/>
              <w:rPr>
                <w:rFonts w:ascii="仿宋" w:hAnsi="仿宋" w:eastAsia="仿宋" w:cs="仿宋"/>
                <w:sz w:val="24"/>
              </w:rPr>
            </w:pPr>
            <w:r>
              <w:rPr>
                <w:rFonts w:hint="eastAsia" w:ascii="仿宋" w:hAnsi="仿宋" w:eastAsia="仿宋" w:cs="仿宋"/>
                <w:sz w:val="24"/>
              </w:rPr>
              <w:t>1、目录管理：基本医疗保险、生育保险药品、医疗服务项目等目录支付政策</w:t>
            </w:r>
            <w:r>
              <w:rPr>
                <w:rFonts w:hint="eastAsia" w:ascii="仿宋" w:hAnsi="仿宋" w:eastAsia="仿宋" w:cs="仿宋"/>
                <w:sz w:val="24"/>
                <w:lang w:eastAsia="zh-CN"/>
              </w:rPr>
              <w:t>。</w:t>
            </w:r>
          </w:p>
          <w:p>
            <w:pPr>
              <w:spacing w:line="440" w:lineRule="exact"/>
              <w:rPr>
                <w:rFonts w:ascii="仿宋" w:hAnsi="仿宋" w:eastAsia="仿宋" w:cs="仿宋"/>
                <w:sz w:val="24"/>
              </w:rPr>
            </w:pPr>
            <w:r>
              <w:rPr>
                <w:rFonts w:hint="eastAsia" w:ascii="仿宋" w:hAnsi="仿宋" w:eastAsia="仿宋" w:cs="仿宋"/>
                <w:sz w:val="24"/>
              </w:rPr>
              <w:t>2、在卫健、医保等部门有关规定下的合理检查、合理用药、合理诊疗。</w:t>
            </w:r>
          </w:p>
          <w:p>
            <w:pPr>
              <w:spacing w:line="440" w:lineRule="exact"/>
              <w:rPr>
                <w:rFonts w:ascii="仿宋" w:hAnsi="仿宋" w:eastAsia="仿宋" w:cs="仿宋"/>
                <w:sz w:val="24"/>
              </w:rPr>
            </w:pPr>
            <w:r>
              <w:rPr>
                <w:rFonts w:hint="eastAsia" w:ascii="仿宋" w:hAnsi="仿宋" w:eastAsia="仿宋" w:cs="仿宋"/>
                <w:sz w:val="24"/>
              </w:rPr>
              <w:t>3、耗材管理：医院</w:t>
            </w:r>
            <w:r>
              <w:rPr>
                <w:rFonts w:hint="eastAsia" w:ascii="仿宋" w:hAnsi="仿宋" w:eastAsia="仿宋" w:cs="仿宋"/>
                <w:sz w:val="24"/>
                <w:lang w:val="en-US" w:eastAsia="zh-CN"/>
              </w:rPr>
              <w:t>耗材</w:t>
            </w:r>
            <w:r>
              <w:rPr>
                <w:rFonts w:hint="eastAsia" w:ascii="仿宋" w:hAnsi="仿宋" w:eastAsia="仿宋" w:cs="仿宋"/>
                <w:sz w:val="24"/>
              </w:rPr>
              <w:t>内部精细化管理</w:t>
            </w:r>
            <w:r>
              <w:rPr>
                <w:rFonts w:hint="eastAsia" w:ascii="仿宋" w:hAnsi="仿宋" w:eastAsia="仿宋" w:cs="仿宋"/>
                <w:sz w:val="24"/>
                <w:lang w:val="en-US" w:eastAsia="zh-CN"/>
              </w:rPr>
              <w:t>目录</w:t>
            </w:r>
            <w:r>
              <w:rPr>
                <w:rFonts w:hint="eastAsia" w:ascii="仿宋" w:hAnsi="仿宋" w:eastAsia="仿宋" w:cs="仿宋"/>
                <w:sz w:val="24"/>
              </w:rPr>
              <w:t>。</w:t>
            </w:r>
          </w:p>
          <w:p>
            <w:pPr>
              <w:spacing w:line="440" w:lineRule="exact"/>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w:t>
            </w:r>
            <w:r>
              <w:rPr>
                <w:rFonts w:hint="eastAsia" w:ascii="仿宋" w:hAnsi="仿宋" w:eastAsia="仿宋" w:cs="仿宋"/>
                <w:b/>
                <w:bCs/>
                <w:sz w:val="24"/>
              </w:rPr>
              <w:t>▲</w:t>
            </w:r>
            <w:r>
              <w:rPr>
                <w:rFonts w:hint="eastAsia" w:ascii="仿宋" w:hAnsi="仿宋" w:eastAsia="仿宋" w:cs="仿宋"/>
                <w:sz w:val="24"/>
              </w:rPr>
              <w:t>自查自纠：根据医保部门部署每年开展自查自纠并设定；落实医院医保政策执行情况、医疗服务收费情况。</w:t>
            </w:r>
          </w:p>
          <w:p>
            <w:pPr>
              <w:spacing w:line="440" w:lineRule="exact"/>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w:t>
            </w:r>
            <w:r>
              <w:rPr>
                <w:rFonts w:hint="eastAsia" w:ascii="仿宋" w:hAnsi="仿宋" w:eastAsia="仿宋" w:cs="仿宋"/>
                <w:b/>
                <w:bCs/>
                <w:sz w:val="24"/>
              </w:rPr>
              <w:t>▲</w:t>
            </w:r>
            <w:r>
              <w:rPr>
                <w:rFonts w:hint="eastAsia" w:ascii="仿宋" w:hAnsi="仿宋" w:eastAsia="仿宋" w:cs="仿宋"/>
                <w:sz w:val="24"/>
              </w:rPr>
              <w:t>智能监管：提供医保管理部门事后数据审核、追踪、申诉等功能；定期开展大数据分析，产生医生、科室多维度自律评分并提供分析报告。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09" w:type="pct"/>
            <w:vAlign w:val="center"/>
          </w:tcPr>
          <w:p>
            <w:pPr>
              <w:spacing w:line="600" w:lineRule="exact"/>
              <w:jc w:val="center"/>
              <w:rPr>
                <w:rFonts w:ascii="仿宋" w:hAnsi="仿宋" w:eastAsia="仿宋" w:cs="仿宋"/>
                <w:b/>
                <w:bCs/>
                <w:sz w:val="24"/>
              </w:rPr>
            </w:pPr>
            <w:r>
              <w:rPr>
                <w:rFonts w:hint="eastAsia" w:ascii="仿宋" w:hAnsi="仿宋" w:eastAsia="仿宋" w:cs="仿宋"/>
                <w:b/>
                <w:bCs/>
                <w:sz w:val="24"/>
              </w:rPr>
              <w:t>十一</w:t>
            </w:r>
          </w:p>
        </w:tc>
        <w:tc>
          <w:tcPr>
            <w:tcW w:w="4490" w:type="pct"/>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规则知识库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509" w:type="pct"/>
            <w:vAlign w:val="center"/>
          </w:tcPr>
          <w:p>
            <w:pPr>
              <w:spacing w:line="600" w:lineRule="exact"/>
              <w:jc w:val="center"/>
              <w:rPr>
                <w:rFonts w:ascii="仿宋" w:hAnsi="仿宋" w:eastAsia="仿宋" w:cs="仿宋"/>
                <w:sz w:val="24"/>
              </w:rPr>
            </w:pPr>
            <w:r>
              <w:rPr>
                <w:rFonts w:hint="eastAsia" w:ascii="仿宋" w:hAnsi="仿宋" w:eastAsia="仿宋" w:cs="仿宋"/>
                <w:sz w:val="24"/>
              </w:rPr>
              <w:t>1</w:t>
            </w:r>
          </w:p>
        </w:tc>
        <w:tc>
          <w:tcPr>
            <w:tcW w:w="4490" w:type="pct"/>
          </w:tcPr>
          <w:p>
            <w:pPr>
              <w:spacing w:line="440" w:lineRule="exact"/>
              <w:rPr>
                <w:rFonts w:hint="eastAsia" w:ascii="仿宋" w:hAnsi="仿宋" w:eastAsia="仿宋" w:cs="仿宋"/>
                <w:sz w:val="24"/>
              </w:rPr>
            </w:pPr>
            <w:r>
              <w:rPr>
                <w:rFonts w:hint="eastAsia" w:ascii="仿宋" w:hAnsi="仿宋" w:eastAsia="仿宋" w:cs="仿宋"/>
                <w:b/>
                <w:bCs/>
                <w:sz w:val="24"/>
              </w:rPr>
              <w:t>★知识库更新：</w:t>
            </w:r>
            <w:r>
              <w:rPr>
                <w:rFonts w:hint="eastAsia" w:ascii="仿宋" w:hAnsi="仿宋" w:eastAsia="仿宋" w:cs="仿宋"/>
                <w:sz w:val="24"/>
              </w:rPr>
              <w:t>原则上一个月一次更新医保知识库，有新的政策文件等相关内容及时更新，支持医保知识库导出。</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仿宋_GB2312" w:hAnsi="宋体" w:eastAsia="仿宋_GB2312"/>
          <w:b/>
          <w:sz w:val="24"/>
        </w:rPr>
      </w:pPr>
      <w:r>
        <w:rPr>
          <w:rFonts w:hint="eastAsia" w:ascii="仿宋_GB2312" w:hAnsi="宋体" w:eastAsia="仿宋_GB2312"/>
          <w:b/>
          <w:sz w:val="24"/>
        </w:rPr>
        <w:t>注:</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sz w:val="24"/>
        </w:rPr>
      </w:pPr>
      <w:r>
        <w:rPr>
          <w:rFonts w:hint="eastAsia" w:ascii="仿宋" w:hAnsi="仿宋" w:eastAsia="仿宋" w:cs="仿宋"/>
          <w:b/>
          <w:sz w:val="24"/>
        </w:rPr>
        <w:t>1、支持达到电子病历六级、智慧管理六级及智慧服务四级信息建设要求，须每年提供相关操作文档包括开发文档及数据采集相关材料。</w:t>
      </w:r>
      <w:r>
        <w:rPr>
          <w:rFonts w:ascii="仿宋" w:hAnsi="仿宋" w:eastAsia="仿宋" w:cs="仿宋"/>
          <w:b/>
          <w:sz w:val="24"/>
        </w:rPr>
        <w:br w:type="textWrapping"/>
      </w:r>
      <w:r>
        <w:rPr>
          <w:rFonts w:hint="eastAsia" w:ascii="仿宋" w:hAnsi="仿宋" w:eastAsia="仿宋" w:cs="仿宋"/>
          <w:b/>
          <w:sz w:val="24"/>
        </w:rPr>
        <w:t>2、维保期内未涉及产品框架改造，投标人应按医院业务需求修改，不收取任何费用。</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sz w:val="24"/>
        </w:rPr>
      </w:pPr>
      <w:r>
        <w:rPr>
          <w:rFonts w:hint="eastAsia" w:ascii="仿宋" w:hAnsi="仿宋" w:eastAsia="仿宋" w:cs="仿宋"/>
          <w:b/>
          <w:sz w:val="24"/>
        </w:rPr>
        <w:t>3、系统应符合应用系统等保要求。</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sz w:val="24"/>
        </w:rPr>
      </w:pPr>
      <w:r>
        <w:rPr>
          <w:rFonts w:hint="eastAsia" w:ascii="仿宋" w:hAnsi="仿宋" w:eastAsia="仿宋" w:cs="仿宋"/>
          <w:b/>
          <w:sz w:val="24"/>
        </w:rPr>
        <w:t>4、此项目实施过程中所产生的一切实施费用均包含在投标报价中。</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sz w:val="24"/>
        </w:rPr>
      </w:pPr>
      <w:r>
        <w:rPr>
          <w:rFonts w:hint="eastAsia" w:ascii="仿宋" w:hAnsi="仿宋" w:eastAsia="仿宋" w:cs="仿宋"/>
          <w:b/>
          <w:sz w:val="24"/>
        </w:rPr>
        <w:t>5、投标方提供免费接口供其它系统使用及认证并承担与本软件相关的His、PACS、LIS、集成平台等相关医院信息系统接口费用。</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sz w:val="24"/>
        </w:rPr>
      </w:pPr>
      <w:r>
        <w:rPr>
          <w:rFonts w:hint="eastAsia" w:ascii="仿宋" w:hAnsi="仿宋" w:eastAsia="仿宋" w:cs="仿宋"/>
          <w:b/>
          <w:sz w:val="24"/>
        </w:rPr>
        <w:t>6、本项目系统支持绍兴市人民医院一院两区。</w:t>
      </w:r>
    </w:p>
    <w:p>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、项目实施进度要求：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仿宋_GB2312" w:hAnsi="宋体" w:eastAsia="仿宋_GB2312"/>
          <w:sz w:val="24"/>
        </w:rPr>
      </w:pPr>
      <w:r>
        <w:rPr>
          <w:rFonts w:hint="eastAsia" w:ascii="仿宋_GB2312" w:hAnsi="宋体" w:eastAsia="仿宋_GB2312"/>
          <w:sz w:val="24"/>
          <w:lang w:val="en-US" w:eastAsia="zh-CN"/>
        </w:rPr>
        <w:t>2.1</w:t>
      </w:r>
      <w:r>
        <w:rPr>
          <w:rFonts w:hint="eastAsia" w:ascii="仿宋_GB2312" w:hAnsi="宋体" w:eastAsia="仿宋_GB2312"/>
          <w:sz w:val="24"/>
        </w:rPr>
        <w:t>安装地点：绍兴市人民医院。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2.2</w:t>
      </w:r>
      <w:r>
        <w:rPr>
          <w:rFonts w:hint="eastAsia" w:ascii="仿宋_GB2312" w:hAnsi="宋体" w:eastAsia="仿宋_GB2312"/>
          <w:sz w:val="24"/>
        </w:rPr>
        <w:t>项目完成时间：自合同签订后，</w:t>
      </w:r>
      <w:r>
        <w:rPr>
          <w:rFonts w:hint="eastAsia" w:ascii="仿宋_GB2312" w:hAnsi="宋体" w:eastAsia="仿宋_GB2312"/>
          <w:sz w:val="24"/>
          <w:lang w:val="en-US" w:eastAsia="zh-CN"/>
        </w:rPr>
        <w:t>6</w:t>
      </w:r>
      <w:r>
        <w:rPr>
          <w:rFonts w:hint="eastAsia" w:ascii="仿宋_GB2312" w:hAnsi="宋体" w:eastAsia="仿宋_GB2312"/>
          <w:sz w:val="24"/>
        </w:rPr>
        <w:t>个月内完成，投标人应在投标文件中标明工期及实施计划、进度。</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三</w:t>
      </w:r>
      <w:r>
        <w:rPr>
          <w:rFonts w:hint="eastAsia" w:ascii="仿宋" w:hAnsi="仿宋" w:eastAsia="仿宋" w:cs="仿宋"/>
          <w:b/>
          <w:bCs/>
          <w:sz w:val="24"/>
          <w:lang w:val="zh-CN"/>
        </w:rPr>
        <w:t>、项目培训要求：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系统操作培训：主要面向使用人员，投标人需提供操作培训及文档。</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四</w:t>
      </w:r>
      <w:r>
        <w:rPr>
          <w:rFonts w:hint="eastAsia" w:ascii="仿宋" w:hAnsi="仿宋" w:eastAsia="仿宋" w:cs="仿宋"/>
          <w:b/>
          <w:bCs/>
          <w:sz w:val="24"/>
          <w:lang w:val="zh-CN"/>
        </w:rPr>
        <w:t>、项目售后服务要求：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4.1投标人必须根据本次招标文件所制定的目标和范围，提出相应的售后服务方案。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4.3要求针对本项目成立软件开发实施项目组，明确项目经理及其他具体人员组成和分工。项目经理负责定期每月向甲方提交工作计划月报以及每周提交工作周报总结，监管项目按进度和计划有效开展。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4.4在本合同项目实施及维保期间内，投标人应承诺对合同范围内的产品免费提供更新、升级服务。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4.5免费质保期：自项目验收之日起，至少为期1年免费质保（具体质保期按投标文件中响应文件为准）。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4.6维护服务：维护服务包括但不限于以下内容：现场维护、电话、电子邮件等形式为采购方提供维护服务，对采购方合理要求做出实时响应和支持，并及时给予答复和解决；如果远程服务无法解决采购方要求，成交方应立即派遣项目技术人员用最快捷的交通工具前往现场，提供免费现场技术支持服务。</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五</w:t>
      </w:r>
      <w:r>
        <w:rPr>
          <w:rFonts w:hint="eastAsia" w:ascii="仿宋" w:hAnsi="仿宋" w:eastAsia="仿宋" w:cs="仿宋"/>
          <w:b/>
          <w:bCs/>
          <w:sz w:val="24"/>
          <w:lang w:val="zh-CN"/>
        </w:rPr>
        <w:t>、项目验收要求：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(1)实施确认书；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(2)培训资料；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(3)安装维护手册；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(4)使用操作手册；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(5)项目验收报告。</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六</w:t>
      </w:r>
      <w:r>
        <w:rPr>
          <w:rFonts w:hint="eastAsia" w:ascii="仿宋" w:hAnsi="仿宋" w:eastAsia="仿宋" w:cs="仿宋"/>
          <w:b/>
          <w:bCs/>
          <w:sz w:val="24"/>
          <w:lang w:val="zh-CN"/>
        </w:rPr>
        <w:t>、付款方式：</w:t>
      </w:r>
    </w:p>
    <w:p>
      <w:pPr>
        <w:pStyle w:val="81"/>
        <w:rPr>
          <w:rFonts w:hint="eastAsia" w:ascii="仿宋" w:hAnsi="仿宋" w:eastAsia="仿宋" w:cs="仿宋"/>
          <w:b w:val="0"/>
          <w:bCs w:val="0"/>
          <w:sz w:val="24"/>
          <w:lang w:val="zh-CN"/>
        </w:rPr>
      </w:pPr>
      <w:r>
        <w:rPr>
          <w:rFonts w:hint="eastAsia" w:ascii="仿宋" w:hAnsi="仿宋" w:eastAsia="仿宋" w:cs="仿宋"/>
          <w:b w:val="0"/>
          <w:bCs w:val="0"/>
          <w:sz w:val="24"/>
          <w:lang w:val="zh-CN"/>
        </w:rPr>
        <w:t>按《浙江省财政厅关于进一步发挥政府采购政策 功能全力推动经济稳进提质的通知》（浙财采监〔2022〕3号）等文件要求执行，具体付款方式由双方协商后在合同中明确。</w:t>
      </w:r>
    </w:p>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3"/>
        <w:spacing w:after="0"/>
        <w:jc w:val="center"/>
        <w:rPr>
          <w:rFonts w:hint="eastAsia" w:ascii="仿宋" w:hAnsi="仿宋" w:eastAsia="仿宋" w:cs="仿宋"/>
          <w:b/>
          <w:bCs/>
          <w:spacing w:val="-20"/>
          <w:kern w:val="44"/>
          <w:sz w:val="48"/>
          <w:szCs w:val="48"/>
        </w:rPr>
      </w:pPr>
    </w:p>
    <w:p>
      <w:pPr>
        <w:pStyle w:val="3"/>
        <w:spacing w:after="0"/>
        <w:jc w:val="center"/>
        <w:rPr>
          <w:rFonts w:hint="eastAsia" w:ascii="仿宋" w:hAnsi="仿宋" w:eastAsia="仿宋" w:cs="仿宋"/>
          <w:b/>
          <w:bCs/>
          <w:spacing w:val="-20"/>
          <w:kern w:val="44"/>
          <w:sz w:val="48"/>
          <w:szCs w:val="48"/>
        </w:rPr>
      </w:pPr>
    </w:p>
    <w:p>
      <w:pPr>
        <w:pStyle w:val="3"/>
        <w:spacing w:after="0"/>
        <w:jc w:val="center"/>
        <w:rPr>
          <w:rFonts w:hint="eastAsia" w:ascii="仿宋" w:hAnsi="仿宋" w:eastAsia="仿宋" w:cs="仿宋"/>
          <w:b/>
          <w:bCs/>
          <w:spacing w:val="-20"/>
          <w:kern w:val="44"/>
          <w:sz w:val="32"/>
          <w:szCs w:val="32"/>
        </w:rPr>
      </w:pPr>
    </w:p>
    <w:p>
      <w:pPr>
        <w:pStyle w:val="3"/>
        <w:spacing w:after="0"/>
        <w:jc w:val="center"/>
        <w:rPr>
          <w:rFonts w:hint="eastAsia"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w:t>
      </w:r>
      <w:r>
        <w:rPr>
          <w:rFonts w:hint="eastAsia" w:ascii="仿宋" w:hAnsi="仿宋" w:eastAsia="仿宋" w:cs="仿宋"/>
          <w:b/>
          <w:bCs/>
          <w:spacing w:val="-20"/>
          <w:kern w:val="44"/>
          <w:sz w:val="36"/>
          <w:szCs w:val="36"/>
          <w:lang w:eastAsia="zh-CN"/>
        </w:rPr>
        <w:t>货物买卖</w:t>
      </w:r>
      <w:r>
        <w:rPr>
          <w:rFonts w:hint="eastAsia" w:ascii="仿宋" w:hAnsi="仿宋" w:eastAsia="仿宋" w:cs="仿宋"/>
          <w:b/>
          <w:bCs/>
          <w:spacing w:val="-20"/>
          <w:kern w:val="44"/>
          <w:sz w:val="36"/>
          <w:szCs w:val="36"/>
        </w:rPr>
        <w:t>合同</w:t>
      </w:r>
    </w:p>
    <w:p>
      <w:pPr>
        <w:pStyle w:val="3"/>
        <w:spacing w:after="0"/>
        <w:jc w:val="center"/>
        <w:rPr>
          <w:rFonts w:hint="eastAsia" w:ascii="仿宋" w:hAnsi="仿宋" w:eastAsia="仿宋" w:cs="仿宋"/>
          <w:b/>
          <w:bCs/>
          <w:spacing w:val="-20"/>
          <w:kern w:val="44"/>
          <w:sz w:val="36"/>
          <w:szCs w:val="36"/>
          <w:lang w:eastAsia="zh-CN"/>
        </w:rPr>
      </w:pPr>
      <w:r>
        <w:rPr>
          <w:rFonts w:hint="eastAsia" w:ascii="仿宋" w:hAnsi="仿宋" w:eastAsia="仿宋" w:cs="仿宋"/>
          <w:b/>
          <w:bCs/>
          <w:spacing w:val="-20"/>
          <w:kern w:val="44"/>
          <w:sz w:val="36"/>
          <w:szCs w:val="36"/>
          <w:lang w:eastAsia="zh-CN"/>
        </w:rPr>
        <w:t>（试行）</w:t>
      </w:r>
    </w:p>
    <w:p>
      <w:pPr>
        <w:rPr>
          <w:rFonts w:hint="eastAsia" w:ascii="仿宋" w:hAnsi="仿宋" w:eastAsia="仿宋" w:cs="仿宋"/>
          <w:b/>
          <w:bCs/>
          <w:spacing w:val="-20"/>
          <w:kern w:val="44"/>
          <w:sz w:val="32"/>
          <w:szCs w:val="32"/>
        </w:rPr>
      </w:pPr>
    </w:p>
    <w:p>
      <w:pPr>
        <w:rPr>
          <w:rFonts w:hint="eastAsia" w:ascii="仿宋" w:hAnsi="仿宋" w:eastAsia="仿宋" w:cs="仿宋"/>
          <w:b/>
          <w:bCs/>
          <w:spacing w:val="-20"/>
          <w:kern w:val="44"/>
          <w:sz w:val="32"/>
          <w:szCs w:val="32"/>
        </w:rPr>
      </w:pPr>
    </w:p>
    <w:p>
      <w:pPr>
        <w:rPr>
          <w:rFonts w:hint="eastAsia" w:ascii="仿宋" w:hAnsi="仿宋" w:eastAsia="仿宋" w:cs="仿宋"/>
          <w:b/>
          <w:bCs/>
          <w:spacing w:val="-20"/>
          <w:kern w:val="44"/>
          <w:sz w:val="32"/>
          <w:szCs w:val="32"/>
        </w:rPr>
      </w:pPr>
    </w:p>
    <w:p>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hint="eastAsia" w:ascii="仿宋" w:hAnsi="仿宋" w:eastAsia="仿宋" w:cs="仿宋"/>
          <w:sz w:val="32"/>
          <w:szCs w:val="32"/>
        </w:rPr>
      </w:pPr>
    </w:p>
    <w:p>
      <w:pPr>
        <w:rPr>
          <w:rFonts w:hint="eastAsia" w:ascii="仿宋" w:hAnsi="仿宋" w:eastAsia="仿宋" w:cs="仿宋"/>
          <w:sz w:val="44"/>
          <w:szCs w:val="44"/>
        </w:rPr>
      </w:pPr>
      <w:r>
        <w:rPr>
          <w:rFonts w:hint="eastAsia" w:ascii="仿宋" w:hAnsi="仿宋" w:eastAsia="仿宋" w:cs="仿宋"/>
          <w:sz w:val="44"/>
          <w:szCs w:val="44"/>
        </w:rPr>
        <w:br w:type="page"/>
      </w:r>
    </w:p>
    <w:p>
      <w:pPr>
        <w:rPr>
          <w:rFonts w:hint="eastAsia" w:ascii="仿宋" w:hAnsi="仿宋" w:eastAsia="仿宋" w:cs="仿宋"/>
          <w:sz w:val="44"/>
          <w:szCs w:val="44"/>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使</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用</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明</w:t>
      </w: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2.本合同标准文本为政府采购货物买卖合同编制提供参考，可以结合采购项目具体情况，对文本作必要的调整修订后使用。</w:t>
      </w:r>
    </w:p>
    <w:p>
      <w:pPr>
        <w:ind w:firstLine="560" w:firstLineChars="200"/>
        <w:rPr>
          <w:rFonts w:hint="eastAsia" w:ascii="仿宋" w:hAnsi="仿宋" w:eastAsia="仿宋" w:cs="仿宋"/>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8"/>
          <w:szCs w:val="28"/>
          <w:lang w:val="en-US" w:eastAsia="zh-CN"/>
        </w:rPr>
        <w:t>3.本合同标准文本各条款中，如涉及填写多家供应商、制造商，多种采购标的、分包主要内容等信息的，可根据采购项目具体情况添加信息项。</w:t>
      </w:r>
    </w:p>
    <w:p>
      <w:pPr>
        <w:pStyle w:val="6"/>
        <w:numPr>
          <w:ilvl w:val="0"/>
          <w:numId w:val="0"/>
        </w:numPr>
        <w:adjustRightInd w:val="0"/>
        <w:snapToGrid w:val="0"/>
        <w:spacing w:beforeLines="0" w:line="400" w:lineRule="exact"/>
        <w:ind w:left="425" w:leftChars="0"/>
        <w:jc w:val="center"/>
        <w:rPr>
          <w:rFonts w:hint="eastAsia" w:ascii="仿宋" w:hAnsi="仿宋" w:eastAsia="仿宋" w:cs="仿宋"/>
          <w:b w:val="0"/>
          <w:bCs w:val="0"/>
          <w:sz w:val="28"/>
          <w:szCs w:val="28"/>
        </w:rPr>
      </w:pPr>
      <w:bookmarkStart w:id="13" w:name="_Toc22209"/>
      <w:r>
        <w:rPr>
          <w:rFonts w:hint="eastAsia" w:ascii="仿宋" w:hAnsi="仿宋" w:eastAsia="仿宋" w:cs="仿宋"/>
          <w:b w:val="0"/>
          <w:bCs w:val="0"/>
          <w:sz w:val="28"/>
          <w:szCs w:val="28"/>
        </w:rPr>
        <w:t>第一节 政府采购合同协议书</w:t>
      </w:r>
      <w:bookmarkEnd w:id="13"/>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beforeLines="0" w:line="400" w:lineRule="exact"/>
        <w:rPr>
          <w:rFonts w:hint="eastAsia" w:ascii="仿宋" w:hAnsi="仿宋" w:eastAsia="仿宋" w:cs="仿宋"/>
          <w:lang w:val="en-US" w:eastAsia="zh-CN"/>
        </w:rPr>
      </w:pPr>
    </w:p>
    <w:p>
      <w:pPr>
        <w:pStyle w:val="26"/>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pPr>
        <w:pStyle w:val="26"/>
        <w:numPr>
          <w:ilvl w:val="0"/>
          <w:numId w:val="23"/>
        </w:numPr>
        <w:adjustRightInd w:val="0"/>
        <w:snapToGrid w:val="0"/>
        <w:spacing w:before="0" w:beforeLines="0" w:after="0" w:line="400" w:lineRule="exact"/>
        <w:ind w:left="0" w:leftChars="0" w:firstLine="42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6"/>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pPr>
        <w:pStyle w:val="26"/>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pStyle w:val="81"/>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pPr>
        <w:pStyle w:val="81"/>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pPr>
        <w:pStyle w:val="81"/>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81"/>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pPr>
        <w:pStyle w:val="81"/>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pPr>
        <w:pStyle w:val="81"/>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pPr>
        <w:pStyle w:val="81"/>
        <w:numPr>
          <w:ilvl w:val="-1"/>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pPr>
        <w:pStyle w:val="81"/>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pPr>
        <w:pStyle w:val="81"/>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pPr>
        <w:pStyle w:val="81"/>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pPr>
        <w:pStyle w:val="81"/>
        <w:numPr>
          <w:ilvl w:val="-1"/>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lang w:eastAsia="zh-CN"/>
        </w:rPr>
        <w:t>购</w:t>
      </w:r>
      <w:r>
        <w:rPr>
          <w:rFonts w:hint="eastAsia" w:ascii="仿宋" w:hAnsi="仿宋" w:eastAsia="仿宋" w:cs="仿宋"/>
          <w:w w:val="100"/>
          <w:szCs w:val="21"/>
          <w:shd w:val="clear"/>
        </w:rPr>
        <w:t>合同</w:t>
      </w:r>
      <w:r>
        <w:rPr>
          <w:rFonts w:hint="eastAsia" w:ascii="仿宋" w:hAnsi="仿宋" w:eastAsia="仿宋" w:cs="仿宋"/>
          <w:w w:val="100"/>
          <w:szCs w:val="21"/>
          <w:shd w:val="clear"/>
          <w:lang w:eastAsia="zh-CN"/>
        </w:rPr>
        <w:t>（中小企业预留合同）</w:t>
      </w:r>
      <w:r>
        <w:rPr>
          <w:rFonts w:hint="eastAsia" w:ascii="仿宋" w:hAnsi="仿宋" w:eastAsia="仿宋" w:cs="仿宋"/>
          <w:szCs w:val="21"/>
          <w:shd w:val="clear"/>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81"/>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pStyle w:val="81"/>
        <w:numPr>
          <w:ilvl w:val="-1"/>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pPr>
        <w:pStyle w:val="81"/>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pStyle w:val="81"/>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pPr>
        <w:pStyle w:val="121"/>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22"/>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pPr>
        <w:pStyle w:val="81"/>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pPr>
        <w:pStyle w:val="81"/>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pPr>
        <w:numPr>
          <w:ilvl w:val="0"/>
          <w:numId w:val="24"/>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81"/>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pPr>
        <w:pStyle w:val="81"/>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22"/>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lang w:val="en-US" w:eastAsia="zh-CN"/>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pPr>
        <w:rPr>
          <w:rFonts w:hint="eastAsia" w:ascii="仿宋" w:hAnsi="仿宋" w:eastAsia="仿宋" w:cs="仿宋"/>
        </w:rPr>
      </w:pPr>
      <w:r>
        <w:rPr>
          <w:rFonts w:hint="eastAsia" w:ascii="仿宋" w:hAnsi="仿宋" w:eastAsia="仿宋" w:cs="仿宋"/>
        </w:rPr>
        <w:br w:type="page"/>
      </w:r>
    </w:p>
    <w:p>
      <w:pPr>
        <w:pStyle w:val="121"/>
        <w:rPr>
          <w:rFonts w:hint="eastAsia"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6"/>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6"/>
        <w:numPr>
          <w:ilvl w:val="0"/>
          <w:numId w:val="0"/>
        </w:numPr>
        <w:adjustRightInd w:val="0"/>
        <w:snapToGrid w:val="0"/>
        <w:spacing w:before="156" w:beforeLines="50"/>
        <w:ind w:left="425" w:leftChars="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14" w:name="_Toc27624"/>
      <w:r>
        <w:rPr>
          <w:rFonts w:hint="eastAsia" w:ascii="仿宋" w:hAnsi="仿宋" w:eastAsia="仿宋" w:cs="仿宋"/>
          <w:b w:val="0"/>
          <w:bCs w:val="0"/>
          <w:sz w:val="28"/>
          <w:szCs w:val="28"/>
        </w:rPr>
        <w:t>第二节 政府采购合同通用条款</w:t>
      </w:r>
      <w:bookmarkEnd w:id="14"/>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numPr>
          <w:ilvl w:val="0"/>
          <w:numId w:val="25"/>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pPr>
        <w:pStyle w:val="3"/>
        <w:spacing w:after="0" w:line="400" w:lineRule="exact"/>
        <w:ind w:firstLine="369" w:firstLineChars="17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 w:val="21"/>
          <w:szCs w:val="21"/>
          <w:highlight w:val="none"/>
          <w:lang w:eastAsia="zh-CN"/>
          <w14:textFill>
            <w14:solidFill>
              <w14:schemeClr w14:val="tx1"/>
            </w14:solidFill>
          </w14:textFill>
        </w:rPr>
        <w:t>合同价款</w:t>
      </w:r>
      <w:r>
        <w:rPr>
          <w:rFonts w:hint="eastAsia" w:ascii="仿宋" w:hAnsi="仿宋" w:eastAsia="仿宋" w:cs="仿宋"/>
          <w:color w:val="000000" w:themeColor="text1"/>
          <w:sz w:val="21"/>
          <w:szCs w:val="21"/>
          <w:highlight w:val="none"/>
          <w14:textFill>
            <w14:solidFill>
              <w14:schemeClr w14:val="tx1"/>
            </w14:solidFill>
          </w14:textFill>
        </w:rPr>
        <w:t>。</w:t>
      </w:r>
    </w:p>
    <w:p>
      <w:pPr>
        <w:pStyle w:val="3"/>
        <w:spacing w:after="0" w:line="400" w:lineRule="exact"/>
        <w:ind w:firstLine="369"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.4国家法律法规规定</w:t>
      </w:r>
      <w:r>
        <w:rPr>
          <w:rFonts w:hint="eastAsia" w:ascii="仿宋" w:hAnsi="仿宋" w:eastAsia="仿宋" w:cs="仿宋"/>
          <w:color w:val="000000" w:themeColor="text1"/>
          <w:sz w:val="21"/>
          <w:szCs w:val="21"/>
          <w:highlight w:val="none"/>
          <w:lang w:eastAsia="zh-CN"/>
          <w14:textFill>
            <w14:solidFill>
              <w14:schemeClr w14:val="tx1"/>
            </w14:solidFill>
          </w14:textFill>
        </w:rPr>
        <w:t>及</w:t>
      </w:r>
      <w:r>
        <w:rPr>
          <w:rFonts w:hint="eastAsia" w:ascii="仿宋" w:hAnsi="仿宋" w:eastAsia="仿宋" w:cs="仿宋"/>
          <w:b/>
          <w:bCs/>
          <w:sz w:val="21"/>
          <w:szCs w:val="21"/>
          <w:highlight w:val="none"/>
        </w:rPr>
        <w:t>【政府采购合同专用条款】</w:t>
      </w:r>
      <w:r>
        <w:rPr>
          <w:rFonts w:hint="eastAsia" w:ascii="仿宋" w:hAnsi="仿宋" w:eastAsia="仿宋" w:cs="仿宋"/>
          <w:b w:val="0"/>
          <w:bCs w:val="0"/>
          <w:sz w:val="21"/>
          <w:szCs w:val="21"/>
          <w:highlight w:val="none"/>
          <w:lang w:eastAsia="zh-CN"/>
        </w:rPr>
        <w:t>约定应</w:t>
      </w:r>
      <w:r>
        <w:rPr>
          <w:rFonts w:hint="eastAsia" w:ascii="仿宋" w:hAnsi="仿宋" w:eastAsia="仿宋" w:cs="仿宋"/>
          <w:color w:val="000000" w:themeColor="text1"/>
          <w:sz w:val="21"/>
          <w:szCs w:val="21"/>
          <w:highlight w:val="none"/>
          <w14:textFill>
            <w14:solidFill>
              <w14:schemeClr w14:val="tx1"/>
            </w14:solidFill>
          </w14:textFill>
        </w:rPr>
        <w:t>由乙方承担的其他义务和责任。</w:t>
      </w:r>
    </w:p>
    <w:p>
      <w:pPr>
        <w:numPr>
          <w:ilvl w:val="0"/>
          <w:numId w:val="26"/>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pPr>
        <w:pStyle w:val="81"/>
        <w:rPr>
          <w:rFonts w:hint="eastAsia" w:ascii="仿宋" w:hAnsi="仿宋" w:eastAsia="仿宋" w:cs="仿宋"/>
          <w:sz w:val="21"/>
          <w:lang w:val="en-US" w:eastAsia="zh-CN"/>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auto"/>
          <w:sz w:val="24"/>
          <w:highlight w:val="none"/>
        </w:rPr>
        <w:t>质量标准和保证</w:t>
      </w:r>
    </w:p>
    <w:p>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auto"/>
          <w:szCs w:val="21"/>
          <w:highlight w:val="none"/>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auto"/>
          <w:sz w:val="24"/>
          <w:highlight w:val="none"/>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15"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5"/>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autoSpaceDE/>
        <w:autoSpaceDN/>
        <w:adjustRightInd w:val="0"/>
        <w:snapToGrid w:val="0"/>
        <w:spacing w:before="0" w:line="400" w:lineRule="exact"/>
        <w:ind w:firstLine="420" w:firstLineChars="200"/>
        <w:jc w:val="left"/>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pPr>
        <w:pStyle w:val="81"/>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2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81"/>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pPr>
        <w:pStyle w:val="81"/>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81"/>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81"/>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pPr>
        <w:pStyle w:val="81"/>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81"/>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3"/>
        <w:spacing w:after="0" w:line="40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81"/>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pPr>
        <w:pStyle w:val="81"/>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81"/>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pPr>
        <w:pStyle w:val="81"/>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2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16" w:name="_Toc20313"/>
    </w:p>
    <w:p>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pPr>
        <w:pStyle w:val="6"/>
        <w:numPr>
          <w:ilvl w:val="0"/>
          <w:numId w:val="0"/>
        </w:numPr>
        <w:adjustRightInd w:val="0"/>
        <w:snapToGrid w:val="0"/>
        <w:ind w:left="425" w:leftChars="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16"/>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szCs w:val="21"/>
              </w:rPr>
            </w:pP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pPr>
              <w:autoSpaceDE w:val="0"/>
              <w:autoSpaceDN w:val="0"/>
              <w:adjustRightInd w:val="0"/>
              <w:snapToGrid w:val="0"/>
              <w:ind w:firstLine="420" w:firstLineChars="20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pPr>
              <w:pStyle w:val="81"/>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vAlign w:val="center"/>
          </w:tcPr>
          <w:p>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vAlign w:val="center"/>
          </w:tcPr>
          <w:p>
            <w:pPr>
              <w:adjustRightInd w:val="0"/>
              <w:snapToGrid w:val="0"/>
              <w:jc w:val="left"/>
              <w:rPr>
                <w:rFonts w:hint="eastAsia" w:ascii="仿宋" w:hAnsi="仿宋" w:eastAsia="仿宋" w:cs="仿宋"/>
                <w:szCs w:val="21"/>
                <w:lang w:val="en-US" w:eastAsia="zh-CN"/>
              </w:rPr>
            </w:pPr>
          </w:p>
        </w:tc>
      </w:tr>
    </w:tbl>
    <w:p>
      <w:pPr>
        <w:rPr>
          <w:rFonts w:ascii="仿宋" w:hAnsi="仿宋" w:eastAsia="仿宋" w:cs="仿宋"/>
        </w:rPr>
      </w:pPr>
    </w:p>
    <w:p>
      <w:pPr>
        <w:pStyle w:val="34"/>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pPr>
        <w:spacing w:line="440" w:lineRule="exact"/>
        <w:jc w:val="left"/>
        <w:rPr>
          <w:rFonts w:hint="default" w:ascii="仿宋" w:hAnsi="仿宋" w:eastAsia="仿宋" w:cs="仿宋"/>
          <w:b/>
          <w:color w:val="auto"/>
          <w:sz w:val="24"/>
          <w:lang w:val="en-US" w:eastAsia="zh-CN"/>
        </w:rPr>
      </w:pPr>
      <w:r>
        <w:rPr>
          <w:rFonts w:hint="eastAsia" w:ascii="仿宋" w:hAnsi="仿宋" w:eastAsia="仿宋" w:cs="仿宋"/>
          <w:b/>
          <w:color w:val="auto"/>
          <w:sz w:val="24"/>
        </w:rPr>
        <w:t>2.1标项一：绍兴市人民医院医用食品（FSMP）审方系统</w:t>
      </w:r>
      <w:r>
        <w:rPr>
          <w:rFonts w:hint="eastAsia" w:ascii="仿宋" w:hAnsi="仿宋" w:eastAsia="仿宋" w:cs="仿宋"/>
          <w:b/>
          <w:color w:val="auto"/>
          <w:sz w:val="24"/>
          <w:lang w:val="en-US" w:eastAsia="zh-CN"/>
        </w:rPr>
        <w:t>采购项目</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color w:val="auto"/>
          <w:sz w:val="24"/>
        </w:rPr>
        <w:t>2.1.1商务技术分（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r>
        <w:rPr>
          <w:rFonts w:hint="eastAsia" w:ascii="仿宋" w:hAnsi="仿宋" w:eastAsia="仿宋" w:cs="仿宋"/>
          <w:sz w:val="20"/>
          <w:szCs w:val="20"/>
          <w:shd w:val="clear" w:color="auto" w:fill="FFFFFF"/>
        </w:rPr>
        <w:t> </w:t>
      </w:r>
    </w:p>
    <w:tbl>
      <w:tblPr>
        <w:tblStyle w:val="64"/>
        <w:tblpPr w:leftFromText="180" w:rightFromText="180" w:vertAnchor="text" w:horzAnchor="margin" w:tblpY="338"/>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82"/>
        <w:gridCol w:w="686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49"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45" w:type="pct"/>
            <w:vAlign w:val="center"/>
          </w:tcPr>
          <w:p>
            <w:pPr>
              <w:widowControl/>
              <w:spacing w:line="360" w:lineRule="auto"/>
              <w:jc w:val="center"/>
              <w:rPr>
                <w:rFonts w:ascii="仿宋" w:hAnsi="仿宋" w:eastAsia="仿宋" w:cs="仿宋"/>
                <w:b/>
                <w:bCs/>
                <w:color w:val="auto"/>
                <w:sz w:val="24"/>
              </w:rPr>
            </w:pPr>
            <w:r>
              <w:rPr>
                <w:rFonts w:hint="eastAsia" w:ascii="仿宋_GB2312" w:hAnsi="Arial Unicode MS" w:eastAsia="仿宋_GB2312" w:cs="Arial Unicode MS"/>
                <w:b/>
                <w:bCs/>
                <w:color w:val="auto"/>
                <w:kern w:val="0"/>
                <w:sz w:val="24"/>
              </w:rPr>
              <w:t>评分内容</w:t>
            </w:r>
          </w:p>
        </w:tc>
        <w:tc>
          <w:tcPr>
            <w:tcW w:w="3741" w:type="pct"/>
            <w:vAlign w:val="center"/>
          </w:tcPr>
          <w:p>
            <w:pPr>
              <w:widowControl/>
              <w:spacing w:line="360" w:lineRule="auto"/>
              <w:jc w:val="center"/>
              <w:rPr>
                <w:rFonts w:ascii="仿宋" w:hAnsi="仿宋" w:eastAsia="仿宋" w:cs="仿宋"/>
                <w:b/>
                <w:bCs/>
                <w:color w:val="auto"/>
                <w:sz w:val="24"/>
              </w:rPr>
            </w:pPr>
            <w:r>
              <w:rPr>
                <w:rFonts w:hint="eastAsia" w:ascii="仿宋_GB2312" w:hAnsi="Arial Unicode MS" w:eastAsia="仿宋_GB2312" w:cs="Arial Unicode MS"/>
                <w:b/>
                <w:bCs/>
                <w:color w:val="auto"/>
                <w:kern w:val="0"/>
                <w:sz w:val="24"/>
              </w:rPr>
              <w:t>评审细则</w:t>
            </w:r>
          </w:p>
        </w:tc>
        <w:tc>
          <w:tcPr>
            <w:tcW w:w="364" w:type="pct"/>
            <w:vAlign w:val="center"/>
          </w:tcPr>
          <w:p>
            <w:pPr>
              <w:spacing w:line="340" w:lineRule="exact"/>
              <w:jc w:val="center"/>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45" w:type="pct"/>
            <w:vAlign w:val="center"/>
          </w:tcPr>
          <w:p>
            <w:pPr>
              <w:widowControl/>
              <w:spacing w:line="360" w:lineRule="auto"/>
              <w:jc w:val="center"/>
              <w:rPr>
                <w:rFonts w:ascii="仿宋" w:hAnsi="仿宋" w:eastAsia="仿宋" w:cs="仿宋"/>
                <w:color w:val="auto"/>
                <w:sz w:val="24"/>
              </w:rPr>
            </w:pPr>
            <w:r>
              <w:rPr>
                <w:rFonts w:hint="eastAsia" w:ascii="仿宋_GB2312" w:hAnsi="Arial Unicode MS" w:eastAsia="仿宋_GB2312" w:cs="Arial Unicode MS"/>
                <w:color w:val="auto"/>
                <w:sz w:val="24"/>
              </w:rPr>
              <w:t>基本技术</w:t>
            </w:r>
          </w:p>
        </w:tc>
        <w:tc>
          <w:tcPr>
            <w:tcW w:w="3741" w:type="pct"/>
            <w:vAlign w:val="center"/>
          </w:tcPr>
          <w:p>
            <w:pPr>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技术参数响应情况：对应于招标文件第三部分招标项目范围及要求——</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招标内容及需求——“</w:t>
            </w:r>
            <w:r>
              <w:rPr>
                <w:rFonts w:hint="eastAsia" w:ascii="仿宋_GB2312" w:hAnsi="Arial Unicode MS" w:eastAsia="仿宋_GB2312" w:cs="Arial Unicode MS"/>
                <w:color w:val="auto"/>
                <w:sz w:val="24"/>
              </w:rPr>
              <w:t>1.</w:t>
            </w:r>
            <w:r>
              <w:rPr>
                <w:rFonts w:hint="eastAsia" w:ascii="仿宋_GB2312" w:hAnsi="Arial Unicode MS" w:eastAsia="仿宋_GB2312" w:cs="Arial Unicode MS"/>
                <w:color w:val="auto"/>
                <w:sz w:val="24"/>
                <w:lang w:val="en-US" w:eastAsia="zh-CN"/>
              </w:rPr>
              <w:t>2</w:t>
            </w:r>
            <w:r>
              <w:rPr>
                <w:rFonts w:hint="eastAsia" w:ascii="仿宋_GB2312" w:hAnsi="Arial Unicode MS" w:eastAsia="仿宋_GB2312" w:cs="Arial Unicode MS"/>
                <w:color w:val="auto"/>
                <w:sz w:val="24"/>
              </w:rPr>
              <w:t>医用食品（FSMP）审方系统功能模块及其它要求</w:t>
            </w:r>
            <w:r>
              <w:rPr>
                <w:rFonts w:hint="eastAsia" w:ascii="仿宋" w:hAnsi="仿宋" w:eastAsia="仿宋" w:cs="仿宋"/>
                <w:color w:val="auto"/>
                <w:sz w:val="24"/>
                <w:szCs w:val="24"/>
              </w:rPr>
              <w:t>”，完全满足</w:t>
            </w:r>
            <w:r>
              <w:rPr>
                <w:rFonts w:hint="eastAsia" w:ascii="仿宋" w:hAnsi="仿宋" w:eastAsia="仿宋" w:cs="仿宋"/>
                <w:color w:val="auto"/>
                <w:sz w:val="24"/>
                <w:szCs w:val="24"/>
                <w:lang w:val="en-US" w:eastAsia="zh-CN"/>
              </w:rPr>
              <w:t>招标文件</w:t>
            </w:r>
            <w:r>
              <w:rPr>
                <w:rFonts w:hint="eastAsia" w:ascii="仿宋" w:hAnsi="仿宋" w:eastAsia="仿宋" w:cs="仿宋"/>
                <w:color w:val="auto"/>
                <w:sz w:val="24"/>
                <w:szCs w:val="24"/>
              </w:rPr>
              <w:t>指标参数</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分。每有一项负偏离扣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p>
          <w:p>
            <w:pPr>
              <w:pStyle w:val="2"/>
              <w:ind w:firstLine="0" w:firstLineChars="0"/>
              <w:rPr>
                <w:rFonts w:ascii="仿宋" w:hAnsi="仿宋" w:eastAsia="仿宋" w:cs="仿宋"/>
                <w:color w:val="auto"/>
                <w:sz w:val="24"/>
              </w:rPr>
            </w:pPr>
            <w:r>
              <w:rPr>
                <w:rFonts w:hint="eastAsia" w:ascii="仿宋" w:hAnsi="仿宋" w:eastAsia="仿宋" w:cs="仿宋"/>
                <w:color w:val="auto"/>
                <w:sz w:val="24"/>
                <w:szCs w:val="24"/>
              </w:rPr>
              <w:t>注：同一参数有演示打分的，按演示打分，不重复打分。</w:t>
            </w:r>
          </w:p>
        </w:tc>
        <w:tc>
          <w:tcPr>
            <w:tcW w:w="364" w:type="pct"/>
            <w:vAlign w:val="center"/>
          </w:tcPr>
          <w:p>
            <w:pPr>
              <w:widowControl/>
              <w:spacing w:line="360" w:lineRule="auto"/>
              <w:jc w:val="center"/>
              <w:rPr>
                <w:rFonts w:hint="eastAsia" w:ascii="仿宋" w:hAnsi="仿宋" w:eastAsia="仿宋" w:cs="仿宋"/>
                <w:color w:val="auto"/>
                <w:sz w:val="24"/>
              </w:rPr>
            </w:pPr>
            <w:r>
              <w:rPr>
                <w:rFonts w:hint="eastAsia" w:ascii="仿宋_GB2312" w:hAnsi="Arial Unicode MS" w:eastAsia="仿宋_GB2312" w:cs="Arial Unicode MS"/>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45"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企业资质认证及人员资质</w:t>
            </w:r>
          </w:p>
        </w:tc>
        <w:tc>
          <w:tcPr>
            <w:tcW w:w="3741" w:type="pct"/>
            <w:vAlign w:val="center"/>
          </w:tcPr>
          <w:p>
            <w:pPr>
              <w:spacing w:line="276" w:lineRule="auto"/>
              <w:ind w:right="-113" w:rightChars="-54"/>
              <w:jc w:val="left"/>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投标人</w:t>
            </w:r>
            <w:r>
              <w:rPr>
                <w:rFonts w:hint="eastAsia" w:ascii="仿宋" w:hAnsi="仿宋" w:eastAsia="仿宋" w:cs="仿宋"/>
                <w:color w:val="auto"/>
                <w:sz w:val="24"/>
                <w:lang w:val="en-US" w:eastAsia="zh-CN"/>
              </w:rPr>
              <w:t>提供</w:t>
            </w:r>
            <w:r>
              <w:rPr>
                <w:rFonts w:hint="eastAsia" w:ascii="仿宋" w:hAnsi="仿宋" w:eastAsia="仿宋" w:cs="仿宋"/>
                <w:color w:val="auto"/>
                <w:sz w:val="24"/>
              </w:rPr>
              <w:t>质量管理体系认证证书、信息技术服务管理体系认证证书、信息安全管理体系认证证书的，每</w:t>
            </w:r>
            <w:r>
              <w:rPr>
                <w:rFonts w:hint="eastAsia" w:ascii="仿宋" w:hAnsi="仿宋" w:eastAsia="仿宋" w:cs="仿宋"/>
                <w:color w:val="auto"/>
                <w:sz w:val="24"/>
                <w:lang w:val="en-US" w:eastAsia="zh-CN"/>
              </w:rPr>
              <w:t>个</w:t>
            </w:r>
            <w:r>
              <w:rPr>
                <w:rFonts w:hint="eastAsia" w:ascii="仿宋" w:hAnsi="仿宋" w:eastAsia="仿宋" w:cs="仿宋"/>
                <w:color w:val="auto"/>
                <w:sz w:val="24"/>
              </w:rPr>
              <w:t>得1分，最多得3分。</w:t>
            </w:r>
          </w:p>
          <w:p>
            <w:pPr>
              <w:spacing w:line="276" w:lineRule="auto"/>
              <w:ind w:right="-113" w:rightChars="-54"/>
              <w:jc w:val="left"/>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投标人</w:t>
            </w:r>
            <w:r>
              <w:rPr>
                <w:rFonts w:hint="eastAsia" w:ascii="仿宋" w:hAnsi="仿宋" w:eastAsia="仿宋" w:cs="仿宋"/>
                <w:color w:val="auto"/>
                <w:sz w:val="24"/>
                <w:lang w:val="en-US" w:eastAsia="zh-CN"/>
              </w:rPr>
              <w:t>提供</w:t>
            </w:r>
            <w:r>
              <w:rPr>
                <w:rFonts w:hint="eastAsia" w:ascii="仿宋" w:hAnsi="仿宋" w:eastAsia="仿宋" w:cs="仿宋"/>
                <w:color w:val="auto"/>
                <w:sz w:val="24"/>
              </w:rPr>
              <w:t>ITSS信息技术服务标准证书</w:t>
            </w:r>
            <w:r>
              <w:rPr>
                <w:rFonts w:hint="eastAsia" w:ascii="仿宋" w:hAnsi="仿宋" w:eastAsia="仿宋" w:cs="仿宋"/>
                <w:color w:val="auto"/>
                <w:sz w:val="24"/>
                <w:lang w:val="en-US" w:eastAsia="zh-CN"/>
              </w:rPr>
              <w:t>的</w:t>
            </w:r>
            <w:r>
              <w:rPr>
                <w:rFonts w:hint="eastAsia" w:ascii="仿宋" w:hAnsi="仿宋" w:eastAsia="仿宋" w:cs="仿宋"/>
                <w:color w:val="auto"/>
                <w:sz w:val="24"/>
              </w:rPr>
              <w:t>得1分，不提供不得分。</w:t>
            </w:r>
          </w:p>
          <w:p>
            <w:pPr>
              <w:spacing w:line="276" w:lineRule="auto"/>
              <w:ind w:right="-113" w:rightChars="-54"/>
              <w:jc w:val="left"/>
              <w:rPr>
                <w:rFonts w:hint="eastAsia" w:ascii="仿宋" w:hAnsi="仿宋" w:eastAsia="仿宋" w:cs="仿宋"/>
                <w:color w:val="auto"/>
                <w:sz w:val="24"/>
              </w:rPr>
            </w:pPr>
            <w:r>
              <w:rPr>
                <w:rFonts w:hint="eastAsia" w:ascii="仿宋" w:hAnsi="仿宋" w:eastAsia="仿宋" w:cs="仿宋"/>
                <w:color w:val="auto"/>
                <w:sz w:val="24"/>
              </w:rPr>
              <w:t>3、投标人</w:t>
            </w:r>
            <w:r>
              <w:rPr>
                <w:rFonts w:hint="eastAsia" w:ascii="仿宋" w:hAnsi="仿宋" w:eastAsia="仿宋" w:cs="仿宋"/>
                <w:color w:val="auto"/>
                <w:sz w:val="24"/>
                <w:lang w:val="en-US" w:eastAsia="zh-CN"/>
              </w:rPr>
              <w:t>提供</w:t>
            </w:r>
            <w:r>
              <w:rPr>
                <w:rFonts w:hint="eastAsia" w:ascii="仿宋" w:hAnsi="仿宋" w:eastAsia="仿宋" w:cs="仿宋"/>
                <w:color w:val="auto"/>
                <w:sz w:val="24"/>
              </w:rPr>
              <w:t>所投医用食品（FSMP）审方管理系统项目相关系统软件著作权的得1分，不提供不得分。</w:t>
            </w:r>
          </w:p>
          <w:p>
            <w:pPr>
              <w:spacing w:line="276" w:lineRule="auto"/>
              <w:ind w:right="-113" w:rightChars="-54"/>
              <w:jc w:val="left"/>
              <w:rPr>
                <w:rFonts w:hint="eastAsia" w:ascii="仿宋" w:hAnsi="仿宋" w:eastAsia="仿宋" w:cs="仿宋"/>
                <w:color w:val="auto"/>
                <w:sz w:val="24"/>
              </w:rPr>
            </w:pPr>
            <w:r>
              <w:rPr>
                <w:rFonts w:hint="eastAsia" w:ascii="仿宋" w:hAnsi="仿宋" w:eastAsia="仿宋" w:cs="仿宋"/>
                <w:color w:val="auto"/>
                <w:sz w:val="24"/>
              </w:rPr>
              <w:t>4、投标人拟派的项目负责人具有高级工程师（信息软件相关）职称的得1分，没有不得分。</w:t>
            </w:r>
          </w:p>
          <w:p>
            <w:pPr>
              <w:spacing w:line="276" w:lineRule="auto"/>
              <w:ind w:right="-113" w:rightChars="-54"/>
              <w:jc w:val="left"/>
              <w:rPr>
                <w:rFonts w:ascii="仿宋" w:hAnsi="仿宋" w:eastAsia="仿宋" w:cs="仿宋"/>
                <w:color w:val="auto"/>
                <w:sz w:val="24"/>
              </w:rPr>
            </w:pPr>
            <w:r>
              <w:rPr>
                <w:rFonts w:hint="eastAsia" w:ascii="仿宋" w:hAnsi="仿宋" w:eastAsia="仿宋" w:cs="仿宋"/>
                <w:color w:val="auto"/>
                <w:sz w:val="24"/>
              </w:rPr>
              <w:t>注：</w:t>
            </w:r>
            <w:r>
              <w:rPr>
                <w:rFonts w:hint="eastAsia" w:ascii="仿宋" w:hAnsi="仿宋" w:eastAsia="仿宋" w:cs="仿宋"/>
                <w:sz w:val="24"/>
                <w:lang w:val="en-US" w:eastAsia="zh-CN"/>
              </w:rPr>
              <w:t>标文件中提供有效的证书扫描件并加盖投标人公章</w:t>
            </w:r>
            <w:r>
              <w:rPr>
                <w:rFonts w:hint="eastAsia" w:ascii="仿宋" w:hAnsi="仿宋" w:eastAsia="仿宋" w:cs="仿宋"/>
                <w:color w:val="auto"/>
                <w:sz w:val="24"/>
              </w:rPr>
              <w:t>，项目负责人</w:t>
            </w:r>
            <w:r>
              <w:rPr>
                <w:rFonts w:hint="eastAsia" w:ascii="仿宋" w:hAnsi="仿宋" w:eastAsia="仿宋" w:cs="仿宋"/>
                <w:color w:val="auto"/>
                <w:sz w:val="24"/>
                <w:lang w:val="en-US" w:eastAsia="zh-CN"/>
              </w:rPr>
              <w:t>另</w:t>
            </w:r>
            <w:r>
              <w:rPr>
                <w:rFonts w:hint="eastAsia" w:ascii="仿宋" w:hAnsi="仿宋" w:eastAsia="仿宋" w:cs="仿宋"/>
                <w:color w:val="auto"/>
                <w:sz w:val="24"/>
              </w:rPr>
              <w:t>需提供近期公司缴纳社保的证明文件或相应的缴纳公积金证明</w:t>
            </w:r>
            <w:r>
              <w:rPr>
                <w:rFonts w:hint="eastAsia" w:ascii="仿宋" w:hAnsi="仿宋" w:eastAsia="仿宋" w:cs="仿宋"/>
                <w:sz w:val="24"/>
                <w:lang w:val="en-US" w:eastAsia="zh-CN"/>
              </w:rPr>
              <w:t>。</w:t>
            </w:r>
          </w:p>
        </w:tc>
        <w:tc>
          <w:tcPr>
            <w:tcW w:w="364" w:type="pct"/>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45"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项目案例</w:t>
            </w:r>
          </w:p>
        </w:tc>
        <w:tc>
          <w:tcPr>
            <w:tcW w:w="3741" w:type="pct"/>
            <w:vAlign w:val="center"/>
          </w:tcPr>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 xml:space="preserve">投标人自2021年1月1日以来（以合同签订时间为准）完成的同类案例，每有1个得1分，满分3分。 </w:t>
            </w:r>
          </w:p>
          <w:p>
            <w:pPr>
              <w:snapToGrid w:val="0"/>
              <w:spacing w:line="276" w:lineRule="auto"/>
              <w:ind w:right="-130"/>
              <w:jc w:val="left"/>
              <w:rPr>
                <w:rFonts w:ascii="仿宋" w:hAnsi="仿宋" w:eastAsia="仿宋" w:cs="仿宋"/>
                <w:bCs/>
                <w:iCs/>
                <w:color w:val="auto"/>
                <w:sz w:val="24"/>
              </w:rPr>
            </w:pPr>
            <w:r>
              <w:rPr>
                <w:rFonts w:hint="eastAsia" w:ascii="仿宋" w:hAnsi="仿宋" w:eastAsia="仿宋" w:cs="仿宋"/>
                <w:bCs/>
                <w:iCs/>
                <w:color w:val="auto"/>
                <w:sz w:val="24"/>
              </w:rPr>
              <w:t>注：每个案例提供合同</w:t>
            </w:r>
            <w:r>
              <w:rPr>
                <w:rFonts w:hint="eastAsia" w:ascii="仿宋" w:hAnsi="仿宋" w:eastAsia="仿宋" w:cs="仿宋"/>
                <w:bCs/>
                <w:iCs/>
                <w:color w:val="auto"/>
                <w:sz w:val="24"/>
                <w:lang w:val="en-US" w:eastAsia="zh-CN"/>
              </w:rPr>
              <w:t>扫描</w:t>
            </w:r>
            <w:r>
              <w:rPr>
                <w:rFonts w:hint="eastAsia" w:ascii="仿宋" w:hAnsi="仿宋" w:eastAsia="仿宋" w:cs="仿宋"/>
                <w:bCs/>
                <w:iCs/>
                <w:color w:val="auto"/>
                <w:sz w:val="24"/>
              </w:rPr>
              <w:t>件</w:t>
            </w:r>
            <w:r>
              <w:rPr>
                <w:rFonts w:hint="eastAsia" w:ascii="仿宋" w:hAnsi="仿宋" w:eastAsia="仿宋" w:cs="仿宋"/>
                <w:sz w:val="24"/>
                <w:lang w:val="en-US" w:eastAsia="zh-CN"/>
              </w:rPr>
              <w:t>并</w:t>
            </w:r>
            <w:r>
              <w:rPr>
                <w:rFonts w:hint="eastAsia" w:ascii="仿宋" w:hAnsi="仿宋" w:eastAsia="仿宋" w:cs="仿宋"/>
                <w:bCs/>
                <w:iCs/>
                <w:color w:val="auto"/>
                <w:sz w:val="24"/>
              </w:rPr>
              <w:t>加盖投标人公章。</w:t>
            </w:r>
          </w:p>
        </w:tc>
        <w:tc>
          <w:tcPr>
            <w:tcW w:w="364" w:type="pct"/>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45" w:type="pct"/>
            <w:vAlign w:val="center"/>
          </w:tcPr>
          <w:p>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功能现场演示</w:t>
            </w:r>
          </w:p>
        </w:tc>
        <w:tc>
          <w:tcPr>
            <w:tcW w:w="3741" w:type="pct"/>
            <w:vAlign w:val="center"/>
          </w:tcPr>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演示其他相关要求详见“前附表”。</w:t>
            </w:r>
          </w:p>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投标人按功能表项目逐一进行演示，评标委员会根据演示效果进行评分（</w:t>
            </w:r>
            <w:r>
              <w:rPr>
                <w:rFonts w:hint="eastAsia" w:ascii="仿宋" w:hAnsi="仿宋" w:eastAsia="仿宋" w:cs="仿宋"/>
                <w:bCs/>
                <w:iCs/>
                <w:color w:val="auto"/>
                <w:sz w:val="24"/>
                <w:lang w:val="en-US" w:eastAsia="zh-CN"/>
              </w:rPr>
              <w:t>完全</w:t>
            </w:r>
            <w:r>
              <w:rPr>
                <w:rFonts w:hint="eastAsia" w:ascii="仿宋" w:hAnsi="仿宋" w:eastAsia="仿宋" w:cs="仿宋"/>
                <w:bCs/>
                <w:iCs/>
                <w:color w:val="auto"/>
                <w:sz w:val="24"/>
              </w:rPr>
              <w:t>满足每项演示要求的得3分，最高15分，仅提供PPT演示</w:t>
            </w:r>
            <w:r>
              <w:rPr>
                <w:rFonts w:hint="eastAsia" w:ascii="仿宋" w:hAnsi="仿宋" w:eastAsia="仿宋" w:cs="仿宋"/>
                <w:bCs/>
                <w:iCs/>
                <w:color w:val="auto"/>
                <w:sz w:val="24"/>
                <w:lang w:val="en-US" w:eastAsia="zh-CN"/>
              </w:rPr>
              <w:t>的</w:t>
            </w:r>
            <w:r>
              <w:rPr>
                <w:rFonts w:hint="eastAsia" w:ascii="仿宋" w:hAnsi="仿宋" w:eastAsia="仿宋" w:cs="仿宋"/>
                <w:bCs/>
                <w:iCs/>
                <w:color w:val="auto"/>
                <w:sz w:val="24"/>
              </w:rPr>
              <w:t>每项</w:t>
            </w:r>
            <w:r>
              <w:rPr>
                <w:rFonts w:hint="eastAsia" w:ascii="仿宋" w:hAnsi="仿宋" w:eastAsia="仿宋" w:cs="仿宋"/>
                <w:bCs/>
                <w:iCs/>
                <w:color w:val="auto"/>
                <w:sz w:val="24"/>
                <w:lang w:eastAsia="zh-CN"/>
              </w:rPr>
              <w:t>最多</w:t>
            </w:r>
            <w:r>
              <w:rPr>
                <w:rFonts w:hint="eastAsia" w:ascii="仿宋" w:hAnsi="仿宋" w:eastAsia="仿宋" w:cs="仿宋"/>
                <w:bCs/>
                <w:iCs/>
                <w:color w:val="auto"/>
                <w:sz w:val="24"/>
              </w:rPr>
              <w:t>得</w:t>
            </w:r>
            <w:r>
              <w:rPr>
                <w:rFonts w:hint="eastAsia" w:ascii="仿宋" w:hAnsi="仿宋" w:eastAsia="仿宋" w:cs="仿宋"/>
                <w:bCs/>
                <w:iCs/>
                <w:color w:val="auto"/>
                <w:sz w:val="24"/>
                <w:lang w:val="en-US" w:eastAsia="zh-CN"/>
              </w:rPr>
              <w:t>0.5</w:t>
            </w:r>
            <w:r>
              <w:rPr>
                <w:rFonts w:hint="eastAsia" w:ascii="仿宋" w:hAnsi="仿宋" w:eastAsia="仿宋" w:cs="仿宋"/>
                <w:bCs/>
                <w:iCs/>
                <w:color w:val="auto"/>
                <w:sz w:val="24"/>
              </w:rPr>
              <w:t>分）。</w:t>
            </w:r>
          </w:p>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1、</w:t>
            </w:r>
            <w:r>
              <w:rPr>
                <w:rFonts w:hint="eastAsia" w:ascii="仿宋" w:hAnsi="仿宋" w:eastAsia="仿宋" w:cs="仿宋"/>
                <w:bCs/>
                <w:iCs/>
                <w:color w:val="auto"/>
                <w:sz w:val="24"/>
                <w:lang w:val="en-US" w:eastAsia="zh-CN"/>
              </w:rPr>
              <w:t>对</w:t>
            </w:r>
            <w:r>
              <w:rPr>
                <w:rFonts w:hint="eastAsia" w:ascii="仿宋" w:hAnsi="仿宋" w:eastAsia="仿宋" w:cs="仿宋"/>
                <w:bCs/>
                <w:iCs/>
                <w:color w:val="auto"/>
                <w:sz w:val="24"/>
              </w:rPr>
              <w:t>1.2医用食品（FSMP）审方系统功能模块及其它要求中第一大点“审查规则定义”第14小点“营养均衡”功能进行演示并打分，得0-3分，不符合或不提供的不得分。</w:t>
            </w:r>
          </w:p>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2、</w:t>
            </w:r>
            <w:r>
              <w:rPr>
                <w:rFonts w:hint="eastAsia" w:ascii="仿宋" w:hAnsi="仿宋" w:eastAsia="仿宋" w:cs="仿宋"/>
                <w:bCs/>
                <w:iCs/>
                <w:color w:val="auto"/>
                <w:sz w:val="24"/>
                <w:lang w:val="en-US" w:eastAsia="zh-CN"/>
              </w:rPr>
              <w:t>对</w:t>
            </w:r>
            <w:r>
              <w:rPr>
                <w:rFonts w:hint="eastAsia" w:ascii="仿宋" w:hAnsi="仿宋" w:eastAsia="仿宋" w:cs="仿宋"/>
                <w:bCs/>
                <w:iCs/>
                <w:color w:val="auto"/>
                <w:sz w:val="24"/>
              </w:rPr>
              <w:t>1.2医用食品（FSMP）审方系统功能模块及其它要求中第一大点“审查规则定义”第15小点“诊断审查”功能进行演示并打分，得0-3分，不符合或不提供的不得分。</w:t>
            </w:r>
          </w:p>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3、</w:t>
            </w:r>
            <w:r>
              <w:rPr>
                <w:rFonts w:hint="eastAsia" w:ascii="仿宋" w:hAnsi="仿宋" w:eastAsia="仿宋" w:cs="仿宋"/>
                <w:bCs/>
                <w:iCs/>
                <w:color w:val="auto"/>
                <w:sz w:val="24"/>
                <w:lang w:val="en-US" w:eastAsia="zh-CN"/>
              </w:rPr>
              <w:t>对</w:t>
            </w:r>
            <w:r>
              <w:rPr>
                <w:rFonts w:hint="eastAsia" w:ascii="仿宋" w:hAnsi="仿宋" w:eastAsia="仿宋" w:cs="仿宋"/>
                <w:bCs/>
                <w:iCs/>
                <w:color w:val="auto"/>
                <w:sz w:val="24"/>
              </w:rPr>
              <w:t>1.2医用食品（FSMP）审方系统功能模块及其它要求中第三大点“处方点评”第1小点“病历筛选”功能进行演示并打分，得0-3分，不符合或不提供的不得分。</w:t>
            </w:r>
          </w:p>
          <w:p>
            <w:pPr>
              <w:snapToGrid w:val="0"/>
              <w:spacing w:line="276" w:lineRule="auto"/>
              <w:ind w:right="-130"/>
              <w:jc w:val="left"/>
              <w:rPr>
                <w:rFonts w:hint="eastAsia" w:ascii="仿宋" w:hAnsi="仿宋" w:eastAsia="仿宋" w:cs="仿宋"/>
                <w:bCs/>
                <w:iCs/>
                <w:color w:val="auto"/>
                <w:sz w:val="24"/>
              </w:rPr>
            </w:pPr>
            <w:r>
              <w:rPr>
                <w:rFonts w:hint="eastAsia" w:ascii="仿宋" w:hAnsi="仿宋" w:eastAsia="仿宋" w:cs="仿宋"/>
                <w:bCs/>
                <w:iCs/>
                <w:color w:val="auto"/>
                <w:sz w:val="24"/>
              </w:rPr>
              <w:t>4、</w:t>
            </w:r>
            <w:r>
              <w:rPr>
                <w:rFonts w:hint="eastAsia" w:ascii="仿宋" w:hAnsi="仿宋" w:eastAsia="仿宋" w:cs="仿宋"/>
                <w:bCs/>
                <w:iCs/>
                <w:color w:val="auto"/>
                <w:sz w:val="24"/>
                <w:lang w:val="en-US" w:eastAsia="zh-CN"/>
              </w:rPr>
              <w:t>对</w:t>
            </w:r>
            <w:r>
              <w:rPr>
                <w:rFonts w:hint="eastAsia" w:ascii="仿宋" w:hAnsi="仿宋" w:eastAsia="仿宋" w:cs="仿宋"/>
                <w:bCs/>
                <w:iCs/>
                <w:color w:val="auto"/>
                <w:sz w:val="24"/>
              </w:rPr>
              <w:t>1.2医用食品（FSMP）审方系统功能模块及其它要求中第二大点“审查规则管理”第3小点“豁免对象设置”功能进行演示并打分，得0-3分，不符合或不提供的不得分。</w:t>
            </w:r>
          </w:p>
          <w:p>
            <w:pPr>
              <w:snapToGrid w:val="0"/>
              <w:spacing w:line="276" w:lineRule="auto"/>
              <w:ind w:right="-130"/>
              <w:jc w:val="left"/>
              <w:rPr>
                <w:rFonts w:ascii="仿宋" w:hAnsi="仿宋" w:eastAsia="仿宋" w:cs="仿宋"/>
                <w:bCs/>
                <w:iCs/>
                <w:color w:val="auto"/>
                <w:sz w:val="24"/>
              </w:rPr>
            </w:pPr>
            <w:r>
              <w:rPr>
                <w:rFonts w:hint="eastAsia" w:ascii="仿宋" w:hAnsi="仿宋" w:eastAsia="仿宋" w:cs="仿宋"/>
                <w:bCs/>
                <w:iCs/>
                <w:color w:val="auto"/>
                <w:sz w:val="24"/>
              </w:rPr>
              <w:t>5、</w:t>
            </w:r>
            <w:r>
              <w:rPr>
                <w:rFonts w:hint="eastAsia" w:ascii="仿宋" w:hAnsi="仿宋" w:eastAsia="仿宋" w:cs="仿宋"/>
                <w:bCs/>
                <w:iCs/>
                <w:color w:val="auto"/>
                <w:sz w:val="24"/>
                <w:lang w:val="en-US" w:eastAsia="zh-CN"/>
              </w:rPr>
              <w:t>对</w:t>
            </w:r>
            <w:r>
              <w:rPr>
                <w:rFonts w:hint="eastAsia" w:ascii="仿宋" w:hAnsi="仿宋" w:eastAsia="仿宋" w:cs="仿宋"/>
                <w:bCs/>
                <w:iCs/>
                <w:color w:val="auto"/>
                <w:sz w:val="24"/>
              </w:rPr>
              <w:t>1.2医用食品（FSMP）审方系统功能模块及其它要求中第三大点“处方点评”第3小点“处方点评”功能进行演示并打分，得0-3分，不符合或不提供的不得分。</w:t>
            </w:r>
          </w:p>
        </w:tc>
        <w:tc>
          <w:tcPr>
            <w:tcW w:w="364" w:type="pct"/>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45" w:type="pct"/>
            <w:vAlign w:val="center"/>
          </w:tcPr>
          <w:p>
            <w:pPr>
              <w:snapToGrid w:val="0"/>
              <w:spacing w:line="276" w:lineRule="auto"/>
              <w:ind w:right="-130"/>
              <w:jc w:val="center"/>
              <w:rPr>
                <w:rFonts w:hint="eastAsia" w:ascii="仿宋" w:hAnsi="仿宋" w:eastAsia="仿宋" w:cs="仿宋"/>
                <w:bCs/>
                <w:iCs/>
                <w:color w:val="auto"/>
                <w:sz w:val="24"/>
              </w:rPr>
            </w:pPr>
            <w:r>
              <w:rPr>
                <w:rFonts w:hint="eastAsia" w:ascii="仿宋" w:hAnsi="仿宋" w:eastAsia="仿宋" w:cs="仿宋"/>
                <w:bCs/>
                <w:iCs/>
                <w:color w:val="auto"/>
                <w:sz w:val="24"/>
              </w:rPr>
              <w:t>总体设计方案</w:t>
            </w:r>
          </w:p>
        </w:tc>
        <w:tc>
          <w:tcPr>
            <w:tcW w:w="3741" w:type="pct"/>
            <w:vAlign w:val="center"/>
          </w:tcPr>
          <w:p>
            <w:pPr>
              <w:snapToGrid w:val="0"/>
              <w:spacing w:line="276" w:lineRule="auto"/>
              <w:ind w:right="-130" w:firstLine="240" w:firstLineChars="100"/>
              <w:jc w:val="left"/>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根据投标人针对项目实际情况提供的项目质量保障控制原则、质量检查流程，操作切实可行等方面进行打分，0-5分，不符合或不提供的不得分。</w:t>
            </w:r>
          </w:p>
        </w:tc>
        <w:tc>
          <w:tcPr>
            <w:tcW w:w="364" w:type="pct"/>
            <w:vAlign w:val="center"/>
          </w:tcPr>
          <w:p>
            <w:pPr>
              <w:snapToGrid w:val="0"/>
              <w:spacing w:line="276" w:lineRule="auto"/>
              <w:ind w:right="-130"/>
              <w:jc w:val="center"/>
              <w:rPr>
                <w:rFonts w:hint="default"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9" w:type="pct"/>
            <w:vMerge w:val="restar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45" w:type="pct"/>
            <w:vMerge w:val="restar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技术方案</w:t>
            </w:r>
          </w:p>
        </w:tc>
        <w:tc>
          <w:tcPr>
            <w:tcW w:w="3741" w:type="pct"/>
            <w:vAlign w:val="center"/>
          </w:tcPr>
          <w:p>
            <w:pPr>
              <w:widowControl/>
              <w:spacing w:line="276" w:lineRule="auto"/>
              <w:ind w:firstLine="240" w:firstLineChars="100"/>
              <w:jc w:val="left"/>
              <w:rPr>
                <w:rFonts w:ascii="仿宋" w:hAnsi="仿宋" w:eastAsia="仿宋" w:cs="仿宋"/>
                <w:color w:val="auto"/>
                <w:sz w:val="24"/>
              </w:rPr>
            </w:pPr>
            <w:r>
              <w:rPr>
                <w:rFonts w:hint="eastAsia" w:ascii="仿宋_GB2312" w:hAnsi="Arial Unicode MS" w:eastAsia="仿宋_GB2312" w:cs="Arial Unicode MS"/>
                <w:color w:val="auto"/>
                <w:sz w:val="24"/>
              </w:rPr>
              <w:t>根据投标人提供的整体技术方案合理性，所采用技术先进性、性能稳定性等方面进行打分，0-5分，不符合或不提供的不得分。</w:t>
            </w:r>
          </w:p>
        </w:tc>
        <w:tc>
          <w:tcPr>
            <w:tcW w:w="364" w:type="pct"/>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49" w:type="pct"/>
            <w:vMerge w:val="continue"/>
            <w:vAlign w:val="center"/>
          </w:tcPr>
          <w:p>
            <w:pPr>
              <w:spacing w:line="340" w:lineRule="exact"/>
              <w:jc w:val="center"/>
              <w:rPr>
                <w:rFonts w:hint="eastAsia" w:ascii="仿宋" w:hAnsi="仿宋" w:eastAsia="仿宋" w:cs="仿宋"/>
                <w:color w:val="auto"/>
                <w:sz w:val="24"/>
              </w:rPr>
            </w:pPr>
          </w:p>
        </w:tc>
        <w:tc>
          <w:tcPr>
            <w:tcW w:w="645" w:type="pct"/>
            <w:vMerge w:val="continue"/>
            <w:vAlign w:val="center"/>
          </w:tcPr>
          <w:p>
            <w:pPr>
              <w:spacing w:line="300" w:lineRule="exact"/>
              <w:jc w:val="center"/>
              <w:rPr>
                <w:rFonts w:hint="eastAsia" w:ascii="仿宋" w:hAnsi="仿宋" w:eastAsia="仿宋" w:cs="仿宋"/>
                <w:color w:val="auto"/>
                <w:sz w:val="24"/>
              </w:rPr>
            </w:pPr>
          </w:p>
        </w:tc>
        <w:tc>
          <w:tcPr>
            <w:tcW w:w="3741" w:type="pct"/>
            <w:vAlign w:val="center"/>
          </w:tcPr>
          <w:p>
            <w:pPr>
              <w:widowControl/>
              <w:spacing w:line="276" w:lineRule="auto"/>
              <w:ind w:firstLine="240" w:firstLineChars="100"/>
              <w:jc w:val="left"/>
              <w:rPr>
                <w:rFonts w:hint="eastAsia" w:ascii="仿宋" w:hAnsi="仿宋" w:eastAsia="仿宋" w:cs="仿宋"/>
                <w:color w:val="auto"/>
                <w:sz w:val="24"/>
              </w:rPr>
            </w:pPr>
            <w:r>
              <w:rPr>
                <w:rFonts w:hint="eastAsia" w:ascii="仿宋_GB2312" w:hAnsi="Arial Unicode MS" w:eastAsia="仿宋_GB2312" w:cs="Arial Unicode MS"/>
                <w:color w:val="auto"/>
                <w:kern w:val="0"/>
                <w:sz w:val="24"/>
              </w:rPr>
              <w:t>投标人提供能够充分利用医院现有信息化资源与其他系统的集成，详细阐述了系统集成的总体原则、集成效果、集成流程图文说明的系统集成方案，得0-3分。不符合或不提供的不得分。</w:t>
            </w:r>
          </w:p>
        </w:tc>
        <w:tc>
          <w:tcPr>
            <w:tcW w:w="364" w:type="pct"/>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9"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45"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施工组织方案</w:t>
            </w:r>
          </w:p>
        </w:tc>
        <w:tc>
          <w:tcPr>
            <w:tcW w:w="3741" w:type="pct"/>
            <w:vAlign w:val="center"/>
          </w:tcPr>
          <w:p>
            <w:pPr>
              <w:widowControl/>
              <w:spacing w:line="276" w:lineRule="auto"/>
              <w:ind w:firstLine="240" w:firstLineChars="100"/>
              <w:jc w:val="left"/>
              <w:rPr>
                <w:rFonts w:ascii="仿宋" w:hAnsi="仿宋" w:eastAsia="仿宋" w:cs="仿宋"/>
                <w:color w:val="auto"/>
                <w:sz w:val="24"/>
              </w:rPr>
            </w:pPr>
            <w:r>
              <w:rPr>
                <w:rFonts w:hint="eastAsia" w:ascii="仿宋_GB2312" w:hAnsi="Arial Unicode MS" w:eastAsia="仿宋_GB2312" w:cs="Arial Unicode MS"/>
                <w:color w:val="auto"/>
                <w:kern w:val="0"/>
                <w:sz w:val="24"/>
              </w:rPr>
              <w:t>根据投标人提供的针对本项目的工期响应、技术服务、技术支持以及对本项目人员配置、</w:t>
            </w:r>
            <w:r>
              <w:rPr>
                <w:rFonts w:hint="eastAsia" w:ascii="仿宋" w:hAnsi="仿宋" w:eastAsia="仿宋" w:cs="仿宋"/>
                <w:bCs/>
                <w:color w:val="auto"/>
                <w:kern w:val="0"/>
                <w:sz w:val="24"/>
                <w:szCs w:val="24"/>
              </w:rPr>
              <w:t>项目实施方案，实施计划、实施难易程度</w:t>
            </w:r>
            <w:r>
              <w:rPr>
                <w:rFonts w:hint="eastAsia" w:ascii="仿宋" w:hAnsi="仿宋" w:eastAsia="仿宋" w:cs="仿宋"/>
                <w:bCs/>
                <w:color w:val="auto"/>
                <w:kern w:val="0"/>
                <w:sz w:val="24"/>
                <w:szCs w:val="24"/>
                <w:lang w:eastAsia="zh-CN"/>
              </w:rPr>
              <w:t>、</w:t>
            </w:r>
            <w:r>
              <w:rPr>
                <w:rFonts w:hint="eastAsia" w:ascii="仿宋_GB2312" w:hAnsi="Arial Unicode MS" w:eastAsia="仿宋_GB2312" w:cs="Arial Unicode MS"/>
                <w:color w:val="auto"/>
                <w:sz w:val="24"/>
              </w:rPr>
              <w:t>验收可操作性与</w:t>
            </w:r>
            <w:r>
              <w:rPr>
                <w:rFonts w:hint="eastAsia" w:ascii="仿宋_GB2312" w:hAnsi="Arial Unicode MS" w:eastAsia="仿宋_GB2312" w:cs="Arial Unicode MS"/>
                <w:color w:val="auto"/>
                <w:kern w:val="0"/>
                <w:sz w:val="24"/>
              </w:rPr>
              <w:t>相关承诺等方面进行打分，0-</w:t>
            </w:r>
            <w:r>
              <w:rPr>
                <w:rFonts w:hint="eastAsia" w:ascii="仿宋_GB2312" w:hAnsi="Arial Unicode MS" w:eastAsia="仿宋_GB2312" w:cs="Arial Unicode MS"/>
                <w:color w:val="auto"/>
                <w:kern w:val="0"/>
                <w:sz w:val="24"/>
                <w:lang w:val="en-US" w:eastAsia="zh-CN"/>
              </w:rPr>
              <w:t>4</w:t>
            </w:r>
            <w:r>
              <w:rPr>
                <w:rFonts w:hint="eastAsia" w:ascii="仿宋_GB2312" w:hAnsi="Arial Unicode MS" w:eastAsia="仿宋_GB2312" w:cs="Arial Unicode MS"/>
                <w:color w:val="auto"/>
                <w:kern w:val="0"/>
                <w:sz w:val="24"/>
              </w:rPr>
              <w:t>分，不符合或不提供的不得分。</w:t>
            </w:r>
          </w:p>
        </w:tc>
        <w:tc>
          <w:tcPr>
            <w:tcW w:w="364" w:type="pct"/>
            <w:vAlign w:val="center"/>
          </w:tcPr>
          <w:p>
            <w:pPr>
              <w:widowControl/>
              <w:spacing w:line="360" w:lineRule="auto"/>
              <w:ind w:firstLine="120" w:firstLineChars="50"/>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49" w:type="pct"/>
            <w:vAlign w:val="center"/>
          </w:tcPr>
          <w:p>
            <w:pPr>
              <w:spacing w:line="3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64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rPr>
            </w:pPr>
            <w:r>
              <w:rPr>
                <w:rFonts w:hint="eastAsia" w:ascii="仿宋_GB2312" w:hAnsi="Arial Unicode MS" w:eastAsia="仿宋_GB2312" w:cs="Arial Unicode MS"/>
                <w:color w:val="auto"/>
                <w:sz w:val="24"/>
              </w:rPr>
              <w:t>质保期优惠</w:t>
            </w:r>
          </w:p>
        </w:tc>
        <w:tc>
          <w:tcPr>
            <w:tcW w:w="3741" w:type="pct"/>
            <w:vAlign w:val="center"/>
          </w:tcPr>
          <w:p>
            <w:pPr>
              <w:widowControl/>
              <w:spacing w:line="276" w:lineRule="auto"/>
              <w:ind w:firstLine="240" w:firstLineChars="100"/>
              <w:jc w:val="left"/>
              <w:rPr>
                <w:rFonts w:hint="eastAsia" w:ascii="仿宋" w:hAnsi="仿宋" w:eastAsia="仿宋" w:cs="仿宋"/>
                <w:color w:val="auto"/>
                <w:sz w:val="24"/>
              </w:rPr>
            </w:pPr>
            <w:r>
              <w:rPr>
                <w:rFonts w:hint="eastAsia" w:ascii="仿宋_GB2312" w:hAnsi="仿宋" w:eastAsia="仿宋_GB2312" w:cs="仿宋"/>
                <w:color w:val="auto"/>
                <w:kern w:val="0"/>
                <w:sz w:val="24"/>
              </w:rPr>
              <w:t>本项目系统在满足免费质保期1年的基础上，额外每增加一年得1.5分，最高不超过3分。</w:t>
            </w:r>
          </w:p>
        </w:tc>
        <w:tc>
          <w:tcPr>
            <w:tcW w:w="364" w:type="pct"/>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49" w:type="pct"/>
            <w:vAlign w:val="center"/>
          </w:tcPr>
          <w:p>
            <w:pPr>
              <w:spacing w:line="3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9</w:t>
            </w:r>
          </w:p>
        </w:tc>
        <w:tc>
          <w:tcPr>
            <w:tcW w:w="64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rPr>
            </w:pPr>
            <w:r>
              <w:rPr>
                <w:rFonts w:hint="eastAsia" w:ascii="仿宋_GB2312" w:hAnsi="Arial Unicode MS" w:eastAsia="仿宋_GB2312" w:cs="Arial Unicode MS"/>
                <w:color w:val="auto"/>
                <w:sz w:val="24"/>
              </w:rPr>
              <w:t>接口源代码</w:t>
            </w:r>
          </w:p>
        </w:tc>
        <w:tc>
          <w:tcPr>
            <w:tcW w:w="3741" w:type="pct"/>
            <w:vAlign w:val="center"/>
          </w:tcPr>
          <w:p>
            <w:pPr>
              <w:widowControl/>
              <w:spacing w:line="276" w:lineRule="auto"/>
              <w:ind w:firstLine="240" w:firstLineChars="100"/>
              <w:jc w:val="left"/>
              <w:rPr>
                <w:rFonts w:hint="eastAsia" w:ascii="仿宋" w:hAnsi="仿宋" w:eastAsia="仿宋" w:cs="仿宋"/>
                <w:color w:val="auto"/>
                <w:sz w:val="24"/>
              </w:rPr>
            </w:pPr>
            <w:r>
              <w:rPr>
                <w:rFonts w:hint="eastAsia" w:ascii="仿宋_GB2312" w:hAnsi="Arial Unicode MS" w:eastAsia="仿宋_GB2312" w:cs="Arial Unicode MS"/>
                <w:color w:val="auto"/>
                <w:kern w:val="0"/>
                <w:sz w:val="24"/>
              </w:rPr>
              <w:t>提供项目</w:t>
            </w:r>
            <w:r>
              <w:rPr>
                <w:rFonts w:hint="eastAsia" w:ascii="仿宋_GB2312" w:hAnsi="Arial Unicode MS" w:eastAsia="仿宋_GB2312" w:cs="Arial Unicode MS"/>
                <w:color w:val="auto"/>
                <w:sz w:val="24"/>
              </w:rPr>
              <w:t>接口</w:t>
            </w:r>
            <w:r>
              <w:rPr>
                <w:rFonts w:hint="eastAsia" w:ascii="仿宋_GB2312" w:hAnsi="Arial Unicode MS" w:eastAsia="仿宋_GB2312" w:cs="Arial Unicode MS"/>
                <w:color w:val="auto"/>
                <w:kern w:val="0"/>
                <w:sz w:val="24"/>
              </w:rPr>
              <w:t>源代码，并承诺源代码可编译并能正常运行得3分，不提供不得分。</w:t>
            </w:r>
          </w:p>
        </w:tc>
        <w:tc>
          <w:tcPr>
            <w:tcW w:w="364" w:type="pct"/>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49" w:type="pct"/>
            <w:vAlign w:val="center"/>
          </w:tcPr>
          <w:p>
            <w:pPr>
              <w:spacing w:line="3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c>
          <w:tcPr>
            <w:tcW w:w="64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rPr>
            </w:pPr>
            <w:r>
              <w:rPr>
                <w:rFonts w:hint="eastAsia" w:ascii="仿宋_GB2312" w:hAnsi="Arial Unicode MS" w:eastAsia="仿宋_GB2312" w:cs="Arial Unicode MS"/>
                <w:color w:val="auto"/>
                <w:sz w:val="24"/>
              </w:rPr>
              <w:t>售后服务</w:t>
            </w:r>
          </w:p>
        </w:tc>
        <w:tc>
          <w:tcPr>
            <w:tcW w:w="3741" w:type="pct"/>
            <w:vAlign w:val="center"/>
          </w:tcPr>
          <w:p>
            <w:pPr>
              <w:widowControl/>
              <w:spacing w:line="276" w:lineRule="auto"/>
              <w:ind w:firstLine="240" w:firstLineChars="100"/>
              <w:jc w:val="left"/>
              <w:rPr>
                <w:rFonts w:hint="eastAsia" w:ascii="仿宋_GB2312" w:hAnsi="Arial Unicode MS" w:eastAsia="仿宋_GB2312" w:cs="Arial Unicode MS"/>
                <w:color w:val="auto"/>
                <w:sz w:val="24"/>
              </w:rPr>
            </w:pPr>
            <w:r>
              <w:rPr>
                <w:rFonts w:hint="eastAsia" w:ascii="仿宋" w:hAnsi="仿宋" w:eastAsia="仿宋" w:cs="仿宋"/>
                <w:bCs/>
                <w:color w:val="auto"/>
                <w:kern w:val="0"/>
                <w:sz w:val="24"/>
                <w:szCs w:val="24"/>
              </w:rPr>
              <w:t>根据投标人提供的售后服务方案、服务方式、软件升级、客户化修改及售后巡检服务</w:t>
            </w:r>
            <w:r>
              <w:rPr>
                <w:rFonts w:hint="eastAsia" w:ascii="仿宋" w:hAnsi="仿宋" w:eastAsia="仿宋" w:cs="仿宋"/>
                <w:bCs/>
                <w:color w:val="auto"/>
                <w:kern w:val="0"/>
                <w:sz w:val="24"/>
                <w:szCs w:val="24"/>
                <w:lang w:eastAsia="zh-CN"/>
              </w:rPr>
              <w:t>、现场响应</w:t>
            </w:r>
            <w:r>
              <w:rPr>
                <w:rFonts w:hint="eastAsia" w:ascii="仿宋" w:hAnsi="仿宋" w:eastAsia="仿宋" w:cs="仿宋"/>
                <w:bCs/>
                <w:color w:val="auto"/>
                <w:kern w:val="0"/>
                <w:sz w:val="24"/>
                <w:szCs w:val="24"/>
              </w:rPr>
              <w:t>等方面</w:t>
            </w:r>
            <w:r>
              <w:rPr>
                <w:rFonts w:hint="eastAsia" w:ascii="仿宋_GB2312" w:hAnsi="Arial Unicode MS" w:eastAsia="仿宋_GB2312" w:cs="Arial Unicode MS"/>
                <w:color w:val="auto"/>
                <w:sz w:val="24"/>
              </w:rPr>
              <w:t>进行打分，</w:t>
            </w:r>
            <w:r>
              <w:rPr>
                <w:rFonts w:hint="eastAsia" w:ascii="仿宋_GB2312" w:hAnsi="Arial Unicode MS" w:eastAsia="仿宋_GB2312" w:cs="Arial Unicode MS"/>
                <w:color w:val="auto"/>
                <w:sz w:val="24"/>
                <w:lang w:val="en-US" w:eastAsia="zh-CN"/>
              </w:rPr>
              <w:t>0-3</w:t>
            </w:r>
            <w:r>
              <w:rPr>
                <w:rFonts w:hint="eastAsia" w:ascii="仿宋_GB2312" w:hAnsi="Arial Unicode MS" w:eastAsia="仿宋_GB2312" w:cs="Arial Unicode MS"/>
                <w:color w:val="auto"/>
                <w:sz w:val="24"/>
              </w:rPr>
              <w:t>分，不符合或不提供的不得分。</w:t>
            </w:r>
          </w:p>
        </w:tc>
        <w:tc>
          <w:tcPr>
            <w:tcW w:w="364" w:type="pct"/>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rPr>
              <w:t>3</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1.</w:t>
      </w:r>
      <w:r>
        <w:rPr>
          <w:rFonts w:hint="eastAsia" w:ascii="仿宋" w:hAnsi="仿宋" w:eastAsia="仿宋" w:cs="仿宋"/>
          <w:b/>
          <w:bCs/>
          <w:iCs/>
          <w:sz w:val="24"/>
        </w:rPr>
        <w:t>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440" w:lineRule="exact"/>
        <w:rPr>
          <w:rFonts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w:t>
      </w:r>
      <w:r>
        <w:rPr>
          <w:rFonts w:hint="eastAsia" w:ascii="仿宋" w:hAnsi="仿宋" w:eastAsia="仿宋" w:cs="仿宋"/>
          <w:bCs/>
          <w:iCs/>
          <w:sz w:val="24"/>
        </w:rPr>
        <w:t>0</w:t>
      </w:r>
    </w:p>
    <w:p>
      <w:pPr>
        <w:snapToGrid w:val="0"/>
        <w:rPr>
          <w:rFonts w:ascii="仿宋" w:hAnsi="仿宋" w:eastAsia="仿宋" w:cs="仿宋"/>
          <w:b/>
          <w:sz w:val="24"/>
          <w:u w:val="single"/>
        </w:rPr>
      </w:pPr>
    </w:p>
    <w:bookmarkEnd w:id="5"/>
    <w:bookmarkEnd w:id="6"/>
    <w:bookmarkEnd w:id="7"/>
    <w:bookmarkEnd w:id="8"/>
    <w:p>
      <w:pPr>
        <w:snapToGrid w:val="0"/>
        <w:spacing w:line="360" w:lineRule="auto"/>
        <w:jc w:val="center"/>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spacing w:line="440" w:lineRule="exact"/>
        <w:jc w:val="left"/>
        <w:rPr>
          <w:rFonts w:hint="default" w:ascii="仿宋" w:hAnsi="仿宋" w:eastAsia="仿宋" w:cs="仿宋"/>
          <w:b/>
          <w:color w:val="auto"/>
          <w:sz w:val="24"/>
          <w:lang w:val="en-US" w:eastAsia="zh-CN"/>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标项</w:t>
      </w:r>
      <w:r>
        <w:rPr>
          <w:rFonts w:hint="eastAsia" w:ascii="仿宋" w:hAnsi="仿宋" w:eastAsia="仿宋" w:cs="仿宋"/>
          <w:b/>
          <w:color w:val="auto"/>
          <w:sz w:val="24"/>
          <w:lang w:val="en-US" w:eastAsia="zh-CN"/>
        </w:rPr>
        <w:t>二</w:t>
      </w:r>
      <w:r>
        <w:rPr>
          <w:rFonts w:hint="eastAsia" w:ascii="仿宋" w:hAnsi="仿宋" w:eastAsia="仿宋" w:cs="仿宋"/>
          <w:b/>
          <w:color w:val="auto"/>
          <w:sz w:val="24"/>
        </w:rPr>
        <w:t>：绍兴市人民医院智慧医保管理平台采购项目</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color w:val="auto"/>
          <w:sz w:val="24"/>
        </w:rPr>
        <w:t>2.</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64"/>
        <w:tblpPr w:leftFromText="180" w:rightFromText="180" w:vertAnchor="text" w:horzAnchor="margin" w:tblpY="338"/>
        <w:tblOverlap w:val="never"/>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1"/>
        <w:gridCol w:w="721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0" w:type="auto"/>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281"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评分内容</w:t>
            </w:r>
          </w:p>
        </w:tc>
        <w:tc>
          <w:tcPr>
            <w:tcW w:w="7215"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评审细则</w:t>
            </w:r>
          </w:p>
        </w:tc>
        <w:tc>
          <w:tcPr>
            <w:tcW w:w="870" w:type="dxa"/>
            <w:vAlign w:val="center"/>
          </w:tcPr>
          <w:p>
            <w:pPr>
              <w:spacing w:line="340" w:lineRule="exact"/>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281" w:type="dxa"/>
            <w:vAlign w:val="center"/>
          </w:tcPr>
          <w:p>
            <w:pPr>
              <w:widowControl/>
              <w:spacing w:line="360" w:lineRule="auto"/>
              <w:jc w:val="center"/>
              <w:rPr>
                <w:rFonts w:ascii="仿宋" w:hAnsi="仿宋" w:eastAsia="仿宋" w:cs="仿宋"/>
                <w:sz w:val="24"/>
              </w:rPr>
            </w:pPr>
            <w:r>
              <w:rPr>
                <w:rFonts w:hint="eastAsia" w:ascii="仿宋_GB2312" w:hAnsi="Arial Unicode MS" w:eastAsia="仿宋_GB2312" w:cs="Arial Unicode MS"/>
                <w:color w:val="auto"/>
                <w:sz w:val="24"/>
              </w:rPr>
              <w:t>基本技术</w:t>
            </w:r>
          </w:p>
        </w:tc>
        <w:tc>
          <w:tcPr>
            <w:tcW w:w="7215" w:type="dxa"/>
            <w:vAlign w:val="center"/>
          </w:tcPr>
          <w:p>
            <w:pPr>
              <w:pStyle w:val="2"/>
              <w:ind w:firstLine="240"/>
              <w:rPr>
                <w:rFonts w:hint="eastAsia" w:ascii="仿宋_GB2312" w:hAnsi="Arial Unicode MS" w:eastAsia="仿宋_GB2312" w:cs="Arial Unicode MS"/>
                <w:color w:val="auto"/>
                <w:sz w:val="24"/>
                <w:highlight w:val="none"/>
              </w:rPr>
            </w:pPr>
            <w:r>
              <w:rPr>
                <w:rFonts w:hint="eastAsia" w:ascii="仿宋_GB2312" w:hAnsi="Arial Unicode MS" w:eastAsia="仿宋_GB2312" w:cs="Arial Unicode MS"/>
                <w:color w:val="auto"/>
                <w:sz w:val="24"/>
                <w:highlight w:val="none"/>
              </w:rPr>
              <w:t>技术参数响应情况：对应于招标文件第三部分招标项目范围及要求——一、招标内容及需求——“</w:t>
            </w:r>
            <w:r>
              <w:rPr>
                <w:rFonts w:hint="eastAsia" w:ascii="仿宋_GB2312" w:hAnsi="Arial Unicode MS" w:eastAsia="仿宋_GB2312" w:cs="Arial Unicode MS"/>
                <w:color w:val="auto"/>
                <w:sz w:val="24"/>
                <w:highlight w:val="none"/>
                <w:lang w:val="en-US" w:eastAsia="zh-CN"/>
              </w:rPr>
              <w:t>1.3</w:t>
            </w:r>
            <w:r>
              <w:rPr>
                <w:rFonts w:hint="eastAsia" w:ascii="仿宋_GB2312" w:hAnsi="宋体" w:eastAsia="仿宋_GB2312"/>
                <w:color w:val="auto"/>
                <w:sz w:val="24"/>
                <w:highlight w:val="none"/>
              </w:rPr>
              <w:t>智慧医保管理平台采购项目</w:t>
            </w:r>
            <w:r>
              <w:rPr>
                <w:rFonts w:hint="eastAsia" w:ascii="仿宋" w:hAnsi="仿宋" w:eastAsia="仿宋" w:cs="宋体"/>
                <w:bCs/>
                <w:color w:val="auto"/>
                <w:kern w:val="0"/>
                <w:sz w:val="24"/>
                <w:highlight w:val="none"/>
              </w:rPr>
              <w:t>功能模块及其它要求</w:t>
            </w:r>
            <w:r>
              <w:rPr>
                <w:rFonts w:hint="eastAsia" w:ascii="仿宋_GB2312" w:hAnsi="Arial Unicode MS" w:eastAsia="仿宋_GB2312" w:cs="Arial Unicode MS"/>
                <w:color w:val="auto"/>
                <w:sz w:val="24"/>
                <w:highlight w:val="none"/>
              </w:rPr>
              <w:t>”，完全满足指标参数得</w:t>
            </w:r>
            <w:r>
              <w:rPr>
                <w:rFonts w:hint="eastAsia" w:ascii="仿宋_GB2312" w:hAnsi="Arial Unicode MS" w:eastAsia="仿宋_GB2312" w:cs="Arial Unicode MS"/>
                <w:color w:val="auto"/>
                <w:sz w:val="24"/>
                <w:highlight w:val="none"/>
                <w:lang w:val="en-US" w:eastAsia="zh-CN"/>
              </w:rPr>
              <w:t>21</w:t>
            </w:r>
            <w:r>
              <w:rPr>
                <w:rFonts w:hint="eastAsia" w:ascii="仿宋_GB2312" w:hAnsi="Arial Unicode MS" w:eastAsia="仿宋_GB2312" w:cs="Arial Unicode MS"/>
                <w:color w:val="auto"/>
                <w:sz w:val="24"/>
                <w:highlight w:val="none"/>
              </w:rPr>
              <w:t>分。打“★”号的性能指标为实质性指标，若出现负偏离作无效标处理；打“▲”为主要性能指标，每有一项负偏离扣3分；其他指标，每有一项负偏离扣</w:t>
            </w:r>
            <w:r>
              <w:rPr>
                <w:rFonts w:hint="eastAsia" w:ascii="仿宋_GB2312" w:hAnsi="Arial Unicode MS" w:eastAsia="仿宋_GB2312" w:cs="Arial Unicode MS"/>
                <w:color w:val="auto"/>
                <w:sz w:val="24"/>
                <w:highlight w:val="none"/>
                <w:lang w:val="en-US" w:eastAsia="zh-CN"/>
              </w:rPr>
              <w:t>1</w:t>
            </w:r>
            <w:r>
              <w:rPr>
                <w:rFonts w:hint="eastAsia" w:ascii="仿宋_GB2312" w:hAnsi="Arial Unicode MS" w:eastAsia="仿宋_GB2312" w:cs="Arial Unicode MS"/>
                <w:color w:val="auto"/>
                <w:sz w:val="24"/>
                <w:highlight w:val="none"/>
              </w:rPr>
              <w:t>分，扣完为止。</w:t>
            </w:r>
          </w:p>
          <w:p>
            <w:pPr>
              <w:pStyle w:val="2"/>
              <w:ind w:firstLine="240"/>
              <w:rPr>
                <w:rFonts w:ascii="仿宋" w:hAnsi="仿宋" w:eastAsia="仿宋" w:cs="仿宋"/>
                <w:sz w:val="24"/>
              </w:rPr>
            </w:pPr>
            <w:r>
              <w:rPr>
                <w:rFonts w:hint="eastAsia" w:ascii="仿宋_GB2312" w:hAnsi="Arial Unicode MS" w:eastAsia="仿宋_GB2312" w:cs="Arial Unicode MS"/>
                <w:color w:val="auto"/>
                <w:sz w:val="24"/>
                <w:highlight w:val="none"/>
              </w:rPr>
              <w:t>注：同一参数有演示打分的，按演示打分，不重复打分。</w:t>
            </w:r>
          </w:p>
        </w:tc>
        <w:tc>
          <w:tcPr>
            <w:tcW w:w="870" w:type="dxa"/>
            <w:vAlign w:val="center"/>
          </w:tcPr>
          <w:p>
            <w:pPr>
              <w:widowControl/>
              <w:spacing w:line="360" w:lineRule="auto"/>
              <w:jc w:val="center"/>
              <w:rPr>
                <w:rFonts w:hint="eastAsia" w:ascii="仿宋" w:hAnsi="仿宋" w:eastAsia="仿宋" w:cs="仿宋"/>
                <w:sz w:val="24"/>
              </w:rPr>
            </w:pPr>
            <w:r>
              <w:rPr>
                <w:rFonts w:hint="eastAsia" w:ascii="仿宋_GB2312" w:hAnsi="Arial Unicode MS" w:eastAsia="仿宋_GB2312" w:cs="Arial Unicode MS"/>
                <w:color w:val="auto"/>
                <w:sz w:val="24"/>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sz w:val="24"/>
              </w:rPr>
              <w:t>企业资质认证及人员资质</w:t>
            </w:r>
          </w:p>
        </w:tc>
        <w:tc>
          <w:tcPr>
            <w:tcW w:w="7215" w:type="dxa"/>
            <w:vAlign w:val="center"/>
          </w:tcPr>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1．投标人提供质量管理体系认证、信息安全管理体系认证、信息技术服务管理体系认证证书的每项得1分，本项最高得3分，不提供不得分。</w:t>
            </w:r>
          </w:p>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2．投标人提供与医院医保智慧管理相关的软件产品著作权登记证书，得1分，不提供不得分。</w:t>
            </w:r>
          </w:p>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3．投标人拟派项目负责人具有高级工程师（信息或软件相关）职称的得1分，不提供不得分。</w:t>
            </w:r>
          </w:p>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4．根据拟派项目实施团队人员的资质及项目实施经验等方面进行打分 0-3，不提供不得分。</w:t>
            </w:r>
          </w:p>
          <w:p>
            <w:pPr>
              <w:spacing w:line="276" w:lineRule="auto"/>
              <w:ind w:right="-113" w:rightChars="-54"/>
              <w:jc w:val="left"/>
              <w:rPr>
                <w:rFonts w:hint="eastAsia" w:ascii="仿宋" w:hAnsi="仿宋" w:eastAsia="仿宋" w:cs="仿宋"/>
                <w:sz w:val="24"/>
                <w:lang w:eastAsia="zh-CN"/>
              </w:rPr>
            </w:pPr>
            <w:r>
              <w:rPr>
                <w:rFonts w:hint="eastAsia" w:ascii="仿宋" w:hAnsi="仿宋" w:eastAsia="仿宋" w:cs="仿宋"/>
                <w:color w:val="auto"/>
                <w:sz w:val="24"/>
              </w:rPr>
              <w:t>注：投标文件中</w:t>
            </w:r>
            <w:r>
              <w:rPr>
                <w:rFonts w:hint="eastAsia" w:ascii="仿宋" w:hAnsi="仿宋" w:eastAsia="仿宋" w:cs="仿宋"/>
                <w:color w:val="auto"/>
                <w:sz w:val="24"/>
                <w:lang w:val="en-US" w:eastAsia="zh-CN"/>
              </w:rPr>
              <w:t>须</w:t>
            </w:r>
            <w:r>
              <w:rPr>
                <w:rFonts w:hint="eastAsia" w:ascii="仿宋" w:hAnsi="仿宋" w:eastAsia="仿宋" w:cs="仿宋"/>
                <w:color w:val="auto"/>
                <w:sz w:val="24"/>
              </w:rPr>
              <w:t>提供</w:t>
            </w:r>
            <w:r>
              <w:rPr>
                <w:rFonts w:hint="eastAsia" w:ascii="仿宋" w:hAnsi="仿宋" w:eastAsia="仿宋" w:cs="仿宋"/>
                <w:color w:val="auto"/>
                <w:sz w:val="24"/>
                <w:lang w:val="en-US" w:eastAsia="zh-CN"/>
              </w:rPr>
              <w:t>有效的证书扫描</w:t>
            </w:r>
            <w:r>
              <w:rPr>
                <w:rFonts w:hint="eastAsia" w:ascii="仿宋" w:hAnsi="仿宋" w:eastAsia="仿宋" w:cs="仿宋"/>
                <w:color w:val="auto"/>
                <w:sz w:val="24"/>
              </w:rPr>
              <w:t>件</w:t>
            </w:r>
            <w:r>
              <w:rPr>
                <w:rFonts w:hint="eastAsia" w:ascii="仿宋" w:hAnsi="仿宋" w:eastAsia="仿宋" w:cs="仿宋"/>
                <w:sz w:val="24"/>
                <w:lang w:val="en-US" w:eastAsia="zh-CN"/>
              </w:rPr>
              <w:t>并</w:t>
            </w:r>
            <w:r>
              <w:rPr>
                <w:rFonts w:hint="eastAsia" w:ascii="仿宋" w:hAnsi="仿宋" w:eastAsia="仿宋" w:cs="仿宋"/>
                <w:color w:val="auto"/>
                <w:sz w:val="24"/>
              </w:rPr>
              <w:t>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公章，项目负责人</w:t>
            </w:r>
            <w:r>
              <w:rPr>
                <w:rFonts w:hint="eastAsia" w:ascii="仿宋" w:hAnsi="仿宋" w:eastAsia="仿宋" w:cs="仿宋"/>
                <w:color w:val="auto"/>
                <w:sz w:val="24"/>
                <w:lang w:val="en-US" w:eastAsia="zh-CN"/>
              </w:rPr>
              <w:t>及实施团队人员另</w:t>
            </w:r>
            <w:r>
              <w:rPr>
                <w:rFonts w:hint="eastAsia" w:ascii="仿宋" w:hAnsi="仿宋" w:eastAsia="仿宋" w:cs="仿宋"/>
                <w:color w:val="auto"/>
                <w:sz w:val="24"/>
              </w:rPr>
              <w:t>需提供近期公司缴纳社保的证明文件或相应的缴纳公积金证明</w:t>
            </w:r>
            <w:r>
              <w:rPr>
                <w:rFonts w:hint="eastAsia" w:ascii="仿宋" w:hAnsi="仿宋" w:eastAsia="仿宋" w:cs="仿宋"/>
                <w:color w:val="auto"/>
                <w:sz w:val="24"/>
                <w:lang w:eastAsia="zh-CN"/>
              </w:rPr>
              <w:t>。</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sz w:val="24"/>
              </w:rPr>
              <w:t>项目案例</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 xml:space="preserve">投标人自2021年1月1日以来（以合同签订时间为准）完成的同类案例，每有1个得1分，满分3分。 </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注：每个案例提供合同</w:t>
            </w:r>
            <w:r>
              <w:rPr>
                <w:rFonts w:hint="eastAsia" w:ascii="仿宋" w:hAnsi="仿宋" w:eastAsia="仿宋" w:cs="仿宋"/>
                <w:bCs/>
                <w:iCs/>
                <w:sz w:val="24"/>
                <w:lang w:val="en-US" w:eastAsia="zh-CN"/>
              </w:rPr>
              <w:t>扫描</w:t>
            </w:r>
            <w:r>
              <w:rPr>
                <w:rFonts w:hint="eastAsia" w:ascii="仿宋" w:hAnsi="仿宋" w:eastAsia="仿宋" w:cs="仿宋"/>
                <w:bCs/>
                <w:iCs/>
                <w:sz w:val="24"/>
              </w:rPr>
              <w:t>件</w:t>
            </w:r>
            <w:r>
              <w:rPr>
                <w:rFonts w:hint="eastAsia" w:ascii="仿宋" w:hAnsi="仿宋" w:eastAsia="仿宋" w:cs="仿宋"/>
                <w:bCs/>
                <w:iCs/>
                <w:sz w:val="24"/>
                <w:lang w:val="en-US" w:eastAsia="zh-CN"/>
              </w:rPr>
              <w:t>并</w:t>
            </w:r>
            <w:r>
              <w:rPr>
                <w:rFonts w:hint="eastAsia" w:ascii="仿宋" w:hAnsi="仿宋" w:eastAsia="仿宋" w:cs="仿宋"/>
                <w:bCs/>
                <w:iCs/>
                <w:sz w:val="24"/>
              </w:rPr>
              <w:t>加盖投标人公章。</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bCs/>
                <w:iCs/>
                <w:sz w:val="24"/>
              </w:rPr>
              <w:t>功能现场演示</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演示其他相关要求详见“前附表”。</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投标人按功能表项目逐一进行演示，评标委员会根据演示效果进行评分（完</w:t>
            </w:r>
            <w:r>
              <w:rPr>
                <w:rFonts w:hint="eastAsia" w:ascii="仿宋" w:hAnsi="仿宋" w:eastAsia="仿宋" w:cs="仿宋"/>
                <w:bCs/>
                <w:iCs/>
                <w:sz w:val="24"/>
                <w:lang w:val="en-US" w:eastAsia="zh-CN"/>
              </w:rPr>
              <w:t>全</w:t>
            </w:r>
            <w:r>
              <w:rPr>
                <w:rFonts w:hint="eastAsia" w:ascii="仿宋" w:hAnsi="仿宋" w:eastAsia="仿宋" w:cs="仿宋"/>
                <w:bCs/>
                <w:iCs/>
                <w:sz w:val="24"/>
              </w:rPr>
              <w:t>满足每项演示要求的得3分，最高12分，仅提供PPT演示</w:t>
            </w:r>
            <w:r>
              <w:rPr>
                <w:rFonts w:hint="eastAsia" w:ascii="仿宋" w:hAnsi="仿宋" w:eastAsia="仿宋" w:cs="仿宋"/>
                <w:bCs/>
                <w:iCs/>
                <w:sz w:val="24"/>
                <w:lang w:val="en-US" w:eastAsia="zh-CN"/>
              </w:rPr>
              <w:t>的</w:t>
            </w:r>
            <w:r>
              <w:rPr>
                <w:rFonts w:hint="eastAsia" w:ascii="仿宋" w:hAnsi="仿宋" w:eastAsia="仿宋" w:cs="仿宋"/>
                <w:bCs/>
                <w:iCs/>
                <w:sz w:val="24"/>
              </w:rPr>
              <w:t>每项</w:t>
            </w:r>
            <w:r>
              <w:rPr>
                <w:rFonts w:hint="eastAsia" w:ascii="仿宋" w:hAnsi="仿宋" w:eastAsia="仿宋" w:cs="仿宋"/>
                <w:bCs/>
                <w:iCs/>
                <w:sz w:val="24"/>
                <w:lang w:eastAsia="zh-CN"/>
              </w:rPr>
              <w:t>最多</w:t>
            </w:r>
            <w:r>
              <w:rPr>
                <w:rFonts w:hint="eastAsia" w:ascii="仿宋" w:hAnsi="仿宋" w:eastAsia="仿宋" w:cs="仿宋"/>
                <w:bCs/>
                <w:iCs/>
                <w:sz w:val="24"/>
              </w:rPr>
              <w:t>得</w:t>
            </w:r>
            <w:r>
              <w:rPr>
                <w:rFonts w:hint="eastAsia" w:ascii="仿宋" w:hAnsi="仿宋" w:eastAsia="仿宋" w:cs="仿宋"/>
                <w:bCs/>
                <w:iCs/>
                <w:sz w:val="24"/>
                <w:lang w:val="en-US" w:eastAsia="zh-CN"/>
              </w:rPr>
              <w:t>0.5</w:t>
            </w:r>
            <w:r>
              <w:rPr>
                <w:rFonts w:hint="eastAsia" w:ascii="仿宋" w:hAnsi="仿宋" w:eastAsia="仿宋" w:cs="仿宋"/>
                <w:bCs/>
                <w:iCs/>
                <w:sz w:val="24"/>
              </w:rPr>
              <w:t>分，无演示的不得分 ）。</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1、维护规则明细：支持维护规则明细：以结构化或脚本的形式定义规则，包含数量限定、项目互斥、合理性前置关联、人群限定、住院限限量、脚本验证等多种规则配置方式，并适用于实时审核引擎和批量审核引擎；支持维护规则的预警等级、应用范围、规则依据等内容进行演示比较打分，得0-3分，不符合或不提供的不得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2、违规分析：支持根据规则分类、规则明细，查询违规记录，并追溯违规详情信息。科室医生分析：支持根据科室、医生，查询违规记录，并追溯违规详情信息。患者分析：支持根据患者，查询违规记录，并追溯违规详情信息等内容进行演示比较打分，得0-3分，不符合或不提供的不得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3、自动审核：支持定时任务或临时任务完成执行后，针对任务规则，显示违规的操作行为。支持自定义时间进行任务启动，显示指定时间段内的违规行为。支持将多个任务的同一违规操作进行合并，不会造成一条数据出现多种不同状态等内容进行演示比较打分，得0-3分，不符合或不提供的不得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4、功能展示：历史违规监控：从时间维度、科室维度、病种维度、规则维度深入分析历史的违规情况；实时违规监控：实时分析当前违规提醒日志，展示控费拦截细节；违规风险预警：对于部分设定阈值的规则等内容进行演示比较打分，得0-3分，不符合或不提供的不得分。</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总体设计方案</w:t>
            </w:r>
          </w:p>
        </w:tc>
        <w:tc>
          <w:tcPr>
            <w:tcW w:w="7215" w:type="dxa"/>
            <w:vAlign w:val="center"/>
          </w:tcPr>
          <w:p>
            <w:pPr>
              <w:widowControl/>
              <w:spacing w:line="276" w:lineRule="auto"/>
              <w:jc w:val="left"/>
              <w:rPr>
                <w:rFonts w:hint="eastAsia" w:ascii="仿宋" w:hAnsi="仿宋" w:eastAsia="仿宋" w:cs="仿宋"/>
                <w:bCs/>
                <w:iCs/>
                <w:sz w:val="24"/>
                <w:lang w:val="en-US" w:eastAsia="zh-CN"/>
              </w:rPr>
            </w:pPr>
            <w:r>
              <w:rPr>
                <w:rFonts w:hint="eastAsia" w:ascii="仿宋_GB2312" w:hAnsi="Arial Unicode MS" w:eastAsia="仿宋_GB2312" w:cs="Arial Unicode MS"/>
                <w:color w:val="auto"/>
                <w:sz w:val="24"/>
                <w:highlight w:val="none"/>
              </w:rPr>
              <w:t>根据投标人针对项目实际情况提供的项目质量保障控制原则、质量检查流程，操作切实可行等方面进行打分，0-5分，不符合或不提供的不得分。</w:t>
            </w:r>
          </w:p>
        </w:tc>
        <w:tc>
          <w:tcPr>
            <w:tcW w:w="870" w:type="dxa"/>
            <w:vAlign w:val="center"/>
          </w:tcPr>
          <w:p>
            <w:pPr>
              <w:widowControl/>
              <w:spacing w:line="360" w:lineRule="auto"/>
              <w:jc w:val="center"/>
              <w:rPr>
                <w:rFonts w:hint="default" w:ascii="仿宋" w:hAnsi="仿宋" w:eastAsia="仿宋" w:cs="仿宋"/>
                <w:bCs/>
                <w:iCs/>
                <w:sz w:val="24"/>
                <w:lang w:val="en-US" w:eastAsia="zh-CN"/>
              </w:rPr>
            </w:pPr>
            <w:r>
              <w:rPr>
                <w:rFonts w:hint="eastAsia" w:ascii="仿宋_GB2312" w:hAnsi="Arial Unicode MS" w:eastAsia="仿宋_GB2312" w:cs="Arial Unicode M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5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128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仿宋"/>
                <w:sz w:val="24"/>
              </w:rPr>
            </w:pPr>
            <w:r>
              <w:rPr>
                <w:rFonts w:hint="eastAsia" w:ascii="仿宋" w:hAnsi="仿宋" w:eastAsia="仿宋" w:cs="仿宋"/>
                <w:sz w:val="24"/>
              </w:rPr>
              <w:t>技术方案</w:t>
            </w:r>
          </w:p>
        </w:tc>
        <w:tc>
          <w:tcPr>
            <w:tcW w:w="7215" w:type="dxa"/>
            <w:vAlign w:val="center"/>
          </w:tcPr>
          <w:p>
            <w:pPr>
              <w:widowControl/>
              <w:spacing w:line="276" w:lineRule="auto"/>
              <w:jc w:val="left"/>
              <w:rPr>
                <w:rFonts w:ascii="仿宋" w:hAnsi="仿宋" w:eastAsia="仿宋" w:cs="仿宋"/>
                <w:sz w:val="24"/>
              </w:rPr>
            </w:pPr>
            <w:r>
              <w:rPr>
                <w:rFonts w:hint="eastAsia" w:ascii="仿宋_GB2312" w:hAnsi="Arial Unicode MS" w:eastAsia="仿宋_GB2312" w:cs="Arial Unicode MS"/>
                <w:color w:val="auto"/>
                <w:sz w:val="24"/>
                <w:highlight w:val="none"/>
              </w:rPr>
              <w:t>根据投标人提供的整体技术方案合理性，所采用技术先进性、性能稳定性等方面进行打分，0-5分，不符合或不提供的不得分。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7" w:type="dxa"/>
            <w:vMerge w:val="continue"/>
            <w:vAlign w:val="center"/>
          </w:tcPr>
          <w:p>
            <w:pPr>
              <w:spacing w:line="340" w:lineRule="exact"/>
              <w:jc w:val="center"/>
              <w:rPr>
                <w:rFonts w:hint="eastAsia" w:ascii="仿宋" w:hAnsi="仿宋" w:eastAsia="仿宋" w:cs="仿宋"/>
                <w:sz w:val="24"/>
              </w:rPr>
            </w:pPr>
          </w:p>
        </w:tc>
        <w:tc>
          <w:tcPr>
            <w:tcW w:w="128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rPr>
            </w:pPr>
          </w:p>
        </w:tc>
        <w:tc>
          <w:tcPr>
            <w:tcW w:w="7215" w:type="dxa"/>
            <w:vAlign w:val="center"/>
          </w:tcPr>
          <w:p>
            <w:pPr>
              <w:widowControl/>
              <w:spacing w:line="276" w:lineRule="auto"/>
              <w:jc w:val="left"/>
              <w:rPr>
                <w:rFonts w:hint="eastAsia" w:ascii="仿宋" w:hAnsi="仿宋" w:eastAsia="仿宋" w:cs="仿宋"/>
                <w:sz w:val="24"/>
              </w:rPr>
            </w:pPr>
            <w:r>
              <w:rPr>
                <w:rFonts w:hint="eastAsia" w:ascii="仿宋_GB2312" w:hAnsi="Arial Unicode MS" w:eastAsia="仿宋_GB2312" w:cs="Arial Unicode MS"/>
                <w:color w:val="auto"/>
                <w:kern w:val="0"/>
                <w:sz w:val="24"/>
                <w:highlight w:val="none"/>
              </w:rPr>
              <w:t>投标人提供能够充分利用医院现有信息化资源与其他系统的集成，详细阐述了系统集成的总体原则、集成效果、集成流程图文说明的系统集成方案，得</w:t>
            </w:r>
            <w:r>
              <w:rPr>
                <w:rFonts w:hint="eastAsia" w:ascii="仿宋_GB2312" w:hAnsi="Arial Unicode MS" w:eastAsia="仿宋_GB2312" w:cs="Arial Unicode MS"/>
                <w:color w:val="auto"/>
                <w:kern w:val="0"/>
                <w:sz w:val="24"/>
                <w:highlight w:val="none"/>
                <w:lang w:val="en-US" w:eastAsia="zh-CN"/>
              </w:rPr>
              <w:t>0-</w:t>
            </w:r>
            <w:r>
              <w:rPr>
                <w:rFonts w:hint="eastAsia" w:ascii="仿宋_GB2312" w:hAnsi="Arial Unicode MS" w:eastAsia="仿宋_GB2312" w:cs="Arial Unicode MS"/>
                <w:color w:val="auto"/>
                <w:kern w:val="0"/>
                <w:sz w:val="24"/>
                <w:highlight w:val="none"/>
              </w:rPr>
              <w:t>3分。不符合或不提供的不得分。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12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仿宋" w:hAnsi="仿宋" w:eastAsia="仿宋" w:cs="仿宋"/>
                <w:sz w:val="24"/>
              </w:rPr>
            </w:pPr>
            <w:r>
              <w:rPr>
                <w:rFonts w:hint="eastAsia" w:ascii="仿宋" w:hAnsi="仿宋" w:eastAsia="仿宋" w:cs="仿宋"/>
                <w:sz w:val="24"/>
              </w:rPr>
              <w:t>施工组织方案</w:t>
            </w:r>
          </w:p>
        </w:tc>
        <w:tc>
          <w:tcPr>
            <w:tcW w:w="7215" w:type="dxa"/>
            <w:vAlign w:val="center"/>
          </w:tcPr>
          <w:p>
            <w:pPr>
              <w:widowControl/>
              <w:spacing w:line="276" w:lineRule="auto"/>
              <w:jc w:val="left"/>
              <w:rPr>
                <w:rFonts w:ascii="仿宋" w:hAnsi="仿宋" w:eastAsia="仿宋" w:cs="仿宋"/>
                <w:sz w:val="24"/>
              </w:rPr>
            </w:pPr>
            <w:r>
              <w:rPr>
                <w:rFonts w:hint="eastAsia" w:ascii="仿宋_GB2312" w:hAnsi="Arial Unicode MS" w:eastAsia="仿宋_GB2312" w:cs="Arial Unicode MS"/>
                <w:color w:val="auto"/>
                <w:kern w:val="0"/>
                <w:sz w:val="24"/>
                <w:highlight w:val="none"/>
              </w:rPr>
              <w:t>根据投标人提供的针对本项目的工期响应、</w:t>
            </w:r>
            <w:r>
              <w:rPr>
                <w:rFonts w:hint="eastAsia" w:ascii="仿宋_GB2312" w:hAnsi="Arial Unicode MS" w:eastAsia="仿宋_GB2312" w:cs="Arial Unicode MS"/>
                <w:color w:val="auto"/>
                <w:kern w:val="0"/>
                <w:sz w:val="24"/>
                <w:highlight w:val="none"/>
                <w:lang w:eastAsia="zh-CN"/>
              </w:rPr>
              <w:t>施工</w:t>
            </w:r>
            <w:r>
              <w:rPr>
                <w:rFonts w:hint="eastAsia" w:ascii="仿宋_GB2312" w:hAnsi="Arial Unicode MS" w:eastAsia="仿宋_GB2312" w:cs="Arial Unicode MS"/>
                <w:color w:val="auto"/>
                <w:kern w:val="0"/>
                <w:sz w:val="24"/>
                <w:highlight w:val="none"/>
              </w:rPr>
              <w:t>技术服务、</w:t>
            </w:r>
            <w:r>
              <w:rPr>
                <w:rFonts w:hint="eastAsia" w:ascii="仿宋_GB2312" w:hAnsi="Arial Unicode MS" w:eastAsia="仿宋_GB2312" w:cs="Arial Unicode MS"/>
                <w:color w:val="auto"/>
                <w:kern w:val="0"/>
                <w:sz w:val="24"/>
                <w:highlight w:val="none"/>
                <w:lang w:eastAsia="zh-CN"/>
              </w:rPr>
              <w:t>施工</w:t>
            </w:r>
            <w:r>
              <w:rPr>
                <w:rFonts w:hint="eastAsia" w:ascii="仿宋_GB2312" w:hAnsi="Arial Unicode MS" w:eastAsia="仿宋_GB2312" w:cs="Arial Unicode MS"/>
                <w:color w:val="auto"/>
                <w:kern w:val="0"/>
                <w:sz w:val="24"/>
                <w:highlight w:val="none"/>
              </w:rPr>
              <w:t>技术支持、</w:t>
            </w:r>
            <w:r>
              <w:rPr>
                <w:rFonts w:hint="eastAsia" w:ascii="仿宋_GB2312" w:hAnsi="Arial Unicode MS" w:eastAsia="仿宋_GB2312" w:cs="Arial Unicode MS"/>
                <w:color w:val="auto"/>
                <w:sz w:val="24"/>
                <w:highlight w:val="none"/>
              </w:rPr>
              <w:t>验收可操作性与</w:t>
            </w:r>
            <w:r>
              <w:rPr>
                <w:rFonts w:hint="eastAsia" w:ascii="仿宋_GB2312" w:hAnsi="Arial Unicode MS" w:eastAsia="仿宋_GB2312" w:cs="Arial Unicode MS"/>
                <w:color w:val="auto"/>
                <w:kern w:val="0"/>
                <w:sz w:val="24"/>
                <w:highlight w:val="none"/>
              </w:rPr>
              <w:t>相关承诺等方面进行打分，0-5分，不符合或不提供的不得分。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8</w:t>
            </w:r>
          </w:p>
        </w:tc>
        <w:tc>
          <w:tcPr>
            <w:tcW w:w="128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rPr>
            </w:pPr>
            <w:r>
              <w:rPr>
                <w:rFonts w:hint="eastAsia" w:ascii="仿宋_GB2312" w:hAnsi="Arial Unicode MS" w:eastAsia="仿宋_GB2312" w:cs="Arial Unicode MS"/>
                <w:color w:val="auto"/>
                <w:sz w:val="24"/>
              </w:rPr>
              <w:t>质保期优惠</w:t>
            </w:r>
          </w:p>
        </w:tc>
        <w:tc>
          <w:tcPr>
            <w:tcW w:w="7215" w:type="dxa"/>
            <w:vAlign w:val="center"/>
          </w:tcPr>
          <w:p>
            <w:pPr>
              <w:widowControl/>
              <w:spacing w:line="276" w:lineRule="auto"/>
              <w:jc w:val="left"/>
              <w:rPr>
                <w:rFonts w:hint="eastAsia" w:ascii="仿宋" w:hAnsi="仿宋" w:eastAsia="仿宋" w:cs="仿宋"/>
                <w:sz w:val="24"/>
              </w:rPr>
            </w:pPr>
            <w:r>
              <w:rPr>
                <w:rFonts w:hint="eastAsia" w:ascii="仿宋_GB2312" w:hAnsi="仿宋" w:eastAsia="仿宋_GB2312" w:cs="仿宋"/>
                <w:color w:val="auto"/>
                <w:kern w:val="0"/>
                <w:sz w:val="24"/>
                <w:highlight w:val="none"/>
              </w:rPr>
              <w:t>本项目系统在满足免费质保期1年的基础上，额外每增加一年得1.5分，最高不超过3分。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9</w:t>
            </w:r>
          </w:p>
        </w:tc>
        <w:tc>
          <w:tcPr>
            <w:tcW w:w="128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rPr>
            </w:pPr>
            <w:r>
              <w:rPr>
                <w:rFonts w:hint="eastAsia" w:ascii="仿宋_GB2312" w:hAnsi="Arial Unicode MS" w:eastAsia="仿宋_GB2312" w:cs="Arial Unicode MS"/>
                <w:color w:val="auto"/>
                <w:sz w:val="24"/>
              </w:rPr>
              <w:t>接口源代码</w:t>
            </w:r>
          </w:p>
        </w:tc>
        <w:tc>
          <w:tcPr>
            <w:tcW w:w="7215" w:type="dxa"/>
            <w:vAlign w:val="center"/>
          </w:tcPr>
          <w:p>
            <w:pPr>
              <w:widowControl/>
              <w:spacing w:line="276" w:lineRule="auto"/>
              <w:jc w:val="left"/>
              <w:rPr>
                <w:rFonts w:hint="eastAsia" w:ascii="仿宋" w:hAnsi="仿宋" w:eastAsia="仿宋" w:cs="仿宋"/>
                <w:sz w:val="24"/>
              </w:rPr>
            </w:pPr>
            <w:r>
              <w:rPr>
                <w:rFonts w:hint="eastAsia" w:ascii="仿宋_GB2312" w:hAnsi="Arial Unicode MS" w:eastAsia="仿宋_GB2312" w:cs="Arial Unicode MS"/>
                <w:color w:val="auto"/>
                <w:kern w:val="0"/>
                <w:sz w:val="24"/>
                <w:highlight w:val="none"/>
              </w:rPr>
              <w:t>提供项目</w:t>
            </w:r>
            <w:r>
              <w:rPr>
                <w:rFonts w:hint="eastAsia" w:ascii="仿宋_GB2312" w:hAnsi="Arial Unicode MS" w:eastAsia="仿宋_GB2312" w:cs="Arial Unicode MS"/>
                <w:color w:val="auto"/>
                <w:sz w:val="24"/>
                <w:highlight w:val="none"/>
              </w:rPr>
              <w:t>接口</w:t>
            </w:r>
            <w:r>
              <w:rPr>
                <w:rFonts w:hint="eastAsia" w:ascii="仿宋_GB2312" w:hAnsi="Arial Unicode MS" w:eastAsia="仿宋_GB2312" w:cs="Arial Unicode MS"/>
                <w:color w:val="auto"/>
                <w:kern w:val="0"/>
                <w:sz w:val="24"/>
                <w:highlight w:val="none"/>
              </w:rPr>
              <w:t>源代码，并承诺源代码可编译并能正常运行得</w:t>
            </w:r>
            <w:r>
              <w:rPr>
                <w:rFonts w:hint="eastAsia" w:ascii="仿宋_GB2312" w:hAnsi="Arial Unicode MS" w:eastAsia="仿宋_GB2312" w:cs="Arial Unicode MS"/>
                <w:color w:val="auto"/>
                <w:kern w:val="0"/>
                <w:sz w:val="24"/>
                <w:highlight w:val="none"/>
                <w:lang w:val="en-US" w:eastAsia="zh-CN"/>
              </w:rPr>
              <w:t>2</w:t>
            </w:r>
            <w:r>
              <w:rPr>
                <w:rFonts w:hint="eastAsia" w:ascii="仿宋_GB2312" w:hAnsi="Arial Unicode MS" w:eastAsia="仿宋_GB2312" w:cs="Arial Unicode MS"/>
                <w:color w:val="auto"/>
                <w:kern w:val="0"/>
                <w:sz w:val="24"/>
                <w:highlight w:val="none"/>
              </w:rPr>
              <w:t>分，不提供不得分。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128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rPr>
            </w:pPr>
            <w:r>
              <w:rPr>
                <w:rFonts w:hint="eastAsia" w:ascii="仿宋_GB2312" w:hAnsi="Arial Unicode MS" w:eastAsia="仿宋_GB2312" w:cs="Arial Unicode MS"/>
                <w:color w:val="auto"/>
                <w:sz w:val="24"/>
              </w:rPr>
              <w:t>售后服务</w:t>
            </w:r>
          </w:p>
        </w:tc>
        <w:tc>
          <w:tcPr>
            <w:tcW w:w="7215" w:type="dxa"/>
            <w:vAlign w:val="center"/>
          </w:tcPr>
          <w:p>
            <w:pPr>
              <w:widowControl/>
              <w:spacing w:line="276" w:lineRule="auto"/>
              <w:jc w:val="left"/>
              <w:rPr>
                <w:rFonts w:hint="eastAsia" w:ascii="仿宋" w:hAnsi="仿宋" w:eastAsia="仿宋" w:cs="仿宋"/>
                <w:sz w:val="24"/>
              </w:rPr>
            </w:pPr>
            <w:r>
              <w:rPr>
                <w:rFonts w:hint="eastAsia" w:ascii="仿宋_GB2312" w:hAnsi="Arial Unicode MS" w:eastAsia="仿宋_GB2312" w:cs="Arial Unicode MS"/>
                <w:kern w:val="0"/>
                <w:sz w:val="24"/>
              </w:rPr>
              <w:t>根据投标人提供的售后服务方案、服务方式、软件升级、客户化修改及售后巡检服务、现场响应等方面进行打分，0-3分，不符合或不提供的不得分。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highlight w:val="none"/>
              </w:rPr>
              <w:t>3</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bCs/>
          <w:iCs/>
          <w:sz w:val="24"/>
        </w:rPr>
        <w:t>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2.2其他投标人的价格分统一按照下列公式计算：</w:t>
      </w:r>
    </w:p>
    <w:p>
      <w:pPr>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w:t>
      </w:r>
      <w:r>
        <w:rPr>
          <w:rFonts w:hint="eastAsia" w:ascii="仿宋" w:hAnsi="仿宋" w:eastAsia="仿宋" w:cs="仿宋"/>
          <w:bCs/>
          <w:iCs/>
          <w:sz w:val="24"/>
        </w:rPr>
        <w:t>0</w:t>
      </w:r>
    </w:p>
    <w:p>
      <w:pPr>
        <w:snapToGrid w:val="0"/>
        <w:spacing w:line="360" w:lineRule="auto"/>
        <w:jc w:val="center"/>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6"/>
        <w:spacing w:line="800" w:lineRule="atLeast"/>
        <w:ind w:left="0" w:leftChars="0"/>
        <w:rPr>
          <w:rFonts w:ascii="仿宋" w:hAnsi="仿宋" w:eastAsia="仿宋" w:cs="仿宋"/>
          <w:b/>
          <w:sz w:val="36"/>
          <w:szCs w:val="36"/>
        </w:rPr>
      </w:pPr>
    </w:p>
    <w:p>
      <w:pPr>
        <w:pStyle w:val="26"/>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绍兴市人民医院医用食品（FSMP）审方系统和智慧医保管理平台采购项目</w:t>
      </w:r>
      <w:r>
        <w:rPr>
          <w:rFonts w:hint="eastAsia" w:ascii="仿宋" w:hAnsi="仿宋" w:eastAsia="仿宋" w:cs="仿宋"/>
          <w:sz w:val="24"/>
        </w:rPr>
        <w:t xml:space="preserve">（招标编号: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4"/>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2"/>
        <w:spacing w:line="336" w:lineRule="auto"/>
        <w:ind w:left="0" w:firstLine="0" w:firstLineChars="0"/>
        <w:rPr>
          <w:rFonts w:ascii="仿宋" w:eastAsia="仿宋" w:cs="仿宋"/>
        </w:rPr>
      </w:pPr>
      <w:r>
        <w:rPr>
          <w:rFonts w:hint="eastAsia" w:ascii="仿宋" w:eastAsia="仿宋" w:cs="仿宋"/>
        </w:rPr>
        <w:t>（1）投标函……………………………………………………………………… （页码）</w:t>
      </w:r>
    </w:p>
    <w:p>
      <w:pPr>
        <w:pStyle w:val="222"/>
        <w:spacing w:line="336" w:lineRule="auto"/>
        <w:ind w:left="0" w:firstLine="0" w:firstLineChars="0"/>
        <w:rPr>
          <w:rFonts w:ascii="仿宋" w:eastAsia="仿宋" w:cs="仿宋"/>
        </w:rPr>
      </w:pPr>
      <w:r>
        <w:rPr>
          <w:rFonts w:hint="eastAsia" w:ascii="仿宋" w:eastAsia="仿宋" w:cs="仿宋"/>
        </w:rPr>
        <w:t>（2）法定代表人授权书………………………………………………………… （页码）</w:t>
      </w:r>
    </w:p>
    <w:p>
      <w:pPr>
        <w:pStyle w:val="222"/>
        <w:spacing w:line="336" w:lineRule="auto"/>
        <w:ind w:left="0" w:firstLine="0" w:firstLineChars="0"/>
        <w:rPr>
          <w:rFonts w:ascii="仿宋" w:eastAsia="仿宋" w:cs="仿宋"/>
        </w:rPr>
      </w:pPr>
      <w:r>
        <w:rPr>
          <w:rFonts w:hint="eastAsia" w:ascii="仿宋" w:eastAsia="仿宋" w:cs="仿宋"/>
        </w:rPr>
        <w:t>（3）授权代表社保证明………………………………………………………… （页码）</w:t>
      </w:r>
    </w:p>
    <w:p>
      <w:pPr>
        <w:pStyle w:val="222"/>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pPr>
        <w:pStyle w:val="222"/>
        <w:spacing w:line="336" w:lineRule="auto"/>
        <w:ind w:left="0" w:firstLine="0" w:firstLineChars="0"/>
        <w:rPr>
          <w:rFonts w:ascii="仿宋" w:eastAsia="仿宋" w:cs="仿宋"/>
        </w:rPr>
      </w:pPr>
      <w:r>
        <w:rPr>
          <w:rFonts w:hint="eastAsia" w:ascii="仿宋" w:eastAsia="仿宋" w:cs="仿宋"/>
        </w:rPr>
        <w:t>（5）法定代表人身份证明书…………………………………………………… （页码）</w:t>
      </w:r>
    </w:p>
    <w:p>
      <w:pPr>
        <w:pStyle w:val="222"/>
        <w:spacing w:line="336" w:lineRule="auto"/>
        <w:ind w:left="0" w:firstLine="0" w:firstLineChars="0"/>
        <w:rPr>
          <w:rFonts w:ascii="仿宋" w:eastAsia="仿宋" w:cs="仿宋"/>
        </w:rPr>
      </w:pPr>
      <w:r>
        <w:rPr>
          <w:rFonts w:hint="eastAsia" w:ascii="仿宋" w:eastAsia="仿宋" w:cs="仿宋"/>
        </w:rPr>
        <w:t>（6）商务技术偏离表…………………………………………………………… （页码）</w:t>
      </w:r>
    </w:p>
    <w:p>
      <w:pPr>
        <w:pStyle w:val="222"/>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9"/>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lang w:eastAsia="zh-CN"/>
        </w:rPr>
        <w:t>绍兴市人民医院医用食品（FSMP）审方系统和智慧医保管理平台采购项目</w:t>
      </w:r>
      <w:r>
        <w:rPr>
          <w:rFonts w:hint="eastAsia" w:ascii="仿宋" w:hAnsi="仿宋" w:eastAsia="仿宋" w:cs="仿宋"/>
          <w:u w:val="single"/>
        </w:rPr>
        <w:t>（招标编号:</w:t>
      </w:r>
      <w:r>
        <w:rPr>
          <w:rFonts w:hint="eastAsia" w:ascii="仿宋" w:hAnsi="仿宋" w:eastAsia="仿宋" w:cs="仿宋"/>
          <w:u w:val="single"/>
          <w:lang w:val="en-US" w:eastAsia="zh-CN"/>
        </w:rPr>
        <w:t xml:space="preserve">       </w:t>
      </w:r>
      <w:r>
        <w:rPr>
          <w:rFonts w:hint="eastAsia" w:ascii="仿宋" w:hAnsi="仿宋" w:eastAsia="仿宋" w:cs="仿宋"/>
          <w:u w:val="single"/>
        </w:rPr>
        <w:t>）</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6"/>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6"/>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99"/>
        <w:spacing w:after="120" w:line="336" w:lineRule="auto"/>
        <w:ind w:firstLine="480"/>
        <w:rPr>
          <w:rFonts w:ascii="仿宋" w:hAnsi="仿宋" w:eastAsia="仿宋" w:cs="仿宋"/>
          <w:szCs w:val="24"/>
        </w:rPr>
      </w:pP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绍兴市人民医院医用食品（FSMP）审方系统和智慧医保管理平台采购项目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绍兴市人民医院医用食品（FSMP）审方系统和智慧医保管理平台采购项目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23"/>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4"/>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4"/>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4"/>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4"/>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4"/>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2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2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2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2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4"/>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16"/>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绍兴市人民医院医用食品（FSMP）审方系统和智慧医保管理平台采购项目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 w:val="24"/>
        </w:rPr>
        <w:t>的实施</w:t>
      </w:r>
      <w:r>
        <w:rPr>
          <w:rFonts w:hint="eastAsia" w:ascii="仿宋" w:hAnsi="仿宋" w:eastAsia="仿宋"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投标人名称(电子签名)：</w:t>
      </w:r>
    </w:p>
    <w:p>
      <w:pPr>
        <w:spacing w:line="360" w:lineRule="auto"/>
        <w:rPr>
          <w:rFonts w:ascii="仿宋" w:hAnsi="仿宋" w:eastAsia="仿宋" w:cs="仿宋"/>
          <w:b/>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7" w:name="_Hlk101259491"/>
      <w:r>
        <w:rPr>
          <w:rFonts w:hint="eastAsia" w:ascii="仿宋" w:hAnsi="仿宋" w:eastAsia="仿宋" w:cs="仿宋"/>
          <w:sz w:val="32"/>
          <w:szCs w:val="32"/>
        </w:rPr>
        <w:t>（如果有）</w:t>
      </w:r>
      <w:bookmarkEnd w:id="17"/>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4"/>
        <w:rPr>
          <w:rFonts w:ascii="仿宋" w:hAnsi="仿宋" w:eastAsia="仿宋" w:cs="仿宋"/>
          <w:b/>
          <w:color w:val="auto"/>
        </w:rPr>
      </w:pPr>
    </w:p>
    <w:p>
      <w:pPr>
        <w:pStyle w:val="316"/>
        <w:rPr>
          <w:rFonts w:ascii="仿宋" w:hAnsi="仿宋" w:eastAsia="仿宋" w:cs="仿宋"/>
          <w:b/>
          <w:sz w:val="24"/>
        </w:rPr>
      </w:pPr>
    </w:p>
    <w:p>
      <w:pPr>
        <w:rPr>
          <w:rFonts w:ascii="仿宋" w:hAnsi="仿宋" w:eastAsia="仿宋" w:cs="仿宋"/>
          <w:b/>
          <w:sz w:val="24"/>
        </w:rPr>
      </w:pPr>
    </w:p>
    <w:p>
      <w:pPr>
        <w:pStyle w:val="4"/>
        <w:rPr>
          <w:rFonts w:ascii="仿宋" w:hAnsi="仿宋" w:eastAsia="仿宋" w:cs="仿宋"/>
          <w:b/>
          <w:color w:val="auto"/>
        </w:rPr>
      </w:pPr>
    </w:p>
    <w:p>
      <w:pPr>
        <w:pStyle w:val="316"/>
        <w:rPr>
          <w:rFonts w:ascii="仿宋" w:hAnsi="仿宋" w:eastAsia="仿宋" w:cs="仿宋"/>
        </w:rPr>
      </w:pPr>
    </w:p>
    <w:p>
      <w:pPr>
        <w:pStyle w:val="31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4"/>
        <w:widowControl/>
        <w:spacing w:line="360" w:lineRule="auto"/>
        <w:ind w:firstLine="120" w:firstLineChars="50"/>
        <w:rPr>
          <w:rFonts w:ascii="仿宋" w:hAnsi="仿宋" w:eastAsia="仿宋" w:cs="仿宋"/>
          <w:b/>
          <w:color w:val="auto"/>
        </w:rPr>
      </w:pPr>
    </w:p>
    <w:p>
      <w:pPr>
        <w:pStyle w:val="316"/>
        <w:spacing w:line="360" w:lineRule="auto"/>
        <w:ind w:left="0" w:firstLine="120" w:firstLineChars="50"/>
        <w:jc w:val="left"/>
        <w:rPr>
          <w:rFonts w:ascii="仿宋" w:hAnsi="仿宋" w:eastAsia="仿宋" w:cs="仿宋"/>
          <w:b/>
          <w:sz w:val="24"/>
        </w:rPr>
      </w:pPr>
    </w:p>
    <w:p>
      <w:pPr>
        <w:pStyle w:val="219"/>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5"/>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8" w:name="_Toc465665161"/>
      <w:r>
        <w:rPr>
          <w:rFonts w:hint="eastAsia" w:ascii="仿宋" w:hAnsi="仿宋" w:eastAsia="仿宋" w:cs="仿宋"/>
        </w:rPr>
        <w:t>附件</w:t>
      </w:r>
      <w:bookmarkEnd w:id="18"/>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4"/>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2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20"/>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4"/>
        <w:rPr>
          <w:rFonts w:ascii="仿宋" w:hAnsi="仿宋" w:eastAsia="仿宋" w:cs="仿宋"/>
          <w:b/>
          <w:color w:val="auto"/>
          <w:spacing w:val="6"/>
          <w:sz w:val="32"/>
          <w:szCs w:val="32"/>
        </w:rPr>
      </w:pPr>
    </w:p>
    <w:p>
      <w:pPr>
        <w:pStyle w:val="316"/>
        <w:rPr>
          <w:rFonts w:ascii="仿宋" w:hAnsi="仿宋" w:eastAsia="仿宋" w:cs="仿宋"/>
          <w:b/>
          <w:spacing w:val="6"/>
          <w:sz w:val="32"/>
          <w:szCs w:val="32"/>
        </w:rPr>
      </w:pPr>
    </w:p>
    <w:p>
      <w:pPr>
        <w:rPr>
          <w:rFonts w:ascii="仿宋" w:hAnsi="仿宋" w:eastAsia="仿宋" w:cs="仿宋"/>
          <w:b/>
          <w:spacing w:val="6"/>
          <w:sz w:val="32"/>
          <w:szCs w:val="32"/>
        </w:rPr>
      </w:pPr>
    </w:p>
    <w:p>
      <w:pPr>
        <w:pStyle w:val="4"/>
        <w:rPr>
          <w:rFonts w:ascii="仿宋" w:hAnsi="仿宋" w:eastAsia="仿宋" w:cs="仿宋"/>
          <w:b/>
          <w:color w:val="auto"/>
          <w:spacing w:val="6"/>
          <w:sz w:val="32"/>
          <w:szCs w:val="32"/>
        </w:rPr>
      </w:pPr>
    </w:p>
    <w:p>
      <w:pPr>
        <w:pStyle w:val="316"/>
        <w:rPr>
          <w:rFonts w:ascii="仿宋" w:hAnsi="仿宋" w:eastAsia="仿宋" w:cs="仿宋"/>
        </w:rPr>
      </w:pPr>
    </w:p>
    <w:p>
      <w:pPr>
        <w:spacing w:line="360" w:lineRule="auto"/>
        <w:rPr>
          <w:rFonts w:ascii="仿宋" w:hAnsi="仿宋" w:eastAsia="仿宋" w:cs="仿宋"/>
          <w:b/>
          <w:spacing w:val="6"/>
          <w:sz w:val="32"/>
          <w:szCs w:val="32"/>
        </w:rPr>
      </w:pPr>
      <w:bookmarkStart w:id="21" w:name="OLE_LINK14"/>
      <w:bookmarkStart w:id="22" w:name="OLE_LINK13"/>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21"/>
    <w:bookmarkEnd w:id="2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1"/>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6B315"/>
    <w:multiLevelType w:val="singleLevel"/>
    <w:tmpl w:val="85C6B315"/>
    <w:lvl w:ilvl="0" w:tentative="0">
      <w:start w:val="1"/>
      <w:numFmt w:val="decimal"/>
      <w:suff w:val="nothing"/>
      <w:lvlText w:val="%1、"/>
      <w:lvlJc w:val="left"/>
    </w:lvl>
  </w:abstractNum>
  <w:abstractNum w:abstractNumId="1">
    <w:nsid w:val="88C6BDC8"/>
    <w:multiLevelType w:val="singleLevel"/>
    <w:tmpl w:val="88C6BDC8"/>
    <w:lvl w:ilvl="0" w:tentative="0">
      <w:start w:val="1"/>
      <w:numFmt w:val="decimal"/>
      <w:suff w:val="nothing"/>
      <w:lvlText w:val="%1、"/>
      <w:lvlJc w:val="left"/>
    </w:lvl>
  </w:abstractNum>
  <w:abstractNum w:abstractNumId="2">
    <w:nsid w:val="92F3BCC1"/>
    <w:multiLevelType w:val="singleLevel"/>
    <w:tmpl w:val="92F3BCC1"/>
    <w:lvl w:ilvl="0" w:tentative="0">
      <w:start w:val="1"/>
      <w:numFmt w:val="decimal"/>
      <w:suff w:val="nothing"/>
      <w:lvlText w:val="%1、"/>
      <w:lvlJc w:val="left"/>
    </w:lvl>
  </w:abstractNum>
  <w:abstractNum w:abstractNumId="3">
    <w:nsid w:val="9BA3170E"/>
    <w:multiLevelType w:val="singleLevel"/>
    <w:tmpl w:val="9BA3170E"/>
    <w:lvl w:ilvl="0" w:tentative="0">
      <w:start w:val="1"/>
      <w:numFmt w:val="decimal"/>
      <w:suff w:val="nothing"/>
      <w:lvlText w:val="%1、"/>
      <w:lvlJc w:val="left"/>
    </w:lvl>
  </w:abstractNum>
  <w:abstractNum w:abstractNumId="4">
    <w:nsid w:val="B8127DE4"/>
    <w:multiLevelType w:val="singleLevel"/>
    <w:tmpl w:val="B8127DE4"/>
    <w:lvl w:ilvl="0" w:tentative="0">
      <w:start w:val="1"/>
      <w:numFmt w:val="decimal"/>
      <w:suff w:val="nothing"/>
      <w:lvlText w:val="%1、"/>
      <w:lvlJc w:val="left"/>
    </w:lvl>
  </w:abstractNum>
  <w:abstractNum w:abstractNumId="5">
    <w:nsid w:val="BBB4320F"/>
    <w:multiLevelType w:val="singleLevel"/>
    <w:tmpl w:val="BBB4320F"/>
    <w:lvl w:ilvl="0" w:tentative="0">
      <w:start w:val="3"/>
      <w:numFmt w:val="chineseCounting"/>
      <w:suff w:val="space"/>
      <w:lvlText w:val="第%1部分"/>
      <w:lvlJc w:val="left"/>
      <w:rPr>
        <w:rFonts w:hint="eastAsia"/>
      </w:rPr>
    </w:lvl>
  </w:abstractNum>
  <w:abstractNum w:abstractNumId="6">
    <w:nsid w:val="BF6BC116"/>
    <w:multiLevelType w:val="singleLevel"/>
    <w:tmpl w:val="BF6BC116"/>
    <w:lvl w:ilvl="0" w:tentative="0">
      <w:start w:val="16"/>
      <w:numFmt w:val="decimal"/>
      <w:suff w:val="space"/>
      <w:lvlText w:val="%1."/>
      <w:lvlJc w:val="left"/>
    </w:lvl>
  </w:abstractNum>
  <w:abstractNum w:abstractNumId="7">
    <w:nsid w:val="CD27875E"/>
    <w:multiLevelType w:val="singleLevel"/>
    <w:tmpl w:val="CD27875E"/>
    <w:lvl w:ilvl="0" w:tentative="0">
      <w:start w:val="1"/>
      <w:numFmt w:val="decimal"/>
      <w:suff w:val="nothing"/>
      <w:lvlText w:val="%1、"/>
      <w:lvlJc w:val="left"/>
    </w:lvl>
  </w:abstractNum>
  <w:abstractNum w:abstractNumId="8">
    <w:nsid w:val="CFE7C3F8"/>
    <w:multiLevelType w:val="singleLevel"/>
    <w:tmpl w:val="CFE7C3F8"/>
    <w:lvl w:ilvl="0" w:tentative="0">
      <w:start w:val="1"/>
      <w:numFmt w:val="decimal"/>
      <w:suff w:val="nothing"/>
      <w:lvlText w:val="（%1）"/>
      <w:lvlJc w:val="left"/>
    </w:lvl>
  </w:abstractNum>
  <w:abstractNum w:abstractNumId="9">
    <w:nsid w:val="D07A4ACF"/>
    <w:multiLevelType w:val="singleLevel"/>
    <w:tmpl w:val="D07A4ACF"/>
    <w:lvl w:ilvl="0" w:tentative="0">
      <w:start w:val="1"/>
      <w:numFmt w:val="decimal"/>
      <w:suff w:val="nothing"/>
      <w:lvlText w:val="%1、"/>
      <w:lvlJc w:val="left"/>
    </w:lvl>
  </w:abstractNum>
  <w:abstractNum w:abstractNumId="10">
    <w:nsid w:val="D2ED42CF"/>
    <w:multiLevelType w:val="singleLevel"/>
    <w:tmpl w:val="D2ED42CF"/>
    <w:lvl w:ilvl="0" w:tentative="0">
      <w:start w:val="1"/>
      <w:numFmt w:val="decimal"/>
      <w:suff w:val="nothing"/>
      <w:lvlText w:val="%1、"/>
      <w:lvlJc w:val="left"/>
    </w:lvl>
  </w:abstractNum>
  <w:abstractNum w:abstractNumId="11">
    <w:nsid w:val="DDECD3BC"/>
    <w:multiLevelType w:val="singleLevel"/>
    <w:tmpl w:val="DDECD3BC"/>
    <w:lvl w:ilvl="0" w:tentative="0">
      <w:start w:val="6"/>
      <w:numFmt w:val="decimal"/>
      <w:suff w:val="space"/>
      <w:lvlText w:val="%1."/>
      <w:lvlJc w:val="left"/>
    </w:lvl>
  </w:abstractNum>
  <w:abstractNum w:abstractNumId="12">
    <w:nsid w:val="DE759F4B"/>
    <w:multiLevelType w:val="singleLevel"/>
    <w:tmpl w:val="DE759F4B"/>
    <w:lvl w:ilvl="0" w:tentative="0">
      <w:start w:val="2"/>
      <w:numFmt w:val="decimal"/>
      <w:suff w:val="space"/>
      <w:lvlText w:val="%1."/>
      <w:lvlJc w:val="left"/>
    </w:lvl>
  </w:abstractNum>
  <w:abstractNum w:abstractNumId="13">
    <w:nsid w:val="DEABE1DB"/>
    <w:multiLevelType w:val="singleLevel"/>
    <w:tmpl w:val="DEABE1DB"/>
    <w:lvl w:ilvl="0" w:tentative="0">
      <w:start w:val="23"/>
      <w:numFmt w:val="decimal"/>
      <w:suff w:val="space"/>
      <w:lvlText w:val="%1."/>
      <w:lvlJc w:val="left"/>
    </w:lvl>
  </w:abstractNum>
  <w:abstractNum w:abstractNumId="14">
    <w:nsid w:val="E107A036"/>
    <w:multiLevelType w:val="singleLevel"/>
    <w:tmpl w:val="E107A036"/>
    <w:lvl w:ilvl="0" w:tentative="0">
      <w:start w:val="1"/>
      <w:numFmt w:val="decimal"/>
      <w:suff w:val="nothing"/>
      <w:lvlText w:val="%1、"/>
      <w:lvlJc w:val="left"/>
    </w:lvl>
  </w:abstractNum>
  <w:abstractNum w:abstractNumId="15">
    <w:nsid w:val="F6CBCC8A"/>
    <w:multiLevelType w:val="singleLevel"/>
    <w:tmpl w:val="F6CBCC8A"/>
    <w:lvl w:ilvl="0" w:tentative="0">
      <w:start w:val="1"/>
      <w:numFmt w:val="decimal"/>
      <w:suff w:val="nothing"/>
      <w:lvlText w:val="%1、"/>
      <w:lvlJc w:val="left"/>
    </w:lvl>
  </w:abstractNum>
  <w:abstractNum w:abstractNumId="16">
    <w:nsid w:val="FFEFC674"/>
    <w:multiLevelType w:val="singleLevel"/>
    <w:tmpl w:val="FFEFC674"/>
    <w:lvl w:ilvl="0" w:tentative="0">
      <w:start w:val="1"/>
      <w:numFmt w:val="decimal"/>
      <w:suff w:val="nothing"/>
      <w:lvlText w:val="（%1）"/>
      <w:lvlJc w:val="left"/>
    </w:lvl>
  </w:abstractNum>
  <w:abstractNum w:abstractNumId="17">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8">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19">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2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1">
    <w:nsid w:val="1AAC9436"/>
    <w:multiLevelType w:val="singleLevel"/>
    <w:tmpl w:val="1AAC9436"/>
    <w:lvl w:ilvl="0" w:tentative="0">
      <w:start w:val="1"/>
      <w:numFmt w:val="decimal"/>
      <w:suff w:val="nothing"/>
      <w:lvlText w:val="%1、"/>
      <w:lvlJc w:val="left"/>
    </w:lvl>
  </w:abstractNum>
  <w:abstractNum w:abstractNumId="22">
    <w:nsid w:val="4A1DBA86"/>
    <w:multiLevelType w:val="singleLevel"/>
    <w:tmpl w:val="4A1DBA86"/>
    <w:lvl w:ilvl="0" w:tentative="0">
      <w:start w:val="1"/>
      <w:numFmt w:val="decimal"/>
      <w:suff w:val="nothing"/>
      <w:lvlText w:val="%1、"/>
      <w:lvlJc w:val="left"/>
    </w:lvl>
  </w:abstractNum>
  <w:abstractNum w:abstractNumId="23">
    <w:nsid w:val="5980E470"/>
    <w:multiLevelType w:val="singleLevel"/>
    <w:tmpl w:val="5980E470"/>
    <w:lvl w:ilvl="0" w:tentative="0">
      <w:start w:val="1"/>
      <w:numFmt w:val="decimal"/>
      <w:suff w:val="nothing"/>
      <w:lvlText w:val="%1、"/>
      <w:lvlJc w:val="left"/>
    </w:lvl>
  </w:abstractNum>
  <w:abstractNum w:abstractNumId="24">
    <w:nsid w:val="5B9E8B1A"/>
    <w:multiLevelType w:val="singleLevel"/>
    <w:tmpl w:val="5B9E8B1A"/>
    <w:lvl w:ilvl="0" w:tentative="0">
      <w:start w:val="1"/>
      <w:numFmt w:val="decimal"/>
      <w:suff w:val="nothing"/>
      <w:lvlText w:val="%1、"/>
      <w:lvlJc w:val="left"/>
    </w:lvl>
  </w:abstractNum>
  <w:abstractNum w:abstractNumId="25">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27">
    <w:nsid w:val="6D73F619"/>
    <w:multiLevelType w:val="singleLevel"/>
    <w:tmpl w:val="6D73F619"/>
    <w:lvl w:ilvl="0" w:tentative="0">
      <w:start w:val="1"/>
      <w:numFmt w:val="decimal"/>
      <w:suff w:val="nothing"/>
      <w:lvlText w:val="%1、"/>
      <w:lvlJc w:val="left"/>
    </w:lvl>
  </w:abstractNum>
  <w:abstractNum w:abstractNumId="28">
    <w:nsid w:val="7A0F6431"/>
    <w:multiLevelType w:val="singleLevel"/>
    <w:tmpl w:val="7A0F6431"/>
    <w:lvl w:ilvl="0" w:tentative="0">
      <w:start w:val="1"/>
      <w:numFmt w:val="decimal"/>
      <w:suff w:val="space"/>
      <w:lvlText w:val="%1."/>
      <w:lvlJc w:val="left"/>
    </w:lvl>
  </w:abstractNum>
  <w:num w:numId="1">
    <w:abstractNumId w:val="25"/>
  </w:num>
  <w:num w:numId="2">
    <w:abstractNumId w:val="19"/>
  </w:num>
  <w:num w:numId="3">
    <w:abstractNumId w:val="18"/>
  </w:num>
  <w:num w:numId="4">
    <w:abstractNumId w:val="26"/>
  </w:num>
  <w:num w:numId="5">
    <w:abstractNumId w:val="17"/>
  </w:num>
  <w:num w:numId="6">
    <w:abstractNumId w:val="5"/>
  </w:num>
  <w:num w:numId="7">
    <w:abstractNumId w:val="9"/>
  </w:num>
  <w:num w:numId="8">
    <w:abstractNumId w:val="23"/>
  </w:num>
  <w:num w:numId="9">
    <w:abstractNumId w:val="2"/>
  </w:num>
  <w:num w:numId="10">
    <w:abstractNumId w:val="7"/>
  </w:num>
  <w:num w:numId="11">
    <w:abstractNumId w:val="14"/>
  </w:num>
  <w:num w:numId="12">
    <w:abstractNumId w:val="21"/>
  </w:num>
  <w:num w:numId="13">
    <w:abstractNumId w:val="27"/>
  </w:num>
  <w:num w:numId="14">
    <w:abstractNumId w:val="0"/>
  </w:num>
  <w:num w:numId="15">
    <w:abstractNumId w:val="22"/>
  </w:num>
  <w:num w:numId="16">
    <w:abstractNumId w:val="1"/>
  </w:num>
  <w:num w:numId="17">
    <w:abstractNumId w:val="3"/>
  </w:num>
  <w:num w:numId="18">
    <w:abstractNumId w:val="10"/>
  </w:num>
  <w:num w:numId="19">
    <w:abstractNumId w:val="15"/>
  </w:num>
  <w:num w:numId="20">
    <w:abstractNumId w:val="4"/>
  </w:num>
  <w:num w:numId="21">
    <w:abstractNumId w:val="24"/>
  </w:num>
  <w:num w:numId="22">
    <w:abstractNumId w:val="28"/>
  </w:num>
  <w:num w:numId="23">
    <w:abstractNumId w:val="8"/>
  </w:num>
  <w:num w:numId="24">
    <w:abstractNumId w:val="16"/>
  </w:num>
  <w:num w:numId="25">
    <w:abstractNumId w:val="12"/>
  </w:num>
  <w:num w:numId="26">
    <w:abstractNumId w:val="11"/>
  </w:num>
  <w:num w:numId="27">
    <w:abstractNumId w:val="6"/>
  </w:num>
  <w:num w:numId="28">
    <w:abstractNumId w:val="1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wNjgxODM5MjdhMWUyNDEwYjU3YTk4NTBkMjNkMTk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1255120"/>
    <w:rsid w:val="02820350"/>
    <w:rsid w:val="03C862ED"/>
    <w:rsid w:val="04B8274F"/>
    <w:rsid w:val="050F5BE2"/>
    <w:rsid w:val="052052E9"/>
    <w:rsid w:val="0614418F"/>
    <w:rsid w:val="06DA075B"/>
    <w:rsid w:val="06E05361"/>
    <w:rsid w:val="06E8168C"/>
    <w:rsid w:val="078B7CA7"/>
    <w:rsid w:val="080D044F"/>
    <w:rsid w:val="0A252635"/>
    <w:rsid w:val="0A6F3777"/>
    <w:rsid w:val="0B7B1887"/>
    <w:rsid w:val="0C566F3C"/>
    <w:rsid w:val="0C600DE7"/>
    <w:rsid w:val="0C7B29E0"/>
    <w:rsid w:val="0DC42165"/>
    <w:rsid w:val="0FC03ECB"/>
    <w:rsid w:val="11916802"/>
    <w:rsid w:val="12E1536A"/>
    <w:rsid w:val="13EB29FA"/>
    <w:rsid w:val="14132899"/>
    <w:rsid w:val="15F555B1"/>
    <w:rsid w:val="19CF064A"/>
    <w:rsid w:val="1A891F3F"/>
    <w:rsid w:val="1B207089"/>
    <w:rsid w:val="1BBF69D0"/>
    <w:rsid w:val="1CAC2742"/>
    <w:rsid w:val="1D1044FE"/>
    <w:rsid w:val="1D1A3B4F"/>
    <w:rsid w:val="215F5FD5"/>
    <w:rsid w:val="23F76998"/>
    <w:rsid w:val="25832EDA"/>
    <w:rsid w:val="262F57FF"/>
    <w:rsid w:val="2651306C"/>
    <w:rsid w:val="2656307E"/>
    <w:rsid w:val="27E82557"/>
    <w:rsid w:val="28825D33"/>
    <w:rsid w:val="294D3355"/>
    <w:rsid w:val="2989420F"/>
    <w:rsid w:val="2A6C50BF"/>
    <w:rsid w:val="2AC43C1C"/>
    <w:rsid w:val="2B25495E"/>
    <w:rsid w:val="2B3E0FD4"/>
    <w:rsid w:val="2B697E73"/>
    <w:rsid w:val="2C014D5C"/>
    <w:rsid w:val="2D246AFA"/>
    <w:rsid w:val="2E1F10B4"/>
    <w:rsid w:val="2FA54326"/>
    <w:rsid w:val="30907F59"/>
    <w:rsid w:val="316311C9"/>
    <w:rsid w:val="31717D8A"/>
    <w:rsid w:val="31997B93"/>
    <w:rsid w:val="31BA0987"/>
    <w:rsid w:val="345D0B3F"/>
    <w:rsid w:val="359238FC"/>
    <w:rsid w:val="372633C5"/>
    <w:rsid w:val="397E08D1"/>
    <w:rsid w:val="3988184A"/>
    <w:rsid w:val="3A39340F"/>
    <w:rsid w:val="3B7D37CF"/>
    <w:rsid w:val="3B8561E0"/>
    <w:rsid w:val="3C74633D"/>
    <w:rsid w:val="3FA84582"/>
    <w:rsid w:val="40F7503B"/>
    <w:rsid w:val="41816A18"/>
    <w:rsid w:val="444E5904"/>
    <w:rsid w:val="45C73FC5"/>
    <w:rsid w:val="46C6427C"/>
    <w:rsid w:val="47287B2B"/>
    <w:rsid w:val="476867B5"/>
    <w:rsid w:val="480E5EDB"/>
    <w:rsid w:val="4A513E5D"/>
    <w:rsid w:val="4A6B3037"/>
    <w:rsid w:val="4B0610EB"/>
    <w:rsid w:val="4D2B308B"/>
    <w:rsid w:val="4DA753F5"/>
    <w:rsid w:val="4E41243B"/>
    <w:rsid w:val="505A68FA"/>
    <w:rsid w:val="5116195C"/>
    <w:rsid w:val="529C6374"/>
    <w:rsid w:val="53083527"/>
    <w:rsid w:val="53940F7C"/>
    <w:rsid w:val="56F009C8"/>
    <w:rsid w:val="57540BD5"/>
    <w:rsid w:val="587D3144"/>
    <w:rsid w:val="58873140"/>
    <w:rsid w:val="591C69A0"/>
    <w:rsid w:val="596F60AE"/>
    <w:rsid w:val="5A1B2DC1"/>
    <w:rsid w:val="5A62485C"/>
    <w:rsid w:val="5B0D6BCF"/>
    <w:rsid w:val="5D800C16"/>
    <w:rsid w:val="5E5162ED"/>
    <w:rsid w:val="5EB10F16"/>
    <w:rsid w:val="60031C46"/>
    <w:rsid w:val="603217C2"/>
    <w:rsid w:val="62AC0373"/>
    <w:rsid w:val="62F87114"/>
    <w:rsid w:val="63144A8C"/>
    <w:rsid w:val="63275C4B"/>
    <w:rsid w:val="64151F48"/>
    <w:rsid w:val="65184F95"/>
    <w:rsid w:val="65DC08D3"/>
    <w:rsid w:val="669026FE"/>
    <w:rsid w:val="66925AD1"/>
    <w:rsid w:val="68A815DC"/>
    <w:rsid w:val="68D12D45"/>
    <w:rsid w:val="695F2B90"/>
    <w:rsid w:val="6A261A93"/>
    <w:rsid w:val="6B757B61"/>
    <w:rsid w:val="6C272818"/>
    <w:rsid w:val="6D8A7502"/>
    <w:rsid w:val="6E7837FF"/>
    <w:rsid w:val="6EDB63E4"/>
    <w:rsid w:val="701A0B7B"/>
    <w:rsid w:val="71D6361D"/>
    <w:rsid w:val="71F648F1"/>
    <w:rsid w:val="726C4EFD"/>
    <w:rsid w:val="72E87C49"/>
    <w:rsid w:val="72F556F3"/>
    <w:rsid w:val="73AD2E8B"/>
    <w:rsid w:val="765478CF"/>
    <w:rsid w:val="76FB6D08"/>
    <w:rsid w:val="78884595"/>
    <w:rsid w:val="7BB265A2"/>
    <w:rsid w:val="7D254B52"/>
    <w:rsid w:val="7D6A4E96"/>
    <w:rsid w:val="7DD81BC4"/>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2"/>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1"/>
    <w:link w:val="85"/>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8"/>
    <w:link w:val="86"/>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8"/>
    <w:link w:val="87"/>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8"/>
    <w:link w:val="88"/>
    <w:autoRedefine/>
    <w:qFormat/>
    <w:uiPriority w:val="0"/>
    <w:pPr>
      <w:keepNext/>
      <w:widowControl/>
      <w:numPr>
        <w:ilvl w:val="0"/>
        <w:numId w:val="4"/>
      </w:numPr>
      <w:jc w:val="left"/>
      <w:outlineLvl w:val="4"/>
    </w:pPr>
    <w:rPr>
      <w:kern w:val="0"/>
      <w:sz w:val="24"/>
      <w:szCs w:val="20"/>
    </w:rPr>
  </w:style>
  <w:style w:type="paragraph" w:styleId="11">
    <w:name w:val="heading 6"/>
    <w:basedOn w:val="1"/>
    <w:next w:val="1"/>
    <w:link w:val="89"/>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90"/>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91"/>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92"/>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231"/>
    <w:autoRedefine/>
    <w:qFormat/>
    <w:uiPriority w:val="0"/>
    <w:pPr>
      <w:spacing w:after="120" w:line="240" w:lineRule="auto"/>
      <w:ind w:firstLine="420" w:firstLineChars="100"/>
    </w:pPr>
    <w:rPr>
      <w:rFonts w:eastAsia="宋体"/>
      <w:sz w:val="21"/>
    </w:rPr>
  </w:style>
  <w:style w:type="paragraph" w:styleId="3">
    <w:name w:val="Body Text"/>
    <w:basedOn w:val="1"/>
    <w:next w:val="4"/>
    <w:link w:val="114"/>
    <w:autoRedefine/>
    <w:qFormat/>
    <w:uiPriority w:val="0"/>
    <w:pPr>
      <w:spacing w:line="360" w:lineRule="auto"/>
    </w:pPr>
    <w:rPr>
      <w:rFonts w:eastAsia="仿宋_GB2312"/>
      <w:sz w:val="28"/>
    </w:rPr>
  </w:style>
  <w:style w:type="paragraph" w:customStyle="1" w:styleId="4">
    <w:name w:val="Default"/>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8">
    <w:name w:val="Normal Indent"/>
    <w:basedOn w:val="1"/>
    <w:link w:val="83"/>
    <w:autoRedefine/>
    <w:qFormat/>
    <w:uiPriority w:val="0"/>
    <w:pPr>
      <w:ind w:firstLine="420" w:firstLineChars="200"/>
    </w:pPr>
  </w:style>
  <w:style w:type="paragraph" w:styleId="15">
    <w:name w:val="toc 7"/>
    <w:basedOn w:val="1"/>
    <w:next w:val="1"/>
    <w:autoRedefine/>
    <w:qFormat/>
    <w:uiPriority w:val="0"/>
    <w:pPr>
      <w:adjustRightInd w:val="0"/>
      <w:ind w:left="2520" w:leftChars="1200"/>
    </w:pPr>
  </w:style>
  <w:style w:type="paragraph" w:styleId="16">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7">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9">
    <w:name w:val="caption"/>
    <w:basedOn w:val="1"/>
    <w:next w:val="1"/>
    <w:link w:val="309"/>
    <w:autoRedefine/>
    <w:qFormat/>
    <w:uiPriority w:val="0"/>
    <w:pPr>
      <w:spacing w:line="360" w:lineRule="auto"/>
      <w:jc w:val="center"/>
    </w:pPr>
    <w:rPr>
      <w:rFonts w:ascii="Calibri" w:hAnsi="Calibri"/>
      <w:sz w:val="20"/>
      <w:szCs w:val="20"/>
    </w:rPr>
  </w:style>
  <w:style w:type="paragraph" w:styleId="20">
    <w:name w:val="index 5"/>
    <w:basedOn w:val="1"/>
    <w:next w:val="1"/>
    <w:autoRedefine/>
    <w:qFormat/>
    <w:uiPriority w:val="0"/>
    <w:pPr>
      <w:ind w:left="800" w:leftChars="800" w:firstLine="200" w:firstLineChars="200"/>
    </w:pPr>
  </w:style>
  <w:style w:type="paragraph" w:styleId="21">
    <w:name w:val="Document Map"/>
    <w:basedOn w:val="1"/>
    <w:link w:val="148"/>
    <w:autoRedefine/>
    <w:qFormat/>
    <w:uiPriority w:val="0"/>
    <w:pPr>
      <w:shd w:val="clear" w:color="auto" w:fill="000080"/>
    </w:pPr>
  </w:style>
  <w:style w:type="paragraph" w:styleId="22">
    <w:name w:val="annotation text"/>
    <w:basedOn w:val="1"/>
    <w:link w:val="101"/>
    <w:autoRedefine/>
    <w:qFormat/>
    <w:uiPriority w:val="99"/>
    <w:pPr>
      <w:jc w:val="left"/>
    </w:pPr>
  </w:style>
  <w:style w:type="paragraph" w:styleId="23">
    <w:name w:val="Salutation"/>
    <w:basedOn w:val="1"/>
    <w:next w:val="1"/>
    <w:link w:val="317"/>
    <w:autoRedefine/>
    <w:qFormat/>
    <w:uiPriority w:val="0"/>
    <w:pPr>
      <w:adjustRightInd w:val="0"/>
    </w:pPr>
    <w:rPr>
      <w:rFonts w:ascii="仿宋_GB2312" w:eastAsia="仿宋_GB2312"/>
      <w:sz w:val="28"/>
      <w:szCs w:val="20"/>
    </w:rPr>
  </w:style>
  <w:style w:type="paragraph" w:styleId="24">
    <w:name w:val="Body Text 3"/>
    <w:basedOn w:val="1"/>
    <w:link w:val="318"/>
    <w:autoRedefine/>
    <w:qFormat/>
    <w:uiPriority w:val="0"/>
    <w:pPr>
      <w:adjustRightInd w:val="0"/>
      <w:jc w:val="center"/>
    </w:pPr>
    <w:rPr>
      <w:szCs w:val="20"/>
    </w:rPr>
  </w:style>
  <w:style w:type="paragraph" w:styleId="25">
    <w:name w:val="List Bullet 3"/>
    <w:basedOn w:val="1"/>
    <w:autoRedefine/>
    <w:qFormat/>
    <w:uiPriority w:val="0"/>
    <w:pPr>
      <w:adjustRightInd w:val="0"/>
      <w:snapToGrid w:val="0"/>
      <w:spacing w:line="360" w:lineRule="auto"/>
      <w:ind w:left="360" w:right="238" w:hanging="360"/>
      <w:contextualSpacing/>
    </w:pPr>
    <w:rPr>
      <w:sz w:val="24"/>
    </w:rPr>
  </w:style>
  <w:style w:type="paragraph" w:styleId="26">
    <w:name w:val="Body Text Indent"/>
    <w:basedOn w:val="1"/>
    <w:link w:val="95"/>
    <w:autoRedefine/>
    <w:qFormat/>
    <w:uiPriority w:val="0"/>
    <w:pPr>
      <w:spacing w:after="120"/>
      <w:ind w:left="420" w:leftChars="200"/>
    </w:pPr>
  </w:style>
  <w:style w:type="paragraph" w:styleId="27">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8">
    <w:name w:val="List 2"/>
    <w:basedOn w:val="1"/>
    <w:autoRedefine/>
    <w:qFormat/>
    <w:uiPriority w:val="0"/>
    <w:pPr>
      <w:spacing w:line="360" w:lineRule="auto"/>
      <w:ind w:left="100" w:leftChars="200" w:hanging="200" w:hangingChars="200"/>
    </w:pPr>
    <w:rPr>
      <w:rFonts w:eastAsia="微软雅黑"/>
    </w:rPr>
  </w:style>
  <w:style w:type="paragraph" w:styleId="29">
    <w:name w:val="Block Text"/>
    <w:basedOn w:val="1"/>
    <w:autoRedefine/>
    <w:qFormat/>
    <w:uiPriority w:val="0"/>
    <w:pPr>
      <w:spacing w:before="120" w:line="360" w:lineRule="auto"/>
      <w:ind w:left="824" w:right="202"/>
    </w:pPr>
    <w:rPr>
      <w:rFonts w:ascii="宋体" w:hAnsi="宋体"/>
      <w:sz w:val="24"/>
      <w:szCs w:val="21"/>
    </w:rPr>
  </w:style>
  <w:style w:type="paragraph" w:styleId="30">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2">
    <w:name w:val="toc 5"/>
    <w:basedOn w:val="1"/>
    <w:next w:val="1"/>
    <w:autoRedefine/>
    <w:qFormat/>
    <w:uiPriority w:val="0"/>
    <w:pPr>
      <w:adjustRightInd w:val="0"/>
      <w:ind w:left="1680" w:leftChars="800"/>
    </w:pPr>
  </w:style>
  <w:style w:type="paragraph" w:styleId="33">
    <w:name w:val="toc 3"/>
    <w:basedOn w:val="1"/>
    <w:next w:val="1"/>
    <w:autoRedefine/>
    <w:unhideWhenUsed/>
    <w:qFormat/>
    <w:uiPriority w:val="0"/>
    <w:pPr>
      <w:ind w:left="840" w:leftChars="400"/>
    </w:pPr>
    <w:rPr>
      <w:rFonts w:ascii="Calibri" w:hAnsi="Calibri"/>
      <w:szCs w:val="22"/>
    </w:rPr>
  </w:style>
  <w:style w:type="paragraph" w:styleId="34">
    <w:name w:val="Plain Text"/>
    <w:basedOn w:val="1"/>
    <w:link w:val="93"/>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autoRedefine/>
    <w:qFormat/>
    <w:uiPriority w:val="0"/>
    <w:pPr>
      <w:adjustRightInd w:val="0"/>
      <w:ind w:left="2940" w:leftChars="1400"/>
    </w:pPr>
  </w:style>
  <w:style w:type="paragraph" w:styleId="37">
    <w:name w:val="Date"/>
    <w:basedOn w:val="1"/>
    <w:next w:val="1"/>
    <w:link w:val="96"/>
    <w:autoRedefine/>
    <w:qFormat/>
    <w:uiPriority w:val="0"/>
    <w:rPr>
      <w:rFonts w:ascii="楷体_GB2312" w:eastAsia="楷体_GB2312"/>
      <w:b/>
      <w:sz w:val="28"/>
      <w:szCs w:val="20"/>
    </w:rPr>
  </w:style>
  <w:style w:type="paragraph" w:styleId="38">
    <w:name w:val="Body Text Indent 2"/>
    <w:basedOn w:val="1"/>
    <w:link w:val="110"/>
    <w:autoRedefine/>
    <w:qFormat/>
    <w:uiPriority w:val="0"/>
    <w:pPr>
      <w:spacing w:after="120" w:line="480" w:lineRule="auto"/>
      <w:ind w:left="420" w:leftChars="200"/>
    </w:pPr>
  </w:style>
  <w:style w:type="paragraph" w:styleId="39">
    <w:name w:val="endnote text"/>
    <w:basedOn w:val="1"/>
    <w:link w:val="320"/>
    <w:autoRedefine/>
    <w:qFormat/>
    <w:uiPriority w:val="0"/>
    <w:pPr>
      <w:adjustRightInd w:val="0"/>
    </w:pPr>
    <w:rPr>
      <w:lang w:val="zh-CN"/>
    </w:rPr>
  </w:style>
  <w:style w:type="paragraph" w:styleId="40">
    <w:name w:val="Balloon Text"/>
    <w:basedOn w:val="1"/>
    <w:link w:val="227"/>
    <w:autoRedefine/>
    <w:qFormat/>
    <w:uiPriority w:val="0"/>
    <w:rPr>
      <w:sz w:val="18"/>
      <w:szCs w:val="18"/>
    </w:rPr>
  </w:style>
  <w:style w:type="paragraph" w:styleId="41">
    <w:name w:val="footer"/>
    <w:basedOn w:val="1"/>
    <w:link w:val="98"/>
    <w:autoRedefine/>
    <w:qFormat/>
    <w:uiPriority w:val="99"/>
    <w:pPr>
      <w:tabs>
        <w:tab w:val="center" w:pos="4153"/>
        <w:tab w:val="right" w:pos="8306"/>
      </w:tabs>
      <w:snapToGrid w:val="0"/>
      <w:jc w:val="left"/>
    </w:pPr>
    <w:rPr>
      <w:sz w:val="18"/>
      <w:szCs w:val="18"/>
    </w:rPr>
  </w:style>
  <w:style w:type="paragraph" w:styleId="42">
    <w:name w:val="header"/>
    <w:basedOn w:val="1"/>
    <w:link w:val="97"/>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tabs>
        <w:tab w:val="right" w:leader="dot" w:pos="8314"/>
      </w:tabs>
      <w:ind w:firstLine="588" w:firstLineChars="245"/>
    </w:pPr>
  </w:style>
  <w:style w:type="paragraph" w:styleId="46">
    <w:name w:val="index heading"/>
    <w:basedOn w:val="1"/>
    <w:next w:val="47"/>
    <w:autoRedefine/>
    <w:qFormat/>
    <w:uiPriority w:val="0"/>
    <w:pPr>
      <w:ind w:firstLine="200" w:firstLineChars="200"/>
    </w:pPr>
  </w:style>
  <w:style w:type="paragraph" w:styleId="47">
    <w:name w:val="index 1"/>
    <w:basedOn w:val="1"/>
    <w:next w:val="1"/>
    <w:autoRedefine/>
    <w:qFormat/>
    <w:uiPriority w:val="0"/>
    <w:pPr>
      <w:spacing w:line="320" w:lineRule="exact"/>
    </w:pPr>
    <w:rPr>
      <w:b/>
      <w:snapToGrid w:val="0"/>
      <w:color w:val="FF6600"/>
      <w:kern w:val="0"/>
      <w:sz w:val="18"/>
      <w:szCs w:val="21"/>
    </w:rPr>
  </w:style>
  <w:style w:type="paragraph" w:styleId="48">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unhideWhenUsed/>
    <w:qFormat/>
    <w:uiPriority w:val="0"/>
    <w:pPr>
      <w:numPr>
        <w:ilvl w:val="0"/>
        <w:numId w:val="5"/>
      </w:numPr>
      <w:contextualSpacing/>
    </w:pPr>
  </w:style>
  <w:style w:type="paragraph" w:styleId="50">
    <w:name w:val="List"/>
    <w:basedOn w:val="1"/>
    <w:autoRedefine/>
    <w:qFormat/>
    <w:uiPriority w:val="0"/>
    <w:pPr>
      <w:adjustRightInd w:val="0"/>
      <w:ind w:left="200" w:hanging="200" w:hangingChars="200"/>
    </w:pPr>
  </w:style>
  <w:style w:type="paragraph" w:styleId="51">
    <w:name w:val="footnote text"/>
    <w:basedOn w:val="8"/>
    <w:link w:val="323"/>
    <w:autoRedefine/>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autoRedefine/>
    <w:qFormat/>
    <w:uiPriority w:val="0"/>
    <w:pPr>
      <w:adjustRightInd w:val="0"/>
      <w:ind w:left="2100" w:leftChars="1000"/>
    </w:pPr>
  </w:style>
  <w:style w:type="paragraph" w:styleId="53">
    <w:name w:val="List 5"/>
    <w:basedOn w:val="1"/>
    <w:autoRedefine/>
    <w:qFormat/>
    <w:uiPriority w:val="0"/>
    <w:pPr>
      <w:ind w:left="100" w:leftChars="800" w:hanging="200" w:hangingChars="200"/>
    </w:pPr>
  </w:style>
  <w:style w:type="paragraph" w:styleId="54">
    <w:name w:val="Body Text Indent 3"/>
    <w:basedOn w:val="1"/>
    <w:link w:val="228"/>
    <w:autoRedefine/>
    <w:qFormat/>
    <w:uiPriority w:val="0"/>
    <w:pPr>
      <w:spacing w:after="120"/>
      <w:ind w:left="420" w:leftChars="200"/>
    </w:pPr>
    <w:rPr>
      <w:sz w:val="16"/>
      <w:szCs w:val="16"/>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adjustRightInd w:val="0"/>
      <w:ind w:left="3360" w:leftChars="1600"/>
    </w:pPr>
  </w:style>
  <w:style w:type="paragraph" w:styleId="57">
    <w:name w:val="Body Text 2"/>
    <w:basedOn w:val="1"/>
    <w:link w:val="102"/>
    <w:autoRedefine/>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autoRedefine/>
    <w:qFormat/>
    <w:uiPriority w:val="0"/>
    <w:pPr>
      <w:spacing w:after="120"/>
      <w:ind w:left="840" w:leftChars="400"/>
    </w:pPr>
  </w:style>
  <w:style w:type="paragraph" w:styleId="59">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2"/>
    <w:next w:val="22"/>
    <w:link w:val="230"/>
    <w:autoRedefine/>
    <w:qFormat/>
    <w:uiPriority w:val="0"/>
    <w:pPr>
      <w:widowControl/>
      <w:spacing w:afterLines="50"/>
    </w:pPr>
    <w:rPr>
      <w:b/>
      <w:bCs/>
      <w:kern w:val="0"/>
      <w:sz w:val="24"/>
      <w:szCs w:val="20"/>
    </w:rPr>
  </w:style>
  <w:style w:type="paragraph" w:styleId="63">
    <w:name w:val="Body Text First Indent 2"/>
    <w:basedOn w:val="26"/>
    <w:link w:val="232"/>
    <w:autoRedefine/>
    <w:qFormat/>
    <w:uiPriority w:val="0"/>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autoRedefine/>
    <w:qFormat/>
    <w:uiPriority w:val="99"/>
    <w:rPr>
      <w:color w:val="800080"/>
      <w:u w:val="single"/>
    </w:rPr>
  </w:style>
  <w:style w:type="character" w:styleId="76">
    <w:name w:val="Emphasis"/>
    <w:autoRedefine/>
    <w:qFormat/>
    <w:uiPriority w:val="2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color w:val="0000FF"/>
      <w:u w:val="singl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标题 1 字符1"/>
    <w:link w:val="5"/>
    <w:autoRedefine/>
    <w:qFormat/>
    <w:uiPriority w:val="9"/>
    <w:rPr>
      <w:rFonts w:eastAsia="仿宋_GB2312"/>
      <w:b/>
      <w:kern w:val="44"/>
      <w:sz w:val="44"/>
      <w:lang w:val="en-US" w:eastAsia="zh-CN" w:bidi="ar-SA"/>
    </w:rPr>
  </w:style>
  <w:style w:type="character" w:customStyle="1" w:styleId="83">
    <w:name w:val="正文缩进 字符2"/>
    <w:link w:val="8"/>
    <w:autoRedefine/>
    <w:qFormat/>
    <w:uiPriority w:val="0"/>
    <w:rPr>
      <w:rFonts w:eastAsia="宋体"/>
      <w:kern w:val="2"/>
      <w:sz w:val="21"/>
      <w:szCs w:val="24"/>
      <w:lang w:val="en-US" w:eastAsia="zh-CN" w:bidi="ar-SA"/>
    </w:rPr>
  </w:style>
  <w:style w:type="paragraph" w:customStyle="1" w:styleId="84">
    <w:name w:val="_Style 15"/>
    <w:basedOn w:val="1"/>
    <w:autoRedefine/>
    <w:qFormat/>
    <w:uiPriority w:val="0"/>
    <w:rPr>
      <w:rFonts w:ascii="Tahoma" w:hAnsi="Tahoma"/>
      <w:sz w:val="24"/>
      <w:szCs w:val="20"/>
    </w:rPr>
  </w:style>
  <w:style w:type="character" w:customStyle="1" w:styleId="85">
    <w:name w:val="标题 2 字符1"/>
    <w:link w:val="6"/>
    <w:autoRedefine/>
    <w:qFormat/>
    <w:uiPriority w:val="0"/>
    <w:rPr>
      <w:rFonts w:ascii="Arial" w:hAnsi="Arial" w:eastAsia="黑体"/>
      <w:b/>
      <w:kern w:val="2"/>
      <w:sz w:val="32"/>
      <w:lang w:val="en-US" w:eastAsia="zh-CN" w:bidi="ar-SA"/>
    </w:rPr>
  </w:style>
  <w:style w:type="character" w:customStyle="1" w:styleId="86">
    <w:name w:val="标题 3 字符1"/>
    <w:link w:val="7"/>
    <w:autoRedefine/>
    <w:qFormat/>
    <w:uiPriority w:val="0"/>
    <w:rPr>
      <w:rFonts w:eastAsia="仿宋_GB2312"/>
      <w:b/>
      <w:kern w:val="2"/>
      <w:sz w:val="32"/>
      <w:lang w:val="en-US" w:eastAsia="zh-CN" w:bidi="ar-SA"/>
    </w:rPr>
  </w:style>
  <w:style w:type="character" w:customStyle="1" w:styleId="87">
    <w:name w:val="标题 4 字符1"/>
    <w:link w:val="9"/>
    <w:autoRedefine/>
    <w:qFormat/>
    <w:uiPriority w:val="9"/>
    <w:rPr>
      <w:rFonts w:ascii="Arial" w:hAnsi="Arial" w:eastAsia="黑体"/>
      <w:b/>
      <w:kern w:val="2"/>
      <w:sz w:val="28"/>
      <w:lang w:val="en-US" w:eastAsia="zh-CN" w:bidi="ar-SA"/>
    </w:rPr>
  </w:style>
  <w:style w:type="character" w:customStyle="1" w:styleId="88">
    <w:name w:val="标题 5 字符"/>
    <w:link w:val="10"/>
    <w:autoRedefine/>
    <w:qFormat/>
    <w:uiPriority w:val="0"/>
    <w:rPr>
      <w:rFonts w:eastAsia="宋体"/>
      <w:sz w:val="24"/>
      <w:lang w:val="en-US" w:eastAsia="zh-CN" w:bidi="ar-SA"/>
    </w:rPr>
  </w:style>
  <w:style w:type="character" w:customStyle="1" w:styleId="89">
    <w:name w:val="标题 6 字符"/>
    <w:link w:val="11"/>
    <w:autoRedefine/>
    <w:qFormat/>
    <w:uiPriority w:val="0"/>
    <w:rPr>
      <w:rFonts w:ascii="宋体" w:hAnsi="Arial" w:eastAsia="宋体"/>
      <w:sz w:val="24"/>
      <w:lang w:val="en-US" w:eastAsia="zh-CN" w:bidi="ar-SA"/>
    </w:rPr>
  </w:style>
  <w:style w:type="character" w:customStyle="1" w:styleId="90">
    <w:name w:val="标题 7 字符"/>
    <w:link w:val="12"/>
    <w:autoRedefine/>
    <w:qFormat/>
    <w:uiPriority w:val="0"/>
    <w:rPr>
      <w:rFonts w:ascii="宋体" w:hAnsi="Arial" w:eastAsia="宋体"/>
      <w:b/>
      <w:sz w:val="24"/>
      <w:lang w:val="en-US" w:eastAsia="zh-CN" w:bidi="ar-SA"/>
    </w:rPr>
  </w:style>
  <w:style w:type="character" w:customStyle="1" w:styleId="91">
    <w:name w:val="标题 8 字符"/>
    <w:link w:val="13"/>
    <w:autoRedefine/>
    <w:qFormat/>
    <w:uiPriority w:val="0"/>
    <w:rPr>
      <w:rFonts w:ascii="Arial" w:hAnsi="Arial" w:eastAsia="黑体"/>
      <w:sz w:val="24"/>
      <w:lang w:val="en-US" w:eastAsia="zh-CN" w:bidi="ar-SA"/>
    </w:rPr>
  </w:style>
  <w:style w:type="character" w:customStyle="1" w:styleId="92">
    <w:name w:val="标题 9 字符"/>
    <w:link w:val="14"/>
    <w:autoRedefine/>
    <w:qFormat/>
    <w:uiPriority w:val="0"/>
    <w:rPr>
      <w:rFonts w:ascii="Arial" w:hAnsi="Arial" w:eastAsia="黑体"/>
      <w:sz w:val="24"/>
      <w:lang w:val="en-US" w:eastAsia="zh-CN" w:bidi="ar-SA"/>
    </w:rPr>
  </w:style>
  <w:style w:type="character" w:customStyle="1" w:styleId="93">
    <w:name w:val="纯文本 字符1"/>
    <w:link w:val="34"/>
    <w:autoRedefine/>
    <w:qFormat/>
    <w:uiPriority w:val="0"/>
    <w:rPr>
      <w:rFonts w:ascii="宋体" w:hAnsi="Courier New" w:eastAsia="宋体"/>
      <w:kern w:val="2"/>
      <w:sz w:val="21"/>
      <w:lang w:val="en-US" w:eastAsia="zh-CN" w:bidi="ar-SA"/>
    </w:rPr>
  </w:style>
  <w:style w:type="paragraph" w:customStyle="1" w:styleId="94">
    <w:name w:val="表正文"/>
    <w:basedOn w:val="1"/>
    <w:next w:val="34"/>
    <w:autoRedefine/>
    <w:qFormat/>
    <w:uiPriority w:val="0"/>
    <w:rPr>
      <w:rFonts w:ascii="宋体" w:hAnsi="Courier New"/>
      <w:szCs w:val="20"/>
    </w:rPr>
  </w:style>
  <w:style w:type="character" w:customStyle="1" w:styleId="95">
    <w:name w:val="正文文本缩进 字符1"/>
    <w:link w:val="26"/>
    <w:autoRedefine/>
    <w:qFormat/>
    <w:uiPriority w:val="0"/>
    <w:rPr>
      <w:rFonts w:eastAsia="宋体"/>
      <w:kern w:val="2"/>
      <w:sz w:val="21"/>
      <w:szCs w:val="24"/>
      <w:lang w:val="en-US" w:eastAsia="zh-CN" w:bidi="ar-SA"/>
    </w:rPr>
  </w:style>
  <w:style w:type="character" w:customStyle="1" w:styleId="96">
    <w:name w:val="日期 字符"/>
    <w:link w:val="37"/>
    <w:autoRedefine/>
    <w:qFormat/>
    <w:uiPriority w:val="0"/>
    <w:rPr>
      <w:rFonts w:ascii="楷体_GB2312" w:eastAsia="楷体_GB2312"/>
      <w:b/>
      <w:kern w:val="2"/>
      <w:sz w:val="28"/>
      <w:lang w:val="en-US" w:eastAsia="zh-CN" w:bidi="ar-SA"/>
    </w:rPr>
  </w:style>
  <w:style w:type="character" w:customStyle="1" w:styleId="97">
    <w:name w:val="页眉 字符2"/>
    <w:link w:val="42"/>
    <w:autoRedefine/>
    <w:qFormat/>
    <w:uiPriority w:val="0"/>
    <w:rPr>
      <w:rFonts w:eastAsia="宋体"/>
      <w:kern w:val="2"/>
      <w:sz w:val="18"/>
      <w:szCs w:val="18"/>
      <w:lang w:val="en-US" w:eastAsia="zh-CN" w:bidi="ar-SA"/>
    </w:rPr>
  </w:style>
  <w:style w:type="character" w:customStyle="1" w:styleId="98">
    <w:name w:val="页脚 字符2"/>
    <w:link w:val="41"/>
    <w:autoRedefine/>
    <w:qFormat/>
    <w:locked/>
    <w:uiPriority w:val="0"/>
    <w:rPr>
      <w:rFonts w:eastAsia="宋体"/>
      <w:kern w:val="2"/>
      <w:sz w:val="18"/>
      <w:szCs w:val="18"/>
      <w:lang w:val="en-US" w:eastAsia="zh-CN" w:bidi="ar-SA"/>
    </w:rPr>
  </w:style>
  <w:style w:type="paragraph" w:customStyle="1" w:styleId="99">
    <w:name w:val="正文段"/>
    <w:basedOn w:val="1"/>
    <w:link w:val="100"/>
    <w:autoRedefine/>
    <w:qFormat/>
    <w:uiPriority w:val="0"/>
    <w:pPr>
      <w:widowControl/>
      <w:snapToGrid w:val="0"/>
      <w:spacing w:afterLines="50"/>
      <w:ind w:firstLine="200" w:firstLineChars="200"/>
    </w:pPr>
    <w:rPr>
      <w:kern w:val="0"/>
      <w:sz w:val="24"/>
      <w:szCs w:val="20"/>
    </w:rPr>
  </w:style>
  <w:style w:type="character" w:customStyle="1" w:styleId="100">
    <w:name w:val="正文段 Char"/>
    <w:link w:val="99"/>
    <w:autoRedefine/>
    <w:qFormat/>
    <w:uiPriority w:val="0"/>
    <w:rPr>
      <w:rFonts w:eastAsia="宋体"/>
      <w:sz w:val="24"/>
      <w:lang w:val="en-US" w:eastAsia="zh-CN" w:bidi="ar-SA"/>
    </w:rPr>
  </w:style>
  <w:style w:type="character" w:customStyle="1" w:styleId="101">
    <w:name w:val="批注文字 字符1"/>
    <w:link w:val="22"/>
    <w:autoRedefine/>
    <w:qFormat/>
    <w:uiPriority w:val="0"/>
    <w:rPr>
      <w:rFonts w:eastAsia="宋体"/>
      <w:kern w:val="2"/>
      <w:sz w:val="21"/>
      <w:szCs w:val="24"/>
      <w:lang w:val="en-US" w:eastAsia="zh-CN" w:bidi="ar-SA"/>
    </w:rPr>
  </w:style>
  <w:style w:type="character" w:customStyle="1" w:styleId="102">
    <w:name w:val="正文文本 2 字符1"/>
    <w:link w:val="57"/>
    <w:autoRedefine/>
    <w:qFormat/>
    <w:uiPriority w:val="0"/>
    <w:rPr>
      <w:rFonts w:ascii="隶书" w:eastAsia="隶书"/>
      <w:bCs/>
      <w:sz w:val="72"/>
      <w:szCs w:val="84"/>
      <w:lang w:val="en-US" w:eastAsia="zh-CN" w:bidi="ar-SA"/>
    </w:rPr>
  </w:style>
  <w:style w:type="paragraph" w:customStyle="1" w:styleId="103">
    <w:name w:val="Char"/>
    <w:basedOn w:val="1"/>
    <w:autoRedefine/>
    <w:qFormat/>
    <w:uiPriority w:val="0"/>
    <w:rPr>
      <w:rFonts w:ascii="仿宋_GB2312" w:eastAsia="仿宋_GB2312"/>
      <w:b/>
      <w:sz w:val="32"/>
      <w:szCs w:val="32"/>
    </w:rPr>
  </w:style>
  <w:style w:type="paragraph" w:customStyle="1" w:styleId="104">
    <w:name w:val="Table Text"/>
    <w:link w:val="105"/>
    <w:autoRedefine/>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autoRedefine/>
    <w:qFormat/>
    <w:uiPriority w:val="0"/>
    <w:rPr>
      <w:rFonts w:ascii="Arial" w:hAnsi="Arial"/>
      <w:sz w:val="18"/>
      <w:lang w:val="en-US" w:eastAsia="zh-CN" w:bidi="ar-SA"/>
    </w:rPr>
  </w:style>
  <w:style w:type="character" w:customStyle="1" w:styleId="106">
    <w:name w:val="正文（缩进2汉字） Char"/>
    <w:link w:val="107"/>
    <w:autoRedefine/>
    <w:qFormat/>
    <w:uiPriority w:val="0"/>
    <w:rPr>
      <w:rFonts w:ascii="宋体"/>
      <w:kern w:val="2"/>
      <w:sz w:val="21"/>
      <w:lang w:bidi="ar-SA"/>
    </w:rPr>
  </w:style>
  <w:style w:type="paragraph" w:customStyle="1" w:styleId="107">
    <w:name w:val="正文（缩进2汉字）"/>
    <w:basedOn w:val="1"/>
    <w:link w:val="106"/>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autoRedefine/>
    <w:qFormat/>
    <w:uiPriority w:val="0"/>
    <w:pPr>
      <w:tabs>
        <w:tab w:val="left" w:pos="432"/>
      </w:tabs>
      <w:spacing w:beforeLines="50" w:afterLines="50"/>
      <w:ind w:left="432" w:hanging="432"/>
      <w:jc w:val="center"/>
    </w:pPr>
    <w:rPr>
      <w:sz w:val="24"/>
    </w:rPr>
  </w:style>
  <w:style w:type="paragraph" w:customStyle="1" w:styleId="109">
    <w:name w:val="模板普通正文"/>
    <w:basedOn w:val="26"/>
    <w:autoRedefine/>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8"/>
    <w:autoRedefine/>
    <w:qFormat/>
    <w:locked/>
    <w:uiPriority w:val="99"/>
    <w:rPr>
      <w:rFonts w:eastAsia="宋体"/>
      <w:kern w:val="2"/>
      <w:sz w:val="21"/>
      <w:szCs w:val="24"/>
      <w:lang w:val="en-US" w:eastAsia="zh-CN" w:bidi="ar-SA"/>
    </w:rPr>
  </w:style>
  <w:style w:type="paragraph" w:customStyle="1" w:styleId="111">
    <w:name w:val="缺省文本"/>
    <w:basedOn w:val="1"/>
    <w:autoRedefine/>
    <w:qFormat/>
    <w:uiPriority w:val="0"/>
    <w:pPr>
      <w:autoSpaceDE w:val="0"/>
      <w:autoSpaceDN w:val="0"/>
      <w:adjustRightInd w:val="0"/>
      <w:jc w:val="left"/>
    </w:pPr>
    <w:rPr>
      <w:kern w:val="0"/>
      <w:sz w:val="24"/>
    </w:rPr>
  </w:style>
  <w:style w:type="paragraph" w:customStyle="1" w:styleId="112">
    <w:name w:val="WW-正文文字缩进 2"/>
    <w:basedOn w:val="1"/>
    <w:autoRedefine/>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autoRedefine/>
    <w:qFormat/>
    <w:uiPriority w:val="0"/>
    <w:rPr>
      <w:rFonts w:ascii="Tahoma" w:hAnsi="Tahoma"/>
      <w:sz w:val="24"/>
      <w:szCs w:val="20"/>
    </w:rPr>
  </w:style>
  <w:style w:type="character" w:customStyle="1" w:styleId="114">
    <w:name w:val="正文文本 字符"/>
    <w:link w:val="3"/>
    <w:autoRedefine/>
    <w:qFormat/>
    <w:locked/>
    <w:uiPriority w:val="0"/>
    <w:rPr>
      <w:rFonts w:eastAsia="仿宋_GB2312"/>
      <w:kern w:val="2"/>
      <w:sz w:val="28"/>
      <w:szCs w:val="24"/>
      <w:lang w:val="en-US" w:eastAsia="zh-CN" w:bidi="ar-SA"/>
    </w:rPr>
  </w:style>
  <w:style w:type="paragraph" w:customStyle="1" w:styleId="115">
    <w:name w:val="项目排列"/>
    <w:basedOn w:val="1"/>
    <w:link w:val="116"/>
    <w:autoRedefine/>
    <w:qFormat/>
    <w:uiPriority w:val="0"/>
    <w:pPr>
      <w:tabs>
        <w:tab w:val="left" w:pos="900"/>
      </w:tabs>
      <w:spacing w:beforeLines="50" w:afterLines="50" w:line="300" w:lineRule="auto"/>
      <w:ind w:left="900" w:hanging="420"/>
    </w:pPr>
    <w:rPr>
      <w:sz w:val="24"/>
    </w:rPr>
  </w:style>
  <w:style w:type="character" w:customStyle="1" w:styleId="116">
    <w:name w:val="项目排列 Char"/>
    <w:link w:val="115"/>
    <w:autoRedefine/>
    <w:qFormat/>
    <w:uiPriority w:val="0"/>
    <w:rPr>
      <w:kern w:val="2"/>
      <w:sz w:val="24"/>
      <w:szCs w:val="24"/>
    </w:rPr>
  </w:style>
  <w:style w:type="character" w:customStyle="1" w:styleId="117">
    <w:name w:val="style21"/>
    <w:autoRedefine/>
    <w:qFormat/>
    <w:uiPriority w:val="0"/>
    <w:rPr>
      <w:sz w:val="15"/>
      <w:szCs w:val="15"/>
    </w:rPr>
  </w:style>
  <w:style w:type="paragraph" w:customStyle="1" w:styleId="118">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autoRedefine/>
    <w:qFormat/>
    <w:uiPriority w:val="0"/>
    <w:rPr>
      <w:szCs w:val="20"/>
    </w:rPr>
  </w:style>
  <w:style w:type="paragraph" w:customStyle="1" w:styleId="121">
    <w:name w:val="列出段落1"/>
    <w:basedOn w:val="1"/>
    <w:autoRedefine/>
    <w:qFormat/>
    <w:uiPriority w:val="0"/>
    <w:pPr>
      <w:ind w:firstLine="420" w:firstLineChars="200"/>
    </w:pPr>
    <w:rPr>
      <w:rFonts w:ascii="Calibri" w:hAnsi="Calibri"/>
      <w:szCs w:val="22"/>
    </w:rPr>
  </w:style>
  <w:style w:type="paragraph" w:customStyle="1" w:styleId="122">
    <w:name w:val="默认段落字体 Para Char Char Char Char"/>
    <w:basedOn w:val="1"/>
    <w:autoRedefine/>
    <w:qFormat/>
    <w:uiPriority w:val="0"/>
  </w:style>
  <w:style w:type="paragraph" w:customStyle="1" w:styleId="123">
    <w:name w:val="Char Char Char1 Char Char Char1 Char Char Char Char"/>
    <w:basedOn w:val="1"/>
    <w:autoRedefine/>
    <w:qFormat/>
    <w:uiPriority w:val="0"/>
  </w:style>
  <w:style w:type="character" w:customStyle="1" w:styleId="124">
    <w:name w:val="font1"/>
    <w:autoRedefine/>
    <w:qFormat/>
    <w:uiPriority w:val="0"/>
    <w:rPr>
      <w:color w:val="999999"/>
      <w:sz w:val="18"/>
      <w:szCs w:val="18"/>
      <w:u w:val="none"/>
    </w:rPr>
  </w:style>
  <w:style w:type="paragraph" w:customStyle="1" w:styleId="12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autoRedefine/>
    <w:qFormat/>
    <w:uiPriority w:val="0"/>
    <w:rPr>
      <w:rFonts w:ascii="Tahoma" w:hAnsi="Tahoma"/>
      <w:sz w:val="24"/>
      <w:szCs w:val="20"/>
    </w:rPr>
  </w:style>
  <w:style w:type="character" w:customStyle="1" w:styleId="127">
    <w:name w:val="apple-style-span"/>
    <w:basedOn w:val="71"/>
    <w:autoRedefine/>
    <w:qFormat/>
    <w:uiPriority w:val="0"/>
  </w:style>
  <w:style w:type="paragraph" w:customStyle="1" w:styleId="128">
    <w:name w:val="正文无缩进"/>
    <w:basedOn w:val="1"/>
    <w:link w:val="129"/>
    <w:autoRedefine/>
    <w:qFormat/>
    <w:uiPriority w:val="0"/>
    <w:pPr>
      <w:spacing w:line="360" w:lineRule="auto"/>
    </w:pPr>
    <w:rPr>
      <w:rFonts w:ascii="宋体"/>
      <w:color w:val="000000"/>
      <w:sz w:val="24"/>
    </w:rPr>
  </w:style>
  <w:style w:type="character" w:customStyle="1" w:styleId="129">
    <w:name w:val="正文无缩进 Char"/>
    <w:link w:val="128"/>
    <w:autoRedefine/>
    <w:qFormat/>
    <w:uiPriority w:val="0"/>
    <w:rPr>
      <w:rFonts w:ascii="宋体" w:eastAsia="宋体"/>
      <w:color w:val="000000"/>
      <w:kern w:val="2"/>
      <w:sz w:val="24"/>
      <w:szCs w:val="24"/>
      <w:lang w:val="en-US" w:eastAsia="zh-CN" w:bidi="ar-SA"/>
    </w:rPr>
  </w:style>
  <w:style w:type="paragraph" w:customStyle="1" w:styleId="130">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1"/>
    <w:autoRedefine/>
    <w:qFormat/>
    <w:uiPriority w:val="0"/>
  </w:style>
  <w:style w:type="paragraph" w:customStyle="1" w:styleId="132">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3">
    <w:name w:val="表格 Char Char"/>
    <w:link w:val="134"/>
    <w:autoRedefine/>
    <w:qFormat/>
    <w:locked/>
    <w:uiPriority w:val="0"/>
    <w:rPr>
      <w:rFonts w:ascii="宋体" w:hAnsi="宋体" w:eastAsia="宋体"/>
      <w:lang w:val="en-US" w:eastAsia="zh-CN" w:bidi="ar-SA"/>
    </w:rPr>
  </w:style>
  <w:style w:type="paragraph" w:customStyle="1" w:styleId="134">
    <w:name w:val="表格"/>
    <w:basedOn w:val="1"/>
    <w:link w:val="133"/>
    <w:autoRedefine/>
    <w:qFormat/>
    <w:uiPriority w:val="0"/>
    <w:pPr>
      <w:snapToGrid w:val="0"/>
      <w:ind w:firstLine="42" w:firstLineChars="21"/>
    </w:pPr>
    <w:rPr>
      <w:rFonts w:ascii="宋体" w:hAnsi="宋体"/>
      <w:kern w:val="0"/>
      <w:sz w:val="20"/>
      <w:szCs w:val="20"/>
    </w:rPr>
  </w:style>
  <w:style w:type="paragraph" w:customStyle="1" w:styleId="135">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autoRedefine/>
    <w:qFormat/>
    <w:uiPriority w:val="0"/>
    <w:pPr>
      <w:widowControl/>
      <w:spacing w:after="160" w:line="240" w:lineRule="exact"/>
      <w:jc w:val="left"/>
    </w:pPr>
  </w:style>
  <w:style w:type="character" w:customStyle="1" w:styleId="137">
    <w:name w:val="Char Char"/>
    <w:autoRedefine/>
    <w:qFormat/>
    <w:uiPriority w:val="0"/>
    <w:rPr>
      <w:rFonts w:hint="eastAsia" w:ascii="宋体" w:hAnsi="Courier New" w:eastAsia="宋体"/>
      <w:kern w:val="2"/>
      <w:sz w:val="21"/>
      <w:lang w:val="en-US" w:eastAsia="zh-CN" w:bidi="ar-SA"/>
    </w:rPr>
  </w:style>
  <w:style w:type="character" w:customStyle="1" w:styleId="138">
    <w:name w:val="style51"/>
    <w:autoRedefine/>
    <w:qFormat/>
    <w:uiPriority w:val="0"/>
    <w:rPr>
      <w:sz w:val="21"/>
      <w:szCs w:val="21"/>
    </w:rPr>
  </w:style>
  <w:style w:type="paragraph" w:customStyle="1" w:styleId="139">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autoRedefine/>
    <w:qFormat/>
    <w:uiPriority w:val="0"/>
    <w:pPr>
      <w:spacing w:line="360" w:lineRule="auto"/>
      <w:ind w:firstLine="480" w:firstLineChars="200"/>
    </w:pPr>
    <w:rPr>
      <w:rFonts w:cs="宋体"/>
      <w:sz w:val="24"/>
      <w:szCs w:val="20"/>
    </w:rPr>
  </w:style>
  <w:style w:type="character" w:customStyle="1" w:styleId="141">
    <w:name w:val="标准文本 Char"/>
    <w:link w:val="140"/>
    <w:autoRedefine/>
    <w:qFormat/>
    <w:uiPriority w:val="0"/>
    <w:rPr>
      <w:rFonts w:eastAsia="宋体" w:cs="宋体"/>
      <w:kern w:val="2"/>
      <w:sz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21"/>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21"/>
    <w:autoRedefine/>
    <w:qFormat/>
    <w:uiPriority w:val="0"/>
    <w:rPr>
      <w:rFonts w:ascii="Tahoma" w:hAnsi="Tahoma"/>
      <w:sz w:val="24"/>
    </w:rPr>
  </w:style>
  <w:style w:type="paragraph" w:customStyle="1" w:styleId="168">
    <w:name w:val="Char Char Char"/>
    <w:basedOn w:val="21"/>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1"/>
    <w:autoRedefine/>
    <w:qFormat/>
    <w:uiPriority w:val="0"/>
  </w:style>
  <w:style w:type="paragraph" w:customStyle="1" w:styleId="180">
    <w:name w:val="样式 正文缩进 + 首行缩进:  2 字符"/>
    <w:basedOn w:val="8"/>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1"/>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8"/>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5"/>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1"/>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7"/>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字符1"/>
    <w:basedOn w:val="71"/>
    <w:link w:val="40"/>
    <w:autoRedefine/>
    <w:qFormat/>
    <w:uiPriority w:val="0"/>
    <w:rPr>
      <w:kern w:val="2"/>
      <w:sz w:val="18"/>
      <w:szCs w:val="18"/>
    </w:rPr>
  </w:style>
  <w:style w:type="character" w:customStyle="1" w:styleId="228">
    <w:name w:val="正文文本缩进 3 字符"/>
    <w:basedOn w:val="71"/>
    <w:link w:val="54"/>
    <w:autoRedefine/>
    <w:qFormat/>
    <w:uiPriority w:val="0"/>
    <w:rPr>
      <w:kern w:val="2"/>
      <w:sz w:val="16"/>
      <w:szCs w:val="16"/>
    </w:rPr>
  </w:style>
  <w:style w:type="character" w:customStyle="1" w:styleId="229">
    <w:name w:val="HTML 预设格式 字符"/>
    <w:basedOn w:val="71"/>
    <w:link w:val="59"/>
    <w:autoRedefine/>
    <w:qFormat/>
    <w:uiPriority w:val="0"/>
    <w:rPr>
      <w:rFonts w:ascii="黑体" w:hAnsi="Courier New" w:eastAsia="黑体" w:cs="Courier New"/>
    </w:rPr>
  </w:style>
  <w:style w:type="character" w:customStyle="1" w:styleId="230">
    <w:name w:val="批注主题 字符"/>
    <w:basedOn w:val="197"/>
    <w:link w:val="62"/>
    <w:autoRedefine/>
    <w:qFormat/>
    <w:uiPriority w:val="0"/>
    <w:rPr>
      <w:rFonts w:eastAsia="宋体"/>
      <w:b/>
      <w:bCs/>
      <w:kern w:val="2"/>
      <w:sz w:val="24"/>
      <w:szCs w:val="24"/>
      <w:lang w:val="en-US" w:eastAsia="zh-CN" w:bidi="ar-SA"/>
    </w:rPr>
  </w:style>
  <w:style w:type="character" w:customStyle="1" w:styleId="231">
    <w:name w:val="正文首行缩进 字符"/>
    <w:basedOn w:val="192"/>
    <w:link w:val="2"/>
    <w:autoRedefine/>
    <w:qFormat/>
    <w:uiPriority w:val="0"/>
    <w:rPr>
      <w:rFonts w:eastAsia="仿宋_GB2312"/>
      <w:kern w:val="2"/>
      <w:sz w:val="21"/>
      <w:szCs w:val="24"/>
      <w:lang w:val="en-US" w:eastAsia="zh-CN" w:bidi="ar-SA"/>
    </w:rPr>
  </w:style>
  <w:style w:type="character" w:customStyle="1" w:styleId="232">
    <w:name w:val="正文首行缩进 2 字符"/>
    <w:basedOn w:val="95"/>
    <w:link w:val="63"/>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5"/>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5"/>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autoRedefine/>
    <w:qFormat/>
    <w:uiPriority w:val="0"/>
    <w:rPr>
      <w:rFonts w:hint="eastAsia" w:ascii="宋体" w:hAnsi="宋体" w:eastAsia="宋体" w:cs="宋体"/>
      <w:color w:val="000000"/>
      <w:sz w:val="22"/>
      <w:szCs w:val="22"/>
      <w:u w:val="none"/>
    </w:rPr>
  </w:style>
  <w:style w:type="character" w:customStyle="1" w:styleId="295">
    <w:name w:val="font11"/>
    <w:basedOn w:val="71"/>
    <w:autoRedefine/>
    <w:qFormat/>
    <w:uiPriority w:val="0"/>
    <w:rPr>
      <w:rFonts w:hint="eastAsia" w:ascii="宋体" w:hAnsi="宋体" w:eastAsia="宋体" w:cs="宋体"/>
      <w:color w:val="FF0000"/>
      <w:sz w:val="22"/>
      <w:szCs w:val="22"/>
      <w:u w:val="none"/>
    </w:rPr>
  </w:style>
  <w:style w:type="character" w:customStyle="1" w:styleId="296">
    <w:name w:val="font41"/>
    <w:basedOn w:val="71"/>
    <w:autoRedefine/>
    <w:qFormat/>
    <w:uiPriority w:val="0"/>
    <w:rPr>
      <w:rFonts w:hint="default" w:ascii="等线" w:hAnsi="等线" w:eastAsia="等线" w:cs="等线"/>
      <w:color w:val="FF0000"/>
      <w:sz w:val="22"/>
      <w:szCs w:val="22"/>
      <w:u w:val="none"/>
    </w:rPr>
  </w:style>
  <w:style w:type="character" w:customStyle="1" w:styleId="297">
    <w:name w:val="font21"/>
    <w:basedOn w:val="71"/>
    <w:autoRedefine/>
    <w:qFormat/>
    <w:uiPriority w:val="0"/>
    <w:rPr>
      <w:rFonts w:hint="default" w:ascii="等线" w:hAnsi="等线" w:eastAsia="等线" w:cs="等线"/>
      <w:color w:val="000000"/>
      <w:sz w:val="22"/>
      <w:szCs w:val="22"/>
      <w:u w:val="none"/>
    </w:rPr>
  </w:style>
  <w:style w:type="character" w:customStyle="1" w:styleId="298">
    <w:name w:val="font51"/>
    <w:basedOn w:val="71"/>
    <w:autoRedefine/>
    <w:qFormat/>
    <w:uiPriority w:val="0"/>
    <w:rPr>
      <w:rFonts w:hint="default" w:ascii="等线" w:hAnsi="等线" w:eastAsia="等线" w:cs="等线"/>
      <w:color w:val="FF0000"/>
      <w:sz w:val="22"/>
      <w:szCs w:val="22"/>
      <w:u w:val="none"/>
    </w:rPr>
  </w:style>
  <w:style w:type="character" w:customStyle="1" w:styleId="299">
    <w:name w:val="font61"/>
    <w:basedOn w:val="71"/>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1"/>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9"/>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6"/>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4"/>
    <w:autoRedefine/>
    <w:qFormat/>
    <w:uiPriority w:val="0"/>
    <w:rPr>
      <w:color w:val="000000"/>
      <w:sz w:val="24"/>
      <w:szCs w:val="24"/>
    </w:rPr>
  </w:style>
  <w:style w:type="paragraph" w:customStyle="1" w:styleId="31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字符"/>
    <w:basedOn w:val="71"/>
    <w:link w:val="23"/>
    <w:autoRedefine/>
    <w:qFormat/>
    <w:uiPriority w:val="0"/>
    <w:rPr>
      <w:rFonts w:ascii="仿宋_GB2312" w:eastAsia="仿宋_GB2312"/>
      <w:kern w:val="2"/>
      <w:sz w:val="28"/>
    </w:rPr>
  </w:style>
  <w:style w:type="character" w:customStyle="1" w:styleId="318">
    <w:name w:val="正文文本 3 字符"/>
    <w:basedOn w:val="71"/>
    <w:link w:val="24"/>
    <w:autoRedefine/>
    <w:qFormat/>
    <w:uiPriority w:val="0"/>
    <w:rPr>
      <w:kern w:val="2"/>
      <w:sz w:val="21"/>
    </w:rPr>
  </w:style>
  <w:style w:type="character" w:customStyle="1" w:styleId="319">
    <w:name w:val="HTML 地址 字符"/>
    <w:basedOn w:val="71"/>
    <w:link w:val="31"/>
    <w:autoRedefine/>
    <w:qFormat/>
    <w:uiPriority w:val="0"/>
    <w:rPr>
      <w:rFonts w:ascii="宋体" w:hAnsi="宋体"/>
      <w:i/>
      <w:iCs/>
      <w:sz w:val="24"/>
      <w:szCs w:val="24"/>
    </w:rPr>
  </w:style>
  <w:style w:type="character" w:customStyle="1" w:styleId="320">
    <w:name w:val="尾注文本 字符"/>
    <w:basedOn w:val="71"/>
    <w:link w:val="39"/>
    <w:autoRedefine/>
    <w:qFormat/>
    <w:uiPriority w:val="0"/>
    <w:rPr>
      <w:kern w:val="2"/>
      <w:sz w:val="21"/>
      <w:szCs w:val="24"/>
      <w:lang w:val="zh-CN"/>
    </w:rPr>
  </w:style>
  <w:style w:type="character" w:customStyle="1" w:styleId="321">
    <w:name w:val="签名 字符"/>
    <w:basedOn w:val="71"/>
    <w:link w:val="43"/>
    <w:autoRedefine/>
    <w:qFormat/>
    <w:uiPriority w:val="0"/>
    <w:rPr>
      <w:rFonts w:eastAsia="仿宋_GB2312"/>
      <w:sz w:val="24"/>
    </w:rPr>
  </w:style>
  <w:style w:type="character" w:customStyle="1" w:styleId="322">
    <w:name w:val="副标题 字符"/>
    <w:basedOn w:val="71"/>
    <w:link w:val="48"/>
    <w:autoRedefine/>
    <w:qFormat/>
    <w:uiPriority w:val="0"/>
    <w:rPr>
      <w:rFonts w:ascii="Arial" w:hAnsi="Arial" w:eastAsia="隶书"/>
      <w:b/>
      <w:bCs/>
      <w:kern w:val="28"/>
      <w:sz w:val="44"/>
      <w:szCs w:val="32"/>
    </w:rPr>
  </w:style>
  <w:style w:type="character" w:customStyle="1" w:styleId="323">
    <w:name w:val="脚注文本 字符"/>
    <w:basedOn w:val="71"/>
    <w:link w:val="51"/>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autoRedefine/>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1"/>
    <w:autoRedefine/>
    <w:qFormat/>
    <w:uiPriority w:val="0"/>
    <w:rPr>
      <w:rFonts w:ascii="Arial" w:hAnsi="Arial" w:eastAsia="黑体" w:cs="Arial"/>
      <w:snapToGrid w:val="0"/>
      <w:kern w:val="0"/>
      <w:szCs w:val="21"/>
    </w:rPr>
  </w:style>
  <w:style w:type="character" w:customStyle="1" w:styleId="361">
    <w:name w:val="标书1 Char"/>
    <w:autoRedefine/>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autoRedefine/>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autoRedefine/>
    <w:qFormat/>
    <w:uiPriority w:val="0"/>
    <w:rPr>
      <w:rFonts w:ascii="仿宋_GB2312" w:hAnsi="仿宋_GB2312" w:eastAsia="仿宋_GB2312"/>
      <w:kern w:val="2"/>
      <w:sz w:val="24"/>
      <w:lang w:bidi="ar-SA"/>
    </w:rPr>
  </w:style>
  <w:style w:type="character" w:customStyle="1" w:styleId="382">
    <w:name w:val="正文 项目 Char"/>
    <w:autoRedefine/>
    <w:qFormat/>
    <w:uiPriority w:val="0"/>
    <w:rPr>
      <w:rFonts w:ascii="仿宋_GB2312" w:hAnsi="仿宋_GB2312" w:eastAsia="仿宋_GB2312"/>
      <w:kern w:val="2"/>
      <w:sz w:val="24"/>
      <w:lang w:bidi="ar-SA"/>
    </w:rPr>
  </w:style>
  <w:style w:type="character" w:customStyle="1" w:styleId="383">
    <w:name w:val="h Char Char1"/>
    <w:autoRedefine/>
    <w:qFormat/>
    <w:uiPriority w:val="0"/>
    <w:rPr>
      <w:rFonts w:eastAsia="宋体"/>
      <w:kern w:val="2"/>
      <w:sz w:val="18"/>
      <w:szCs w:val="18"/>
      <w:lang w:val="en-US" w:eastAsia="zh-CN" w:bidi="ar-SA"/>
    </w:rPr>
  </w:style>
  <w:style w:type="character" w:customStyle="1" w:styleId="384">
    <w:name w:val="px14"/>
    <w:autoRedefine/>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6"/>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7"/>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rPr>
      <w:rFonts w:ascii="仿宋_GB2312" w:hAnsi="仿宋" w:eastAsia="仿宋_GB2312" w:cs="仿宋_GB2312"/>
      <w:sz w:val="32"/>
      <w:szCs w:val="30"/>
      <w:lang w:val="zh-CN"/>
    </w:rPr>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9"/>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autoRedefine/>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autoRedefine/>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autoRedefine/>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1"/>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autoRedefine/>
    <w:qFormat/>
    <w:uiPriority w:val="0"/>
    <w:rPr>
      <w:rFonts w:ascii="仿宋_GB2312" w:eastAsia="仿宋_GB2312"/>
      <w:b/>
      <w:color w:val="000000"/>
      <w:kern w:val="2"/>
      <w:sz w:val="24"/>
      <w:lang w:val="en-US" w:eastAsia="zh-CN" w:bidi="ar-SA"/>
    </w:rPr>
  </w:style>
  <w:style w:type="character" w:customStyle="1" w:styleId="467">
    <w:name w:val="Char Char30"/>
    <w:autoRedefine/>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autoRedefine/>
    <w:qFormat/>
    <w:uiPriority w:val="0"/>
    <w:rPr>
      <w:rFonts w:hint="default" w:ascii="Tahoma" w:hAnsi="Tahoma" w:cs="Tahoma"/>
      <w:sz w:val="18"/>
      <w:szCs w:val="18"/>
    </w:rPr>
  </w:style>
  <w:style w:type="character" w:customStyle="1" w:styleId="474">
    <w:name w:val="Char Char23"/>
    <w:autoRedefine/>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autoRedefine/>
    <w:qFormat/>
    <w:uiPriority w:val="99"/>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autoRedefine/>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autoRedefine/>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autoRedefine/>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autoRedefine/>
    <w:qFormat/>
    <w:uiPriority w:val="0"/>
    <w:rPr>
      <w:rFonts w:ascii="Calibri" w:hAnsi="Calibri" w:eastAsia="黑体" w:cs="Arial"/>
      <w:snapToGrid w:val="0"/>
      <w:kern w:val="2"/>
      <w:sz w:val="28"/>
      <w:szCs w:val="21"/>
    </w:rPr>
  </w:style>
  <w:style w:type="character" w:customStyle="1" w:styleId="491">
    <w:name w:val="带编号样式 Char"/>
    <w:autoRedefine/>
    <w:qFormat/>
    <w:uiPriority w:val="0"/>
    <w:rPr>
      <w:rFonts w:ascii="仿宋_GB2312" w:eastAsia="仿宋_GB2312"/>
      <w:color w:val="000000"/>
      <w:sz w:val="24"/>
      <w:lang w:bidi="ar-SA"/>
    </w:rPr>
  </w:style>
  <w:style w:type="character" w:customStyle="1" w:styleId="492">
    <w:name w:val="unnamed31"/>
    <w:autoRedefine/>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autoRedefine/>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autoRedefine/>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9"/>
    <w:link w:val="578"/>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autoRedefine/>
    <w:qFormat/>
    <w:uiPriority w:val="0"/>
    <w:rPr>
      <w:rFonts w:ascii="宋体" w:eastAsia="宋体"/>
      <w:snapToGrid w:val="0"/>
      <w:color w:val="000000"/>
      <w:kern w:val="28"/>
      <w:sz w:val="28"/>
      <w:lang w:val="en-US" w:eastAsia="zh-CN" w:bidi="ar-SA"/>
    </w:rPr>
  </w:style>
  <w:style w:type="character" w:customStyle="1" w:styleId="500">
    <w:name w:val="Char Char5"/>
    <w:autoRedefine/>
    <w:qFormat/>
    <w:uiPriority w:val="0"/>
    <w:rPr>
      <w:rFonts w:ascii="宋体" w:hAnsi="Courier New" w:eastAsia="宋体"/>
      <w:kern w:val="2"/>
      <w:sz w:val="21"/>
      <w:lang w:val="en-US" w:eastAsia="zh-CN"/>
    </w:rPr>
  </w:style>
  <w:style w:type="character" w:customStyle="1" w:styleId="501">
    <w:name w:val="称呼 Char1"/>
    <w:autoRedefine/>
    <w:qFormat/>
    <w:uiPriority w:val="0"/>
    <w:rPr>
      <w:rFonts w:ascii="Times New Roman" w:hAnsi="Times New Roman" w:eastAsia="宋体" w:cs="Times New Roman"/>
      <w:szCs w:val="24"/>
    </w:rPr>
  </w:style>
  <w:style w:type="character" w:customStyle="1" w:styleId="502">
    <w:name w:val="正文1 Char"/>
    <w:autoRedefine/>
    <w:qFormat/>
    <w:uiPriority w:val="0"/>
    <w:rPr>
      <w:rFonts w:ascii="宋体" w:eastAsia="宋体"/>
      <w:snapToGrid w:val="0"/>
      <w:color w:val="000000"/>
      <w:kern w:val="28"/>
      <w:sz w:val="28"/>
      <w:lang w:val="en-US" w:eastAsia="zh-CN" w:bidi="ar-SA"/>
    </w:rPr>
  </w:style>
  <w:style w:type="character" w:customStyle="1" w:styleId="503">
    <w:name w:val="正文缩进 Char1"/>
    <w:autoRedefine/>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autoRedefine/>
    <w:qFormat/>
    <w:uiPriority w:val="0"/>
    <w:rPr>
      <w:rFonts w:ascii="Arial"/>
      <w:bCs/>
      <w:sz w:val="21"/>
      <w:szCs w:val="21"/>
    </w:rPr>
  </w:style>
  <w:style w:type="paragraph" w:customStyle="1" w:styleId="506">
    <w:name w:val="Item List"/>
    <w:link w:val="50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autoRedefine/>
    <w:qFormat/>
    <w:uiPriority w:val="0"/>
    <w:rPr>
      <w:rFonts w:eastAsia="宋体"/>
      <w:b/>
      <w:kern w:val="2"/>
      <w:sz w:val="32"/>
      <w:lang w:val="en-US" w:eastAsia="zh-CN" w:bidi="ar-SA"/>
    </w:rPr>
  </w:style>
  <w:style w:type="character" w:customStyle="1" w:styleId="509">
    <w:name w:val="dandyren_title1"/>
    <w:autoRedefine/>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autoRedefine/>
    <w:qFormat/>
    <w:uiPriority w:val="0"/>
    <w:rPr>
      <w:sz w:val="18"/>
      <w:szCs w:val="18"/>
    </w:rPr>
  </w:style>
  <w:style w:type="character" w:customStyle="1" w:styleId="512">
    <w:name w:val="solutionfonts"/>
    <w:autoRedefine/>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autoRedefine/>
    <w:qFormat/>
    <w:uiPriority w:val="0"/>
    <w:rPr>
      <w:rFonts w:hint="eastAsia" w:ascii="仿宋" w:hAnsi="仿宋" w:eastAsia="仿宋" w:cs="仿宋"/>
      <w:color w:val="000000"/>
      <w:sz w:val="20"/>
      <w:szCs w:val="20"/>
      <w:u w:val="none"/>
    </w:rPr>
  </w:style>
  <w:style w:type="character" w:customStyle="1" w:styleId="517">
    <w:name w:val="正文说明 Char"/>
    <w:link w:val="518"/>
    <w:autoRedefine/>
    <w:qFormat/>
    <w:uiPriority w:val="0"/>
    <w:rPr>
      <w:sz w:val="24"/>
      <w:szCs w:val="24"/>
    </w:rPr>
  </w:style>
  <w:style w:type="paragraph" w:customStyle="1" w:styleId="518">
    <w:name w:val="正文说明"/>
    <w:basedOn w:val="1"/>
    <w:link w:val="517"/>
    <w:autoRedefine/>
    <w:qFormat/>
    <w:uiPriority w:val="0"/>
    <w:pPr>
      <w:spacing w:line="360" w:lineRule="auto"/>
    </w:pPr>
    <w:rPr>
      <w:kern w:val="0"/>
      <w:sz w:val="24"/>
    </w:rPr>
  </w:style>
  <w:style w:type="character" w:customStyle="1" w:styleId="519">
    <w:name w:val="脚注文本 Char1"/>
    <w:autoRedefine/>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autoRedefine/>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0">
    <w:name w:val="Char Char37"/>
    <w:autoRedefine/>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autoRedefine/>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autoRedefine/>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autoRedefine/>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autoRedefine/>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autoRedefine/>
    <w:qFormat/>
    <w:uiPriority w:val="99"/>
    <w:rPr>
      <w:kern w:val="2"/>
      <w:sz w:val="18"/>
      <w:szCs w:val="18"/>
    </w:rPr>
  </w:style>
  <w:style w:type="character" w:customStyle="1" w:styleId="548">
    <w:name w:val="Char Char33"/>
    <w:autoRedefine/>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autoRedefine/>
    <w:qFormat/>
    <w:uiPriority w:val="0"/>
    <w:rPr>
      <w:rFonts w:eastAsia="宋体"/>
      <w:kern w:val="2"/>
      <w:sz w:val="18"/>
      <w:lang w:val="en-US" w:eastAsia="zh-CN" w:bidi="ar-SA"/>
    </w:rPr>
  </w:style>
  <w:style w:type="character" w:customStyle="1" w:styleId="55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4">
    <w:name w:val="Char Char61"/>
    <w:autoRedefine/>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autoRedefine/>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autoRedefine/>
    <w:qFormat/>
    <w:uiPriority w:val="0"/>
    <w:rPr>
      <w:rFonts w:eastAsia="宋体"/>
      <w:b/>
      <w:sz w:val="24"/>
      <w:lang w:val="en-GB" w:eastAsia="zh-CN" w:bidi="ar-SA"/>
    </w:rPr>
  </w:style>
  <w:style w:type="character" w:customStyle="1" w:styleId="562">
    <w:name w:val="large1"/>
    <w:autoRedefine/>
    <w:qFormat/>
    <w:uiPriority w:val="0"/>
    <w:rPr>
      <w:rFonts w:hint="eastAsia" w:ascii="宋体" w:hAnsi="宋体" w:eastAsia="宋体"/>
      <w:sz w:val="21"/>
      <w:szCs w:val="21"/>
    </w:rPr>
  </w:style>
  <w:style w:type="character" w:customStyle="1" w:styleId="563">
    <w:name w:val="Char Char13"/>
    <w:autoRedefine/>
    <w:qFormat/>
    <w:uiPriority w:val="6"/>
    <w:rPr>
      <w:rFonts w:ascii="宋体" w:hAnsi="宋体"/>
      <w:kern w:val="1"/>
      <w:sz w:val="21"/>
      <w:szCs w:val="24"/>
    </w:rPr>
  </w:style>
  <w:style w:type="character" w:customStyle="1" w:styleId="56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autoRedefine/>
    <w:qFormat/>
    <w:uiPriority w:val="0"/>
    <w:rPr>
      <w:rFonts w:ascii="宋体" w:hAnsi="宋体"/>
      <w:kern w:val="2"/>
      <w:sz w:val="24"/>
      <w:szCs w:val="22"/>
    </w:rPr>
  </w:style>
  <w:style w:type="paragraph" w:customStyle="1" w:styleId="566">
    <w:name w:val="冯广丽"/>
    <w:basedOn w:val="1"/>
    <w:link w:val="565"/>
    <w:autoRedefine/>
    <w:qFormat/>
    <w:uiPriority w:val="0"/>
    <w:pPr>
      <w:spacing w:line="360" w:lineRule="auto"/>
      <w:ind w:firstLine="480" w:firstLineChars="200"/>
    </w:pPr>
    <w:rPr>
      <w:rFonts w:ascii="宋体" w:hAnsi="宋体"/>
      <w:sz w:val="24"/>
      <w:szCs w:val="22"/>
    </w:rPr>
  </w:style>
  <w:style w:type="character" w:customStyle="1" w:styleId="567">
    <w:name w:val="批注文字 字符"/>
    <w:autoRedefine/>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autoRedefine/>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9"/>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6"/>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6"/>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1"/>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11"/>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6"/>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7"/>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10"/>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autoRedefine/>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7"/>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6"/>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autoRedefine/>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5"/>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1">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autoRedefine/>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2"/>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autoRedefine/>
    <w:qFormat/>
    <w:uiPriority w:val="0"/>
    <w:pPr>
      <w:adjustRightInd w:val="0"/>
    </w:pPr>
    <w:rPr>
      <w:rFonts w:eastAsia="仿宋_GB2312"/>
      <w:sz w:val="28"/>
      <w:szCs w:val="20"/>
    </w:rPr>
  </w:style>
  <w:style w:type="paragraph" w:customStyle="1" w:styleId="682">
    <w:name w:val="样式 标题 4PIM 4H4h4bulletblbbH41H42H43H44H45H46H47H48...1"/>
    <w:basedOn w:val="9"/>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6"/>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4"/>
    <w:next w:val="4"/>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4"/>
    <w:next w:val="4"/>
    <w:autoRedefine/>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autoRedefine/>
    <w:qFormat/>
    <w:uiPriority w:val="0"/>
    <w:pPr>
      <w:adjustRightInd w:val="0"/>
      <w:spacing w:line="360" w:lineRule="auto"/>
    </w:pPr>
    <w:rPr>
      <w:szCs w:val="20"/>
    </w:rPr>
  </w:style>
  <w:style w:type="paragraph" w:customStyle="1" w:styleId="698">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6"/>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autoRedefine/>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autoRedefine/>
    <w:qFormat/>
    <w:uiPriority w:val="0"/>
    <w:pPr>
      <w:spacing w:beforeLines="50" w:line="360" w:lineRule="auto"/>
    </w:pPr>
    <w:rPr>
      <w:b/>
      <w:sz w:val="24"/>
    </w:rPr>
  </w:style>
  <w:style w:type="paragraph" w:customStyle="1" w:styleId="723">
    <w:name w:val="Char Char1101"/>
    <w:basedOn w:val="1"/>
    <w:autoRedefine/>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autoRedefine/>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6"/>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autoRedefine/>
    <w:qFormat/>
    <w:uiPriority w:val="0"/>
    <w:rPr>
      <w:sz w:val="18"/>
      <w:szCs w:val="20"/>
    </w:rPr>
  </w:style>
  <w:style w:type="paragraph" w:customStyle="1" w:styleId="731">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6"/>
    <w:autoRedefine/>
    <w:qFormat/>
    <w:uiPriority w:val="0"/>
    <w:pPr>
      <w:tabs>
        <w:tab w:val="left" w:pos="840"/>
      </w:tabs>
      <w:ind w:left="0" w:leftChars="0" w:hanging="420"/>
    </w:pPr>
    <w:rPr>
      <w:rFonts w:ascii="Tahoma" w:hAnsi="Tahoma"/>
      <w:sz w:val="22"/>
      <w:szCs w:val="20"/>
    </w:rPr>
  </w:style>
  <w:style w:type="paragraph" w:customStyle="1" w:styleId="736">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autoRedefine/>
    <w:qFormat/>
    <w:uiPriority w:val="0"/>
    <w:pPr>
      <w:adjustRightInd w:val="0"/>
      <w:snapToGrid w:val="0"/>
      <w:spacing w:line="360" w:lineRule="auto"/>
    </w:pPr>
    <w:rPr>
      <w:rFonts w:ascii="宋体"/>
      <w:b/>
      <w:sz w:val="24"/>
      <w:szCs w:val="20"/>
    </w:rPr>
  </w:style>
  <w:style w:type="paragraph" w:customStyle="1" w:styleId="738">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9">
    <w:name w:val="小节"/>
    <w:basedOn w:val="7"/>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autoRedefine/>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6"/>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7"/>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autoRedefine/>
    <w:qFormat/>
    <w:uiPriority w:val="0"/>
    <w:pPr>
      <w:widowControl/>
      <w:spacing w:after="160" w:line="240" w:lineRule="exact"/>
      <w:jc w:val="left"/>
    </w:pPr>
    <w:rPr>
      <w:szCs w:val="20"/>
    </w:rPr>
  </w:style>
  <w:style w:type="paragraph" w:customStyle="1" w:styleId="750">
    <w:name w:val="表格标题2"/>
    <w:basedOn w:val="751"/>
    <w:autoRedefine/>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autoRedefine/>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8">
    <w:name w:val="MM Topic 1"/>
    <w:basedOn w:val="5"/>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6"/>
    <w:autoRedefine/>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1">
    <w:name w:val="标书标题4"/>
    <w:basedOn w:val="9"/>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autoRedefine/>
    <w:qFormat/>
    <w:uiPriority w:val="0"/>
    <w:pPr>
      <w:spacing w:line="300" w:lineRule="auto"/>
      <w:jc w:val="center"/>
    </w:pPr>
  </w:style>
  <w:style w:type="paragraph" w:customStyle="1" w:styleId="765">
    <w:name w:val="_Style 6"/>
    <w:basedOn w:val="1"/>
    <w:autoRedefine/>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6"/>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autoRedefine/>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6">
    <w:name w:val="Char1 Char Char Char1"/>
    <w:basedOn w:val="1"/>
    <w:autoRedefine/>
    <w:qFormat/>
    <w:uiPriority w:val="0"/>
    <w:pPr>
      <w:ind w:firstLine="200" w:firstLineChars="200"/>
    </w:pPr>
    <w:rPr>
      <w:rFonts w:ascii="Tahoma" w:hAnsi="Tahoma"/>
      <w:sz w:val="24"/>
      <w:szCs w:val="20"/>
    </w:rPr>
  </w:style>
  <w:style w:type="paragraph" w:customStyle="1" w:styleId="777">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autoRedefine/>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0">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autoRedefine/>
    <w:qFormat/>
    <w:uiPriority w:val="0"/>
    <w:rPr>
      <w:rFonts w:ascii="Tahoma" w:hAnsi="Tahoma"/>
      <w:sz w:val="24"/>
      <w:szCs w:val="20"/>
    </w:rPr>
  </w:style>
  <w:style w:type="paragraph" w:customStyle="1" w:styleId="783">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autoRedefine/>
    <w:qFormat/>
    <w:uiPriority w:val="0"/>
    <w:pPr>
      <w:tabs>
        <w:tab w:val="left" w:pos="1260"/>
        <w:tab w:val="left" w:pos="1680"/>
        <w:tab w:val="left" w:pos="2100"/>
      </w:tabs>
      <w:ind w:left="0"/>
      <w:outlineLvl w:val="3"/>
    </w:pPr>
  </w:style>
  <w:style w:type="paragraph" w:customStyle="1" w:styleId="786">
    <w:name w:val="一级条标题"/>
    <w:basedOn w:val="787"/>
    <w:next w:val="162"/>
    <w:autoRedefine/>
    <w:qFormat/>
    <w:uiPriority w:val="0"/>
    <w:pPr>
      <w:tabs>
        <w:tab w:val="left" w:pos="1260"/>
        <w:tab w:val="left" w:pos="1680"/>
      </w:tabs>
      <w:ind w:left="1680"/>
      <w:outlineLvl w:val="2"/>
    </w:pPr>
  </w:style>
  <w:style w:type="paragraph" w:customStyle="1" w:styleId="787">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6"/>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5"/>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5"/>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autoRedefine/>
    <w:qFormat/>
    <w:uiPriority w:val="0"/>
    <w:pPr>
      <w:tabs>
        <w:tab w:val="left" w:pos="840"/>
      </w:tabs>
      <w:spacing w:after="0"/>
      <w:ind w:left="900"/>
    </w:pPr>
  </w:style>
  <w:style w:type="paragraph" w:customStyle="1" w:styleId="794">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autoRedefine/>
    <w:qFormat/>
    <w:uiPriority w:val="6"/>
    <w:pPr>
      <w:widowControl/>
      <w:ind w:left="720" w:hanging="720"/>
    </w:pPr>
    <w:rPr>
      <w:color w:val="000000"/>
      <w:kern w:val="0"/>
      <w:sz w:val="24"/>
      <w:szCs w:val="20"/>
      <w:lang w:val="en-GB"/>
    </w:rPr>
  </w:style>
  <w:style w:type="paragraph" w:customStyle="1" w:styleId="796">
    <w:name w:val="表1"/>
    <w:basedOn w:val="1"/>
    <w:autoRedefine/>
    <w:qFormat/>
    <w:uiPriority w:val="0"/>
    <w:pPr>
      <w:tabs>
        <w:tab w:val="left" w:pos="703"/>
      </w:tabs>
      <w:spacing w:line="360" w:lineRule="auto"/>
      <w:ind w:left="703"/>
      <w:jc w:val="center"/>
    </w:pPr>
  </w:style>
  <w:style w:type="paragraph" w:customStyle="1" w:styleId="79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autoRedefine/>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9"/>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6"/>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7"/>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9"/>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1"/>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6"/>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7"/>
    <w:next w:val="54"/>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5"/>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2"/>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9"/>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8"/>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7"/>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21"/>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1"/>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7"/>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10"/>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5"/>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1"/>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6"/>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styleId="1040">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1041">
    <w:name w:val="Body Text First Indent 22"/>
    <w:basedOn w:val="1042"/>
    <w:autoRedefine/>
    <w:qFormat/>
    <w:uiPriority w:val="0"/>
    <w:pPr>
      <w:ind w:firstLine="420"/>
    </w:pPr>
  </w:style>
  <w:style w:type="paragraph" w:customStyle="1" w:styleId="1042">
    <w:name w:val="Body Text Indent2"/>
    <w:basedOn w:val="1"/>
    <w:next w:val="1043"/>
    <w:autoRedefine/>
    <w:qFormat/>
    <w:uiPriority w:val="0"/>
    <w:pPr>
      <w:spacing w:line="500" w:lineRule="exact"/>
      <w:ind w:firstLine="880" w:firstLineChars="200"/>
    </w:pPr>
  </w:style>
  <w:style w:type="paragraph" w:customStyle="1" w:styleId="1043">
    <w:name w:val="Body Text First Indent 21"/>
    <w:basedOn w:val="1044"/>
    <w:autoRedefine/>
    <w:qFormat/>
    <w:uiPriority w:val="0"/>
    <w:pPr>
      <w:ind w:firstLine="420"/>
    </w:pPr>
    <w:rPr>
      <w:rFonts w:cs="宋体"/>
    </w:rPr>
  </w:style>
  <w:style w:type="paragraph" w:customStyle="1" w:styleId="1044">
    <w:name w:val="Body Text Indent1"/>
    <w:basedOn w:val="1"/>
    <w:next w:val="1"/>
    <w:autoRedefine/>
    <w:qFormat/>
    <w:uiPriority w:val="0"/>
    <w:pPr>
      <w:spacing w:after="120"/>
      <w:ind w:left="420" w:leftChars="200"/>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107</Pages>
  <Words>8389</Words>
  <Characters>47818</Characters>
  <Lines>398</Lines>
  <Paragraphs>112</Paragraphs>
  <TotalTime>8</TotalTime>
  <ScaleCrop>false</ScaleCrop>
  <LinksUpToDate>false</LinksUpToDate>
  <CharactersWithSpaces>56095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子曰</cp:lastModifiedBy>
  <cp:lastPrinted>2024-03-29T08:39:00Z</cp:lastPrinted>
  <dcterms:modified xsi:type="dcterms:W3CDTF">2024-05-14T02:42:32Z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D60627D599E4419FADD550EA7E6EABB4_13</vt:lpwstr>
  </property>
</Properties>
</file>