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color w:val="auto"/>
          <w:sz w:val="36"/>
          <w:szCs w:val="36"/>
          <w:highlight w:val="none"/>
          <w:lang w:eastAsia="zh-CN"/>
        </w:rPr>
      </w:pPr>
      <w:r>
        <w:rPr>
          <w:rFonts w:hint="eastAsia" w:ascii="仿宋" w:eastAsia="仿宋"/>
          <w:b/>
          <w:bCs/>
          <w:color w:val="auto"/>
          <w:sz w:val="52"/>
          <w:szCs w:val="52"/>
          <w:highlight w:val="none"/>
          <w:u w:val="single"/>
          <w:lang w:eastAsia="zh-CN"/>
        </w:rPr>
        <w:t>北海街道新桥江、漓渚江等十条河流河道、河岸保洁及垃圾清运项目</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rPr>
          <w:rFonts w:hint="eastAsia" w:ascii="仿宋" w:eastAsia="仿宋"/>
          <w:b/>
          <w:bCs/>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HCBH-20230801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eastAsia="zh-CN"/>
              </w:rPr>
              <w:t>绍兴市越城区北海街道办事处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tcPr>
          <w:p>
            <w:pPr>
              <w:rPr>
                <w:color w:val="auto"/>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pPr>
        <w:jc w:val="center"/>
        <w:rPr>
          <w:rFonts w:hint="eastAsia" w:ascii="仿宋" w:eastAsia="仿宋"/>
          <w:color w:val="auto"/>
          <w:sz w:val="28"/>
          <w:highlight w:val="none"/>
        </w:rPr>
      </w:pPr>
    </w:p>
    <w:p>
      <w:pPr>
        <w:jc w:val="cente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2023</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09</w:t>
      </w:r>
      <w:r>
        <w:rPr>
          <w:rFonts w:hint="eastAsia" w:ascii="仿宋" w:eastAsia="仿宋"/>
          <w:color w:val="auto"/>
          <w:sz w:val="28"/>
          <w:highlight w:val="none"/>
        </w:rPr>
        <w:t>月</w:t>
      </w:r>
    </w:p>
    <w:p>
      <w:pPr>
        <w:rPr>
          <w:rFonts w:hint="eastAsia" w:ascii="仿宋" w:eastAsia="仿宋"/>
          <w:color w:val="auto"/>
          <w:sz w:val="28"/>
          <w:highlight w:val="none"/>
        </w:rPr>
      </w:pPr>
    </w:p>
    <w:p>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 TOC \o "1-2" \h \u </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"_Toc93172432"</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第一章  采购公告</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_Toc93172432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"_Toc93172433"</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第二章  投标人须知</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_Toc93172433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"_Toc93172434"</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一、前附表</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_Toc93172434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"_Toc93172435"</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二、采购文件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_Toc93172435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"_Toc93172436"</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三、投标文件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_Toc93172436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9</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"_Toc93172437"</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四、开标评标</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_Toc93172437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12</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"_Toc93172438"</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五、合同签订及履约</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_Toc93172438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"_Toc93172439"</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第三章  采购需求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_Toc93172439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18</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"_Toc93172440"</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一、</w:t>
      </w:r>
      <w:r>
        <w:rPr>
          <w:rFonts w:hint="eastAsia" w:ascii="仿宋" w:eastAsia="仿宋"/>
          <w:color w:val="auto"/>
          <w:sz w:val="28"/>
          <w:szCs w:val="28"/>
          <w:highlight w:val="none"/>
          <w:lang w:val="en-US" w:eastAsia="zh-CN"/>
        </w:rPr>
        <w:t>保洁范围及工作内容</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_Toc93172439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18</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"_Toc93172441"</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二、商务要求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_Toc93172441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18</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"_Toc93172442"</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第四章  拟签订合同的主要条款</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_Toc93172442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22</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"_Toc93172443"</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第五章  评标办法及标准</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_Toc93172443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"_Toc93172444"</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第六章  投标文件格式附件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_Toc93172444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31</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1"/>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"_Toc93172445"</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第七章  询问、质疑及投诉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_Toc93172445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51</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"_Toc93172446"</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一、供应商询问</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_Toc93172446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51</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"_Toc93172447"</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二、供应商质疑</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_Toc93172447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51</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hint="eastAsia"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Hyperlink \l "_Toc93172448"</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三、供应商投诉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_Toc93172448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52</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rPr>
          <w:rFonts w:hint="eastAsia" w:ascii="仿宋" w:eastAsia="仿宋"/>
          <w:color w:val="auto"/>
          <w:sz w:val="28"/>
          <w:szCs w:val="28"/>
          <w:highlight w:val="none"/>
        </w:rPr>
      </w:pPr>
    </w:p>
    <w:p>
      <w:pPr>
        <w:pStyle w:val="4"/>
        <w:rPr>
          <w:rFonts w:hint="eastAsia" w:ascii="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pPr>
        <w:pStyle w:val="4"/>
        <w:rPr>
          <w:rFonts w:hint="eastAsia" w:ascii="仿宋"/>
          <w:color w:val="auto"/>
          <w:highlight w:val="none"/>
        </w:rPr>
      </w:pPr>
      <w:bookmarkStart w:id="0" w:name="_Toc93172432"/>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eastAsia="zh-CN"/>
        </w:rPr>
        <w:t>北海街道新桥江、漓渚江等十条河流河道、河岸保洁及垃圾清运项目</w:t>
      </w:r>
      <w:r>
        <w:rPr>
          <w:rFonts w:hint="eastAsia" w:ascii="仿宋" w:eastAsia="仿宋"/>
          <w:color w:val="auto"/>
          <w:sz w:val="24"/>
          <w:szCs w:val="24"/>
          <w:highlight w:val="none"/>
          <w:u w:val="single"/>
        </w:rPr>
        <w:t>(</w:t>
      </w:r>
      <w:r>
        <w:rPr>
          <w:rFonts w:ascii="仿宋" w:eastAsia="仿宋"/>
          <w:i/>
          <w:color w:val="auto"/>
          <w:sz w:val="24"/>
          <w:szCs w:val="24"/>
          <w:highlight w:val="none"/>
          <w:u w:val="single"/>
        </w:rPr>
        <w:t>项目名称</w:t>
      </w:r>
      <w:r>
        <w:rPr>
          <w:rFonts w:ascii="仿宋" w:eastAsia="仿宋"/>
          <w:color w:val="auto"/>
          <w:sz w:val="24"/>
          <w:szCs w:val="24"/>
          <w:highlight w:val="none"/>
          <w:u w:val="single"/>
        </w:rPr>
        <w:t>)</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2023</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pStyle w:val="5"/>
        <w:spacing w:line="360" w:lineRule="auto"/>
        <w:jc w:val="left"/>
        <w:rPr>
          <w:rFonts w:ascii="黑体" w:hAnsi="黑体" w:cs="宋体"/>
          <w:bCs/>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黑体" w:hAnsi="黑体" w:cs="宋体"/>
          <w:bCs/>
          <w:color w:val="auto"/>
          <w:sz w:val="24"/>
          <w:szCs w:val="24"/>
          <w:highlight w:val="none"/>
        </w:rPr>
        <w:t>一、项目基本情况</w:t>
      </w:r>
      <w:bookmarkEnd w:id="1"/>
      <w:bookmarkEnd w:id="2"/>
      <w:bookmarkEnd w:id="3"/>
      <w:bookmarkEnd w:id="4"/>
    </w:p>
    <w:p>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eastAsia="zh-CN"/>
        </w:rPr>
        <w:t>HCBH-202</w:t>
      </w:r>
      <w:r>
        <w:rPr>
          <w:rFonts w:hint="eastAsia" w:ascii="仿宋" w:eastAsia="仿宋" w:cs="宋体"/>
          <w:bCs/>
          <w:color w:val="auto"/>
          <w:sz w:val="24"/>
          <w:szCs w:val="24"/>
          <w:highlight w:val="none"/>
          <w:u w:val="single"/>
          <w:lang w:val="en-US" w:eastAsia="zh-CN"/>
        </w:rPr>
        <w:t>30801</w:t>
      </w:r>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北海街道新桥江、漓渚江等十条河流河道、河岸保洁及垃圾清运项目</w:t>
      </w:r>
    </w:p>
    <w:bookmarkEnd w:id="5"/>
    <w:p>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380000</w:t>
      </w:r>
    </w:p>
    <w:p>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380000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北海街道新桥江、漓渚江等十条河流河道、河岸保洁及垃圾清运项目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pPr>
        <w:spacing w:line="360" w:lineRule="auto"/>
        <w:ind w:firstLine="540"/>
        <w:rPr>
          <w:rFonts w:hint="default" w:ascii="仿宋" w:eastAsia="仿宋" w:cs="宋体"/>
          <w:bCs/>
          <w:color w:val="auto"/>
          <w:sz w:val="24"/>
          <w:highlight w:val="none"/>
          <w:lang w:val="en-US" w:eastAsia="zh-CN"/>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380000</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服务合同签订后一年</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pStyle w:val="5"/>
        <w:spacing w:line="360" w:lineRule="auto"/>
        <w:jc w:val="left"/>
        <w:rPr>
          <w:rFonts w:ascii="黑体" w:hAnsi="黑体" w:cs="宋体"/>
          <w:bCs/>
          <w:color w:val="auto"/>
          <w:sz w:val="24"/>
          <w:szCs w:val="24"/>
          <w:highlight w:val="none"/>
        </w:rPr>
      </w:pPr>
      <w:bookmarkStart w:id="6" w:name="_Toc35393622"/>
      <w:bookmarkStart w:id="7" w:name="_Toc28359080"/>
      <w:bookmarkStart w:id="8" w:name="_Toc28359003"/>
      <w:bookmarkStart w:id="9" w:name="_Toc35393791"/>
      <w:r>
        <w:rPr>
          <w:rFonts w:hint="eastAsia" w:ascii="黑体" w:hAnsi="黑体" w:cs="宋体"/>
          <w:bCs/>
          <w:color w:val="auto"/>
          <w:sz w:val="24"/>
          <w:szCs w:val="24"/>
          <w:highlight w:val="none"/>
        </w:rPr>
        <w:t>二、申请人的资格要求：</w:t>
      </w:r>
      <w:bookmarkEnd w:id="6"/>
      <w:bookmarkEnd w:id="7"/>
      <w:bookmarkEnd w:id="8"/>
      <w:bookmarkEnd w:id="9"/>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u w:val="single"/>
        </w:rPr>
      </w:pPr>
      <w:bookmarkStart w:id="10" w:name="_Toc28359004"/>
      <w:bookmarkStart w:id="11" w:name="_Toc28359081"/>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u w:val="single"/>
        </w:rPr>
        <w:t>专门面向中小微企业。</w:t>
      </w:r>
    </w:p>
    <w:p>
      <w:pPr>
        <w:spacing w:line="360" w:lineRule="auto"/>
        <w:ind w:firstLine="540"/>
        <w:rPr>
          <w:rFonts w:hint="eastAsia" w:ascii="仿宋" w:eastAsia="仿宋" w:cs="宋体"/>
          <w:bCs/>
          <w:iCs/>
          <w:color w:val="auto"/>
          <w:sz w:val="24"/>
          <w:szCs w:val="24"/>
          <w:highlight w:val="none"/>
          <w:lang w:val="en-US"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无</w:t>
      </w:r>
    </w:p>
    <w:p>
      <w:pPr>
        <w:pStyle w:val="5"/>
        <w:spacing w:line="360" w:lineRule="auto"/>
        <w:jc w:val="left"/>
        <w:rPr>
          <w:rFonts w:ascii="黑体" w:hAnsi="黑体" w:cs="宋体"/>
          <w:bCs/>
          <w:color w:val="auto"/>
          <w:sz w:val="24"/>
          <w:szCs w:val="24"/>
          <w:highlight w:val="none"/>
        </w:rPr>
      </w:pPr>
      <w:bookmarkStart w:id="12" w:name="_Toc35393623"/>
      <w:bookmarkStart w:id="13" w:name="_Toc35393792"/>
      <w:r>
        <w:rPr>
          <w:rFonts w:hint="eastAsia" w:ascii="黑体" w:hAnsi="黑体" w:cs="宋体"/>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2023</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10</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07</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pStyle w:val="5"/>
        <w:spacing w:line="360" w:lineRule="auto"/>
        <w:jc w:val="left"/>
        <w:rPr>
          <w:rFonts w:ascii="黑体" w:hAnsi="黑体" w:cs="宋体"/>
          <w:bCs/>
          <w:color w:val="auto"/>
          <w:sz w:val="24"/>
          <w:szCs w:val="24"/>
          <w:highlight w:val="none"/>
        </w:rPr>
      </w:pPr>
      <w:bookmarkStart w:id="14" w:name="_Toc28359082"/>
      <w:bookmarkStart w:id="15" w:name="_Toc28359005"/>
      <w:bookmarkStart w:id="16" w:name="_Toc35393624"/>
      <w:bookmarkStart w:id="17" w:name="_Toc35393793"/>
      <w:r>
        <w:rPr>
          <w:rFonts w:hint="eastAsia" w:ascii="黑体" w:hAnsi="黑体" w:cs="宋体"/>
          <w:bCs/>
          <w:color w:val="auto"/>
          <w:sz w:val="24"/>
          <w:szCs w:val="24"/>
          <w:highlight w:val="none"/>
        </w:rPr>
        <w:t>四、提交投标文件</w:t>
      </w:r>
      <w:bookmarkEnd w:id="14"/>
      <w:bookmarkEnd w:id="15"/>
      <w:r>
        <w:rPr>
          <w:rFonts w:hint="eastAsia" w:ascii="黑体" w:hAnsi="黑体" w:cs="宋体"/>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2023</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2023年10月07日14：30</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绍兴市北海街道A4楼会议室</w:t>
      </w:r>
      <w:r>
        <w:rPr>
          <w:rFonts w:ascii="仿宋" w:eastAsia="仿宋"/>
          <w:b w:val="0"/>
          <w:bCs w:val="0"/>
          <w:i w:val="0"/>
          <w:iCs w:val="0"/>
          <w:caps w:val="0"/>
          <w:smallCaps w:val="0"/>
          <w:color w:val="auto"/>
          <w:spacing w:val="0"/>
          <w:sz w:val="24"/>
          <w:szCs w:val="24"/>
          <w:highlight w:val="none"/>
        </w:rPr>
        <w:t>。</w:t>
      </w:r>
    </w:p>
    <w:p>
      <w:pPr>
        <w:pStyle w:val="5"/>
        <w:spacing w:line="360" w:lineRule="auto"/>
        <w:jc w:val="left"/>
        <w:rPr>
          <w:rFonts w:ascii="黑体" w:hAnsi="黑体" w:cs="宋体"/>
          <w:bCs/>
          <w:color w:val="auto"/>
          <w:sz w:val="24"/>
          <w:szCs w:val="24"/>
          <w:highlight w:val="none"/>
        </w:rPr>
      </w:pPr>
      <w:bookmarkStart w:id="18" w:name="_Toc35393625"/>
      <w:bookmarkStart w:id="19" w:name="_Toc28359007"/>
      <w:bookmarkStart w:id="20" w:name="_Toc28359084"/>
      <w:bookmarkStart w:id="21" w:name="_Toc35393794"/>
      <w:r>
        <w:rPr>
          <w:rFonts w:hint="eastAsia" w:ascii="黑体" w:hAnsi="黑体" w:cs="宋体"/>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pStyle w:val="5"/>
        <w:spacing w:line="360" w:lineRule="auto"/>
        <w:jc w:val="left"/>
        <w:rPr>
          <w:rFonts w:ascii="黑体" w:hAnsi="黑体" w:cs="宋体"/>
          <w:bCs/>
          <w:color w:val="auto"/>
          <w:sz w:val="24"/>
          <w:szCs w:val="24"/>
          <w:highlight w:val="none"/>
        </w:rPr>
      </w:pPr>
      <w:bookmarkStart w:id="22" w:name="_Toc35393626"/>
      <w:bookmarkStart w:id="23" w:name="_Toc35393795"/>
      <w:r>
        <w:rPr>
          <w:rFonts w:hint="eastAsia" w:ascii="黑体" w:hAnsi="黑体" w:cs="宋体"/>
          <w:bCs/>
          <w:color w:val="auto"/>
          <w:sz w:val="24"/>
          <w:szCs w:val="24"/>
          <w:highlight w:val="none"/>
        </w:rPr>
        <w:t>六、其他补充事宜</w:t>
      </w:r>
      <w:bookmarkEnd w:id="22"/>
      <w:bookmarkEnd w:id="23"/>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pStyle w:val="5"/>
        <w:spacing w:line="360" w:lineRule="auto"/>
        <w:jc w:val="left"/>
        <w:rPr>
          <w:rFonts w:ascii="黑体" w:hAnsi="黑体" w:cs="宋体"/>
          <w:bCs/>
          <w:color w:val="auto"/>
          <w:sz w:val="24"/>
          <w:szCs w:val="24"/>
          <w:highlight w:val="none"/>
        </w:rPr>
      </w:pPr>
      <w:bookmarkStart w:id="24" w:name="_Toc28359085"/>
      <w:bookmarkStart w:id="25" w:name="_Toc35393627"/>
      <w:bookmarkStart w:id="26" w:name="_Toc28359008"/>
      <w:bookmarkStart w:id="27" w:name="_Toc35393796"/>
      <w:r>
        <w:rPr>
          <w:rFonts w:hint="eastAsia" w:ascii="黑体" w:hAnsi="黑体" w:cs="宋体"/>
          <w:bCs/>
          <w:color w:val="auto"/>
          <w:sz w:val="24"/>
          <w:szCs w:val="24"/>
          <w:highlight w:val="none"/>
        </w:rPr>
        <w:t>七、对本次招标提出询问</w:t>
      </w:r>
      <w:r>
        <w:rPr>
          <w:rFonts w:ascii="黑体" w:hAnsi="黑体" w:cs="宋体"/>
          <w:bCs/>
          <w:color w:val="auto"/>
          <w:sz w:val="24"/>
          <w:szCs w:val="24"/>
          <w:highlight w:val="none"/>
        </w:rPr>
        <w:t>、质疑、投诉</w:t>
      </w:r>
      <w:r>
        <w:rPr>
          <w:rFonts w:hint="eastAsia" w:ascii="黑体" w:hAnsi="黑体" w:cs="宋体"/>
          <w:bCs/>
          <w:color w:val="auto"/>
          <w:sz w:val="24"/>
          <w:szCs w:val="24"/>
          <w:highlight w:val="none"/>
        </w:rPr>
        <w:t>，请按</w:t>
      </w:r>
      <w:r>
        <w:rPr>
          <w:rFonts w:ascii="黑体" w:hAnsi="黑体" w:cs="宋体"/>
          <w:bCs/>
          <w:color w:val="auto"/>
          <w:sz w:val="24"/>
          <w:szCs w:val="24"/>
          <w:highlight w:val="none"/>
        </w:rPr>
        <w:t>以下方式</w:t>
      </w:r>
      <w:r>
        <w:rPr>
          <w:rFonts w:hint="eastAsia" w:ascii="黑体" w:hAnsi="黑体" w:cs="宋体"/>
          <w:bCs/>
          <w:color w:val="auto"/>
          <w:sz w:val="24"/>
          <w:szCs w:val="24"/>
          <w:highlight w:val="none"/>
        </w:rPr>
        <w:t>联系</w:t>
      </w:r>
      <w:bookmarkEnd w:id="24"/>
      <w:bookmarkEnd w:id="25"/>
      <w:bookmarkEnd w:id="26"/>
      <w:bookmarkEnd w:id="27"/>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hint="eastAsia" w:ascii="仿宋" w:eastAsia="仿宋"/>
          <w:color w:val="auto"/>
          <w:sz w:val="24"/>
          <w:szCs w:val="24"/>
          <w:highlight w:val="none"/>
          <w:u w:val="singl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绍兴市越城区北海街道办事处</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lang w:val="en-US" w:eastAsia="zh-CN"/>
        </w:rPr>
        <w:t>绍兴市越城区西郊路7号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严江雁</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 xml:space="preserve"> 0575-89116630</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鲁宗泽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 xml:space="preserve">   0575-85172460</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line="360" w:lineRule="auto"/>
        <w:ind w:left="1079" w:leftChars="371" w:hanging="300" w:hangingChars="125"/>
        <w:jc w:val="left"/>
        <w:rPr>
          <w:rFonts w:hint="eastAsia" w:ascii="仿宋" w:hAnsi="仿宋" w:eastAsia="仿宋" w:cs="仿宋"/>
          <w:color w:val="auto"/>
          <w:sz w:val="24"/>
          <w:szCs w:val="24"/>
          <w:highlight w:val="none"/>
        </w:rPr>
      </w:pPr>
      <w:bookmarkStart w:id="30" w:name="_Toc28359010"/>
      <w:bookmarkStart w:id="31"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华诚工程咨询集团有限公司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浙江省杭州市拱墅区彩云路105号锦盛大楼8楼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0575-85292260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胡哲浩</w:t>
      </w:r>
      <w:r>
        <w:rPr>
          <w:rFonts w:hint="eastAsia" w:ascii="仿宋" w:hAnsi="仿宋" w:eastAsia="仿宋" w:cs="仿宋"/>
          <w:color w:val="auto"/>
          <w:sz w:val="24"/>
          <w:szCs w:val="24"/>
          <w:highlight w:val="none"/>
          <w:u w:val="single"/>
        </w:rPr>
        <w:t xml:space="preserve">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13106376067</w:t>
      </w:r>
      <w:r>
        <w:rPr>
          <w:rFonts w:hint="eastAsia" w:ascii="仿宋" w:hAnsi="仿宋" w:eastAsia="仿宋" w:cs="仿宋"/>
          <w:color w:val="auto"/>
          <w:sz w:val="24"/>
          <w:szCs w:val="24"/>
          <w:highlight w:val="none"/>
          <w:u w:val="single"/>
        </w:rPr>
        <w:t>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柯翔郎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 xml:space="preserve">　　18267575010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7"/>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hint="eastAsia" w:ascii="仿宋" w:hAnsi="Times New Roman" w:eastAsia="仿宋" w:cs="Arial"/>
          <w:b/>
          <w:bCs/>
          <w:color w:val="auto"/>
          <w:sz w:val="24"/>
          <w:highlight w:val="none"/>
          <w:u w:val="singl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hAnsi="Times New Roman" w:eastAsia="仿宋" w:cs="Arial"/>
          <w:b/>
          <w:bCs/>
          <w:color w:val="auto"/>
          <w:sz w:val="24"/>
          <w:highlight w:val="none"/>
          <w:u w:val="single"/>
          <w:lang w:val="en-US" w:eastAsia="zh-CN"/>
        </w:rPr>
        <w:t>分散采购</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1"/>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1"/>
          <w:rFonts w:hint="eastAsia" w:ascii="仿宋" w:eastAsia="仿宋"/>
          <w:color w:val="auto"/>
          <w:spacing w:val="-4"/>
          <w:sz w:val="24"/>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1"/>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和http://www.sxyc.gov.cn/col/col1559777/index.html公共资源交易板块。更正公告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pStyle w:val="4"/>
        <w:rPr>
          <w:rFonts w:hint="eastAsia" w:ascii="仿宋"/>
          <w:color w:val="auto"/>
          <w:highlight w:val="none"/>
        </w:rPr>
      </w:pPr>
      <w:bookmarkStart w:id="34" w:name="_Toc93172433"/>
      <w:r>
        <w:rPr>
          <w:rFonts w:hint="eastAsia" w:ascii="仿宋"/>
          <w:color w:val="auto"/>
          <w:highlight w:val="none"/>
        </w:rPr>
        <w:t>第二章  投标人须知</w:t>
      </w:r>
      <w:bookmarkEnd w:id="34"/>
    </w:p>
    <w:p>
      <w:pPr>
        <w:pStyle w:val="5"/>
        <w:rPr>
          <w:rFonts w:hint="eastAsia" w:ascii="仿宋"/>
          <w:color w:val="auto"/>
          <w:highlight w:val="none"/>
        </w:rPr>
      </w:pPr>
      <w:bookmarkStart w:id="35" w:name="_Toc93172434"/>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北海街道新桥江、漓渚江等十条河流河道、河岸保洁及垃圾清运项目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hAnsi="仿宋" w:eastAsia="仿宋" w:cs="仿宋"/>
                <w:b/>
                <w:color w:val="auto"/>
                <w:sz w:val="24"/>
                <w:highlight w:val="none"/>
                <w:u w:val="single"/>
              </w:rPr>
              <w:t>中标合同金额的</w:t>
            </w:r>
            <w:r>
              <w:rPr>
                <w:rFonts w:hint="eastAsia" w:ascii="仿宋" w:hAnsi="仿宋" w:eastAsia="仿宋" w:cs="仿宋"/>
                <w:b/>
                <w:color w:val="auto"/>
                <w:sz w:val="24"/>
                <w:highlight w:val="none"/>
                <w:u w:val="single"/>
                <w:lang w:val="en-US" w:eastAsia="zh-CN"/>
              </w:rPr>
              <w:t>1</w:t>
            </w:r>
            <w:r>
              <w:rPr>
                <w:rFonts w:hint="eastAsia" w:ascii="仿宋" w:hAnsi="仿宋" w:eastAsia="仿宋" w:cs="仿宋"/>
                <w:b/>
                <w:color w:val="auto"/>
                <w:sz w:val="24"/>
                <w:highlight w:val="none"/>
                <w:u w:val="single"/>
              </w:rPr>
              <w:t>%，在合同期满起</w:t>
            </w:r>
            <w:r>
              <w:rPr>
                <w:rFonts w:hint="eastAsia" w:ascii="仿宋" w:hAnsi="仿宋" w:eastAsia="仿宋" w:cs="仿宋"/>
                <w:b/>
                <w:color w:val="auto"/>
                <w:sz w:val="24"/>
                <w:highlight w:val="none"/>
                <w:u w:val="single"/>
                <w:lang w:val="en-US" w:eastAsia="zh-CN"/>
              </w:rPr>
              <w:t>一个月</w:t>
            </w:r>
            <w:r>
              <w:rPr>
                <w:rFonts w:hint="eastAsia" w:ascii="仿宋" w:hAnsi="仿宋" w:eastAsia="仿宋" w:cs="仿宋"/>
                <w:b/>
                <w:color w:val="auto"/>
                <w:sz w:val="24"/>
                <w:highlight w:val="none"/>
                <w:u w:val="single"/>
              </w:rPr>
              <w:t>内无息退还。</w:t>
            </w:r>
            <w:r>
              <w:rPr>
                <w:rFonts w:hint="eastAsia" w:ascii="仿宋" w:eastAsia="仿宋"/>
                <w:color w:val="auto"/>
                <w:sz w:val="24"/>
                <w:highlight w:val="none"/>
                <w:u w:val="single"/>
              </w:rPr>
              <w:t xml:space="preserve"> </w:t>
            </w:r>
          </w:p>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ind w:firstLine="482" w:firstLineChars="200"/>
              <w:rPr>
                <w:rFonts w:hint="eastAsia" w:ascii="仿宋" w:hAnsi="仿宋" w:eastAsia="仿宋" w:cs="仿宋"/>
                <w:color w:val="auto"/>
                <w:sz w:val="24"/>
                <w:highlight w:val="none"/>
              </w:rPr>
            </w:pPr>
            <w:r>
              <w:rPr>
                <w:rFonts w:hint="eastAsia" w:ascii="仿宋" w:eastAsia="仿宋" w:cs="仿宋_GB2312"/>
                <w:b/>
                <w:bCs/>
                <w:color w:val="auto"/>
                <w:sz w:val="24"/>
                <w:highlight w:val="none"/>
              </w:rPr>
              <w:t>采购代理服务费：</w:t>
            </w:r>
            <w:r>
              <w:rPr>
                <w:rFonts w:hint="eastAsia" w:ascii="仿宋" w:hAnsi="仿宋" w:eastAsia="仿宋" w:cs="仿宋"/>
                <w:color w:val="auto"/>
                <w:sz w:val="24"/>
                <w:highlight w:val="none"/>
              </w:rPr>
              <w:t>中标人须向招标代理机构按如下标准和规定交纳招标代理服务费</w:t>
            </w:r>
            <w:r>
              <w:rPr>
                <w:rFonts w:hint="eastAsia" w:ascii="仿宋" w:hAnsi="仿宋" w:eastAsia="仿宋" w:cs="仿宋"/>
                <w:color w:val="auto"/>
                <w:sz w:val="24"/>
                <w:highlight w:val="none"/>
                <w:lang w:val="en-US" w:eastAsia="zh-CN"/>
              </w:rPr>
              <w:t>(包含开评标过程中的相关费用)</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（1）以中标通知中确定的中标总金额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扣除预留金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作为服务费的计算基数，按</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类计取；具体比例</w:t>
            </w:r>
            <w:r>
              <w:rPr>
                <w:rFonts w:hint="eastAsia" w:ascii="仿宋" w:hAnsi="仿宋" w:eastAsia="仿宋" w:cs="仿宋"/>
                <w:color w:val="auto"/>
                <w:sz w:val="24"/>
                <w:highlight w:val="none"/>
                <w:lang w:val="en-US" w:eastAsia="zh-CN"/>
              </w:rPr>
              <w:t>参</w:t>
            </w:r>
            <w:r>
              <w:rPr>
                <w:rFonts w:hint="eastAsia" w:ascii="仿宋" w:hAnsi="仿宋" w:eastAsia="仿宋" w:cs="仿宋"/>
                <w:color w:val="auto"/>
                <w:sz w:val="24"/>
                <w:highlight w:val="none"/>
              </w:rPr>
              <w:t>照《国家计委关于印发&lt;招标代理服务</w:t>
            </w:r>
            <w:r>
              <w:rPr>
                <w:rFonts w:hint="eastAsia" w:ascii="仿宋" w:hAnsi="仿宋" w:eastAsia="仿宋" w:cs="仿宋"/>
                <w:color w:val="auto"/>
                <w:sz w:val="24"/>
                <w:highlight w:val="none"/>
                <w:lang w:val="en-US" w:eastAsia="zh-CN"/>
              </w:rPr>
              <w:t>收</w:t>
            </w:r>
            <w:r>
              <w:rPr>
                <w:rFonts w:hint="eastAsia" w:ascii="仿宋" w:hAnsi="仿宋" w:eastAsia="仿宋" w:cs="仿宋"/>
                <w:color w:val="auto"/>
                <w:sz w:val="24"/>
                <w:highlight w:val="none"/>
              </w:rPr>
              <w:t>费管理暂行办法&gt;的通知》（计价格[2002]1980号）文件规定的收费基准价格×</w:t>
            </w:r>
            <w:r>
              <w:rPr>
                <w:rFonts w:hint="eastAsia" w:ascii="仿宋" w:hAnsi="仿宋" w:eastAsia="仿宋" w:cs="仿宋"/>
                <w:color w:val="auto"/>
                <w:sz w:val="24"/>
                <w:highlight w:val="none"/>
                <w:lang w:val="en-US" w:eastAsia="zh-CN"/>
              </w:rPr>
              <w:t>65</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6.5</w:t>
            </w:r>
            <w:r>
              <w:rPr>
                <w:rFonts w:hint="eastAsia" w:ascii="仿宋" w:hAnsi="仿宋" w:eastAsia="仿宋" w:cs="仿宋"/>
                <w:color w:val="auto"/>
                <w:sz w:val="24"/>
                <w:highlight w:val="none"/>
              </w:rPr>
              <w:t>%）执行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不足3000元按3000元计取</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（2）招标代理服务费的交纳方式：</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用银行支票、汇票、电汇等付款方式直接交纳招标代理服务费。</w:t>
            </w:r>
          </w:p>
          <w:p>
            <w:pPr>
              <w:spacing w:line="360" w:lineRule="exact"/>
              <w:ind w:firstLine="480" w:firstLineChars="200"/>
              <w:rPr>
                <w:rFonts w:hint="eastAsia" w:ascii="仿宋" w:eastAsia="仿宋" w:cs="仿宋_GB2312"/>
                <w:color w:val="auto"/>
                <w:sz w:val="24"/>
                <w:highlight w:val="none"/>
              </w:rPr>
            </w:pPr>
            <w:r>
              <w:rPr>
                <w:rFonts w:hint="eastAsia" w:ascii="仿宋" w:hAnsi="仿宋" w:eastAsia="仿宋" w:cs="仿宋"/>
                <w:color w:val="auto"/>
                <w:sz w:val="24"/>
                <w:highlight w:val="none"/>
              </w:rPr>
              <w:t>（3）以上费用在领取中标通知书前交纳。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color w:val="auto"/>
                <w:sz w:val="24"/>
                <w:highlight w:val="none"/>
              </w:rPr>
            </w:pPr>
            <w:r>
              <w:rPr>
                <w:rFonts w:ascii="仿宋" w:eastAsia="仿宋" w:cs="仿宋_GB2312"/>
                <w:b/>
                <w:bCs/>
                <w:color w:val="auto"/>
                <w:sz w:val="24"/>
                <w:highlight w:val="none"/>
              </w:rPr>
              <w:t>本项目所属行业：</w:t>
            </w:r>
            <w:r>
              <w:rPr>
                <w:rFonts w:hint="eastAsia" w:ascii="仿宋" w:eastAsia="仿宋" w:cs="仿宋_GB2312"/>
                <w:b/>
                <w:bCs/>
                <w:color w:val="auto"/>
                <w:sz w:val="24"/>
                <w:highlight w:val="none"/>
                <w:u w:val="single"/>
                <w:lang w:val="en-US" w:eastAsia="zh-CN"/>
              </w:rPr>
              <w:t>其他未列明行业</w:t>
            </w:r>
            <w:r>
              <w:rPr>
                <w:rFonts w:ascii="仿宋" w:eastAsia="仿宋" w:cs="仿宋_GB2312"/>
                <w:color w:val="auto"/>
                <w:sz w:val="24"/>
                <w:highlight w:val="none"/>
                <w:u w:val="single"/>
              </w:rPr>
              <w:t>（</w:t>
            </w:r>
            <w:r>
              <w:rPr>
                <w:rFonts w:hint="eastAsia" w:ascii="仿宋" w:eastAsia="仿宋" w:cs="仿宋_GB2312"/>
                <w:color w:val="auto"/>
                <w:sz w:val="24"/>
                <w:highlight w:val="none"/>
                <w:u w:val="single"/>
              </w:rPr>
              <w:t>行业划分按《工信部关于印发中小企业划型标准规定的通知（工信部联企业〔2011〕300号）》执行</w:t>
            </w:r>
            <w:r>
              <w:rPr>
                <w:rFonts w:ascii="仿宋" w:eastAsia="仿宋" w:cs="仿宋_GB2312"/>
                <w:color w:val="auto"/>
                <w:sz w:val="24"/>
                <w:highlight w:val="none"/>
                <w:u w:val="single"/>
              </w:rPr>
              <w:t>）</w:t>
            </w:r>
            <w:r>
              <w:rPr>
                <w:rFonts w:hint="eastAsia" w:ascii="仿宋" w:eastAsia="仿宋" w:cs="仿宋_GB2312"/>
                <w:color w:val="auto"/>
                <w:sz w:val="24"/>
                <w:highlight w:val="none"/>
                <w:u w:val="single"/>
              </w:rPr>
              <w:t xml:space="preserve">   。</w:t>
            </w:r>
          </w:p>
        </w:tc>
      </w:tr>
    </w:tbl>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pStyle w:val="5"/>
        <w:spacing w:line="415" w:lineRule="auto"/>
        <w:jc w:val="center"/>
        <w:rPr>
          <w:rFonts w:hint="eastAsia" w:ascii="仿宋"/>
          <w:color w:val="auto"/>
          <w:highlight w:val="none"/>
        </w:rPr>
      </w:pPr>
      <w:bookmarkStart w:id="36" w:name="_Toc93172435"/>
      <w:r>
        <w:rPr>
          <w:rFonts w:hint="eastAsia" w:ascii="仿宋"/>
          <w:color w:val="auto"/>
          <w:highlight w:val="none"/>
        </w:rPr>
        <w:t>二、采购文件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u w:val="none"/>
          <w:lang w:eastAsia="zh-CN"/>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r>
        <w:rPr>
          <w:rFonts w:hint="eastAsia" w:ascii="仿宋" w:eastAsia="仿宋"/>
          <w:b/>
          <w:bCs/>
          <w:color w:val="auto"/>
          <w:sz w:val="24"/>
          <w:highlight w:val="none"/>
          <w:u w:val="none"/>
          <w:lang w:eastAsia="zh-CN"/>
        </w:rPr>
        <w:t>（</w:t>
      </w:r>
      <w:r>
        <w:rPr>
          <w:rFonts w:hint="eastAsia" w:ascii="仿宋" w:eastAsia="仿宋" w:cs="宋体"/>
          <w:bCs/>
          <w:color w:val="auto"/>
          <w:sz w:val="24"/>
          <w:szCs w:val="24"/>
          <w:highlight w:val="none"/>
          <w:u w:val="none"/>
        </w:rPr>
        <w:t>专门面向中小</w:t>
      </w:r>
      <w:r>
        <w:rPr>
          <w:rFonts w:hint="eastAsia" w:ascii="仿宋" w:eastAsia="仿宋" w:cs="宋体"/>
          <w:bCs/>
          <w:color w:val="auto"/>
          <w:sz w:val="24"/>
          <w:szCs w:val="24"/>
          <w:highlight w:val="none"/>
          <w:u w:val="none"/>
          <w:lang w:val="en-US" w:eastAsia="zh-CN"/>
        </w:rPr>
        <w:t>微企业的除外</w:t>
      </w:r>
      <w:r>
        <w:rPr>
          <w:rFonts w:hint="eastAsia" w:ascii="仿宋" w:eastAsia="仿宋"/>
          <w:b/>
          <w:bCs/>
          <w:color w:val="auto"/>
          <w:sz w:val="24"/>
          <w:highlight w:val="none"/>
          <w:u w:val="none"/>
          <w:lang w:eastAsia="zh-CN"/>
        </w:rPr>
        <w:t>）</w:t>
      </w:r>
    </w:p>
    <w:p>
      <w:pPr>
        <w:snapToGrid w:val="0"/>
        <w:spacing w:line="440" w:lineRule="exact"/>
        <w:ind w:firstLine="480" w:firstLineChars="200"/>
        <w:jc w:val="left"/>
        <w:rPr>
          <w:rFonts w:hint="eastAsia" w:ascii="仿宋" w:eastAsia="仿宋" w:cs="仿宋_GB2312"/>
          <w:color w:val="auto"/>
          <w:sz w:val="24"/>
          <w:highlight w:val="none"/>
        </w:rPr>
      </w:pPr>
      <w:r>
        <w:rPr>
          <w:rFonts w:hint="eastAsia" w:ascii="仿宋" w:eastAsia="仿宋" w:cs="仿宋_GB2312"/>
          <w:color w:val="auto"/>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40" w:lineRule="exact"/>
        <w:ind w:firstLine="480" w:firstLineChars="200"/>
        <w:jc w:val="left"/>
        <w:rPr>
          <w:rFonts w:hint="eastAsia" w:ascii="仿宋" w:eastAsia="仿宋" w:cs="仿宋_GB2312"/>
          <w:color w:val="auto"/>
          <w:sz w:val="24"/>
          <w:highlight w:val="none"/>
        </w:rPr>
      </w:pPr>
      <w:r>
        <w:rPr>
          <w:rFonts w:hint="eastAsia" w:ascii="仿宋" w:eastAsia="仿宋" w:cs="仿宋_GB2312"/>
          <w:color w:val="auto"/>
          <w:sz w:val="24"/>
          <w:highlight w:val="none"/>
        </w:rPr>
        <w:t>符合中小企业划分标准的个体工商户，视同中小企业；以联合体方式参与的，联合体各方所提供服务部分均为中小企业承接，则联合体视同中小企业。</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pPr>
        <w:snapToGrid w:val="0"/>
        <w:spacing w:line="440" w:lineRule="exact"/>
        <w:ind w:firstLine="480" w:firstLineChars="200"/>
        <w:jc w:val="left"/>
        <w:rPr>
          <w:rFonts w:hint="eastAsia" w:ascii="仿宋" w:eastAsia="仿宋" w:cs="仿宋_GB2312"/>
          <w:color w:val="auto"/>
          <w:sz w:val="24"/>
          <w:highlight w:val="none"/>
        </w:rPr>
      </w:pPr>
      <w:r>
        <w:rPr>
          <w:rFonts w:hint="eastAsia" w:ascii="仿宋" w:eastAsia="仿宋" w:cs="仿宋_GB2312"/>
          <w:color w:val="auto"/>
          <w:sz w:val="24"/>
          <w:highlight w:val="none"/>
        </w:rPr>
        <w:t>中小企业包括中小微企业。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9"/>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spacing w:line="415" w:lineRule="auto"/>
        <w:jc w:val="center"/>
        <w:rPr>
          <w:rFonts w:hint="eastAsia" w:ascii="仿宋"/>
          <w:color w:val="auto"/>
          <w:highlight w:val="none"/>
        </w:rPr>
      </w:pPr>
      <w:bookmarkStart w:id="37" w:name="_Toc93172436"/>
      <w:r>
        <w:rPr>
          <w:rFonts w:hint="eastAsia" w:ascii="仿宋"/>
          <w:color w:val="auto"/>
          <w:highlight w:val="none"/>
        </w:rPr>
        <w:t>三、投标文件</w:t>
      </w:r>
      <w:bookmarkEnd w:id="37"/>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ascii="仿宋" w:eastAsia="仿宋"/>
          <w:color w:val="auto"/>
          <w:sz w:val="24"/>
          <w:highlight w:val="none"/>
        </w:rPr>
        <w:t>5</w:t>
      </w:r>
      <w:r>
        <w:rPr>
          <w:rFonts w:hint="eastAsia" w:ascii="仿宋" w:eastAsia="仿宋"/>
          <w:color w:val="auto"/>
          <w:sz w:val="24"/>
          <w:highlight w:val="none"/>
        </w:rPr>
        <w:t xml:space="preserve">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.1营业执照或事业单位法人登记证书；</w:t>
      </w:r>
    </w:p>
    <w:p>
      <w:pPr>
        <w:widowControl/>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w:t>
      </w:r>
      <w:r>
        <w:rPr>
          <w:rFonts w:hint="eastAsia" w:ascii="仿宋" w:eastAsia="仿宋"/>
          <w:color w:val="auto"/>
          <w:sz w:val="24"/>
          <w:highlight w:val="none"/>
          <w:lang w:val="en-US" w:eastAsia="zh-CN"/>
        </w:rPr>
        <w:t>2</w:t>
      </w:r>
      <w:r>
        <w:rPr>
          <w:rFonts w:hint="eastAsia" w:ascii="仿宋" w:eastAsia="仿宋"/>
          <w:color w:val="auto"/>
          <w:sz w:val="24"/>
          <w:highlight w:val="none"/>
        </w:rPr>
        <w:t>特定资格条件证明材料（如有）。</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2.1.6</w:t>
      </w:r>
      <w:r>
        <w:rPr>
          <w:rFonts w:hint="eastAsia" w:ascii="仿宋" w:eastAsia="仿宋"/>
          <w:color w:val="auto"/>
          <w:sz w:val="24"/>
          <w:highlight w:val="none"/>
        </w:rPr>
        <w:t>中小企业声明函；</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残疾人福利性单位声明函（如有）；</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2.3.2中小企业声明函（如有）；</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2.3.3残疾人福利性单位声明函（如有）；</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9"/>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9"/>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pPr>
        <w:widowControl/>
        <w:snapToGrid w:val="0"/>
        <w:spacing w:line="440" w:lineRule="exact"/>
        <w:rPr>
          <w:rFonts w:hint="eastAsia" w:ascii="仿宋" w:eastAsia="仿宋"/>
          <w:color w:val="auto"/>
          <w:kern w:val="0"/>
          <w:sz w:val="24"/>
          <w:highlight w:val="none"/>
        </w:rPr>
      </w:pPr>
      <w:r>
        <w:rPr>
          <w:rFonts w:hint="eastAsia" w:ascii="仿宋" w:eastAsia="仿宋"/>
          <w:color w:val="auto"/>
          <w:kern w:val="0"/>
          <w:sz w:val="24"/>
          <w:highlight w:val="none"/>
        </w:rPr>
        <w:t>6.1备份电子投标文件在解密前处于保密状态。</w:t>
      </w:r>
    </w:p>
    <w:p>
      <w:pPr>
        <w:widowControl/>
        <w:snapToGrid w:val="0"/>
        <w:spacing w:line="440" w:lineRule="exact"/>
        <w:rPr>
          <w:rFonts w:hint="eastAsia" w:ascii="仿宋" w:eastAsia="仿宋"/>
          <w:color w:val="auto"/>
          <w:kern w:val="0"/>
          <w:sz w:val="24"/>
          <w:highlight w:val="none"/>
        </w:rPr>
      </w:pPr>
      <w:r>
        <w:rPr>
          <w:rFonts w:hint="eastAsia" w:ascii="仿宋" w:eastAsia="仿宋"/>
          <w:color w:val="auto"/>
          <w:kern w:val="0"/>
          <w:sz w:val="24"/>
          <w:highlight w:val="none"/>
        </w:rPr>
        <w:t>6.2解密成功后，“资格文件”、“商务和技术文件”、“报价文件”各自处于数据隔离状态，各部分信息只有在相关环节评审时可见，不受解密影响。</w:t>
      </w:r>
    </w:p>
    <w:p>
      <w:pPr>
        <w:pStyle w:val="5"/>
        <w:spacing w:line="415" w:lineRule="auto"/>
        <w:jc w:val="center"/>
        <w:rPr>
          <w:rFonts w:hint="eastAsia" w:ascii="仿宋"/>
          <w:color w:val="auto"/>
          <w:highlight w:val="none"/>
        </w:rPr>
      </w:pPr>
      <w:bookmarkStart w:id="38" w:name="_Toc93172437"/>
      <w:r>
        <w:rPr>
          <w:rFonts w:hint="eastAsia" w:ascii="仿宋"/>
          <w:color w:val="auto"/>
          <w:highlight w:val="none"/>
        </w:rPr>
        <w:t>四、开标评标</w:t>
      </w:r>
      <w:bookmarkEnd w:id="38"/>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2.5评审委员会对“资格文件”进行评审，发布符合性评审结果。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3.2评审委员会由采购人代表（采购人视情委派）和有关方面的专家组成，成员人数为五人及以上单数。预算金额在1000万及以上的，成员人数为七人及以上单数。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w:t>
      </w:r>
      <w:r>
        <w:rPr>
          <w:rFonts w:hint="eastAsia" w:ascii="仿宋" w:eastAsia="仿宋" w:cs="宋体"/>
          <w:color w:val="auto"/>
          <w:sz w:val="24"/>
          <w:highlight w:val="none"/>
          <w:lang w:val="en-US" w:eastAsia="zh-CN"/>
        </w:rPr>
        <w:t>评审委员会</w:t>
      </w:r>
      <w:r>
        <w:rPr>
          <w:rFonts w:hint="eastAsia" w:ascii="仿宋" w:eastAsia="仿宋"/>
          <w:color w:val="auto"/>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7"/>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7"/>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auto"/>
          <w:kern w:val="0"/>
          <w:sz w:val="24"/>
          <w:highlight w:val="none"/>
        </w:rPr>
      </w:pPr>
    </w:p>
    <w:p>
      <w:pPr>
        <w:pStyle w:val="5"/>
        <w:spacing w:line="415" w:lineRule="auto"/>
        <w:jc w:val="center"/>
        <w:rPr>
          <w:rFonts w:hint="eastAsia" w:ascii="仿宋"/>
          <w:color w:val="auto"/>
          <w:highlight w:val="none"/>
        </w:rPr>
      </w:pPr>
      <w:bookmarkStart w:id="39" w:name="_Toc93172438"/>
      <w:r>
        <w:rPr>
          <w:rFonts w:hint="eastAsia" w:ascii="仿宋"/>
          <w:color w:val="auto"/>
          <w:highlight w:val="none"/>
        </w:rPr>
        <w:t>五、合同签订及履约</w:t>
      </w:r>
      <w:bookmarkEnd w:id="39"/>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采购合同的履行、违约责任和解决争议的方式等适用《中华人民共和国合同法》。</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hint="eastAsia" w:ascii="仿宋" w:eastAsia="仿宋"/>
          <w:color w:val="auto"/>
          <w:kern w:val="0"/>
          <w:sz w:val="24"/>
          <w:highlight w:val="none"/>
        </w:rPr>
      </w:pPr>
    </w:p>
    <w:p>
      <w:pPr>
        <w:pStyle w:val="5"/>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5"/>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5"/>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5"/>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5"/>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5"/>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5"/>
        <w:jc w:val="both"/>
        <w:rPr>
          <w:rFonts w:hint="eastAsia" w:ascii="仿宋" w:eastAsia="仿宋"/>
          <w:color w:val="auto"/>
          <w:kern w:val="0"/>
          <w:sz w:val="24"/>
          <w:highlight w:val="none"/>
        </w:rPr>
      </w:pPr>
    </w:p>
    <w:p>
      <w:pPr>
        <w:rPr>
          <w:rFonts w:hint="eastAsia"/>
        </w:rPr>
      </w:pPr>
    </w:p>
    <w:p>
      <w:pPr>
        <w:pStyle w:val="4"/>
        <w:jc w:val="center"/>
        <w:rPr>
          <w:rFonts w:hint="eastAsia" w:ascii="仿宋"/>
          <w:color w:val="auto"/>
          <w:highlight w:val="none"/>
        </w:rPr>
      </w:pPr>
      <w:bookmarkStart w:id="40" w:name="_Toc93172439"/>
      <w:r>
        <w:rPr>
          <w:rFonts w:hint="eastAsia" w:ascii="仿宋"/>
          <w:color w:val="auto"/>
          <w:highlight w:val="none"/>
        </w:rPr>
        <w:t>第三章  采购需求</w:t>
      </w:r>
      <w:bookmarkEnd w:id="40"/>
    </w:p>
    <w:p>
      <w:pPr>
        <w:pStyle w:val="5"/>
        <w:keepNext/>
        <w:keepLines/>
        <w:pageBreakBefore w:val="0"/>
        <w:widowControl w:val="0"/>
        <w:suppressLineNumbers w:val="0"/>
        <w:suppressAutoHyphens w:val="0"/>
        <w:kinsoku/>
        <w:wordWrap/>
        <w:overflowPunct/>
        <w:topLinePunct w:val="0"/>
        <w:autoSpaceDE/>
        <w:autoSpaceDN/>
        <w:bidi w:val="0"/>
        <w:adjustRightInd/>
        <w:spacing w:line="360" w:lineRule="auto"/>
        <w:textAlignment w:val="auto"/>
        <w:rPr>
          <w:rFonts w:hint="eastAsia" w:ascii="仿宋"/>
          <w:color w:val="auto"/>
          <w:highlight w:val="none"/>
        </w:rPr>
      </w:pPr>
      <w:bookmarkStart w:id="41" w:name="_Toc93172441"/>
      <w:r>
        <w:rPr>
          <w:rFonts w:hint="eastAsia" w:ascii="仿宋"/>
          <w:color w:val="auto"/>
          <w:highlight w:val="none"/>
          <w:lang w:val="en-US" w:eastAsia="zh-CN"/>
        </w:rPr>
        <w:t>一、</w:t>
      </w:r>
      <w:r>
        <w:rPr>
          <w:rFonts w:hint="eastAsia" w:ascii="仿宋"/>
          <w:color w:val="auto"/>
          <w:highlight w:val="none"/>
        </w:rPr>
        <w:t>保洁范围及工作内容</w:t>
      </w:r>
    </w:p>
    <w:p>
      <w:pPr>
        <w:pageBreakBefore w:val="0"/>
        <w:kinsoku/>
        <w:wordWrap/>
        <w:overflowPunct/>
        <w:topLinePunct w:val="0"/>
        <w:autoSpaceDE/>
        <w:autoSpaceDN/>
        <w:bidi w:val="0"/>
        <w:adjustRightInd/>
        <w:snapToGrid w:val="0"/>
        <w:spacing w:line="360" w:lineRule="auto"/>
        <w:textAlignment w:val="auto"/>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1.服务范围</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bCs/>
          <w:color w:val="auto"/>
          <w:sz w:val="24"/>
          <w:highlight w:val="none"/>
        </w:rPr>
      </w:pPr>
      <w:r>
        <w:rPr>
          <w:rFonts w:hint="eastAsia" w:ascii="华文仿宋" w:hAnsi="华文仿宋" w:eastAsia="华文仿宋" w:cs="华文仿宋"/>
          <w:bCs/>
          <w:color w:val="auto"/>
          <w:sz w:val="24"/>
          <w:highlight w:val="none"/>
        </w:rPr>
        <w:t>漓渚江、龙横江、钟堰江、雄鹅江、钟堰江支流、小江、荷花溇、劳嘴河、浙东古运河及支流、新桥江及支流（含清明塘）面积约520.5亩。</w:t>
      </w:r>
      <w:r>
        <w:rPr>
          <w:rFonts w:hint="eastAsia" w:ascii="宋体" w:hAnsi="宋体"/>
          <w:bCs/>
          <w:color w:val="auto"/>
          <w:sz w:val="24"/>
          <w:highlight w:val="none"/>
        </w:rPr>
        <w:t xml:space="preserve"> </w:t>
      </w:r>
    </w:p>
    <w:p>
      <w:pPr>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lang w:val="en-US" w:eastAsia="zh-CN"/>
        </w:rPr>
        <w:t>2.</w:t>
      </w:r>
      <w:r>
        <w:rPr>
          <w:rFonts w:ascii="华文仿宋" w:hAnsi="华文仿宋" w:eastAsia="华文仿宋" w:cs="华文仿宋"/>
          <w:b/>
          <w:color w:val="auto"/>
          <w:sz w:val="24"/>
          <w:highlight w:val="none"/>
        </w:rPr>
        <w:t>工作内容</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上述十条河道管理范围内的各类水草、垃圾、杂物、沉船、地笼、构筑物、蓝藻等的打捞、清理、清运和合法处置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lang w:val="en-US" w:eastAsia="zh-CN"/>
        </w:rPr>
        <w:t>清运完成的垃圾及时运至处置点处置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rPr>
        <w:t>等工作。</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上述十条河道河岸管理范围内的环境卫生、垃圾、堆积物、瓜棚等清理、清运、合法处置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lang w:val="en-US" w:eastAsia="zh-CN"/>
        </w:rPr>
        <w:t>清运完成的垃圾及时运至处置点处置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rPr>
        <w:t>等工作。</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各项管理制度、对保洁员安全生产的培训等、工作计划、工作台账等。</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完成上级各项工作任务及文明、安全作业。</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责任区河道交界处等水域拦草箔设置、维护。</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新桥江、浙东古运河的水泵、水管检修及更换。</w:t>
      </w:r>
    </w:p>
    <w:p>
      <w:pPr>
        <w:pageBreakBefore w:val="0"/>
        <w:kinsoku/>
        <w:wordWrap/>
        <w:overflowPunct/>
        <w:topLinePunct w:val="0"/>
        <w:autoSpaceDE/>
        <w:autoSpaceDN/>
        <w:bidi w:val="0"/>
        <w:adjustRightInd/>
        <w:spacing w:afterAutospacing="0"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责任区域内对河面保洁、环境卫生、沿岸垃圾等问题的投诉回复及处置。</w:t>
      </w:r>
    </w:p>
    <w:p>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lang w:val="en-US" w:eastAsia="zh-CN"/>
        </w:rPr>
        <w:t>3.</w:t>
      </w:r>
      <w:r>
        <w:rPr>
          <w:rFonts w:hint="eastAsia" w:ascii="华文仿宋" w:hAnsi="华文仿宋" w:eastAsia="华文仿宋" w:cs="华文仿宋"/>
          <w:b/>
          <w:color w:val="auto"/>
          <w:sz w:val="24"/>
          <w:highlight w:val="none"/>
        </w:rPr>
        <w:t>具体工作要求</w:t>
      </w:r>
    </w:p>
    <w:p>
      <w:pPr>
        <w:pageBreakBefore w:val="0"/>
        <w:kinsoku/>
        <w:wordWrap/>
        <w:overflowPunct/>
        <w:topLinePunct w:val="0"/>
        <w:autoSpaceDE/>
        <w:autoSpaceDN/>
        <w:bidi w:val="0"/>
        <w:adjustRightInd/>
        <w:spacing w:beforeAutospacing="0"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lang w:val="en-US" w:eastAsia="zh-CN"/>
        </w:rPr>
        <w:t>3.1</w:t>
      </w:r>
      <w:r>
        <w:rPr>
          <w:rFonts w:hint="eastAsia" w:ascii="华文仿宋" w:hAnsi="华文仿宋" w:eastAsia="华文仿宋" w:cs="华文仿宋"/>
          <w:bCs/>
          <w:color w:val="auto"/>
          <w:sz w:val="24"/>
          <w:highlight w:val="none"/>
        </w:rPr>
        <w:t>保洁人员不少于6人（配备一名管理人员进行日常管理和巡查）</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rPr>
        <w:t>保洁时间为全天候（上午</w:t>
      </w:r>
      <w:r>
        <w:rPr>
          <w:rFonts w:hint="eastAsia" w:ascii="华文仿宋" w:hAnsi="华文仿宋" w:eastAsia="华文仿宋" w:cs="华文仿宋"/>
          <w:bCs/>
          <w:color w:val="auto"/>
          <w:sz w:val="24"/>
          <w:highlight w:val="none"/>
          <w:lang w:val="en-US" w:eastAsia="zh-CN"/>
        </w:rPr>
        <w:t>6</w:t>
      </w:r>
      <w:r>
        <w:rPr>
          <w:rFonts w:hint="eastAsia" w:ascii="华文仿宋" w:hAnsi="华文仿宋" w:eastAsia="华文仿宋" w:cs="华文仿宋"/>
          <w:bCs/>
          <w:color w:val="auto"/>
          <w:sz w:val="24"/>
          <w:highlight w:val="none"/>
        </w:rPr>
        <w:t>:</w:t>
      </w:r>
      <w:r>
        <w:rPr>
          <w:rFonts w:hint="eastAsia" w:ascii="华文仿宋" w:hAnsi="华文仿宋" w:eastAsia="华文仿宋" w:cs="华文仿宋"/>
          <w:bCs/>
          <w:color w:val="auto"/>
          <w:sz w:val="24"/>
          <w:highlight w:val="none"/>
          <w:lang w:val="en-US" w:eastAsia="zh-CN"/>
        </w:rPr>
        <w:t>3</w:t>
      </w:r>
      <w:r>
        <w:rPr>
          <w:rFonts w:hint="eastAsia" w:ascii="华文仿宋" w:hAnsi="华文仿宋" w:eastAsia="华文仿宋" w:cs="华文仿宋"/>
          <w:bCs/>
          <w:color w:val="auto"/>
          <w:sz w:val="24"/>
          <w:highlight w:val="none"/>
        </w:rPr>
        <w:t>0-</w:t>
      </w:r>
      <w:r>
        <w:rPr>
          <w:rFonts w:hint="eastAsia" w:ascii="华文仿宋" w:hAnsi="华文仿宋" w:eastAsia="华文仿宋" w:cs="华文仿宋"/>
          <w:bCs/>
          <w:color w:val="auto"/>
          <w:sz w:val="24"/>
          <w:highlight w:val="none"/>
          <w:lang w:val="en-US" w:eastAsia="zh-CN"/>
        </w:rPr>
        <w:t>10</w:t>
      </w:r>
      <w:r>
        <w:rPr>
          <w:rFonts w:hint="eastAsia" w:ascii="华文仿宋" w:hAnsi="华文仿宋" w:eastAsia="华文仿宋" w:cs="华文仿宋"/>
          <w:bCs/>
          <w:color w:val="auto"/>
          <w:sz w:val="24"/>
          <w:highlight w:val="none"/>
        </w:rPr>
        <w:t>:</w:t>
      </w:r>
      <w:r>
        <w:rPr>
          <w:rFonts w:hint="eastAsia" w:ascii="华文仿宋" w:hAnsi="华文仿宋" w:eastAsia="华文仿宋" w:cs="华文仿宋"/>
          <w:bCs/>
          <w:color w:val="auto"/>
          <w:sz w:val="24"/>
          <w:highlight w:val="none"/>
          <w:lang w:val="en-US" w:eastAsia="zh-CN"/>
        </w:rPr>
        <w:t>3</w:t>
      </w:r>
      <w:r>
        <w:rPr>
          <w:rFonts w:hint="eastAsia" w:ascii="华文仿宋" w:hAnsi="华文仿宋" w:eastAsia="华文仿宋" w:cs="华文仿宋"/>
          <w:bCs/>
          <w:color w:val="auto"/>
          <w:sz w:val="24"/>
          <w:highlight w:val="none"/>
        </w:rPr>
        <w:t>0，下午1:30-5:30），可根据季节作适当调整，但需报采购人同意。</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lang w:val="en-US" w:eastAsia="zh-CN"/>
        </w:rPr>
        <w:t>3.2</w:t>
      </w:r>
      <w:r>
        <w:rPr>
          <w:rFonts w:hint="eastAsia" w:ascii="华文仿宋" w:hAnsi="华文仿宋" w:eastAsia="华文仿宋" w:cs="华文仿宋"/>
          <w:bCs/>
          <w:color w:val="auto"/>
          <w:sz w:val="24"/>
          <w:highlight w:val="none"/>
        </w:rPr>
        <w:t>保洁人员应穿戴救生衣，按规定佩戴上岗证进行作业。严格遵守各项规定，安全、合规作业，保洁人员在作业中出现的意外伤亡事故，均由承包方承担责任。</w:t>
      </w:r>
    </w:p>
    <w:p>
      <w:pPr>
        <w:pageBreakBefore w:val="0"/>
        <w:kinsoku/>
        <w:wordWrap/>
        <w:overflowPunct/>
        <w:topLinePunct w:val="0"/>
        <w:autoSpaceDE/>
        <w:autoSpaceDN/>
        <w:bidi w:val="0"/>
        <w:adjustRightInd/>
        <w:spacing w:line="360" w:lineRule="auto"/>
        <w:ind w:firstLine="480" w:firstLineChars="200"/>
        <w:textAlignment w:val="auto"/>
        <w:rPr>
          <w:rFonts w:hint="default" w:ascii="华文仿宋" w:hAnsi="华文仿宋" w:eastAsia="华文仿宋" w:cs="华文仿宋"/>
          <w:bCs/>
          <w:color w:val="auto"/>
          <w:sz w:val="24"/>
          <w:highlight w:val="none"/>
          <w:lang w:val="en-US" w:eastAsia="zh-CN"/>
        </w:rPr>
      </w:pPr>
      <w:r>
        <w:rPr>
          <w:rFonts w:hint="eastAsia" w:ascii="华文仿宋" w:hAnsi="华文仿宋" w:eastAsia="华文仿宋" w:cs="华文仿宋"/>
          <w:bCs/>
          <w:color w:val="auto"/>
          <w:sz w:val="24"/>
          <w:highlight w:val="none"/>
          <w:lang w:val="en-US" w:eastAsia="zh-CN"/>
        </w:rPr>
        <w:t>3.3服务期内不被新闻媒体曝光，在检查中不出现不合格现象，不被区市级部门点名批评</w:t>
      </w:r>
      <w:r>
        <w:rPr>
          <w:rFonts w:hint="eastAsia" w:ascii="华文仿宋" w:hAnsi="华文仿宋" w:eastAsia="华文仿宋" w:cs="华文仿宋"/>
          <w:bCs/>
          <w:color w:val="auto"/>
          <w:sz w:val="24"/>
          <w:highlight w:val="none"/>
        </w:rPr>
        <w:t>。</w:t>
      </w:r>
      <w:r>
        <w:rPr>
          <w:rFonts w:hint="eastAsia" w:ascii="华文仿宋" w:hAnsi="华文仿宋" w:eastAsia="华文仿宋" w:cs="华文仿宋"/>
          <w:bCs/>
          <w:color w:val="auto"/>
          <w:sz w:val="24"/>
          <w:highlight w:val="none"/>
          <w:lang w:val="en-US" w:eastAsia="zh-CN"/>
        </w:rPr>
        <w:t>被区市级部门通报批评的每次扣500元，在新闻媒体被曝光或被区市级部门通报批评后不积极整改的每次扣1000元。</w:t>
      </w:r>
    </w:p>
    <w:p>
      <w:pPr>
        <w:pageBreakBefore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lang w:val="en-US" w:eastAsia="zh-CN"/>
        </w:rPr>
        <w:t>3.4</w:t>
      </w:r>
      <w:r>
        <w:rPr>
          <w:rFonts w:hint="eastAsia" w:ascii="华文仿宋" w:hAnsi="华文仿宋" w:eastAsia="华文仿宋" w:cs="华文仿宋"/>
          <w:bCs/>
          <w:color w:val="auto"/>
          <w:sz w:val="24"/>
          <w:highlight w:val="none"/>
        </w:rPr>
        <w:t>其它要求：中标单位自行解决办公用房、清洁工具堆放</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rPr>
        <w:t>遇台风、强降水等特殊情况，中标单位须临时增加</w:t>
      </w:r>
      <w:r>
        <w:rPr>
          <w:rFonts w:hint="eastAsia" w:ascii="华文仿宋" w:hAnsi="华文仿宋" w:eastAsia="华文仿宋" w:cs="华文仿宋"/>
          <w:bCs/>
          <w:color w:val="auto"/>
          <w:kern w:val="2"/>
          <w:sz w:val="24"/>
          <w:highlight w:val="none"/>
          <w:lang w:val="en-US" w:eastAsia="zh-CN" w:bidi="ar-SA"/>
        </w:rPr>
        <w:t>清洁设备</w:t>
      </w:r>
      <w:r>
        <w:rPr>
          <w:rFonts w:hint="eastAsia" w:ascii="华文仿宋" w:hAnsi="华文仿宋" w:eastAsia="华文仿宋" w:cs="华文仿宋"/>
          <w:bCs/>
          <w:color w:val="auto"/>
          <w:sz w:val="24"/>
          <w:highlight w:val="none"/>
        </w:rPr>
        <w:t>和人员，所需费用由中标单位负责。</w:t>
      </w:r>
    </w:p>
    <w:p>
      <w:pPr>
        <w:pStyle w:val="17"/>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lang w:val="en-US" w:eastAsia="zh-CN"/>
        </w:rPr>
        <w:t>4.</w:t>
      </w:r>
      <w:r>
        <w:rPr>
          <w:rFonts w:hint="eastAsia" w:ascii="华文仿宋" w:hAnsi="华文仿宋" w:eastAsia="华文仿宋" w:cs="华文仿宋"/>
          <w:b/>
          <w:color w:val="auto"/>
          <w:sz w:val="24"/>
          <w:highlight w:val="none"/>
        </w:rPr>
        <w:t>服务要求：</w:t>
      </w:r>
    </w:p>
    <w:p>
      <w:pPr>
        <w:pStyle w:val="17"/>
        <w:pageBreakBefore w:val="0"/>
        <w:kinsoku/>
        <w:wordWrap/>
        <w:overflowPunct/>
        <w:topLinePunct w:val="0"/>
        <w:autoSpaceDE/>
        <w:autoSpaceDN/>
        <w:bidi w:val="0"/>
        <w:adjustRightInd/>
        <w:spacing w:line="360" w:lineRule="auto"/>
        <w:ind w:firstLine="480" w:firstLineChars="200"/>
        <w:textAlignment w:val="auto"/>
        <w:rPr>
          <w:rFonts w:ascii="华文仿宋" w:hAnsi="华文仿宋" w:eastAsia="华文仿宋" w:cs="华文仿宋"/>
          <w:bCs/>
          <w:snapToGrid/>
          <w:color w:val="auto"/>
          <w:sz w:val="24"/>
          <w:szCs w:val="24"/>
          <w:highlight w:val="none"/>
        </w:rPr>
      </w:pPr>
      <w:r>
        <w:rPr>
          <w:rFonts w:hint="eastAsia" w:ascii="华文仿宋" w:hAnsi="华文仿宋" w:eastAsia="华文仿宋" w:cs="华文仿宋"/>
          <w:bCs/>
          <w:snapToGrid/>
          <w:color w:val="auto"/>
          <w:sz w:val="24"/>
          <w:szCs w:val="24"/>
          <w:highlight w:val="none"/>
        </w:rPr>
        <w:t xml:space="preserve">质量要求：达到《城镇河道环境卫生质量标准》，符合本标文所有条款要求。 </w:t>
      </w:r>
    </w:p>
    <w:p>
      <w:pPr>
        <w:pStyle w:val="5"/>
        <w:keepNext/>
        <w:keepLines/>
        <w:pageBreakBefore w:val="0"/>
        <w:widowControl w:val="0"/>
        <w:suppressLineNumbers w:val="0"/>
        <w:suppressAutoHyphens w:val="0"/>
        <w:kinsoku/>
        <w:wordWrap/>
        <w:overflowPunct/>
        <w:topLinePunct w:val="0"/>
        <w:autoSpaceDE/>
        <w:autoSpaceDN/>
        <w:bidi w:val="0"/>
        <w:adjustRightInd/>
        <w:spacing w:line="360" w:lineRule="auto"/>
        <w:textAlignment w:val="auto"/>
        <w:rPr>
          <w:rFonts w:hint="eastAsia" w:ascii="仿宋"/>
          <w:color w:val="auto"/>
          <w:highlight w:val="none"/>
        </w:rPr>
      </w:pPr>
      <w:r>
        <w:rPr>
          <w:rFonts w:hint="eastAsia" w:ascii="仿宋"/>
          <w:color w:val="auto"/>
          <w:highlight w:val="none"/>
        </w:rPr>
        <w:t>二、商务要求</w:t>
      </w:r>
      <w:bookmarkEnd w:id="41"/>
    </w:p>
    <w:p>
      <w:pPr>
        <w:pageBreakBefore w:val="0"/>
        <w:widowControl/>
        <w:kinsoku/>
        <w:wordWrap/>
        <w:overflowPunct/>
        <w:topLinePunct w:val="0"/>
        <w:autoSpaceDE/>
        <w:autoSpaceDN/>
        <w:bidi w:val="0"/>
        <w:adjustRightInd/>
        <w:snapToGrid w:val="0"/>
        <w:spacing w:line="360" w:lineRule="auto"/>
        <w:ind w:firstLine="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服务合同签订后一年。</w:t>
      </w:r>
    </w:p>
    <w:p>
      <w:pPr>
        <w:pageBreakBefore w:val="0"/>
        <w:widowControl/>
        <w:kinsoku/>
        <w:wordWrap/>
        <w:overflowPunct/>
        <w:topLinePunct w:val="0"/>
        <w:autoSpaceDE/>
        <w:autoSpaceDN/>
        <w:bidi w:val="0"/>
        <w:adjustRightInd/>
        <w:snapToGrid w:val="0"/>
        <w:spacing w:line="360" w:lineRule="auto"/>
        <w:ind w:firstLine="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rPr>
        <w:t>2.2技术培训</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sz w:val="24"/>
          <w:highlight w:val="none"/>
        </w:rPr>
      </w:pPr>
      <w:r>
        <w:rPr>
          <w:rFonts w:hint="eastAsia" w:ascii="仿宋" w:eastAsia="仿宋"/>
          <w:b/>
          <w:bCs/>
          <w:color w:val="auto"/>
          <w:sz w:val="24"/>
          <w:highlight w:val="none"/>
        </w:rPr>
        <w:t>2.3数量调整</w:t>
      </w:r>
    </w:p>
    <w:p>
      <w:pPr>
        <w:pageBreakBefore w:val="0"/>
        <w:widowControl/>
        <w:kinsoku/>
        <w:wordWrap/>
        <w:overflowPunct/>
        <w:topLinePunct w:val="0"/>
        <w:autoSpaceDE/>
        <w:autoSpaceDN/>
        <w:bidi w:val="0"/>
        <w:adjustRightInd/>
        <w:snapToGrid w:val="0"/>
        <w:spacing w:line="360"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pPr>
        <w:pageBreakBefore w:val="0"/>
        <w:widowControl/>
        <w:kinsoku/>
        <w:wordWrap/>
        <w:overflowPunct/>
        <w:topLinePunct w:val="0"/>
        <w:autoSpaceDE/>
        <w:autoSpaceDN/>
        <w:bidi w:val="0"/>
        <w:adjustRightInd/>
        <w:snapToGrid w:val="0"/>
        <w:spacing w:line="360" w:lineRule="auto"/>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本项目质量达到优质服务且必须符合国家法律法规、行业标准及本表文所有条款要求。</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本采购项目不支付预付款，在</w:t>
      </w:r>
      <w:r>
        <w:rPr>
          <w:rFonts w:hint="eastAsia" w:ascii="仿宋" w:hAnsi="仿宋" w:eastAsia="仿宋" w:cs="仿宋"/>
          <w:color w:val="auto"/>
          <w:kern w:val="0"/>
          <w:sz w:val="24"/>
          <w:highlight w:val="none"/>
          <w:lang w:val="en-US" w:eastAsia="zh-CN"/>
        </w:rPr>
        <w:t>每季度末最后一个月的</w:t>
      </w:r>
      <w:r>
        <w:rPr>
          <w:rFonts w:hint="eastAsia" w:ascii="仿宋" w:hAnsi="仿宋" w:eastAsia="仿宋" w:cs="仿宋"/>
          <w:color w:val="auto"/>
          <w:kern w:val="0"/>
          <w:sz w:val="24"/>
          <w:highlight w:val="none"/>
        </w:rPr>
        <w:t>25</w:t>
      </w:r>
      <w:r>
        <w:rPr>
          <w:rFonts w:hint="eastAsia" w:ascii="仿宋" w:hAnsi="仿宋" w:eastAsia="仿宋" w:cs="仿宋"/>
          <w:color w:val="auto"/>
          <w:kern w:val="0"/>
          <w:sz w:val="24"/>
          <w:highlight w:val="none"/>
          <w:lang w:val="en-US" w:eastAsia="zh-CN"/>
        </w:rPr>
        <w:t>号</w:t>
      </w:r>
      <w:r>
        <w:rPr>
          <w:rFonts w:hint="eastAsia" w:ascii="仿宋" w:hAnsi="仿宋" w:eastAsia="仿宋" w:cs="仿宋"/>
          <w:color w:val="auto"/>
          <w:kern w:val="0"/>
          <w:sz w:val="24"/>
          <w:highlight w:val="none"/>
        </w:rPr>
        <w:t>支付（如遇双休日顺延）</w:t>
      </w:r>
      <w:r>
        <w:rPr>
          <w:rFonts w:hint="eastAsia" w:ascii="仿宋" w:hAnsi="仿宋" w:eastAsia="仿宋" w:cs="仿宋"/>
          <w:color w:val="auto"/>
          <w:kern w:val="0"/>
          <w:sz w:val="24"/>
          <w:highlight w:val="none"/>
          <w:lang w:val="en-US" w:eastAsia="zh-CN"/>
        </w:rPr>
        <w:t>当季度</w:t>
      </w:r>
      <w:r>
        <w:rPr>
          <w:rFonts w:hint="eastAsia" w:ascii="仿宋" w:hAnsi="仿宋" w:eastAsia="仿宋" w:cs="仿宋"/>
          <w:color w:val="auto"/>
          <w:kern w:val="0"/>
          <w:sz w:val="24"/>
          <w:highlight w:val="none"/>
        </w:rPr>
        <w:t>承包款。</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rPr>
        <w:t>2.6检查：</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2.6.1</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在承包期开始之日起，必须正常上岗，保证足够的船只和人员，在承包期内如有下列情形的甲方有权扣没</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履约保证金及扣减相应承包款并终止合同：</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1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①</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如无充分理由终止承包合同；</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2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②</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因工作不力造成严重社会影响；</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3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③</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一个月中管理的河道连续三次被媒体、数字城管、网络等曝光、投诉，经查实承包人有严重过失的；</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4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④</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在全市（区）各类检查、创建活动中连续三次同一河道被通报的。</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2.6.2</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未经甲方同意擅自转包和分包，甲方有权单方面终止承包合同，并罚没履约保证金。</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2.6.3</w:t>
      </w:r>
      <w:r>
        <w:rPr>
          <w:rFonts w:hint="eastAsia" w:ascii="仿宋" w:hAnsi="仿宋" w:eastAsia="仿宋" w:cs="仿宋"/>
          <w:color w:val="auto"/>
          <w:kern w:val="0"/>
          <w:sz w:val="24"/>
          <w:highlight w:val="none"/>
        </w:rPr>
        <w:t>对某些需紧急处置的情况，</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应无条件在规定时间内完成，</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如处置不及时，甲方有权指派其他人员突击工作，费用在</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履约保证金及承包经费中扣除，对</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累计三次（含三次）以上未完成甲方交办的任务，甲方有权没收履约保证金，并终止合同；</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2.6.4</w:t>
      </w:r>
      <w:r>
        <w:rPr>
          <w:rFonts w:hint="eastAsia" w:ascii="仿宋" w:hAnsi="仿宋" w:eastAsia="仿宋" w:cs="仿宋"/>
          <w:color w:val="auto"/>
          <w:kern w:val="0"/>
          <w:sz w:val="24"/>
          <w:highlight w:val="none"/>
        </w:rPr>
        <w:t>在新闻媒体被曝光或被区市级部门通报批评后不积极整改的每次扣1000元</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甲方有权没收履约保证金并终止合同；</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2.6.5</w:t>
      </w:r>
      <w:r>
        <w:rPr>
          <w:rFonts w:hint="eastAsia" w:ascii="仿宋" w:hAnsi="仿宋" w:eastAsia="仿宋" w:cs="仿宋"/>
          <w:color w:val="auto"/>
          <w:kern w:val="0"/>
          <w:sz w:val="24"/>
          <w:highlight w:val="none"/>
        </w:rPr>
        <w:t>在抽检或例检过程中，每月累计超过3次人员未到90％的情况出现，甲方有权没收履约保证金并终止合同。</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sz w:val="24"/>
          <w:highlight w:val="none"/>
        </w:rPr>
      </w:pPr>
      <w:r>
        <w:rPr>
          <w:rFonts w:hint="eastAsia" w:ascii="仿宋" w:eastAsia="仿宋"/>
          <w:b/>
          <w:bCs/>
          <w:color w:val="auto"/>
          <w:sz w:val="24"/>
          <w:highlight w:val="none"/>
        </w:rPr>
        <w:t>2.7其他要求：</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2.7.1</w:t>
      </w:r>
      <w:r>
        <w:rPr>
          <w:rFonts w:hint="eastAsia" w:ascii="仿宋" w:hAnsi="仿宋" w:eastAsia="仿宋" w:cs="仿宋"/>
          <w:color w:val="auto"/>
          <w:kern w:val="0"/>
          <w:sz w:val="24"/>
          <w:highlight w:val="none"/>
        </w:rPr>
        <w:t>中标供应商必须按规定程序和安全文明服务有关要求进行实施，承担服务过程中的各种意外，其责任由中标供应商承担，采购人不承担任何责任。</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2.7.2</w:t>
      </w:r>
      <w:r>
        <w:rPr>
          <w:rFonts w:hint="eastAsia" w:ascii="仿宋" w:hAnsi="仿宋" w:eastAsia="仿宋" w:cs="仿宋"/>
          <w:color w:val="auto"/>
          <w:kern w:val="0"/>
          <w:sz w:val="24"/>
          <w:highlight w:val="none"/>
        </w:rPr>
        <w:t>中标供应商在工作期间及途中，如发生人身安全等事故，与采购人无涉，由中标供应商负责。</w:t>
      </w:r>
    </w:p>
    <w:p>
      <w:pPr>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sz w:val="24"/>
          <w:highlight w:val="none"/>
        </w:rPr>
      </w:pPr>
      <w:r>
        <w:rPr>
          <w:rFonts w:hint="eastAsia" w:ascii="仿宋" w:eastAsia="仿宋"/>
          <w:b/>
          <w:bCs/>
          <w:color w:val="auto"/>
          <w:sz w:val="24"/>
          <w:highlight w:val="none"/>
        </w:rPr>
        <w:t>2.8 结算原则</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2.8.1</w:t>
      </w:r>
      <w:r>
        <w:rPr>
          <w:rFonts w:hint="eastAsia" w:ascii="仿宋" w:hAnsi="仿宋" w:eastAsia="仿宋" w:cs="仿宋"/>
          <w:color w:val="auto"/>
          <w:kern w:val="0"/>
          <w:sz w:val="24"/>
          <w:highlight w:val="none"/>
        </w:rPr>
        <w:t>招标文件、招标答疑会纪要、中标供应商的</w:t>
      </w:r>
      <w:r>
        <w:rPr>
          <w:rFonts w:hint="eastAsia" w:ascii="仿宋" w:hAnsi="仿宋" w:eastAsia="仿宋" w:cs="仿宋"/>
          <w:color w:val="auto"/>
          <w:kern w:val="0"/>
          <w:sz w:val="24"/>
          <w:highlight w:val="none"/>
          <w:lang w:val="en-US" w:eastAsia="zh-CN"/>
        </w:rPr>
        <w:t>报价文件</w:t>
      </w:r>
      <w:r>
        <w:rPr>
          <w:rFonts w:hint="eastAsia" w:ascii="仿宋" w:hAnsi="仿宋" w:eastAsia="仿宋" w:cs="仿宋"/>
          <w:color w:val="auto"/>
          <w:kern w:val="0"/>
          <w:sz w:val="24"/>
          <w:highlight w:val="none"/>
        </w:rPr>
        <w:t>等作为结算依据；</w:t>
      </w:r>
    </w:p>
    <w:p>
      <w:pPr>
        <w:pageBreakBefore w:val="0"/>
        <w:widowControl/>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2.8.2</w:t>
      </w:r>
      <w:r>
        <w:rPr>
          <w:rFonts w:hint="eastAsia" w:ascii="仿宋" w:hAnsi="仿宋" w:eastAsia="仿宋" w:cs="仿宋"/>
          <w:color w:val="auto"/>
          <w:kern w:val="0"/>
          <w:sz w:val="24"/>
          <w:highlight w:val="none"/>
        </w:rPr>
        <w:t>中标单价一次性包死，不再调整，承包面积因政策调整而增减的，经采购人分级审批认可后，在结算时按中标单价结合实际数量调整。</w:t>
      </w:r>
    </w:p>
    <w:p>
      <w:pPr>
        <w:pageBreakBefore w:val="0"/>
        <w:widowControl/>
        <w:kinsoku/>
        <w:wordWrap/>
        <w:overflowPunct/>
        <w:topLinePunct w:val="0"/>
        <w:autoSpaceDE/>
        <w:autoSpaceDN/>
        <w:bidi w:val="0"/>
        <w:adjustRightInd/>
        <w:snapToGrid w:val="0"/>
        <w:spacing w:line="360" w:lineRule="auto"/>
        <w:ind w:firstLine="0"/>
        <w:textAlignment w:val="auto"/>
        <w:rPr>
          <w:rFonts w:ascii="仿宋" w:eastAsia="仿宋"/>
          <w:color w:val="auto"/>
          <w:kern w:val="0"/>
          <w:sz w:val="24"/>
          <w:highlight w:val="none"/>
        </w:rPr>
      </w:pPr>
    </w:p>
    <w:p>
      <w:pPr>
        <w:pageBreakBefore w:val="0"/>
        <w:widowControl/>
        <w:kinsoku/>
        <w:wordWrap/>
        <w:overflowPunct/>
        <w:topLinePunct w:val="0"/>
        <w:autoSpaceDE/>
        <w:autoSpaceDN/>
        <w:bidi w:val="0"/>
        <w:adjustRightInd/>
        <w:snapToGrid w:val="0"/>
        <w:spacing w:line="360" w:lineRule="auto"/>
        <w:ind w:firstLine="0"/>
        <w:textAlignment w:val="auto"/>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pStyle w:val="5"/>
        <w:rPr>
          <w:rFonts w:ascii="仿宋" w:eastAsia="仿宋"/>
          <w:color w:val="auto"/>
          <w:kern w:val="0"/>
          <w:sz w:val="24"/>
          <w:highlight w:val="none"/>
        </w:rPr>
      </w:pPr>
    </w:p>
    <w:p>
      <w:pPr>
        <w:rPr>
          <w:rFonts w:ascii="仿宋" w:eastAsia="仿宋"/>
          <w:color w:val="auto"/>
          <w:kern w:val="0"/>
          <w:sz w:val="24"/>
          <w:highlight w:val="none"/>
        </w:rPr>
      </w:pPr>
    </w:p>
    <w:p>
      <w:pPr>
        <w:pStyle w:val="5"/>
        <w:rPr>
          <w:rFonts w:ascii="仿宋" w:eastAsia="仿宋"/>
          <w:color w:val="auto"/>
          <w:kern w:val="0"/>
          <w:sz w:val="24"/>
          <w:highlight w:val="none"/>
        </w:rPr>
      </w:pPr>
    </w:p>
    <w:p/>
    <w:p>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42" w:name="_Toc93172442"/>
      <w:r>
        <w:rPr>
          <w:rFonts w:hint="eastAsia" w:ascii="仿宋"/>
          <w:color w:val="auto"/>
          <w:highlight w:val="none"/>
        </w:rPr>
        <w:t>第四章  拟签订合同的主要条款</w:t>
      </w:r>
      <w:bookmarkEnd w:id="42"/>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snapToGrid w:val="0"/>
        <w:spacing w:line="360" w:lineRule="auto"/>
        <w:ind w:firstLine="482" w:firstLineChars="200"/>
        <w:rPr>
          <w:rFonts w:hint="eastAsia" w:ascii="华文仿宋" w:hAnsi="华文仿宋" w:eastAsia="华文仿宋" w:cs="华文仿宋"/>
          <w:b/>
          <w:color w:val="auto"/>
          <w:sz w:val="24"/>
          <w:szCs w:val="20"/>
          <w:highlight w:val="none"/>
        </w:rPr>
      </w:pPr>
      <w:r>
        <w:rPr>
          <w:rFonts w:hint="eastAsia" w:ascii="华文仿宋" w:hAnsi="华文仿宋" w:eastAsia="华文仿宋" w:cs="华文仿宋"/>
          <w:b/>
          <w:color w:val="auto"/>
          <w:sz w:val="24"/>
          <w:szCs w:val="20"/>
          <w:highlight w:val="none"/>
        </w:rPr>
        <w:t>1.1保洁范围及工作内容</w:t>
      </w:r>
    </w:p>
    <w:p>
      <w:pPr>
        <w:snapToGrid w:val="0"/>
        <w:spacing w:line="360" w:lineRule="auto"/>
        <w:ind w:firstLine="482" w:firstLineChars="200"/>
        <w:rPr>
          <w:rFonts w:hint="eastAsia" w:ascii="华文仿宋" w:hAnsi="华文仿宋" w:eastAsia="华文仿宋" w:cs="华文仿宋"/>
          <w:b/>
          <w:color w:val="auto"/>
          <w:sz w:val="24"/>
          <w:szCs w:val="20"/>
          <w:highlight w:val="none"/>
        </w:rPr>
      </w:pPr>
      <w:r>
        <w:rPr>
          <w:rFonts w:hint="eastAsia" w:ascii="华文仿宋" w:hAnsi="华文仿宋" w:eastAsia="华文仿宋" w:cs="华文仿宋"/>
          <w:b/>
          <w:color w:val="auto"/>
          <w:sz w:val="24"/>
          <w:szCs w:val="20"/>
          <w:highlight w:val="none"/>
        </w:rPr>
        <w:t>1.1服务范围</w:t>
      </w:r>
    </w:p>
    <w:p>
      <w:pPr>
        <w:spacing w:line="360" w:lineRule="auto"/>
        <w:ind w:firstLine="480" w:firstLineChars="20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漓渚江、龙横江、钟堰江、雄鹅江、钟堰江支流、小江、荷花溇、劳嘴河、浙东古运河及支流、新桥江及支流（含清明塘）面积约520.5亩。</w:t>
      </w:r>
    </w:p>
    <w:p>
      <w:pPr>
        <w:spacing w:line="360" w:lineRule="auto"/>
        <w:ind w:firstLine="482" w:firstLineChars="200"/>
        <w:rPr>
          <w:rFonts w:hint="eastAsia" w:ascii="华文仿宋" w:hAnsi="华文仿宋" w:eastAsia="华文仿宋" w:cs="华文仿宋"/>
          <w:b/>
          <w:color w:val="auto"/>
          <w:sz w:val="24"/>
          <w:szCs w:val="20"/>
          <w:highlight w:val="none"/>
        </w:rPr>
      </w:pPr>
      <w:r>
        <w:rPr>
          <w:rFonts w:ascii="华文仿宋" w:hAnsi="华文仿宋" w:eastAsia="华文仿宋" w:cs="华文仿宋"/>
          <w:b/>
          <w:color w:val="auto"/>
          <w:sz w:val="24"/>
          <w:szCs w:val="20"/>
          <w:highlight w:val="none"/>
        </w:rPr>
        <w:t>1.2工作内容</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上述十条河道管理范围内的各类水草、垃圾、杂物、沉船、地笼、构筑物、蓝藻等的打捞、清理、清运和合法处置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lang w:val="en-US" w:eastAsia="zh-CN"/>
        </w:rPr>
        <w:t>清运完成的垃圾及时运至处置点处置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szCs w:val="20"/>
          <w:highlight w:val="none"/>
        </w:rPr>
        <w:t>等工作。</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上述十条河道河岸管理范围内的环境卫生、垃圾、堆积物、瓜棚等清理、清运、合法处置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lang w:val="en-US" w:eastAsia="zh-CN"/>
        </w:rPr>
        <w:t>清运完成的垃圾及时运至处置点处置</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szCs w:val="20"/>
          <w:highlight w:val="none"/>
        </w:rPr>
        <w:t>等工作。</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各项管理制度、对保洁员安全生产的培训等、工作计划、工作台账等。</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完成上级各项工作任务及文明、安全作业。</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责任区河道交界处等水域拦草箔设置、维护。</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Cs/>
          <w:color w:val="auto"/>
          <w:sz w:val="24"/>
          <w:szCs w:val="20"/>
          <w:highlight w:val="none"/>
        </w:rPr>
      </w:pPr>
      <w:r>
        <w:rPr>
          <w:rFonts w:hint="eastAsia" w:ascii="华文仿宋" w:hAnsi="华文仿宋" w:eastAsia="华文仿宋" w:cs="华文仿宋"/>
          <w:bCs/>
          <w:color w:val="auto"/>
          <w:sz w:val="24"/>
          <w:szCs w:val="20"/>
          <w:highlight w:val="none"/>
        </w:rPr>
        <w:t>新桥江、浙东古运河的水泵、水管检修及更换。</w:t>
      </w:r>
    </w:p>
    <w:p>
      <w:pPr>
        <w:numPr>
          <w:ilvl w:val="0"/>
          <w:numId w:val="6"/>
        </w:numPr>
        <w:snapToGrid w:val="0"/>
        <w:spacing w:before="120" w:beforeLines="50" w:after="120" w:afterLines="50" w:line="360" w:lineRule="auto"/>
        <w:ind w:left="845" w:leftChars="0" w:hanging="425" w:firstLineChars="0"/>
        <w:rPr>
          <w:rFonts w:hint="eastAsia" w:ascii="华文仿宋" w:hAnsi="华文仿宋" w:eastAsia="华文仿宋" w:cs="华文仿宋"/>
          <w:b/>
          <w:color w:val="auto"/>
          <w:sz w:val="24"/>
          <w:szCs w:val="20"/>
          <w:highlight w:val="none"/>
        </w:rPr>
      </w:pPr>
      <w:r>
        <w:rPr>
          <w:rFonts w:hint="eastAsia" w:ascii="华文仿宋" w:hAnsi="华文仿宋" w:eastAsia="华文仿宋" w:cs="华文仿宋"/>
          <w:bCs/>
          <w:color w:val="auto"/>
          <w:sz w:val="24"/>
          <w:szCs w:val="20"/>
          <w:highlight w:val="none"/>
        </w:rPr>
        <w:t>责任区域内对河面保洁、环境卫生、沿岸垃圾等问题的投诉回复及处置。</w:t>
      </w:r>
    </w:p>
    <w:p>
      <w:pPr>
        <w:numPr>
          <w:ilvl w:val="0"/>
          <w:numId w:val="0"/>
        </w:numPr>
        <w:snapToGrid w:val="0"/>
        <w:spacing w:before="120" w:beforeLines="50" w:after="120" w:afterLines="50" w:line="360" w:lineRule="auto"/>
        <w:ind w:leftChars="0" w:firstLine="241" w:firstLineChars="100"/>
        <w:rPr>
          <w:rFonts w:hint="eastAsia" w:ascii="华文仿宋" w:hAnsi="华文仿宋" w:eastAsia="华文仿宋" w:cs="华文仿宋"/>
          <w:b/>
          <w:color w:val="auto"/>
          <w:sz w:val="24"/>
          <w:szCs w:val="20"/>
          <w:highlight w:val="none"/>
        </w:rPr>
      </w:pPr>
      <w:r>
        <w:rPr>
          <w:rFonts w:hint="eastAsia" w:ascii="华文仿宋" w:hAnsi="华文仿宋" w:eastAsia="华文仿宋" w:cs="华文仿宋"/>
          <w:b/>
          <w:color w:val="auto"/>
          <w:sz w:val="24"/>
          <w:szCs w:val="20"/>
          <w:highlight w:val="none"/>
        </w:rPr>
        <w:t>1.</w:t>
      </w:r>
      <w:r>
        <w:rPr>
          <w:rFonts w:ascii="华文仿宋" w:hAnsi="华文仿宋" w:eastAsia="华文仿宋" w:cs="华文仿宋"/>
          <w:b/>
          <w:color w:val="auto"/>
          <w:sz w:val="24"/>
          <w:szCs w:val="20"/>
          <w:highlight w:val="none"/>
        </w:rPr>
        <w:t>3</w:t>
      </w:r>
      <w:r>
        <w:rPr>
          <w:rFonts w:hint="eastAsia" w:ascii="华文仿宋" w:hAnsi="华文仿宋" w:eastAsia="华文仿宋" w:cs="华文仿宋"/>
          <w:b/>
          <w:color w:val="auto"/>
          <w:sz w:val="24"/>
          <w:szCs w:val="20"/>
          <w:highlight w:val="none"/>
        </w:rPr>
        <w:t>具体工作要求</w:t>
      </w:r>
    </w:p>
    <w:p>
      <w:pPr>
        <w:widowControl w:val="0"/>
        <w:numPr>
          <w:ilvl w:val="0"/>
          <w:numId w:val="0"/>
        </w:numPr>
        <w:spacing w:line="440" w:lineRule="exact"/>
        <w:ind w:leftChars="0" w:firstLine="480" w:firstLineChars="200"/>
        <w:jc w:val="both"/>
        <w:rPr>
          <w:rFonts w:hint="eastAsia" w:ascii="华文仿宋" w:hAnsi="华文仿宋" w:eastAsia="华文仿宋" w:cs="华文仿宋"/>
          <w:bCs/>
          <w:color w:val="auto"/>
          <w:kern w:val="2"/>
          <w:sz w:val="24"/>
          <w:highlight w:val="none"/>
          <w:lang w:val="en-US" w:eastAsia="zh-CN" w:bidi="ar-SA"/>
        </w:rPr>
      </w:pPr>
      <w:r>
        <w:rPr>
          <w:rFonts w:hint="eastAsia" w:ascii="华文仿宋" w:hAnsi="华文仿宋" w:eastAsia="华文仿宋" w:cs="华文仿宋"/>
          <w:bCs/>
          <w:color w:val="auto"/>
          <w:kern w:val="2"/>
          <w:sz w:val="24"/>
          <w:highlight w:val="none"/>
          <w:lang w:val="en-US" w:eastAsia="zh-CN" w:bidi="ar-SA"/>
        </w:rPr>
        <w:t>1）保洁人员不少于6人（配备一名管理人员进行日常管理和巡查）。保洁时间为全天候（上午6:30-10:30，下午1:30-5:30），可根据季节作适当调整，但需报采购人同意。</w:t>
      </w:r>
    </w:p>
    <w:p>
      <w:pPr>
        <w:widowControl w:val="0"/>
        <w:numPr>
          <w:ilvl w:val="0"/>
          <w:numId w:val="0"/>
        </w:numPr>
        <w:spacing w:line="440" w:lineRule="exact"/>
        <w:ind w:leftChars="0" w:firstLine="480" w:firstLineChars="200"/>
        <w:jc w:val="both"/>
        <w:rPr>
          <w:rFonts w:hint="eastAsia" w:ascii="华文仿宋" w:hAnsi="华文仿宋" w:eastAsia="华文仿宋" w:cs="华文仿宋"/>
          <w:bCs/>
          <w:color w:val="auto"/>
          <w:kern w:val="2"/>
          <w:sz w:val="24"/>
          <w:highlight w:val="none"/>
          <w:lang w:val="en-US" w:eastAsia="zh-CN" w:bidi="ar-SA"/>
        </w:rPr>
      </w:pPr>
      <w:r>
        <w:rPr>
          <w:rFonts w:hint="eastAsia" w:ascii="华文仿宋" w:hAnsi="华文仿宋" w:eastAsia="华文仿宋" w:cs="华文仿宋"/>
          <w:bCs/>
          <w:color w:val="auto"/>
          <w:kern w:val="2"/>
          <w:sz w:val="24"/>
          <w:highlight w:val="none"/>
          <w:lang w:val="en-US" w:eastAsia="zh-CN" w:bidi="ar-SA"/>
        </w:rPr>
        <w:t>2）保洁人员应穿戴救生衣，按规定佩戴上岗证进行作业。严格遵守各项规定，安全、合规作业，保洁人员在作业中出现的意外伤亡事故，均由承包方承担责任。</w:t>
      </w:r>
    </w:p>
    <w:p>
      <w:pPr>
        <w:widowControl w:val="0"/>
        <w:numPr>
          <w:ilvl w:val="0"/>
          <w:numId w:val="0"/>
        </w:numPr>
        <w:spacing w:line="440" w:lineRule="exact"/>
        <w:ind w:leftChars="0" w:firstLine="480" w:firstLineChars="200"/>
        <w:jc w:val="both"/>
        <w:rPr>
          <w:rFonts w:hint="eastAsia" w:ascii="华文仿宋" w:hAnsi="华文仿宋" w:eastAsia="华文仿宋" w:cs="华文仿宋"/>
          <w:bCs/>
          <w:color w:val="auto"/>
          <w:sz w:val="24"/>
          <w:highlight w:val="none"/>
          <w:lang w:val="en-US" w:eastAsia="zh-CN"/>
        </w:rPr>
      </w:pPr>
      <w:r>
        <w:rPr>
          <w:rFonts w:hint="eastAsia" w:ascii="华文仿宋" w:hAnsi="华文仿宋" w:eastAsia="华文仿宋" w:cs="华文仿宋"/>
          <w:bCs/>
          <w:color w:val="auto"/>
          <w:kern w:val="2"/>
          <w:sz w:val="24"/>
          <w:highlight w:val="none"/>
          <w:lang w:val="en-US" w:eastAsia="zh-CN" w:bidi="ar-SA"/>
        </w:rPr>
        <w:t>3）服务期内不被新闻媒体曝光，在检查中不出现不合格现象，不被区市级部门点名批评。</w:t>
      </w:r>
      <w:r>
        <w:rPr>
          <w:rFonts w:hint="eastAsia" w:ascii="华文仿宋" w:hAnsi="华文仿宋" w:eastAsia="华文仿宋" w:cs="华文仿宋"/>
          <w:bCs/>
          <w:color w:val="auto"/>
          <w:sz w:val="24"/>
          <w:highlight w:val="none"/>
          <w:lang w:val="en-US" w:eastAsia="zh-CN"/>
        </w:rPr>
        <w:t>被区市级部门通报批评的每次扣500元，在新闻媒体被曝光或被区市级部门通报批评后不积极整改的每次扣1000元。</w:t>
      </w:r>
    </w:p>
    <w:p>
      <w:pPr>
        <w:widowControl w:val="0"/>
        <w:numPr>
          <w:ilvl w:val="0"/>
          <w:numId w:val="0"/>
        </w:numPr>
        <w:spacing w:line="440" w:lineRule="exact"/>
        <w:ind w:leftChars="0" w:firstLine="480" w:firstLineChars="200"/>
        <w:jc w:val="both"/>
        <w:rPr>
          <w:rFonts w:hint="eastAsia" w:ascii="华文仿宋" w:hAnsi="华文仿宋" w:eastAsia="华文仿宋" w:cs="华文仿宋"/>
          <w:bCs/>
          <w:color w:val="auto"/>
          <w:kern w:val="2"/>
          <w:sz w:val="24"/>
          <w:highlight w:val="none"/>
          <w:lang w:val="en-US" w:eastAsia="zh-CN" w:bidi="ar-SA"/>
        </w:rPr>
      </w:pPr>
      <w:r>
        <w:rPr>
          <w:rFonts w:hint="eastAsia" w:ascii="华文仿宋" w:hAnsi="华文仿宋" w:eastAsia="华文仿宋" w:cs="华文仿宋"/>
          <w:bCs/>
          <w:color w:val="auto"/>
          <w:kern w:val="2"/>
          <w:sz w:val="24"/>
          <w:highlight w:val="none"/>
          <w:lang w:val="en-US" w:eastAsia="zh-CN" w:bidi="ar-SA"/>
        </w:rPr>
        <w:t xml:space="preserve"> 4）其它要求：乙方自行解决办公用房、清洁工具堆放；遇台风、强降水等特殊情况，乙方须临时增加清洁设备和人员，所需费用由乙方负责。</w:t>
      </w:r>
    </w:p>
    <w:p>
      <w:pPr>
        <w:widowControl w:val="0"/>
        <w:spacing w:line="440" w:lineRule="exact"/>
        <w:ind w:firstLine="482" w:firstLineChars="200"/>
        <w:jc w:val="both"/>
        <w:rPr>
          <w:rFonts w:hint="eastAsia" w:ascii="华文仿宋" w:hAnsi="华文仿宋" w:eastAsia="华文仿宋" w:cs="华文仿宋"/>
          <w:b/>
          <w:color w:val="auto"/>
          <w:kern w:val="2"/>
          <w:sz w:val="24"/>
          <w:highlight w:val="none"/>
          <w:lang w:val="en-US" w:eastAsia="zh-CN" w:bidi="ar-SA"/>
        </w:rPr>
      </w:pPr>
      <w:r>
        <w:rPr>
          <w:rFonts w:hint="eastAsia" w:ascii="华文仿宋" w:hAnsi="华文仿宋" w:eastAsia="华文仿宋" w:cs="华文仿宋"/>
          <w:b/>
          <w:color w:val="auto"/>
          <w:kern w:val="2"/>
          <w:sz w:val="24"/>
          <w:highlight w:val="none"/>
          <w:lang w:val="en-US" w:eastAsia="zh-CN" w:bidi="ar-SA"/>
        </w:rPr>
        <w:t>2.服务要求：</w:t>
      </w:r>
    </w:p>
    <w:p>
      <w:pPr>
        <w:widowControl w:val="0"/>
        <w:spacing w:line="360" w:lineRule="auto"/>
        <w:ind w:firstLine="480" w:firstLineChars="200"/>
        <w:jc w:val="both"/>
        <w:rPr>
          <w:rFonts w:ascii="华文仿宋" w:hAnsi="华文仿宋" w:eastAsia="华文仿宋" w:cs="华文仿宋"/>
          <w:bCs/>
          <w:snapToGrid/>
          <w:color w:val="auto"/>
          <w:kern w:val="2"/>
          <w:sz w:val="24"/>
          <w:szCs w:val="24"/>
          <w:highlight w:val="none"/>
          <w:lang w:val="en-US" w:eastAsia="zh-CN" w:bidi="ar-SA"/>
        </w:rPr>
      </w:pPr>
      <w:r>
        <w:rPr>
          <w:rFonts w:hint="eastAsia" w:ascii="华文仿宋" w:hAnsi="华文仿宋" w:eastAsia="华文仿宋" w:cs="华文仿宋"/>
          <w:bCs/>
          <w:snapToGrid/>
          <w:color w:val="auto"/>
          <w:kern w:val="2"/>
          <w:sz w:val="24"/>
          <w:szCs w:val="24"/>
          <w:highlight w:val="none"/>
          <w:lang w:val="en-US" w:eastAsia="zh-CN" w:bidi="ar-SA"/>
        </w:rPr>
        <w:t xml:space="preserve">质量要求：达到《城镇河道环境卫生质量标准》，符合本标文所有条款要求。 </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single"/>
          <w:lang w:val="en-US" w:eastAsia="zh-CN"/>
        </w:rPr>
        <w:t>/</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w:t>
      </w:r>
      <w:r>
        <w:rPr>
          <w:rFonts w:hint="eastAsia" w:ascii="仿宋" w:eastAsia="仿宋"/>
          <w:color w:val="auto"/>
          <w:kern w:val="0"/>
          <w:sz w:val="24"/>
          <w:highlight w:val="none"/>
        </w:rPr>
        <w:t>[履约保证金交至采购人处，服务完成后满（一）个月之日起5个工作日内无息退还]</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r>
        <w:rPr>
          <w:rFonts w:hint="eastAsia" w:ascii="华文仿宋" w:hAnsi="华文仿宋" w:eastAsia="华文仿宋" w:cs="华文仿宋"/>
          <w:bCs/>
          <w:color w:val="auto"/>
          <w:sz w:val="24"/>
          <w:highlight w:val="none"/>
        </w:rPr>
        <w:t>服务合同签订后一年。</w:t>
      </w:r>
    </w:p>
    <w:p>
      <w:pPr>
        <w:widowControl/>
        <w:snapToGrid w:val="0"/>
        <w:spacing w:line="480" w:lineRule="exact"/>
        <w:ind w:firstLine="480" w:firstLineChars="200"/>
        <w:rPr>
          <w:rFonts w:hint="eastAsia" w:ascii="仿宋" w:eastAsia="仿宋"/>
          <w:color w:val="auto"/>
          <w:kern w:val="0"/>
          <w:sz w:val="24"/>
          <w:highlight w:val="none"/>
          <w:u w:val="none"/>
          <w:lang w:val="en-US" w:eastAsia="zh-CN"/>
        </w:rPr>
      </w:pPr>
      <w:r>
        <w:rPr>
          <w:rFonts w:hint="eastAsia" w:ascii="仿宋" w:eastAsia="仿宋"/>
          <w:color w:val="auto"/>
          <w:kern w:val="0"/>
          <w:sz w:val="24"/>
          <w:highlight w:val="none"/>
          <w:u w:val="none"/>
        </w:rPr>
        <w:t>2.实施地点：</w:t>
      </w:r>
      <w:r>
        <w:rPr>
          <w:rFonts w:hint="eastAsia" w:ascii="仿宋" w:eastAsia="仿宋"/>
          <w:color w:val="auto"/>
          <w:kern w:val="0"/>
          <w:sz w:val="24"/>
          <w:highlight w:val="none"/>
        </w:rPr>
        <w:t>绍兴市</w:t>
      </w:r>
      <w:r>
        <w:rPr>
          <w:rFonts w:hint="eastAsia" w:ascii="仿宋" w:eastAsia="仿宋"/>
          <w:color w:val="auto"/>
          <w:kern w:val="0"/>
          <w:sz w:val="24"/>
          <w:highlight w:val="none"/>
          <w:lang w:val="en-US" w:eastAsia="zh-CN"/>
        </w:rPr>
        <w:t>越城区北海</w:t>
      </w:r>
      <w:r>
        <w:rPr>
          <w:rFonts w:hint="eastAsia" w:ascii="仿宋" w:eastAsia="仿宋"/>
          <w:color w:val="auto"/>
          <w:kern w:val="0"/>
          <w:sz w:val="24"/>
          <w:highlight w:val="none"/>
        </w:rPr>
        <w:t>街道</w:t>
      </w:r>
      <w:r>
        <w:rPr>
          <w:rFonts w:hint="eastAsia" w:ascii="仿宋" w:eastAsia="仿宋"/>
          <w:color w:val="auto"/>
          <w:kern w:val="0"/>
          <w:sz w:val="24"/>
          <w:highlight w:val="none"/>
          <w:lang w:eastAsia="zh-CN"/>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hAnsi="仿宋" w:eastAsia="仿宋" w:cs="仿宋"/>
          <w:color w:val="auto"/>
          <w:kern w:val="0"/>
          <w:sz w:val="24"/>
          <w:highlight w:val="none"/>
        </w:rPr>
        <w:t>本采购项目不支付预付款，在</w:t>
      </w:r>
      <w:r>
        <w:rPr>
          <w:rFonts w:hint="eastAsia" w:ascii="仿宋" w:hAnsi="仿宋" w:eastAsia="仿宋" w:cs="仿宋"/>
          <w:color w:val="auto"/>
          <w:kern w:val="0"/>
          <w:sz w:val="24"/>
          <w:highlight w:val="none"/>
          <w:lang w:val="en-US" w:eastAsia="zh-CN"/>
        </w:rPr>
        <w:t>每季度末最后一个月的</w:t>
      </w:r>
      <w:r>
        <w:rPr>
          <w:rFonts w:hint="eastAsia" w:ascii="仿宋" w:hAnsi="仿宋" w:eastAsia="仿宋" w:cs="仿宋"/>
          <w:color w:val="auto"/>
          <w:kern w:val="0"/>
          <w:sz w:val="24"/>
          <w:highlight w:val="none"/>
        </w:rPr>
        <w:t>25</w:t>
      </w:r>
      <w:r>
        <w:rPr>
          <w:rFonts w:hint="eastAsia" w:ascii="仿宋" w:hAnsi="仿宋" w:eastAsia="仿宋" w:cs="仿宋"/>
          <w:color w:val="auto"/>
          <w:kern w:val="0"/>
          <w:sz w:val="24"/>
          <w:highlight w:val="none"/>
          <w:lang w:val="en-US" w:eastAsia="zh-CN"/>
        </w:rPr>
        <w:t>号</w:t>
      </w:r>
      <w:r>
        <w:rPr>
          <w:rFonts w:hint="eastAsia" w:ascii="仿宋" w:hAnsi="仿宋" w:eastAsia="仿宋" w:cs="仿宋"/>
          <w:color w:val="auto"/>
          <w:kern w:val="0"/>
          <w:sz w:val="24"/>
          <w:highlight w:val="none"/>
        </w:rPr>
        <w:t>支付（如遇双休日顺延）</w:t>
      </w:r>
      <w:r>
        <w:rPr>
          <w:rFonts w:hint="eastAsia" w:ascii="仿宋" w:hAnsi="仿宋" w:eastAsia="仿宋" w:cs="仿宋"/>
          <w:color w:val="auto"/>
          <w:kern w:val="0"/>
          <w:sz w:val="24"/>
          <w:highlight w:val="none"/>
          <w:lang w:val="en-US" w:eastAsia="zh-CN"/>
        </w:rPr>
        <w:t>当季度</w:t>
      </w:r>
      <w:r>
        <w:rPr>
          <w:rFonts w:hint="eastAsia" w:ascii="仿宋" w:hAnsi="仿宋" w:eastAsia="仿宋" w:cs="仿宋"/>
          <w:color w:val="auto"/>
          <w:kern w:val="0"/>
          <w:sz w:val="24"/>
          <w:highlight w:val="none"/>
        </w:rPr>
        <w:t>承包款。</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九、检查</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在承包期开始之日起，必须正常上岗，保证足够的船只和人员，在承包期内如有下列情形的甲方有权扣没</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履约保证金及扣减相应承包款并终止合同：</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1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①</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如无充分理由终止承包合同；</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2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②</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因工作不力造成严重社会影响；</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3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③</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一个月中管理的河道连续三次被媒体、数字城管、网络等曝光、投诉，经查实承包人有严重过失的；</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4 \* GB3 \* MERGEFORMAT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④</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在全市（区）各类检查、创建活动中连续三次同一河道被通报的。</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未经甲方同意擅自转包和分包，甲方有权单方面终止承包合同，并罚没履约保证金。</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对某些需紧急处置的情况，</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应无条件在规定时间内完成，</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如处置不及时，甲方有权指派其他人员突击工作，费用在</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履约保证金及承包经费中扣除，对</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累计三次（含三次）以上未完成甲方交办的任务，甲方有权没收履约保证金，并终止合同；</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在新闻媒体被曝光或被区市级部门通报批评后不积极整改的</w:t>
      </w:r>
      <w:r>
        <w:rPr>
          <w:rFonts w:hint="eastAsia" w:ascii="仿宋" w:hAnsi="仿宋" w:eastAsia="仿宋" w:cs="仿宋"/>
          <w:color w:val="auto"/>
          <w:kern w:val="0"/>
          <w:sz w:val="24"/>
          <w:highlight w:val="none"/>
          <w:lang w:val="en-US" w:eastAsia="zh-CN"/>
        </w:rPr>
        <w:t>每次扣1000元，</w:t>
      </w:r>
      <w:r>
        <w:rPr>
          <w:rFonts w:hint="eastAsia" w:ascii="仿宋" w:hAnsi="仿宋" w:eastAsia="仿宋" w:cs="仿宋"/>
          <w:color w:val="auto"/>
          <w:kern w:val="0"/>
          <w:sz w:val="24"/>
          <w:highlight w:val="none"/>
        </w:rPr>
        <w:t>甲方有权没收履约保证金并终止合同；</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在抽检或例检过程中，每月累计超过3次人员未到90％的情况出现，甲方有权没收履约保证金并终止合同。</w:t>
      </w:r>
    </w:p>
    <w:p>
      <w:pPr>
        <w:adjustRightInd/>
        <w:spacing w:line="440" w:lineRule="exact"/>
        <w:ind w:left="479" w:leftChars="228"/>
        <w:rPr>
          <w:rFonts w:ascii="仿宋" w:eastAsia="仿宋"/>
          <w:b/>
          <w:bCs/>
          <w:color w:val="auto"/>
          <w:kern w:val="0"/>
          <w:sz w:val="24"/>
          <w:highlight w:val="none"/>
        </w:rPr>
      </w:pPr>
      <w:r>
        <w:rPr>
          <w:rFonts w:hint="eastAsia" w:ascii="仿宋" w:eastAsia="仿宋"/>
          <w:b/>
          <w:bCs/>
          <w:color w:val="auto"/>
          <w:kern w:val="0"/>
          <w:sz w:val="24"/>
          <w:highlight w:val="none"/>
        </w:rPr>
        <w:t>十、其他要求：</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必须按规定程序和安全文明服务有关要求进行实施，承担服务过程中的各种意外，其责任由</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承担，采购人不承担任何责任。</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在工作期间及途中，如发生人身安全等事故，与采购人无涉，由</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负责。</w:t>
      </w:r>
    </w:p>
    <w:p>
      <w:pPr>
        <w:adjustRightInd/>
        <w:spacing w:line="440" w:lineRule="exact"/>
        <w:ind w:firstLine="482" w:firstLineChars="200"/>
        <w:jc w:val="left"/>
        <w:rPr>
          <w:rFonts w:ascii="仿宋" w:eastAsia="仿宋"/>
          <w:b/>
          <w:bCs/>
          <w:color w:val="auto"/>
          <w:kern w:val="0"/>
          <w:sz w:val="24"/>
          <w:highlight w:val="none"/>
        </w:rPr>
      </w:pPr>
      <w:r>
        <w:rPr>
          <w:rFonts w:hint="eastAsia" w:ascii="仿宋" w:eastAsia="仿宋"/>
          <w:b/>
          <w:bCs/>
          <w:color w:val="auto"/>
          <w:kern w:val="0"/>
          <w:sz w:val="24"/>
          <w:highlight w:val="none"/>
        </w:rPr>
        <w:t>十一、结算原则</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1.招标文件、招标答疑会纪要、</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的</w:t>
      </w:r>
      <w:r>
        <w:rPr>
          <w:rFonts w:hint="eastAsia" w:ascii="仿宋" w:eastAsia="仿宋"/>
          <w:color w:val="auto"/>
          <w:kern w:val="0"/>
          <w:sz w:val="24"/>
          <w:highlight w:val="none"/>
          <w:lang w:val="en-US" w:eastAsia="zh-CN"/>
        </w:rPr>
        <w:t>报价文件</w:t>
      </w:r>
      <w:r>
        <w:rPr>
          <w:rFonts w:hint="eastAsia" w:ascii="仿宋" w:eastAsia="仿宋"/>
          <w:color w:val="auto"/>
          <w:kern w:val="0"/>
          <w:sz w:val="24"/>
          <w:highlight w:val="none"/>
        </w:rPr>
        <w:t>等作为结算依据；</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2.中标单价一次性包死，不再调整，承包面积因政策调整而增减的，经采购人分级审批认可后，在结算时按中标单价结合实际数量调整。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lang w:val="en-US" w:eastAsia="zh-CN"/>
        </w:rPr>
        <w:t>二</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val="en-US" w:eastAsia="zh-CN"/>
        </w:rPr>
        <w:t>三</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val="en-US" w:eastAsia="zh-CN"/>
        </w:rPr>
        <w:t>四</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val="en-US" w:eastAsia="zh-CN"/>
        </w:rPr>
        <w:t>五</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val="en-US" w:eastAsia="zh-CN"/>
        </w:rPr>
        <w:t>六</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4.本合同未尽事宜，遵照《合同法》有关条文执行。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color w:val="auto"/>
          <w:highlight w:val="none"/>
        </w:rPr>
      </w:pPr>
      <w:r>
        <w:rPr>
          <w:rFonts w:hint="eastAsia" w:ascii="仿宋" w:eastAsia="仿宋"/>
          <w:color w:val="auto"/>
          <w:kern w:val="0"/>
          <w:sz w:val="24"/>
          <w:highlight w:val="none"/>
          <w:u w:val="none"/>
        </w:rPr>
        <w:t>签名日期：      年   月   日</w:t>
      </w:r>
      <w:bookmarkStart w:id="43" w:name="_Toc93172443"/>
    </w:p>
    <w:p>
      <w:pPr>
        <w:bidi w:val="0"/>
        <w:rPr>
          <w:rFonts w:hint="eastAsia"/>
        </w:rPr>
      </w:pPr>
    </w:p>
    <w:p>
      <w:pPr>
        <w:pStyle w:val="4"/>
        <w:keepNext/>
        <w:keepLines/>
        <w:pageBreakBefore w:val="0"/>
        <w:widowControl w:val="0"/>
        <w:suppressLineNumbers w:val="0"/>
        <w:suppressAutoHyphens w:val="0"/>
        <w:spacing w:line="578" w:lineRule="auto"/>
        <w:jc w:val="both"/>
        <w:rPr>
          <w:rFonts w:hint="eastAsia" w:ascii="仿宋"/>
          <w:color w:val="auto"/>
          <w:highlight w:val="none"/>
        </w:rPr>
      </w:pPr>
    </w:p>
    <w:p>
      <w:pPr>
        <w:pStyle w:val="4"/>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第五章  评标办法及标准</w:t>
      </w:r>
      <w:bookmarkEnd w:id="43"/>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64"/>
        <w:gridCol w:w="622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rPr>
              <w:t>序号</w:t>
            </w:r>
          </w:p>
        </w:tc>
        <w:tc>
          <w:tcPr>
            <w:tcW w:w="1364" w:type="dxa"/>
            <w:noWrap w:val="0"/>
            <w:vAlign w:val="center"/>
          </w:tcPr>
          <w:p>
            <w:pPr>
              <w:jc w:val="center"/>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rPr>
              <w:t>评审项目</w:t>
            </w:r>
          </w:p>
        </w:tc>
        <w:tc>
          <w:tcPr>
            <w:tcW w:w="6225" w:type="dxa"/>
            <w:noWrap w:val="0"/>
            <w:vAlign w:val="center"/>
          </w:tcPr>
          <w:p>
            <w:pPr>
              <w:jc w:val="center"/>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rPr>
              <w:t>评分标准</w:t>
            </w:r>
          </w:p>
        </w:tc>
        <w:tc>
          <w:tcPr>
            <w:tcW w:w="85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57"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364"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_GB2312"/>
                <w:color w:val="auto"/>
                <w:szCs w:val="21"/>
                <w:highlight w:val="none"/>
              </w:rPr>
              <w:t>管理体系</w:t>
            </w:r>
          </w:p>
        </w:tc>
        <w:tc>
          <w:tcPr>
            <w:tcW w:w="6225" w:type="dxa"/>
            <w:noWrap w:val="0"/>
            <w:vAlign w:val="center"/>
          </w:tcPr>
          <w:p>
            <w:pPr>
              <w:spacing w:line="360" w:lineRule="auto"/>
              <w:jc w:val="lef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投标人具有有效期内的质量管理体系认证书、环境管理体系认证书、职业健康安全管理体系认证证书的，每个得1分，最高得3分。</w:t>
            </w:r>
          </w:p>
          <w:p>
            <w:pPr>
              <w:spacing w:line="360" w:lineRule="auto"/>
              <w:jc w:val="left"/>
              <w:rPr>
                <w:rFonts w:hint="default" w:ascii="仿宋" w:hAnsi="仿宋" w:eastAsia="仿宋" w:cs="仿宋"/>
                <w:b/>
                <w:color w:val="auto"/>
                <w:sz w:val="24"/>
                <w:szCs w:val="24"/>
                <w:highlight w:val="none"/>
                <w:lang w:val="en-US" w:eastAsia="zh-CN"/>
              </w:rPr>
            </w:pPr>
            <w:r>
              <w:rPr>
                <w:rFonts w:hint="eastAsia" w:ascii="仿宋" w:hAnsi="仿宋" w:eastAsia="仿宋" w:cs="仿宋_GB2312"/>
                <w:color w:val="auto"/>
                <w:szCs w:val="21"/>
                <w:highlight w:val="none"/>
              </w:rPr>
              <w:t>注:投标文件中提供证书复印件并加盖投标</w:t>
            </w:r>
            <w:r>
              <w:rPr>
                <w:rFonts w:hint="eastAsia" w:ascii="仿宋" w:hAnsi="仿宋" w:eastAsia="仿宋" w:cs="仿宋_GB2312"/>
                <w:color w:val="auto"/>
                <w:szCs w:val="21"/>
                <w:highlight w:val="none"/>
                <w:lang w:val="en-US" w:eastAsia="zh-CN"/>
              </w:rPr>
              <w:t>人</w:t>
            </w:r>
            <w:r>
              <w:rPr>
                <w:rFonts w:hint="eastAsia" w:ascii="仿宋" w:hAnsi="仿宋" w:eastAsia="仿宋" w:cs="仿宋_GB2312"/>
                <w:color w:val="auto"/>
                <w:szCs w:val="21"/>
                <w:highlight w:val="none"/>
              </w:rPr>
              <w:t>公章，否则不得分。</w:t>
            </w:r>
          </w:p>
        </w:tc>
        <w:tc>
          <w:tcPr>
            <w:tcW w:w="855" w:type="dxa"/>
            <w:noWrap w:val="0"/>
            <w:vAlign w:val="center"/>
          </w:tcPr>
          <w:p>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_GB2312"/>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57" w:type="dxa"/>
            <w:noWrap w:val="0"/>
            <w:vAlign w:val="center"/>
          </w:tcPr>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p>
        </w:tc>
        <w:tc>
          <w:tcPr>
            <w:tcW w:w="1364" w:type="dxa"/>
            <w:noWrap w:val="0"/>
            <w:vAlign w:val="center"/>
          </w:tcPr>
          <w:p>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_GB2312"/>
                <w:color w:val="auto"/>
                <w:szCs w:val="21"/>
                <w:highlight w:val="none"/>
              </w:rPr>
              <w:t>企业信誉</w:t>
            </w:r>
          </w:p>
        </w:tc>
        <w:tc>
          <w:tcPr>
            <w:tcW w:w="6225" w:type="dxa"/>
            <w:noWrap w:val="0"/>
            <w:vAlign w:val="center"/>
          </w:tcPr>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投标人自201</w:t>
            </w:r>
            <w:r>
              <w:rPr>
                <w:rFonts w:hint="eastAsia" w:ascii="仿宋" w:hAnsi="仿宋" w:eastAsia="仿宋" w:cs="仿宋_GB2312"/>
                <w:color w:val="auto"/>
                <w:szCs w:val="21"/>
                <w:highlight w:val="none"/>
                <w:lang w:val="en-US" w:eastAsia="zh-CN"/>
              </w:rPr>
              <w:t>8</w:t>
            </w:r>
            <w:r>
              <w:rPr>
                <w:rFonts w:hint="eastAsia" w:ascii="仿宋" w:hAnsi="仿宋" w:eastAsia="仿宋" w:cs="仿宋_GB2312"/>
                <w:color w:val="auto"/>
                <w:szCs w:val="21"/>
                <w:highlight w:val="none"/>
              </w:rPr>
              <w:t>年1月1日以来，获得过</w:t>
            </w:r>
            <w:r>
              <w:rPr>
                <w:rFonts w:hint="eastAsia" w:ascii="仿宋" w:hAnsi="仿宋" w:eastAsia="仿宋" w:cs="仿宋_GB2312"/>
                <w:color w:val="auto"/>
                <w:szCs w:val="21"/>
                <w:highlight w:val="none"/>
                <w:lang w:val="en-US" w:eastAsia="zh-CN"/>
              </w:rPr>
              <w:t>行政主管单位</w:t>
            </w:r>
            <w:r>
              <w:rPr>
                <w:rFonts w:hint="eastAsia" w:ascii="仿宋" w:hAnsi="仿宋" w:eastAsia="仿宋" w:cs="仿宋_GB2312"/>
                <w:color w:val="auto"/>
                <w:szCs w:val="21"/>
                <w:highlight w:val="none"/>
              </w:rPr>
              <w:t>颁发的“守合同重信用”或“重合同守信用”企业得</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分，最高得</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分。未提供不得分。</w:t>
            </w:r>
          </w:p>
          <w:p>
            <w:pPr>
              <w:spacing w:line="440" w:lineRule="exact"/>
              <w:rPr>
                <w:rFonts w:hint="eastAsia" w:ascii="仿宋" w:hAnsi="仿宋" w:eastAsia="仿宋" w:cs="仿宋"/>
                <w:b/>
                <w:bCs/>
                <w:color w:val="auto"/>
                <w:sz w:val="24"/>
                <w:szCs w:val="24"/>
                <w:highlight w:val="none"/>
              </w:rPr>
            </w:pPr>
            <w:r>
              <w:rPr>
                <w:rFonts w:hint="eastAsia" w:ascii="仿宋" w:hAnsi="仿宋" w:eastAsia="仿宋" w:cs="仿宋_GB2312"/>
                <w:color w:val="auto"/>
                <w:szCs w:val="21"/>
                <w:highlight w:val="none"/>
              </w:rPr>
              <w:t>注:投标文件中提供证书复印件并加盖投标</w:t>
            </w:r>
            <w:r>
              <w:rPr>
                <w:rFonts w:hint="eastAsia" w:ascii="仿宋" w:hAnsi="仿宋" w:eastAsia="仿宋" w:cs="仿宋_GB2312"/>
                <w:color w:val="auto"/>
                <w:szCs w:val="21"/>
                <w:highlight w:val="none"/>
                <w:lang w:val="en-US" w:eastAsia="zh-CN"/>
              </w:rPr>
              <w:t>人</w:t>
            </w:r>
            <w:r>
              <w:rPr>
                <w:rFonts w:hint="eastAsia" w:ascii="仿宋" w:hAnsi="仿宋" w:eastAsia="仿宋" w:cs="仿宋_GB2312"/>
                <w:color w:val="auto"/>
                <w:szCs w:val="21"/>
                <w:highlight w:val="none"/>
              </w:rPr>
              <w:t xml:space="preserve">公章，否则不得分。 </w:t>
            </w:r>
          </w:p>
        </w:tc>
        <w:tc>
          <w:tcPr>
            <w:tcW w:w="855" w:type="dxa"/>
            <w:noWrap w:val="0"/>
            <w:vAlign w:val="center"/>
          </w:tcPr>
          <w:p>
            <w:pPr>
              <w:spacing w:line="44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_GB2312"/>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57" w:type="dxa"/>
            <w:noWrap w:val="0"/>
            <w:vAlign w:val="center"/>
          </w:tcPr>
          <w:p>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364" w:type="dxa"/>
            <w:noWrap w:val="0"/>
            <w:vAlign w:val="center"/>
          </w:tcPr>
          <w:p>
            <w:pPr>
              <w:spacing w:line="440" w:lineRule="exact"/>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企业荣誉</w:t>
            </w:r>
          </w:p>
        </w:tc>
        <w:tc>
          <w:tcPr>
            <w:tcW w:w="6225" w:type="dxa"/>
            <w:noWrap w:val="0"/>
            <w:vAlign w:val="center"/>
          </w:tcPr>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1、供应商自201</w:t>
            </w:r>
            <w:r>
              <w:rPr>
                <w:rFonts w:hint="eastAsia" w:ascii="仿宋" w:hAnsi="仿宋" w:eastAsia="仿宋" w:cs="仿宋_GB2312"/>
                <w:color w:val="auto"/>
                <w:szCs w:val="21"/>
                <w:highlight w:val="none"/>
                <w:lang w:val="en-US" w:eastAsia="zh-CN"/>
              </w:rPr>
              <w:t>8</w:t>
            </w:r>
            <w:r>
              <w:rPr>
                <w:rFonts w:hint="eastAsia" w:ascii="仿宋" w:hAnsi="仿宋" w:eastAsia="仿宋" w:cs="仿宋_GB2312"/>
                <w:color w:val="auto"/>
                <w:szCs w:val="21"/>
                <w:highlight w:val="none"/>
              </w:rPr>
              <w:t>年1月1日起（以获得证书的落款时间为准）获得过政府部门或城建协会颁发的环卫类集体荣誉证书的，省级得</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分，市级得2分，区级得1分。</w:t>
            </w:r>
          </w:p>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（投标文件中须提供荣誉证书或文件复印件加盖投标人公章，不提供不得分）</w:t>
            </w:r>
          </w:p>
        </w:tc>
        <w:tc>
          <w:tcPr>
            <w:tcW w:w="855" w:type="dxa"/>
            <w:noWrap w:val="0"/>
            <w:vAlign w:val="center"/>
          </w:tcPr>
          <w:p>
            <w:pPr>
              <w:spacing w:line="440" w:lineRule="exact"/>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57" w:type="dxa"/>
            <w:noWrap w:val="0"/>
            <w:vAlign w:val="center"/>
          </w:tcPr>
          <w:p>
            <w:pPr>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364" w:type="dxa"/>
            <w:noWrap w:val="0"/>
            <w:vAlign w:val="center"/>
          </w:tcPr>
          <w:p>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_GB2312"/>
                <w:color w:val="auto"/>
                <w:szCs w:val="21"/>
                <w:highlight w:val="none"/>
              </w:rPr>
              <w:t>人员配备</w:t>
            </w:r>
          </w:p>
        </w:tc>
        <w:tc>
          <w:tcPr>
            <w:tcW w:w="6225" w:type="dxa"/>
            <w:noWrap w:val="0"/>
            <w:vAlign w:val="center"/>
          </w:tcPr>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1.人员配备计划符合招标文件要求的得1分，每增加1人加1分，最高得3分;</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_GB2312"/>
                <w:color w:val="auto"/>
                <w:szCs w:val="21"/>
                <w:highlight w:val="none"/>
              </w:rPr>
              <w:t>2.内部人员管理体系完善，各岗位职责明确，内部考核机制完善得4</w:t>
            </w:r>
            <w:r>
              <w:rPr>
                <w:rFonts w:hint="eastAsia" w:ascii="仿宋" w:hAnsi="仿宋" w:eastAsia="仿宋" w:cs="仿宋_GB2312"/>
                <w:color w:val="auto"/>
                <w:szCs w:val="21"/>
                <w:highlight w:val="none"/>
                <w:lang w:val="en-US" w:eastAsia="zh-CN"/>
              </w:rPr>
              <w:t>.</w:t>
            </w:r>
            <w:r>
              <w:rPr>
                <w:rFonts w:hint="eastAsia" w:ascii="仿宋" w:hAnsi="仿宋" w:eastAsia="仿宋" w:cs="仿宋_GB2312"/>
                <w:color w:val="auto"/>
                <w:szCs w:val="21"/>
                <w:highlight w:val="none"/>
              </w:rPr>
              <w:t>1-6分，合理的得2.1-4分，一般的得0</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 xml:space="preserve">-2分，未提供不得分。 </w:t>
            </w:r>
          </w:p>
        </w:tc>
        <w:tc>
          <w:tcPr>
            <w:tcW w:w="855" w:type="dxa"/>
            <w:noWrap w:val="0"/>
            <w:vAlign w:val="center"/>
          </w:tcPr>
          <w:p>
            <w:pPr>
              <w:spacing w:line="360" w:lineRule="auto"/>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_GB2312"/>
                <w:color w:val="auto"/>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64"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_GB2312"/>
                <w:color w:val="auto"/>
                <w:szCs w:val="21"/>
                <w:highlight w:val="none"/>
              </w:rPr>
              <w:t>日常保洁工作管理计划及管理措施</w:t>
            </w:r>
          </w:p>
        </w:tc>
        <w:tc>
          <w:tcPr>
            <w:tcW w:w="6225" w:type="dxa"/>
            <w:noWrap w:val="0"/>
            <w:vAlign w:val="center"/>
          </w:tcPr>
          <w:p>
            <w:pPr>
              <w:spacing w:line="440" w:lineRule="exact"/>
              <w:rPr>
                <w:rFonts w:hint="eastAsia" w:ascii="仿宋" w:hAnsi="仿宋" w:eastAsia="仿宋" w:cs="仿宋"/>
                <w:bCs/>
                <w:color w:val="auto"/>
                <w:sz w:val="24"/>
                <w:szCs w:val="24"/>
                <w:highlight w:val="none"/>
              </w:rPr>
            </w:pPr>
            <w:r>
              <w:rPr>
                <w:rFonts w:hint="eastAsia" w:ascii="仿宋" w:hAnsi="仿宋" w:eastAsia="仿宋" w:cs="仿宋_GB2312"/>
                <w:color w:val="auto"/>
                <w:szCs w:val="21"/>
                <w:highlight w:val="none"/>
              </w:rPr>
              <w:t>日常保洁工作管理计划和管理措放(应提出如何做好日常保洁工作、管理等工作的具体措施)，由评委横向比较打分，保洁工作管理计划和措施详细完整、突出重点难点</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可实</w:t>
            </w:r>
            <w:r>
              <w:rPr>
                <w:rFonts w:hint="eastAsia" w:ascii="仿宋" w:hAnsi="仿宋" w:eastAsia="仿宋" w:cs="仿宋_GB2312"/>
                <w:color w:val="auto"/>
                <w:szCs w:val="21"/>
                <w:highlight w:val="none"/>
                <w:lang w:val="en-US" w:eastAsia="zh-CN"/>
              </w:rPr>
              <w:t>施</w:t>
            </w:r>
            <w:r>
              <w:rPr>
                <w:rFonts w:hint="eastAsia" w:ascii="仿宋" w:hAnsi="仿宋" w:eastAsia="仿宋" w:cs="仿宋_GB2312"/>
                <w:color w:val="auto"/>
                <w:szCs w:val="21"/>
                <w:highlight w:val="none"/>
              </w:rPr>
              <w:t>性强得</w:t>
            </w:r>
            <w:r>
              <w:rPr>
                <w:rFonts w:hint="eastAsia" w:ascii="仿宋" w:hAnsi="仿宋" w:eastAsia="仿宋" w:cs="仿宋_GB2312"/>
                <w:color w:val="auto"/>
                <w:szCs w:val="21"/>
                <w:highlight w:val="none"/>
                <w:lang w:val="en-US" w:eastAsia="zh-CN"/>
              </w:rPr>
              <w:t>6.</w:t>
            </w: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val="en-US" w:eastAsia="zh-CN"/>
              </w:rPr>
              <w:t>9</w:t>
            </w:r>
            <w:r>
              <w:rPr>
                <w:rFonts w:hint="eastAsia" w:ascii="仿宋" w:hAnsi="仿宋" w:eastAsia="仿宋" w:cs="仿宋_GB2312"/>
                <w:color w:val="auto"/>
                <w:szCs w:val="21"/>
                <w:highlight w:val="none"/>
              </w:rPr>
              <w:t>分</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保洁工作管理计划和措施较合理得</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val="en-US" w:eastAsia="zh-CN"/>
              </w:rPr>
              <w:t>6</w:t>
            </w:r>
            <w:r>
              <w:rPr>
                <w:rFonts w:hint="eastAsia" w:ascii="仿宋" w:hAnsi="仿宋" w:eastAsia="仿宋" w:cs="仿宋_GB2312"/>
                <w:color w:val="auto"/>
                <w:szCs w:val="21"/>
                <w:highlight w:val="none"/>
              </w:rPr>
              <w:t>分，保洁工作管理计划不够完善、可实施性一般得0</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分，未提供不得分。</w:t>
            </w:r>
          </w:p>
        </w:tc>
        <w:tc>
          <w:tcPr>
            <w:tcW w:w="855" w:type="dxa"/>
            <w:noWrap w:val="0"/>
            <w:vAlign w:val="center"/>
          </w:tcPr>
          <w:p>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_GB2312"/>
                <w:color w:val="auto"/>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64"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_GB2312"/>
                <w:color w:val="auto"/>
                <w:szCs w:val="21"/>
                <w:highlight w:val="none"/>
              </w:rPr>
              <w:t>安全管理制度及安全生产保障措施</w:t>
            </w:r>
          </w:p>
        </w:tc>
        <w:tc>
          <w:tcPr>
            <w:tcW w:w="6225" w:type="dxa"/>
            <w:noWrap w:val="0"/>
            <w:vAlign w:val="center"/>
          </w:tcPr>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安全管理制度及安全生产保障措施，由评委横向比较打分，安全管理制度及安全生产保障措施详细完善、突出重点难点，可实施性强得</w:t>
            </w:r>
            <w:r>
              <w:rPr>
                <w:rFonts w:hint="eastAsia" w:ascii="仿宋" w:hAnsi="仿宋" w:eastAsia="仿宋" w:cs="仿宋_GB2312"/>
                <w:color w:val="auto"/>
                <w:szCs w:val="21"/>
                <w:highlight w:val="none"/>
                <w:lang w:val="en-US" w:eastAsia="zh-CN"/>
              </w:rPr>
              <w:t>5.</w:t>
            </w: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val="en-US" w:eastAsia="zh-CN"/>
              </w:rPr>
              <w:t>7</w:t>
            </w:r>
            <w:r>
              <w:rPr>
                <w:rFonts w:hint="eastAsia" w:ascii="仿宋" w:hAnsi="仿宋" w:eastAsia="仿宋" w:cs="仿宋_GB2312"/>
                <w:color w:val="auto"/>
                <w:szCs w:val="21"/>
                <w:highlight w:val="none"/>
              </w:rPr>
              <w:t>分，安全管理制度及安全生产保障措施较完善合理得</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val="en-US" w:eastAsia="zh-CN"/>
              </w:rPr>
              <w:t>5</w:t>
            </w:r>
            <w:r>
              <w:rPr>
                <w:rFonts w:hint="eastAsia" w:ascii="仿宋" w:hAnsi="仿宋" w:eastAsia="仿宋" w:cs="仿宋_GB2312"/>
                <w:color w:val="auto"/>
                <w:szCs w:val="21"/>
                <w:highlight w:val="none"/>
              </w:rPr>
              <w:t>分，安全管理制度及安全生产保障措施不够完整、可实施性一般得0</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分，未提供不得分。</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_GB2312"/>
                <w:color w:val="auto"/>
                <w:szCs w:val="21"/>
                <w:highlight w:val="none"/>
              </w:rPr>
              <w:t>2</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具备安全生产标准化三级企业证书的得2分，未提供的不得分</w:t>
            </w:r>
            <w:r>
              <w:rPr>
                <w:rFonts w:hint="eastAsia" w:ascii="仿宋" w:hAnsi="仿宋" w:eastAsia="仿宋" w:cs="仿宋_GB2312"/>
                <w:color w:val="auto"/>
                <w:szCs w:val="21"/>
                <w:highlight w:val="none"/>
                <w:lang w:val="en-US" w:eastAsia="zh-CN"/>
              </w:rPr>
              <w:t>。</w:t>
            </w:r>
            <w:r>
              <w:rPr>
                <w:rFonts w:hint="eastAsia" w:ascii="仿宋" w:hAnsi="仿宋" w:eastAsia="仿宋" w:cs="仿宋_GB2312"/>
                <w:color w:val="auto"/>
                <w:szCs w:val="21"/>
                <w:highlight w:val="none"/>
              </w:rPr>
              <w:t xml:space="preserve">投标文件须附证书扫描件，且在有效期内。 </w:t>
            </w:r>
          </w:p>
        </w:tc>
        <w:tc>
          <w:tcPr>
            <w:tcW w:w="855" w:type="dxa"/>
            <w:noWrap w:val="0"/>
            <w:vAlign w:val="center"/>
          </w:tcPr>
          <w:p>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_GB2312"/>
                <w:color w:val="auto"/>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64"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_GB2312"/>
                <w:color w:val="auto"/>
                <w:szCs w:val="21"/>
                <w:highlight w:val="none"/>
              </w:rPr>
              <w:t>环境保护措施</w:t>
            </w:r>
          </w:p>
        </w:tc>
        <w:tc>
          <w:tcPr>
            <w:tcW w:w="6225" w:type="dxa"/>
            <w:noWrap w:val="0"/>
            <w:vAlign w:val="center"/>
          </w:tcPr>
          <w:p>
            <w:pPr>
              <w:pStyle w:val="13"/>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_GB2312"/>
                <w:color w:val="auto"/>
                <w:szCs w:val="21"/>
                <w:highlight w:val="none"/>
              </w:rPr>
              <w:t>文明作业，环境保护措施，由评委横向比较打分，环境保护措施详细完善、突出重点难点，可实施性强得7.1-10分，环境保护措施较合理得4</w:t>
            </w:r>
            <w:r>
              <w:rPr>
                <w:rFonts w:hint="eastAsia" w:ascii="仿宋" w:hAnsi="仿宋" w:eastAsia="仿宋" w:cs="仿宋_GB2312"/>
                <w:color w:val="auto"/>
                <w:szCs w:val="21"/>
                <w:highlight w:val="none"/>
                <w:lang w:val="en-US" w:eastAsia="zh-CN"/>
              </w:rPr>
              <w:t>.</w:t>
            </w:r>
            <w:r>
              <w:rPr>
                <w:rFonts w:hint="eastAsia" w:ascii="仿宋" w:hAnsi="仿宋" w:eastAsia="仿宋" w:cs="仿宋_GB2312"/>
                <w:color w:val="auto"/>
                <w:szCs w:val="21"/>
                <w:highlight w:val="none"/>
              </w:rPr>
              <w:t>1-7分，环境保护措施不够完善、可实施性一般得0</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-4分，未提供不得分。</w:t>
            </w:r>
          </w:p>
        </w:tc>
        <w:tc>
          <w:tcPr>
            <w:tcW w:w="855" w:type="dxa"/>
            <w:noWrap w:val="0"/>
            <w:vAlign w:val="center"/>
          </w:tcPr>
          <w:p>
            <w:pPr>
              <w:spacing w:line="36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_GB2312"/>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64" w:type="dxa"/>
            <w:noWrap w:val="0"/>
            <w:vAlign w:val="center"/>
          </w:tcPr>
          <w:p>
            <w:pPr>
              <w:spacing w:line="440" w:lineRule="exact"/>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kern w:val="2"/>
                <w:sz w:val="21"/>
                <w:szCs w:val="21"/>
                <w:highlight w:val="none"/>
                <w:lang w:val="en-US" w:eastAsia="zh-CN" w:bidi="ar-SA"/>
              </w:rPr>
              <w:t>应急措施</w:t>
            </w:r>
          </w:p>
        </w:tc>
        <w:tc>
          <w:tcPr>
            <w:tcW w:w="6225" w:type="dxa"/>
            <w:noWrap w:val="0"/>
            <w:vAlign w:val="center"/>
          </w:tcPr>
          <w:p>
            <w:pPr>
              <w:pStyle w:val="13"/>
              <w:ind w:left="0" w:leftChars="0" w:firstLine="0" w:firstLineChars="0"/>
              <w:rPr>
                <w:rFonts w:hint="eastAsia" w:ascii="仿宋" w:hAnsi="仿宋" w:eastAsia="仿宋" w:cs="仿宋_GB2312"/>
                <w:snapToGrid/>
                <w:color w:val="auto"/>
                <w:sz w:val="21"/>
                <w:highlight w:val="none"/>
                <w:lang w:val="en-US"/>
              </w:rPr>
            </w:pPr>
            <w:r>
              <w:rPr>
                <w:rFonts w:hint="eastAsia" w:ascii="仿宋" w:hAnsi="仿宋" w:eastAsia="仿宋" w:cs="仿宋_GB2312"/>
                <w:color w:val="auto"/>
                <w:kern w:val="2"/>
                <w:sz w:val="21"/>
                <w:szCs w:val="21"/>
                <w:highlight w:val="none"/>
                <w:lang w:val="en-US" w:eastAsia="zh-CN" w:bidi="ar-SA"/>
              </w:rPr>
              <w:t>针对抗台、防汛和突击任务、不可预见等分别制定保障方案。应急保障方案科学合理，针对性好、操作性强，有重点的做好河面保洁区域(须注明增加船只、人员及在要求期限内完成的各类具体措施)等方面由评委进行分析比较、评议、确定档次，独立打分。优:7.1-10分，良:4.1-7分，一般:0-4分。未提供不得分。</w:t>
            </w:r>
          </w:p>
        </w:tc>
        <w:tc>
          <w:tcPr>
            <w:tcW w:w="855" w:type="dxa"/>
            <w:noWrap w:val="0"/>
            <w:vAlign w:val="center"/>
          </w:tcPr>
          <w:p>
            <w:pP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64" w:type="dxa"/>
            <w:noWrap w:val="0"/>
            <w:vAlign w:val="center"/>
          </w:tcPr>
          <w:p>
            <w:pPr>
              <w:spacing w:line="44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Cs w:val="21"/>
                <w:highlight w:val="none"/>
              </w:rPr>
              <w:t>投标人</w:t>
            </w:r>
            <w:r>
              <w:rPr>
                <w:rFonts w:hint="eastAsia" w:ascii="仿宋" w:hAnsi="仿宋" w:eastAsia="仿宋" w:cs="仿宋_GB2312"/>
                <w:color w:val="auto"/>
                <w:szCs w:val="21"/>
                <w:highlight w:val="none"/>
                <w:lang w:val="en-US" w:eastAsia="zh-CN"/>
              </w:rPr>
              <w:t>业绩</w:t>
            </w:r>
          </w:p>
        </w:tc>
        <w:tc>
          <w:tcPr>
            <w:tcW w:w="6225" w:type="dxa"/>
            <w:noWrap w:val="0"/>
            <w:vAlign w:val="center"/>
          </w:tcPr>
          <w:p>
            <w:pPr>
              <w:spacing w:line="440" w:lineRule="exact"/>
              <w:rPr>
                <w:rFonts w:hint="eastAsia" w:ascii="仿宋" w:hAnsi="仿宋" w:eastAsia="仿宋" w:cs="仿宋"/>
                <w:bCs/>
                <w:color w:val="auto"/>
                <w:sz w:val="24"/>
                <w:szCs w:val="24"/>
                <w:highlight w:val="none"/>
                <w:lang w:eastAsia="zh-CN"/>
              </w:rPr>
            </w:pPr>
            <w:r>
              <w:rPr>
                <w:rFonts w:hint="eastAsia" w:ascii="仿宋" w:hAnsi="仿宋" w:eastAsia="仿宋" w:cs="仿宋_GB2312"/>
                <w:color w:val="auto"/>
                <w:szCs w:val="21"/>
                <w:highlight w:val="none"/>
              </w:rPr>
              <w:t>投标人自2018年1月以来(以合同签订时间为准)从事类似河道保洁业绩，提供一个得</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分，最高得</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 xml:space="preserve">分。投标文件中提供合同原件彩色扫描件或图片，未提供不得分。 </w:t>
            </w:r>
          </w:p>
        </w:tc>
        <w:tc>
          <w:tcPr>
            <w:tcW w:w="855" w:type="dxa"/>
            <w:noWrap w:val="0"/>
            <w:vAlign w:val="center"/>
          </w:tcPr>
          <w:p>
            <w:pPr>
              <w:spacing w:line="360" w:lineRule="auto"/>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_GB2312"/>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64" w:type="dxa"/>
            <w:noWrap w:val="0"/>
            <w:vAlign w:val="center"/>
          </w:tcPr>
          <w:p>
            <w:pPr>
              <w:spacing w:line="440" w:lineRule="exact"/>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河道垃圾(含河岸垃圾)堆放、转运及处置方法</w:t>
            </w:r>
          </w:p>
        </w:tc>
        <w:tc>
          <w:tcPr>
            <w:tcW w:w="6225" w:type="dxa"/>
            <w:noWrap w:val="0"/>
            <w:vAlign w:val="center"/>
          </w:tcPr>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投标人能够详细提出河道垃圾堆放、转运及处置，分析合理可操作性强的方法;由评标委员会综合比较后独立打分。优:4.1-6分，良:2.1-4分，一般:0</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 xml:space="preserve">-2分，未提供不得分。 </w:t>
            </w:r>
          </w:p>
        </w:tc>
        <w:tc>
          <w:tcPr>
            <w:tcW w:w="855" w:type="dxa"/>
            <w:noWrap w:val="0"/>
            <w:vAlign w:val="center"/>
          </w:tcPr>
          <w:p>
            <w:pP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64" w:type="dxa"/>
            <w:noWrap w:val="0"/>
            <w:vAlign w:val="center"/>
          </w:tcPr>
          <w:p>
            <w:pPr>
              <w:spacing w:line="440" w:lineRule="exact"/>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巡查人员及项目经理</w:t>
            </w:r>
          </w:p>
        </w:tc>
        <w:tc>
          <w:tcPr>
            <w:tcW w:w="6225" w:type="dxa"/>
            <w:noWrap w:val="0"/>
            <w:vAlign w:val="center"/>
          </w:tcPr>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1、拟投入本项目巡查人员具有有效期内海事部门颁发的内河船舶船员适任证书的，每提供1本得2分，最高得2分;</w:t>
            </w:r>
          </w:p>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2、拟任本项目的项目经理具备下列条件的，每项得1分，最高得</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分:</w:t>
            </w:r>
          </w:p>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具备环卫类项目经理证书或物业管理经理资格证书;</w:t>
            </w:r>
          </w:p>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获得过地市级及以上环卫类先进个人荣誉。</w:t>
            </w:r>
          </w:p>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注:投标文件中提供相关证明材料复印件及最近3个月社保缴纳记录复印件，未提供</w:t>
            </w:r>
            <w:r>
              <w:rPr>
                <w:rFonts w:hint="eastAsia" w:ascii="仿宋" w:hAnsi="仿宋" w:eastAsia="仿宋" w:cs="仿宋_GB2312"/>
                <w:color w:val="auto"/>
                <w:szCs w:val="21"/>
                <w:highlight w:val="none"/>
                <w:lang w:val="en-US" w:eastAsia="zh-CN"/>
              </w:rPr>
              <w:t>相关资料</w:t>
            </w:r>
            <w:r>
              <w:rPr>
                <w:rFonts w:hint="eastAsia" w:ascii="仿宋" w:hAnsi="仿宋" w:eastAsia="仿宋" w:cs="仿宋_GB2312"/>
                <w:color w:val="auto"/>
                <w:szCs w:val="21"/>
                <w:highlight w:val="none"/>
              </w:rPr>
              <w:t>的</w:t>
            </w:r>
            <w:r>
              <w:rPr>
                <w:rFonts w:hint="eastAsia" w:ascii="仿宋" w:hAnsi="仿宋" w:eastAsia="仿宋" w:cs="仿宋_GB2312"/>
                <w:color w:val="auto"/>
                <w:szCs w:val="21"/>
                <w:highlight w:val="none"/>
                <w:lang w:val="en-US" w:eastAsia="zh-CN"/>
              </w:rPr>
              <w:t>该</w:t>
            </w:r>
            <w:r>
              <w:rPr>
                <w:rFonts w:hint="eastAsia" w:ascii="仿宋" w:hAnsi="仿宋" w:eastAsia="仿宋" w:cs="仿宋_GB2312"/>
                <w:color w:val="auto"/>
                <w:szCs w:val="21"/>
                <w:highlight w:val="none"/>
              </w:rPr>
              <w:t>打分项不得分。</w:t>
            </w:r>
          </w:p>
        </w:tc>
        <w:tc>
          <w:tcPr>
            <w:tcW w:w="855" w:type="dxa"/>
            <w:noWrap w:val="0"/>
            <w:vAlign w:val="center"/>
          </w:tcPr>
          <w:p>
            <w:pP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364" w:type="dxa"/>
            <w:noWrap w:val="0"/>
            <w:vAlign w:val="center"/>
          </w:tcPr>
          <w:p>
            <w:pPr>
              <w:spacing w:line="440" w:lineRule="exact"/>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服务能力</w:t>
            </w:r>
          </w:p>
        </w:tc>
        <w:tc>
          <w:tcPr>
            <w:tcW w:w="6225" w:type="dxa"/>
            <w:noWrap w:val="0"/>
            <w:vAlign w:val="center"/>
          </w:tcPr>
          <w:p>
            <w:pPr>
              <w:spacing w:line="440" w:lineRule="exact"/>
              <w:rPr>
                <w:rFonts w:hint="eastAsia" w:ascii="仿宋" w:hAnsi="仿宋" w:eastAsia="仿宋" w:cs="仿宋_GB2312"/>
                <w:color w:val="auto"/>
                <w:szCs w:val="21"/>
                <w:highlight w:val="none"/>
              </w:rPr>
            </w:pPr>
            <w:bookmarkStart w:id="84" w:name="_GoBack"/>
            <w:r>
              <w:rPr>
                <w:rFonts w:hint="eastAsia" w:ascii="仿宋" w:hAnsi="仿宋" w:eastAsia="仿宋" w:cs="仿宋_GB2312"/>
                <w:color w:val="auto"/>
                <w:szCs w:val="21"/>
                <w:highlight w:val="none"/>
              </w:rPr>
              <w:t>1、投标人需自有垃圾处理船（船体材料钢质）。每提供1艘得</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分，最多得</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分。（投标人提供相应的中华人民共和国海事局颁发的船舶所有权登记证书、船舶国籍证书、船舶检验证书等资料扫描件并加盖投标单位公章，且需在有效期内，否则不得分）</w:t>
            </w:r>
          </w:p>
          <w:p>
            <w:pPr>
              <w:spacing w:line="4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2、投标人需自有塑料小船。每提供1艘得</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分，最多得</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分。（投标文件中需提供相应发票证明并加盖投标单位公章，否则不得分）</w:t>
            </w:r>
            <w:bookmarkEnd w:id="84"/>
          </w:p>
        </w:tc>
        <w:tc>
          <w:tcPr>
            <w:tcW w:w="855" w:type="dxa"/>
            <w:noWrap w:val="0"/>
            <w:vAlign w:val="center"/>
          </w:tcPr>
          <w:p>
            <w:pP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r>
    </w:tbl>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color w:val="auto"/>
          <w:kern w:val="0"/>
          <w:sz w:val="24"/>
          <w:highlight w:val="none"/>
          <w:u w:val="none"/>
        </w:rPr>
        <w:t>（提示：打分表，服务类原则上为70分；证明材料为第三方的，不得要求原件扫描件或图片</w:t>
      </w:r>
      <w:r>
        <w:rPr>
          <w:rFonts w:ascii="仿宋" w:eastAsia="仿宋"/>
          <w:color w:val="auto"/>
          <w:kern w:val="0"/>
          <w:sz w:val="24"/>
          <w:highlight w:val="none"/>
          <w:u w:val="none"/>
        </w:rPr>
        <w:t>。业绩分不得超过价格分的10%。</w:t>
      </w:r>
      <w:r>
        <w:rPr>
          <w:rFonts w:hint="eastAsia" w:ascii="仿宋" w:eastAsia="仿宋"/>
          <w:color w:val="auto"/>
          <w:kern w:val="0"/>
          <w:sz w:val="24"/>
          <w:highlight w:val="none"/>
          <w:u w:val="none"/>
        </w:rPr>
        <w:t>）</w:t>
      </w:r>
    </w:p>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pPr>
        <w:widowControl/>
        <w:snapToGrid w:val="0"/>
        <w:spacing w:line="480" w:lineRule="exact"/>
        <w:ind w:left="0"/>
        <w:rPr>
          <w:rFonts w:hint="eastAsia" w:ascii="仿宋" w:eastAsia="仿宋"/>
          <w:bCs/>
          <w:iCs/>
          <w:color w:val="auto"/>
          <w:sz w:val="24"/>
          <w:highlight w:val="none"/>
          <w:u w:val="single"/>
        </w:rPr>
      </w:pPr>
    </w:p>
    <w:p>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93172444"/>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ascii="仿宋"/>
          <w:color w:val="auto"/>
          <w:highlight w:val="none"/>
        </w:rPr>
      </w:pPr>
    </w:p>
    <w:p>
      <w:pPr>
        <w:rPr>
          <w:rFonts w:hint="eastAsia" w:ascii="仿宋"/>
          <w:color w:val="auto"/>
          <w:highlight w:val="none"/>
        </w:rPr>
      </w:pPr>
    </w:p>
    <w:p>
      <w:pPr>
        <w:pStyle w:val="33"/>
        <w:rPr>
          <w:rFonts w:hint="eastAsia"/>
          <w:color w:val="auto"/>
          <w:highlight w:val="none"/>
        </w:rPr>
      </w:pPr>
    </w:p>
    <w:p>
      <w:pPr>
        <w:pStyle w:val="4"/>
        <w:keepNext/>
        <w:keepLines/>
        <w:pageBreakBefore w:val="0"/>
        <w:widowControl w:val="0"/>
        <w:suppressLineNumbers w:val="0"/>
        <w:suppressAutoHyphens w:val="0"/>
        <w:spacing w:line="578" w:lineRule="auto"/>
        <w:jc w:val="center"/>
        <w:rPr>
          <w:rFonts w:hint="eastAsia" w:ascii="仿宋"/>
          <w:color w:val="auto"/>
          <w:highlight w:val="none"/>
        </w:rPr>
      </w:pPr>
    </w:p>
    <w:p>
      <w:pPr>
        <w:pStyle w:val="4"/>
        <w:keepNext/>
        <w:keepLines/>
        <w:pageBreakBefore w:val="0"/>
        <w:widowControl w:val="0"/>
        <w:suppressLineNumbers w:val="0"/>
        <w:suppressAutoHyphens w:val="0"/>
        <w:spacing w:line="578" w:lineRule="auto"/>
        <w:jc w:val="center"/>
        <w:rPr>
          <w:rFonts w:hint="eastAsia" w:ascii="仿宋"/>
          <w:color w:val="auto"/>
          <w:highlight w:val="none"/>
        </w:rPr>
      </w:pPr>
    </w:p>
    <w:p>
      <w:pPr>
        <w:pStyle w:val="4"/>
        <w:keepNext/>
        <w:keepLines/>
        <w:pageBreakBefore w:val="0"/>
        <w:widowControl w:val="0"/>
        <w:suppressLineNumbers w:val="0"/>
        <w:suppressAutoHyphens w:val="0"/>
        <w:spacing w:line="578" w:lineRule="auto"/>
        <w:jc w:val="center"/>
        <w:rPr>
          <w:rFonts w:hint="eastAsia" w:ascii="仿宋"/>
          <w:color w:val="auto"/>
          <w:highlight w:val="none"/>
        </w:rPr>
      </w:pPr>
    </w:p>
    <w:p>
      <w:pPr>
        <w:rPr>
          <w:rFonts w:hint="eastAsia" w:ascii="仿宋"/>
          <w:color w:val="auto"/>
          <w:highlight w:val="none"/>
        </w:rPr>
      </w:pPr>
    </w:p>
    <w:p>
      <w:pPr>
        <w:pStyle w:val="5"/>
        <w:rPr>
          <w:rFonts w:hint="eastAsia" w:ascii="仿宋"/>
          <w:color w:val="auto"/>
          <w:highlight w:val="none"/>
        </w:rPr>
      </w:pPr>
    </w:p>
    <w:p>
      <w:pPr>
        <w:rPr>
          <w:rFonts w:hint="eastAsia" w:ascii="仿宋"/>
          <w:color w:val="auto"/>
          <w:highlight w:val="none"/>
        </w:rPr>
      </w:pPr>
    </w:p>
    <w:p>
      <w:pPr>
        <w:pStyle w:val="5"/>
        <w:rPr>
          <w:rFonts w:hint="eastAsia" w:ascii="仿宋"/>
          <w:color w:val="auto"/>
          <w:highlight w:val="none"/>
        </w:rPr>
      </w:pPr>
    </w:p>
    <w:p>
      <w:pPr>
        <w:rPr>
          <w:rFonts w:hint="eastAsia" w:ascii="仿宋"/>
          <w:color w:val="auto"/>
          <w:highlight w:val="none"/>
        </w:rPr>
      </w:pPr>
    </w:p>
    <w:p>
      <w:pPr>
        <w:pStyle w:val="5"/>
        <w:rPr>
          <w:rFonts w:hint="eastAsia" w:ascii="仿宋"/>
          <w:color w:val="auto"/>
          <w:highlight w:val="none"/>
        </w:rPr>
      </w:pPr>
    </w:p>
    <w:p>
      <w:pPr>
        <w:rPr>
          <w:rFonts w:hint="eastAsia"/>
        </w:rPr>
      </w:pPr>
    </w:p>
    <w:p>
      <w:pPr>
        <w:pStyle w:val="4"/>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4"/>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45" w:name="_Toc64369786"/>
      <w:r>
        <w:rPr>
          <w:rFonts w:hint="eastAsia" w:ascii="仿宋" w:eastAsia="仿宋" w:cs="仿宋_GB2312"/>
          <w:color w:val="auto"/>
          <w:sz w:val="30"/>
          <w:szCs w:val="30"/>
          <w:highlight w:val="none"/>
        </w:rPr>
        <w:t>目 录</w:t>
      </w:r>
      <w:bookmarkEnd w:id="45"/>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pPr>
        <w:pStyle w:val="38"/>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pPr>
        <w:pStyle w:val="38"/>
        <w:spacing w:line="360" w:lineRule="auto"/>
        <w:ind w:firstLine="240" w:firstLineChars="100"/>
        <w:jc w:val="left"/>
        <w:rPr>
          <w:rFonts w:hint="eastAsia" w:ascii="仿宋" w:eastAsia="仿宋" w:cs="仿宋_GB2312"/>
          <w:color w:val="auto"/>
          <w:highlight w:val="none"/>
        </w:rPr>
      </w:pPr>
      <w:bookmarkStart w:id="46"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46"/>
    </w:p>
    <w:p>
      <w:pPr>
        <w:pStyle w:val="38"/>
        <w:spacing w:line="360" w:lineRule="auto"/>
        <w:ind w:firstLine="240" w:firstLineChars="100"/>
        <w:jc w:val="left"/>
        <w:rPr>
          <w:rFonts w:hint="eastAsia" w:ascii="仿宋" w:eastAsia="仿宋" w:cs="仿宋_GB2312"/>
          <w:color w:val="auto"/>
          <w:highlight w:val="none"/>
        </w:rPr>
      </w:pPr>
      <w:bookmarkStart w:id="47" w:name="_Toc64369788"/>
      <w:r>
        <w:rPr>
          <w:rFonts w:ascii="仿宋" w:eastAsia="仿宋" w:cs="仿宋_GB2312"/>
          <w:color w:val="auto"/>
          <w:highlight w:val="none"/>
        </w:rPr>
        <w:t>5</w:t>
      </w:r>
      <w:r>
        <w:rPr>
          <w:rFonts w:hint="eastAsia" w:ascii="仿宋" w:eastAsia="仿宋" w:cs="仿宋_GB2312"/>
          <w:color w:val="auto"/>
          <w:highlight w:val="none"/>
        </w:rPr>
        <w:t>.</w:t>
      </w:r>
      <w:r>
        <w:rPr>
          <w:rFonts w:hint="eastAsia" w:ascii="仿宋" w:eastAsia="仿宋" w:cs="仿宋_GB2312"/>
          <w:color w:val="auto"/>
          <w:highlight w:val="none"/>
          <w:lang w:val="en-US" w:eastAsia="zh-CN"/>
        </w:rPr>
        <w:t>2</w:t>
      </w:r>
      <w:r>
        <w:rPr>
          <w:rFonts w:hint="eastAsia" w:ascii="仿宋" w:eastAsia="仿宋" w:cs="仿宋_GB2312"/>
          <w:color w:val="auto"/>
          <w:highlight w:val="none"/>
        </w:rPr>
        <w:t>特定资格条件的有关证明材料（如有）………………………………（页码）</w:t>
      </w:r>
      <w:bookmarkEnd w:id="47"/>
    </w:p>
    <w:p>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.中小企业声明函……………………………………………………………（页码）</w:t>
      </w:r>
    </w:p>
    <w:p>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7</w:t>
      </w:r>
      <w:r>
        <w:rPr>
          <w:rFonts w:hint="eastAsia" w:ascii="仿宋" w:eastAsia="仿宋" w:cs="仿宋_GB2312"/>
          <w:color w:val="auto"/>
          <w:highlight w:val="none"/>
        </w:rPr>
        <w:t>.残疾人福利性单位声明函（如有）………………………………………（页码）</w:t>
      </w:r>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声明参加本次政府采购活动前三年内，在经营活动中没有重大违法记录；也</w:t>
      </w:r>
      <w:r>
        <w:rPr>
          <w:rFonts w:hint="eastAsia" w:ascii="仿宋" w:eastAsia="仿宋" w:cs="仿宋_GB2312"/>
          <w:b/>
          <w:bCs/>
          <w:color w:val="auto"/>
          <w:sz w:val="24"/>
          <w:szCs w:val="20"/>
          <w:highlight w:val="none"/>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6.投标文件自开标日起有效期为60天。若延长投标有效期，需经我方同意</w:t>
      </w:r>
      <w:r>
        <w:rPr>
          <w:rFonts w:hint="eastAsia" w:ascii="仿宋" w:eastAsia="仿宋"/>
          <w:color w:val="auto"/>
          <w:szCs w:val="24"/>
          <w:highlight w:val="none"/>
        </w:rPr>
        <w:t>。</w:t>
      </w:r>
    </w:p>
    <w:p>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4"/>
        <w:spacing w:after="50" w:afterLines="0" w:line="440" w:lineRule="exact"/>
        <w:rPr>
          <w:rFonts w:hint="eastAsia" w:ascii="仿宋" w:eastAsia="仿宋"/>
          <w:color w:val="auto"/>
          <w:szCs w:val="24"/>
          <w:highlight w:val="none"/>
        </w:rPr>
      </w:pP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4"/>
        <w:spacing w:after="50" w:afterLines="0" w:line="440" w:lineRule="exact"/>
        <w:rPr>
          <w:rFonts w:hint="eastAsia" w:ascii="仿宋" w:eastAsia="仿宋"/>
          <w:color w:val="auto"/>
          <w:szCs w:val="24"/>
          <w:highlight w:val="none"/>
        </w:rPr>
      </w:pPr>
    </w:p>
    <w:p>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pPr>
        <w:pStyle w:val="34"/>
        <w:spacing w:after="50" w:afterLines="0" w:line="440" w:lineRule="exact"/>
        <w:ind w:left="0" w:leftChars="0" w:firstLine="0" w:firstLineChars="0"/>
        <w:rPr>
          <w:rFonts w:hint="eastAsia" w:ascii="仿宋" w:eastAsia="仿宋"/>
          <w:color w:val="auto"/>
          <w:szCs w:val="24"/>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2"/>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2"/>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2"/>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六、如果中标，联合体各方在项目实施过程中承担的工作和义务为：</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2"/>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合同金额和比例分别为：</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2"/>
        <w:overflowPunct w:val="0"/>
        <w:spacing w:line="460" w:lineRule="exact"/>
        <w:ind w:firstLine="513" w:firstLineChars="214"/>
        <w:rPr>
          <w:rFonts w:hint="eastAsia" w:ascii="仿宋" w:eastAsia="仿宋"/>
          <w:color w:val="auto"/>
          <w:sz w:val="24"/>
          <w:szCs w:val="24"/>
          <w:highlight w:val="none"/>
        </w:rPr>
      </w:pPr>
    </w:p>
    <w:p>
      <w:pPr>
        <w:pStyle w:val="2"/>
        <w:overflowPunct w:val="0"/>
        <w:spacing w:line="460" w:lineRule="exact"/>
        <w:ind w:firstLine="513" w:firstLineChars="214"/>
        <w:rPr>
          <w:rFonts w:hint="eastAsia" w:ascii="仿宋" w:eastAsia="仿宋"/>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2"/>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pPr>
        <w:pStyle w:val="34"/>
        <w:spacing w:after="50" w:afterLines="0" w:line="440" w:lineRule="exact"/>
        <w:ind w:left="0" w:firstLine="0" w:firstLineChars="0"/>
        <w:rPr>
          <w:rFonts w:hint="eastAsia" w:ascii="仿宋" w:eastAsia="仿宋"/>
          <w:b/>
          <w:bCs/>
          <w:color w:val="auto"/>
          <w:sz w:val="28"/>
          <w:szCs w:val="28"/>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4"/>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34"/>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4"/>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pStyle w:val="34"/>
        <w:spacing w:after="50" w:afterLines="0" w:line="440" w:lineRule="exact"/>
        <w:ind w:left="0" w:firstLine="0" w:firstLineChars="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ascii="仿宋" w:eastAsia="仿宋"/>
          <w:b/>
          <w:bCs/>
          <w:color w:val="auto"/>
          <w:sz w:val="30"/>
          <w:szCs w:val="30"/>
          <w:highlight w:val="none"/>
        </w:rPr>
        <w:t>7</w:t>
      </w:r>
      <w:r>
        <w:rPr>
          <w:rFonts w:hint="eastAsia" w:ascii="仿宋" w:eastAsia="仿宋"/>
          <w:b/>
          <w:bCs/>
          <w:color w:val="auto"/>
          <w:sz w:val="30"/>
          <w:szCs w:val="30"/>
          <w:highlight w:val="none"/>
        </w:rPr>
        <w:t>：</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snapToGrid w:val="0"/>
        <w:spacing w:before="50" w:after="50"/>
        <w:ind w:left="840"/>
        <w:jc w:val="left"/>
        <w:rPr>
          <w:rFonts w:ascii="仿宋" w:eastAsia="仿宋"/>
          <w:b/>
          <w:bCs/>
          <w:color w:val="auto"/>
          <w:sz w:val="24"/>
          <w:szCs w:val="24"/>
          <w:highlight w:val="none"/>
        </w:rPr>
      </w:pPr>
    </w:p>
    <w:p>
      <w:pPr>
        <w:snapToGrid w:val="0"/>
        <w:spacing w:before="50" w:after="50" w:line="360" w:lineRule="auto"/>
        <w:jc w:val="center"/>
        <w:rPr>
          <w:rFonts w:ascii="仿宋" w:eastAsia="仿宋"/>
          <w:color w:val="auto"/>
          <w:sz w:val="24"/>
          <w:szCs w:val="24"/>
          <w:highlight w:val="none"/>
        </w:rPr>
      </w:pPr>
      <w:r>
        <w:rPr>
          <w:rFonts w:ascii="仿宋" w:eastAsia="仿宋"/>
          <w:color w:val="auto"/>
          <w:sz w:val="24"/>
          <w:szCs w:val="24"/>
          <w:highlight w:val="none"/>
        </w:rPr>
        <w:t xml:space="preserve">                                     </w:t>
      </w:r>
      <w:r>
        <w:rPr>
          <w:rFonts w:hint="eastAsia" w:ascii="仿宋" w:eastAsia="仿宋"/>
          <w:color w:val="auto"/>
          <w:sz w:val="24"/>
          <w:szCs w:val="24"/>
          <w:highlight w:val="none"/>
        </w:rPr>
        <w:t xml:space="preserve">企业名称（盖章）： </w:t>
      </w:r>
    </w:p>
    <w:p>
      <w:pPr>
        <w:snapToGrid w:val="0"/>
        <w:spacing w:before="50" w:after="50" w:line="360" w:lineRule="auto"/>
        <w:jc w:val="center"/>
        <w:rPr>
          <w:rFonts w:ascii="仿宋" w:eastAsia="仿宋"/>
          <w:color w:val="auto"/>
          <w:sz w:val="24"/>
          <w:szCs w:val="24"/>
          <w:highlight w:val="none"/>
        </w:rPr>
      </w:pPr>
      <w:r>
        <w:rPr>
          <w:rFonts w:ascii="仿宋" w:eastAsia="仿宋"/>
          <w:color w:val="auto"/>
          <w:sz w:val="24"/>
          <w:szCs w:val="24"/>
          <w:highlight w:val="none"/>
        </w:rPr>
        <w:t xml:space="preserve">                                              </w:t>
      </w:r>
      <w:r>
        <w:rPr>
          <w:rFonts w:hint="eastAsia" w:ascii="仿宋" w:eastAsia="仿宋"/>
          <w:color w:val="auto"/>
          <w:sz w:val="24"/>
          <w:szCs w:val="24"/>
          <w:highlight w:val="none"/>
        </w:rPr>
        <w:t>日期：   年     月     日</w:t>
      </w:r>
    </w:p>
    <w:p>
      <w:pPr>
        <w:spacing w:line="588" w:lineRule="exact"/>
        <w:rPr>
          <w:rFonts w:hint="eastAsia" w:ascii="仿宋" w:eastAsia="仿宋"/>
          <w:b/>
          <w:color w:val="auto"/>
          <w:spacing w:val="6"/>
          <w:sz w:val="30"/>
          <w:szCs w:val="30"/>
          <w:highlight w:val="none"/>
        </w:rPr>
      </w:pPr>
      <w:bookmarkStart w:id="48" w:name="_Hlk523382353"/>
    </w:p>
    <w:p>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48"/>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ascii="仿宋" w:hAnsi="Times New Roman" w:eastAsia="仿宋" w:cs="Times New Roman"/>
          <w:b/>
          <w:spacing w:val="6"/>
          <w:sz w:val="36"/>
          <w:szCs w:val="36"/>
        </w:rPr>
      </w:pPr>
      <w:r>
        <w:rPr>
          <w:rFonts w:hint="eastAsia" w:ascii="仿宋" w:hAnsi="Times New Roman" w:eastAsia="仿宋" w:cs="Times New Roman"/>
          <w:b/>
          <w:spacing w:val="6"/>
          <w:sz w:val="36"/>
          <w:szCs w:val="36"/>
        </w:rPr>
        <w:t>残疾人福利性单位声明函</w:t>
      </w:r>
    </w:p>
    <w:p>
      <w:pPr>
        <w:spacing w:line="588" w:lineRule="exact"/>
        <w:ind w:firstLine="626"/>
        <w:rPr>
          <w:rFonts w:ascii="仿宋" w:hAnsi="Times New Roman" w:eastAsia="仿宋" w:cs="Times New Roman"/>
          <w:b/>
          <w:spacing w:val="6"/>
          <w:sz w:val="30"/>
          <w:szCs w:val="30"/>
        </w:rPr>
      </w:pPr>
    </w:p>
    <w:p>
      <w:pPr>
        <w:spacing w:line="588" w:lineRule="exact"/>
        <w:ind w:firstLine="480"/>
        <w:rPr>
          <w:rFonts w:ascii="仿宋" w:hAnsi="Times New Roman" w:eastAsia="仿宋" w:cs="仿宋_GB2312"/>
          <w:sz w:val="24"/>
          <w:szCs w:val="20"/>
        </w:rPr>
      </w:pPr>
      <w:r>
        <w:rPr>
          <w:rFonts w:hint="eastAsia" w:ascii="仿宋" w:hAnsi="Times New Roman" w:eastAsia="仿宋" w:cs="仿宋_GB2312"/>
          <w:sz w:val="24"/>
          <w:szCs w:val="20"/>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Times New Roman" w:eastAsia="仿宋" w:cs="仿宋_GB2312"/>
          <w:sz w:val="24"/>
          <w:szCs w:val="20"/>
          <w:u w:val="single"/>
        </w:rPr>
        <w:t>（请填写采购人名称）</w:t>
      </w:r>
      <w:r>
        <w:rPr>
          <w:rFonts w:hint="eastAsia" w:ascii="仿宋" w:hAnsi="Times New Roman" w:eastAsia="仿宋" w:cs="仿宋_GB2312"/>
          <w:sz w:val="24"/>
          <w:szCs w:val="20"/>
        </w:rPr>
        <w:t>的</w:t>
      </w:r>
      <w:r>
        <w:rPr>
          <w:rFonts w:hint="eastAsia" w:ascii="仿宋" w:hAnsi="Times New Roman" w:eastAsia="仿宋" w:cs="仿宋_GB2312"/>
          <w:sz w:val="24"/>
          <w:szCs w:val="20"/>
          <w:u w:val="single"/>
        </w:rPr>
        <w:t>（请填写项目名称）</w:t>
      </w:r>
      <w:r>
        <w:rPr>
          <w:rFonts w:hint="eastAsia" w:ascii="仿宋" w:hAnsi="Times New Roman" w:eastAsia="仿宋" w:cs="仿宋_GB2312"/>
          <w:sz w:val="24"/>
          <w:szCs w:val="20"/>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Times New Roman" w:eastAsia="仿宋" w:cs="仿宋_GB2312"/>
          <w:sz w:val="24"/>
          <w:szCs w:val="20"/>
        </w:rPr>
      </w:pPr>
      <w:r>
        <w:rPr>
          <w:rFonts w:hint="eastAsia" w:ascii="仿宋" w:hAnsi="Times New Roman" w:eastAsia="仿宋" w:cs="仿宋_GB2312"/>
          <w:sz w:val="24"/>
          <w:szCs w:val="20"/>
        </w:rPr>
        <w:t>本单位对上述声明的真实性负责。如有虚假，将依法承担相应责任。</w:t>
      </w: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tabs>
          <w:tab w:val="left" w:pos="4860"/>
        </w:tabs>
        <w:spacing w:line="588" w:lineRule="exact"/>
        <w:ind w:right="1560" w:firstLine="480"/>
        <w:jc w:val="center"/>
        <w:rPr>
          <w:rFonts w:ascii="仿宋" w:hAnsi="Times New Roman" w:eastAsia="仿宋" w:cs="仿宋_GB2312"/>
          <w:sz w:val="24"/>
          <w:szCs w:val="20"/>
        </w:rPr>
      </w:pPr>
      <w:r>
        <w:rPr>
          <w:rFonts w:hint="eastAsia" w:ascii="仿宋" w:hAnsi="Times New Roman" w:eastAsia="仿宋" w:cs="仿宋_GB2312"/>
          <w:sz w:val="24"/>
          <w:szCs w:val="20"/>
        </w:rPr>
        <w:t>单位名称（盖章）：</w:t>
      </w:r>
    </w:p>
    <w:p>
      <w:pPr>
        <w:spacing w:line="480" w:lineRule="exact"/>
        <w:ind w:firstLine="480" w:firstLineChars="200"/>
        <w:jc w:val="right"/>
        <w:rPr>
          <w:rFonts w:hint="eastAsia" w:ascii="仿宋" w:eastAsia="仿宋"/>
          <w:color w:val="auto"/>
          <w:sz w:val="24"/>
          <w:highlight w:val="none"/>
        </w:rPr>
      </w:pPr>
      <w:r>
        <w:rPr>
          <w:rFonts w:hint="eastAsia" w:ascii="仿宋" w:hAnsi="Times New Roman" w:eastAsia="仿宋" w:cs="Times New Roman"/>
          <w:color w:val="000000"/>
          <w:sz w:val="24"/>
          <w:szCs w:val="20"/>
        </w:rPr>
        <w:t>日期：年月日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9</w:t>
      </w:r>
      <w:r>
        <w:rPr>
          <w:rFonts w:hint="eastAsia" w:ascii="仿宋" w:eastAsia="仿宋"/>
          <w:b/>
          <w:color w:val="auto"/>
          <w:sz w:val="30"/>
          <w:szCs w:val="30"/>
          <w:highlight w:val="none"/>
        </w:rPr>
        <w:t>：商务和技术文件封面</w:t>
      </w:r>
    </w:p>
    <w:p>
      <w:pPr>
        <w:snapToGrid w:val="0"/>
        <w:spacing w:before="156" w:beforeLines="50" w:after="50"/>
        <w:jc w:val="center"/>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10</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49"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9"/>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50" w:name="_Toc64369790"/>
      <w:r>
        <w:rPr>
          <w:rFonts w:hint="eastAsia" w:ascii="仿宋" w:eastAsia="仿宋" w:cs="仿宋_GB2312"/>
          <w:color w:val="auto"/>
          <w:highlight w:val="none"/>
        </w:rPr>
        <w:t>2.技术响应表…………………………………………………………………（页码）</w:t>
      </w:r>
      <w:bookmarkEnd w:id="50"/>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51" w:name="_Toc64369791"/>
      <w:r>
        <w:rPr>
          <w:rFonts w:hint="eastAsia" w:ascii="仿宋" w:eastAsia="仿宋" w:cs="仿宋_GB2312"/>
          <w:color w:val="auto"/>
          <w:highlight w:val="none"/>
        </w:rPr>
        <w:t>3.商务响应表…………………………………………………………………（页码）</w:t>
      </w:r>
      <w:bookmarkEnd w:id="51"/>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52"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53"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ascii="仿宋" w:eastAsia="仿宋" w:cs="仿宋_GB2312"/>
          <w:color w:val="auto"/>
          <w:highlight w:val="none"/>
        </w:rPr>
      </w:pPr>
      <w:bookmarkStart w:id="54"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37"/>
        <w:keepNext w:val="0"/>
        <w:keepLines w:val="0"/>
        <w:pageBreakBefore w:val="0"/>
        <w:widowControl w:val="0"/>
        <w:numPr>
          <w:ilvl w:val="0"/>
          <w:numId w:val="0"/>
        </w:numPr>
        <w:kinsoku/>
        <w:wordWrap/>
        <w:overflowPunct/>
        <w:topLinePunct w:val="0"/>
        <w:autoSpaceDE/>
        <w:autoSpaceDN/>
        <w:bidi w:val="0"/>
        <w:snapToGrid/>
        <w:spacing w:line="420" w:lineRule="exact"/>
        <w:ind w:left="0" w:firstLine="0"/>
        <w:textAlignment w:val="auto"/>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55"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8"/>
        <w:keepNext w:val="0"/>
        <w:keepLines w:val="0"/>
        <w:pageBreakBefore w:val="0"/>
        <w:widowControl w:val="0"/>
        <w:kinsoku/>
        <w:wordWrap/>
        <w:overflowPunct/>
        <w:topLinePunct w:val="0"/>
        <w:autoSpaceDE/>
        <w:autoSpaceDN/>
        <w:bidi w:val="0"/>
        <w:snapToGrid/>
        <w:spacing w:line="420" w:lineRule="exact"/>
        <w:ind w:firstLine="0" w:firstLineChars="0"/>
        <w:jc w:val="left"/>
        <w:textAlignment w:val="auto"/>
        <w:rPr>
          <w:rFonts w:hint="eastAsia" w:ascii="仿宋" w:eastAsia="仿宋" w:cs="仿宋_GB2312"/>
          <w:color w:val="auto"/>
          <w:highlight w:val="none"/>
        </w:rPr>
      </w:pPr>
      <w:bookmarkStart w:id="56"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37"/>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11</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12</w:t>
      </w:r>
      <w:r>
        <w:rPr>
          <w:rFonts w:hint="eastAsia" w:ascii="仿宋" w:eastAsia="仿宋"/>
          <w:b/>
          <w:bCs/>
          <w:color w:val="auto"/>
          <w:sz w:val="30"/>
          <w:szCs w:val="30"/>
          <w:highlight w:val="none"/>
        </w:rPr>
        <w:t>：技术响应表</w:t>
      </w:r>
    </w:p>
    <w:p>
      <w:pPr>
        <w:snapToGrid w:val="0"/>
        <w:spacing w:before="50" w:after="50"/>
        <w:rPr>
          <w:rFonts w:hint="eastAsia" w:ascii="仿宋" w:eastAsia="仿宋"/>
          <w:b/>
          <w:bCs/>
          <w:color w:val="auto"/>
          <w:sz w:val="30"/>
          <w:szCs w:val="30"/>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pacing w:val="40"/>
          <w:kern w:val="0"/>
          <w:sz w:val="36"/>
          <w:szCs w:val="36"/>
          <w:highlight w:val="none"/>
        </w:rPr>
      </w:pPr>
    </w:p>
    <w:p>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57" w:name="_Toc64369807"/>
            <w:r>
              <w:rPr>
                <w:rFonts w:hint="eastAsia" w:ascii="仿宋" w:eastAsia="仿宋"/>
                <w:color w:val="auto"/>
                <w:spacing w:val="20"/>
                <w:sz w:val="24"/>
                <w:szCs w:val="24"/>
                <w:highlight w:val="none"/>
              </w:rPr>
              <w:t>服务部分</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58" w:name="_Toc64369800"/>
            <w:r>
              <w:rPr>
                <w:rFonts w:hint="eastAsia" w:ascii="仿宋" w:eastAsia="仿宋"/>
                <w:color w:val="auto"/>
                <w:spacing w:val="20"/>
                <w:sz w:val="24"/>
                <w:szCs w:val="24"/>
                <w:highlight w:val="none"/>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59" w:name="_Toc64369801"/>
            <w:bookmarkStart w:id="60" w:name="_Toc64369802"/>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1"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2" w:name="_Toc64369804"/>
            <w:r>
              <w:rPr>
                <w:rFonts w:hint="eastAsia" w:ascii="仿宋" w:eastAsia="仿宋"/>
                <w:color w:val="auto"/>
                <w:spacing w:val="20"/>
                <w:sz w:val="24"/>
                <w:szCs w:val="24"/>
                <w:highlight w:val="none"/>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3" w:name="_Toc64369805"/>
            <w:r>
              <w:rPr>
                <w:rFonts w:hint="eastAsia" w:ascii="仿宋" w:eastAsia="仿宋"/>
                <w:color w:val="auto"/>
                <w:spacing w:val="20"/>
                <w:sz w:val="24"/>
                <w:szCs w:val="24"/>
                <w:highlight w:val="none"/>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4" w:name="_Toc64369806"/>
            <w:bookmarkEnd w:id="64"/>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5"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5"/>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6" w:name="_Toc64369808"/>
            <w:r>
              <w:rPr>
                <w:rFonts w:hint="eastAsia" w:ascii="仿宋" w:eastAsia="仿宋"/>
                <w:color w:val="auto"/>
                <w:spacing w:val="20"/>
                <w:sz w:val="24"/>
                <w:szCs w:val="24"/>
                <w:highlight w:val="none"/>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7" w:name="_Toc64369809"/>
            <w:bookmarkStart w:id="68" w:name="_Toc64369810"/>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bookmarkStart w:id="69" w:name="_Toc64369811"/>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0" w:name="_Toc64369814"/>
            <w:r>
              <w:rPr>
                <w:rFonts w:hint="eastAsia" w:ascii="仿宋" w:eastAsia="仿宋"/>
                <w:color w:val="auto"/>
                <w:spacing w:val="20"/>
                <w:sz w:val="24"/>
                <w:szCs w:val="24"/>
                <w:highlight w:val="none"/>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3</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71" w:name="_Toc64369815"/>
            <w:r>
              <w:rPr>
                <w:rFonts w:hint="eastAsia" w:ascii="仿宋" w:eastAsia="仿宋" w:cs="仿宋_GB2312"/>
                <w:color w:val="auto"/>
                <w:spacing w:val="20"/>
                <w:sz w:val="28"/>
                <w:szCs w:val="28"/>
                <w:highlight w:val="none"/>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2" w:name="_Toc64369816"/>
            <w:r>
              <w:rPr>
                <w:rFonts w:hint="eastAsia" w:ascii="仿宋" w:eastAsia="仿宋" w:cs="仿宋_GB2312"/>
                <w:color w:val="auto"/>
                <w:sz w:val="30"/>
                <w:szCs w:val="30"/>
                <w:highlight w:val="none"/>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3" w:name="_Toc64369817"/>
            <w:r>
              <w:rPr>
                <w:rFonts w:hint="eastAsia" w:ascii="仿宋" w:eastAsia="仿宋" w:cs="仿宋_GB2312"/>
                <w:color w:val="auto"/>
                <w:sz w:val="30"/>
                <w:szCs w:val="30"/>
                <w:highlight w:val="none"/>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4" w:name="_Toc64369818"/>
            <w:r>
              <w:rPr>
                <w:rFonts w:hint="eastAsia" w:ascii="仿宋" w:eastAsia="仿宋" w:cs="仿宋_GB2312"/>
                <w:color w:val="auto"/>
                <w:sz w:val="30"/>
                <w:szCs w:val="30"/>
                <w:highlight w:val="none"/>
              </w:rPr>
              <w:t>偏离情况</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bookmarkStart w:id="75" w:name="_Toc64369823"/>
            <w:bookmarkStart w:id="76" w:name="_Toc64369819"/>
            <w:r>
              <w:rPr>
                <w:rFonts w:hint="eastAsia" w:ascii="仿宋" w:eastAsia="仿宋"/>
                <w:color w:val="auto"/>
                <w:spacing w:val="20"/>
                <w:sz w:val="28"/>
                <w:szCs w:val="28"/>
                <w:highlight w:val="none"/>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color w:val="auto"/>
                <w:sz w:val="28"/>
                <w:szCs w:val="28"/>
                <w:highlight w:val="none"/>
              </w:rPr>
            </w:pPr>
          </w:p>
        </w:tc>
      </w:tr>
    </w:tbl>
    <w:p>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4</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10"/>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10"/>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6</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7</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Lines="50" w:after="50" w:line="240" w:lineRule="auto"/>
        <w:jc w:val="left"/>
        <w:rPr>
          <w:rFonts w:ascii="仿宋" w:hAnsi="Times New Roman" w:eastAsia="仿宋" w:cs="Times New Roman"/>
          <w:b/>
          <w:bCs/>
          <w:sz w:val="30"/>
          <w:szCs w:val="30"/>
        </w:rPr>
      </w:pPr>
      <w:r>
        <w:rPr>
          <w:rFonts w:hint="eastAsia" w:ascii="仿宋" w:hAnsi="Times New Roman" w:eastAsia="仿宋" w:cs="Times New Roman"/>
          <w:b/>
          <w:bCs/>
          <w:sz w:val="30"/>
          <w:szCs w:val="30"/>
        </w:rPr>
        <w:t>附件1</w:t>
      </w:r>
      <w:r>
        <w:rPr>
          <w:rFonts w:hint="eastAsia" w:ascii="仿宋" w:hAnsi="Times New Roman" w:eastAsia="仿宋" w:cs="Times New Roman"/>
          <w:b/>
          <w:bCs/>
          <w:sz w:val="30"/>
          <w:szCs w:val="30"/>
          <w:lang w:val="en-US" w:eastAsia="zh-CN"/>
        </w:rPr>
        <w:t>8</w:t>
      </w:r>
      <w:r>
        <w:rPr>
          <w:rFonts w:hint="eastAsia" w:ascii="仿宋" w:hAnsi="Times New Roman" w:eastAsia="仿宋" w:cs="Times New Roman"/>
          <w:b/>
          <w:bCs/>
          <w:sz w:val="30"/>
          <w:szCs w:val="30"/>
        </w:rPr>
        <w:t>：报价文件目录</w:t>
      </w:r>
    </w:p>
    <w:p>
      <w:pPr>
        <w:snapToGrid w:val="0"/>
        <w:spacing w:beforeLines="50" w:after="50" w:line="240" w:lineRule="auto"/>
        <w:jc w:val="left"/>
        <w:rPr>
          <w:rFonts w:ascii="仿宋" w:hAnsi="Times New Roman" w:eastAsia="仿宋" w:cs="Times New Roman"/>
          <w:sz w:val="30"/>
          <w:szCs w:val="30"/>
        </w:rPr>
      </w:pPr>
    </w:p>
    <w:p>
      <w:pPr>
        <w:widowControl w:val="0"/>
        <w:adjustRightInd w:val="0"/>
        <w:spacing w:line="360" w:lineRule="auto"/>
        <w:ind w:left="2" w:firstLine="0" w:firstLineChars="0"/>
        <w:jc w:val="center"/>
        <w:rPr>
          <w:rFonts w:ascii="仿宋" w:hAnsi="Times New Roman" w:eastAsia="仿宋" w:cs="仿宋_GB2312"/>
          <w:kern w:val="2"/>
          <w:sz w:val="24"/>
          <w:szCs w:val="24"/>
          <w:lang w:val="en-US" w:eastAsia="zh-CN" w:bidi="ar-SA"/>
        </w:rPr>
      </w:pPr>
      <w:bookmarkStart w:id="77" w:name="_Toc64369825"/>
      <w:r>
        <w:rPr>
          <w:rFonts w:hint="eastAsia" w:ascii="仿宋" w:hAnsi="Times New Roman" w:eastAsia="仿宋" w:cs="仿宋_GB2312"/>
          <w:kern w:val="2"/>
          <w:sz w:val="24"/>
          <w:szCs w:val="24"/>
          <w:lang w:val="en-US" w:eastAsia="zh-CN" w:bidi="ar-SA"/>
        </w:rPr>
        <w:t>目录</w:t>
      </w:r>
      <w:bookmarkEnd w:id="77"/>
    </w:p>
    <w:p>
      <w:pPr>
        <w:widowControl w:val="0"/>
        <w:adjustRightInd w:val="0"/>
        <w:spacing w:line="360" w:lineRule="auto"/>
        <w:ind w:left="2" w:firstLine="0" w:firstLineChars="0"/>
        <w:jc w:val="left"/>
        <w:rPr>
          <w:rFonts w:ascii="仿宋" w:hAnsi="Times New Roman" w:eastAsia="仿宋" w:cs="仿宋_GB2312"/>
          <w:kern w:val="2"/>
          <w:sz w:val="24"/>
          <w:szCs w:val="24"/>
          <w:lang w:val="en-US" w:eastAsia="zh-CN" w:bidi="ar-SA"/>
        </w:rPr>
      </w:pPr>
      <w:r>
        <w:rPr>
          <w:rFonts w:hint="eastAsia" w:ascii="仿宋" w:hAnsi="Times New Roman" w:eastAsia="仿宋" w:cs="仿宋_GB2312"/>
          <w:kern w:val="2"/>
          <w:sz w:val="24"/>
          <w:szCs w:val="24"/>
          <w:lang w:val="en-US" w:eastAsia="zh-CN" w:bidi="ar-SA"/>
        </w:rPr>
        <w:t>1.开标一览表…………………………………………………………………（页码）</w:t>
      </w:r>
    </w:p>
    <w:p>
      <w:pPr>
        <w:widowControl w:val="0"/>
        <w:adjustRightInd w:val="0"/>
        <w:spacing w:line="360" w:lineRule="auto"/>
        <w:ind w:left="2" w:firstLine="0" w:firstLineChars="0"/>
        <w:jc w:val="left"/>
        <w:rPr>
          <w:rFonts w:ascii="仿宋" w:hAnsi="Times New Roman" w:eastAsia="仿宋" w:cs="仿宋_GB2312"/>
          <w:kern w:val="2"/>
          <w:sz w:val="24"/>
          <w:szCs w:val="24"/>
          <w:lang w:val="en-US" w:eastAsia="zh-CN" w:bidi="ar-SA"/>
        </w:rPr>
      </w:pPr>
      <w:r>
        <w:rPr>
          <w:rFonts w:hint="eastAsia" w:ascii="仿宋" w:hAnsi="Times New Roman" w:eastAsia="仿宋" w:cs="仿宋_GB2312"/>
          <w:kern w:val="2"/>
          <w:sz w:val="24"/>
          <w:szCs w:val="24"/>
          <w:lang w:val="en-US" w:eastAsia="zh-CN" w:bidi="ar-SA"/>
        </w:rPr>
        <w:t>2.中小企业声明函（如有）…………………………………………………（页码）</w:t>
      </w:r>
    </w:p>
    <w:p>
      <w:pPr>
        <w:widowControl w:val="0"/>
        <w:adjustRightInd w:val="0"/>
        <w:spacing w:line="360" w:lineRule="auto"/>
        <w:ind w:left="2" w:firstLine="0" w:firstLineChars="0"/>
        <w:jc w:val="left"/>
        <w:rPr>
          <w:rFonts w:ascii="仿宋" w:hAnsi="Times New Roman" w:eastAsia="仿宋" w:cs="仿宋_GB2312"/>
          <w:kern w:val="2"/>
          <w:sz w:val="24"/>
          <w:szCs w:val="24"/>
          <w:lang w:val="en-US" w:eastAsia="zh-CN" w:bidi="ar-SA"/>
        </w:rPr>
      </w:pPr>
      <w:r>
        <w:rPr>
          <w:rFonts w:hint="eastAsia" w:ascii="仿宋" w:hAnsi="Times New Roman" w:eastAsia="仿宋" w:cs="仿宋_GB2312"/>
          <w:kern w:val="2"/>
          <w:sz w:val="24"/>
          <w:szCs w:val="24"/>
          <w:lang w:val="en-US" w:eastAsia="zh-CN" w:bidi="ar-SA"/>
        </w:rPr>
        <w:t>3.残疾人福利性单位声明函（如有）………………………………………（页码）</w:t>
      </w:r>
    </w:p>
    <w:p>
      <w:pPr>
        <w:widowControl w:val="0"/>
        <w:adjustRightInd w:val="0"/>
        <w:spacing w:line="360" w:lineRule="auto"/>
        <w:ind w:left="2" w:firstLine="0" w:firstLineChars="0"/>
        <w:jc w:val="left"/>
        <w:rPr>
          <w:rFonts w:ascii="仿宋" w:hAnsi="Times New Roman" w:eastAsia="仿宋" w:cs="仿宋_GB2312"/>
          <w:kern w:val="2"/>
          <w:sz w:val="24"/>
          <w:szCs w:val="24"/>
          <w:lang w:val="en-US" w:eastAsia="zh-CN" w:bidi="ar-SA"/>
        </w:rPr>
      </w:pPr>
      <w:r>
        <w:rPr>
          <w:rFonts w:hint="eastAsia" w:ascii="仿宋" w:hAnsi="Times New Roman" w:eastAsia="仿宋" w:cs="仿宋_GB2312"/>
          <w:kern w:val="2"/>
          <w:sz w:val="24"/>
          <w:szCs w:val="24"/>
          <w:lang w:val="en-US" w:eastAsia="zh-CN" w:bidi="ar-SA"/>
        </w:rPr>
        <w:t>4.关于报价的其他说明（如有，自拟）……………………………………（页码）</w:t>
      </w: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sz w:val="36"/>
          <w:szCs w:val="36"/>
        </w:rPr>
      </w:pPr>
    </w:p>
    <w:p>
      <w:pPr>
        <w:snapToGrid w:val="0"/>
        <w:spacing w:before="50" w:after="50" w:line="240" w:lineRule="auto"/>
        <w:jc w:val="left"/>
        <w:rPr>
          <w:rFonts w:ascii="仿宋" w:hAnsi="Times New Roman" w:eastAsia="仿宋" w:cs="Times New Roman"/>
          <w:b/>
          <w:bCs/>
          <w:sz w:val="30"/>
          <w:szCs w:val="30"/>
        </w:rPr>
      </w:pPr>
      <w:r>
        <w:rPr>
          <w:rFonts w:hint="eastAsia" w:ascii="仿宋" w:hAnsi="Times New Roman" w:eastAsia="仿宋" w:cs="Times New Roman"/>
          <w:b/>
          <w:bCs/>
          <w:sz w:val="30"/>
          <w:szCs w:val="30"/>
        </w:rPr>
        <w:t>附件1</w:t>
      </w:r>
      <w:r>
        <w:rPr>
          <w:rFonts w:hint="eastAsia" w:ascii="仿宋" w:hAnsi="Times New Roman" w:eastAsia="仿宋" w:cs="Times New Roman"/>
          <w:b/>
          <w:bCs/>
          <w:sz w:val="30"/>
          <w:szCs w:val="30"/>
          <w:lang w:val="en-US" w:eastAsia="zh-CN"/>
        </w:rPr>
        <w:t>9</w:t>
      </w:r>
      <w:r>
        <w:rPr>
          <w:rFonts w:hint="eastAsia" w:ascii="仿宋" w:hAnsi="Times New Roman" w:eastAsia="仿宋" w:cs="Times New Roman"/>
          <w:b/>
          <w:bCs/>
          <w:sz w:val="30"/>
          <w:szCs w:val="30"/>
        </w:rPr>
        <w:t>：（如有）</w:t>
      </w:r>
    </w:p>
    <w:p>
      <w:pPr>
        <w:snapToGrid w:val="0"/>
        <w:spacing w:before="50" w:beforeLines="0" w:after="50" w:afterLines="0" w:line="480" w:lineRule="auto"/>
        <w:jc w:val="center"/>
        <w:rPr>
          <w:rFonts w:hint="eastAsia" w:ascii="仿宋" w:eastAsia="仿宋"/>
          <w:b/>
          <w:color w:val="auto"/>
          <w:sz w:val="32"/>
          <w:szCs w:val="32"/>
        </w:rPr>
      </w:pPr>
      <w:r>
        <w:rPr>
          <w:rFonts w:hint="eastAsia" w:ascii="仿宋" w:eastAsia="仿宋"/>
          <w:b/>
          <w:color w:val="auto"/>
          <w:sz w:val="32"/>
          <w:szCs w:val="32"/>
        </w:rPr>
        <w:t>中小企业声明函</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（采购人名称）    </w:t>
      </w:r>
      <w:r>
        <w:rPr>
          <w:rFonts w:hint="eastAsia" w:ascii="仿宋" w:eastAsia="仿宋"/>
          <w:color w:val="auto"/>
          <w:sz w:val="24"/>
          <w:szCs w:val="24"/>
        </w:rPr>
        <w:t>的</w:t>
      </w:r>
      <w:r>
        <w:rPr>
          <w:rFonts w:hint="eastAsia"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   </w:t>
      </w:r>
      <w:r>
        <w:rPr>
          <w:rFonts w:hint="eastAsia" w:ascii="仿宋" w:eastAsia="仿宋"/>
          <w:color w:val="auto"/>
          <w:sz w:val="24"/>
          <w:szCs w:val="24"/>
        </w:rPr>
        <w:t>，属于</w:t>
      </w:r>
      <w:r>
        <w:rPr>
          <w:rFonts w:hint="eastAsia" w:ascii="仿宋" w:eastAsia="仿宋"/>
          <w:color w:val="auto"/>
          <w:sz w:val="24"/>
          <w:szCs w:val="24"/>
          <w:u w:val="single"/>
        </w:rPr>
        <w:t xml:space="preserve">       （采购文件中明确的所属行业）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      </w:t>
      </w:r>
      <w:r>
        <w:rPr>
          <w:rFonts w:hint="eastAsia" w:ascii="仿宋" w:eastAsia="仿宋"/>
          <w:color w:val="auto"/>
          <w:sz w:val="24"/>
          <w:szCs w:val="24"/>
        </w:rPr>
        <w:t xml:space="preserve"> ；</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    </w:t>
      </w:r>
      <w:r>
        <w:rPr>
          <w:rFonts w:hint="eastAsia" w:ascii="仿宋" w:eastAsia="仿宋"/>
          <w:color w:val="auto"/>
          <w:sz w:val="24"/>
          <w:szCs w:val="24"/>
        </w:rPr>
        <w:t>，属于</w:t>
      </w:r>
      <w:r>
        <w:rPr>
          <w:rFonts w:hint="eastAsia" w:ascii="仿宋" w:eastAsia="仿宋"/>
          <w:color w:val="auto"/>
          <w:sz w:val="24"/>
          <w:szCs w:val="24"/>
          <w:u w:val="single"/>
        </w:rPr>
        <w:t xml:space="preserve">    （采购文件中明确的所属行业）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   </w:t>
      </w:r>
      <w:r>
        <w:rPr>
          <w:rFonts w:hint="eastAsia" w:ascii="仿宋" w:eastAsia="仿宋"/>
          <w:color w:val="auto"/>
          <w:sz w:val="24"/>
          <w:szCs w:val="24"/>
        </w:rPr>
        <w:t xml:space="preserve"> ；</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pPr>
        <w:snapToGrid w:val="0"/>
        <w:spacing w:before="50" w:beforeLines="0" w:after="50" w:afterLines="0" w:line="360" w:lineRule="auto"/>
        <w:ind w:firstLine="480" w:firstLineChars="200"/>
        <w:jc w:val="left"/>
        <w:rPr>
          <w:rFonts w:hint="eastAsia" w:ascii="仿宋" w:eastAsia="仿宋"/>
          <w:color w:val="auto"/>
          <w:sz w:val="24"/>
          <w:szCs w:val="24"/>
        </w:rPr>
      </w:pP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 xml:space="preserve">企业名称（盖章）： </w:t>
      </w:r>
    </w:p>
    <w:p>
      <w:pPr>
        <w:snapToGrid w:val="0"/>
        <w:spacing w:before="50" w:beforeLines="0" w:after="50" w:afterLines="0" w:line="360" w:lineRule="auto"/>
        <w:ind w:firstLine="480" w:firstLineChars="200"/>
        <w:jc w:val="left"/>
        <w:rPr>
          <w:rFonts w:hint="eastAsia" w:ascii="仿宋" w:eastAsia="仿宋"/>
          <w:color w:val="auto"/>
          <w:sz w:val="24"/>
          <w:szCs w:val="24"/>
        </w:rPr>
      </w:pPr>
      <w:r>
        <w:rPr>
          <w:rFonts w:hint="eastAsia" w:ascii="仿宋" w:eastAsia="仿宋"/>
          <w:color w:val="auto"/>
          <w:sz w:val="24"/>
          <w:szCs w:val="24"/>
        </w:rPr>
        <w:t>日期：   年     月     日</w:t>
      </w:r>
    </w:p>
    <w:p>
      <w:pPr>
        <w:snapToGrid w:val="0"/>
        <w:spacing w:before="50" w:beforeLines="0" w:after="50" w:afterLines="0"/>
        <w:jc w:val="left"/>
        <w:rPr>
          <w:rFonts w:hint="eastAsia" w:ascii="仿宋" w:eastAsia="仿宋"/>
          <w:b/>
          <w:color w:val="auto"/>
          <w:sz w:val="24"/>
          <w:szCs w:val="24"/>
        </w:rPr>
      </w:pPr>
    </w:p>
    <w:p>
      <w:pPr>
        <w:snapToGrid w:val="0"/>
        <w:spacing w:before="50" w:beforeLines="0" w:after="50" w:afterLines="0"/>
        <w:jc w:val="left"/>
        <w:rPr>
          <w:rFonts w:hint="eastAsia" w:ascii="仿宋" w:eastAsia="仿宋"/>
          <w:b/>
          <w:color w:val="auto"/>
          <w:sz w:val="24"/>
          <w:szCs w:val="24"/>
        </w:rPr>
      </w:pPr>
      <w:r>
        <w:rPr>
          <w:rFonts w:hint="eastAsia" w:ascii="仿宋" w:eastAsia="仿宋"/>
          <w:b/>
          <w:color w:val="auto"/>
          <w:sz w:val="24"/>
          <w:szCs w:val="24"/>
        </w:rPr>
        <w:t>备注：</w:t>
      </w:r>
    </w:p>
    <w:p>
      <w:pPr>
        <w:numPr>
          <w:ilvl w:val="0"/>
          <w:numId w:val="9"/>
        </w:numPr>
        <w:snapToGrid w:val="0"/>
        <w:spacing w:before="50" w:beforeLines="0" w:after="50" w:afterLines="0"/>
        <w:jc w:val="left"/>
        <w:rPr>
          <w:rFonts w:hint="eastAsia" w:ascii="仿宋" w:eastAsia="仿宋"/>
          <w:b/>
          <w:color w:val="auto"/>
          <w:sz w:val="24"/>
          <w:szCs w:val="24"/>
        </w:rPr>
      </w:pPr>
      <w:r>
        <w:rPr>
          <w:rFonts w:hint="eastAsia" w:ascii="仿宋" w:eastAsia="仿宋" w:cs="仿宋_GB2312"/>
          <w:b/>
          <w:color w:val="auto"/>
          <w:sz w:val="24"/>
          <w:szCs w:val="20"/>
        </w:rPr>
        <w:t>规模划分按《工信部关于印发中小企业划型标准规定的通知（工信部联企业〔2011〕300号）》文件执行，</w:t>
      </w:r>
      <w:r>
        <w:rPr>
          <w:rFonts w:hint="eastAsia" w:ascii="仿宋" w:eastAsia="仿宋"/>
          <w:b/>
          <w:color w:val="auto"/>
          <w:sz w:val="24"/>
          <w:szCs w:val="24"/>
        </w:rPr>
        <w:t>从业人员、营业收入、资产总额填报上一年度数据，无上一年度数据的新成立企业可不填报。</w:t>
      </w:r>
    </w:p>
    <w:p>
      <w:pPr>
        <w:numPr>
          <w:ilvl w:val="0"/>
          <w:numId w:val="9"/>
        </w:numPr>
        <w:snapToGrid w:val="0"/>
        <w:spacing w:before="50" w:beforeLines="0" w:after="50" w:afterLines="0"/>
        <w:jc w:val="left"/>
        <w:rPr>
          <w:rFonts w:hint="eastAsia" w:ascii="仿宋" w:eastAsia="仿宋"/>
          <w:b/>
          <w:color w:val="auto"/>
          <w:sz w:val="24"/>
          <w:szCs w:val="24"/>
        </w:rPr>
      </w:pPr>
      <w:r>
        <w:rPr>
          <w:rFonts w:hint="eastAsia" w:ascii="仿宋" w:eastAsia="仿宋" w:cs="仿宋_GB2312"/>
          <w:b/>
          <w:color w:val="auto"/>
          <w:sz w:val="24"/>
          <w:szCs w:val="20"/>
        </w:rPr>
        <w:t>本函与中标（成交）公告同时发布，接受社会监督。</w:t>
      </w:r>
    </w:p>
    <w:p>
      <w:pPr>
        <w:snapToGrid w:val="0"/>
        <w:spacing w:before="50" w:beforeLines="0" w:after="50" w:afterLines="0"/>
        <w:ind w:left="840"/>
        <w:jc w:val="left"/>
        <w:rPr>
          <w:rFonts w:hint="eastAsia" w:ascii="仿宋" w:eastAsia="仿宋"/>
          <w:b/>
          <w:color w:val="auto"/>
          <w:sz w:val="24"/>
          <w:szCs w:val="24"/>
        </w:rPr>
      </w:pPr>
    </w:p>
    <w:p>
      <w:pPr>
        <w:snapToGrid w:val="0"/>
        <w:spacing w:before="50" w:beforeLines="0" w:after="50" w:afterLines="0" w:line="360" w:lineRule="auto"/>
        <w:jc w:val="center"/>
        <w:rPr>
          <w:rFonts w:hint="eastAsia" w:ascii="仿宋" w:eastAsia="仿宋"/>
          <w:color w:val="auto"/>
          <w:sz w:val="24"/>
          <w:szCs w:val="24"/>
        </w:rPr>
      </w:pPr>
      <w:r>
        <w:rPr>
          <w:rFonts w:hint="eastAsia" w:ascii="仿宋" w:eastAsia="仿宋"/>
          <w:color w:val="auto"/>
          <w:sz w:val="24"/>
          <w:szCs w:val="24"/>
        </w:rPr>
        <w:t xml:space="preserve">                                     企业名称（盖章）： </w:t>
      </w:r>
    </w:p>
    <w:p>
      <w:pPr>
        <w:snapToGrid w:val="0"/>
        <w:spacing w:before="50" w:beforeLines="0" w:after="50" w:afterLines="0" w:line="360" w:lineRule="auto"/>
        <w:jc w:val="center"/>
        <w:rPr>
          <w:rFonts w:hint="eastAsia" w:ascii="仿宋" w:eastAsia="仿宋"/>
          <w:color w:val="auto"/>
          <w:sz w:val="24"/>
          <w:szCs w:val="24"/>
        </w:rPr>
      </w:pPr>
      <w:r>
        <w:rPr>
          <w:rFonts w:hint="eastAsia" w:ascii="仿宋" w:eastAsia="仿宋"/>
          <w:color w:val="auto"/>
          <w:sz w:val="24"/>
          <w:szCs w:val="24"/>
        </w:rPr>
        <w:t xml:space="preserve">                                              日期：   年     月     日</w:t>
      </w:r>
    </w:p>
    <w:p>
      <w:pPr>
        <w:spacing w:line="588" w:lineRule="exact"/>
        <w:rPr>
          <w:rFonts w:hint="eastAsia" w:ascii="仿宋" w:hAnsi="Times New Roman" w:eastAsia="仿宋" w:cs="Times New Roman"/>
          <w:b/>
          <w:spacing w:val="6"/>
          <w:sz w:val="30"/>
          <w:szCs w:val="30"/>
        </w:rPr>
      </w:pPr>
    </w:p>
    <w:p>
      <w:pPr>
        <w:spacing w:line="588" w:lineRule="exact"/>
        <w:rPr>
          <w:rFonts w:ascii="仿宋" w:hAnsi="Times New Roman" w:eastAsia="仿宋" w:cs="Times New Roman"/>
          <w:b/>
          <w:spacing w:val="6"/>
          <w:sz w:val="30"/>
          <w:szCs w:val="30"/>
        </w:rPr>
      </w:pPr>
      <w:r>
        <w:rPr>
          <w:rFonts w:hint="eastAsia" w:ascii="仿宋" w:hAnsi="Times New Roman" w:eastAsia="仿宋" w:cs="Times New Roman"/>
          <w:b/>
          <w:spacing w:val="6"/>
          <w:sz w:val="30"/>
          <w:szCs w:val="30"/>
        </w:rPr>
        <w:t>附件</w:t>
      </w:r>
      <w:r>
        <w:rPr>
          <w:rFonts w:hint="eastAsia" w:ascii="仿宋" w:hAnsi="Times New Roman" w:eastAsia="仿宋" w:cs="Times New Roman"/>
          <w:b/>
          <w:spacing w:val="6"/>
          <w:sz w:val="30"/>
          <w:szCs w:val="30"/>
          <w:lang w:val="en-US" w:eastAsia="zh-CN"/>
        </w:rPr>
        <w:t>20</w:t>
      </w:r>
      <w:r>
        <w:rPr>
          <w:rFonts w:hint="eastAsia" w:ascii="仿宋" w:hAnsi="Times New Roman" w:eastAsia="仿宋" w:cs="Times New Roman"/>
          <w:b/>
          <w:spacing w:val="6"/>
          <w:sz w:val="30"/>
          <w:szCs w:val="30"/>
        </w:rPr>
        <w:t>：（如有）</w:t>
      </w:r>
    </w:p>
    <w:p>
      <w:pPr>
        <w:spacing w:line="588" w:lineRule="exact"/>
        <w:ind w:firstLine="667"/>
        <w:jc w:val="center"/>
        <w:rPr>
          <w:rFonts w:ascii="仿宋" w:hAnsi="Times New Roman" w:eastAsia="仿宋" w:cs="Times New Roman"/>
          <w:b/>
          <w:spacing w:val="6"/>
          <w:sz w:val="32"/>
          <w:szCs w:val="32"/>
        </w:rPr>
      </w:pPr>
    </w:p>
    <w:p>
      <w:pPr>
        <w:spacing w:line="588" w:lineRule="exact"/>
        <w:ind w:firstLine="667"/>
        <w:jc w:val="center"/>
        <w:rPr>
          <w:rFonts w:ascii="仿宋" w:hAnsi="Times New Roman" w:eastAsia="仿宋" w:cs="Times New Roman"/>
          <w:b/>
          <w:spacing w:val="6"/>
          <w:sz w:val="36"/>
          <w:szCs w:val="36"/>
        </w:rPr>
      </w:pPr>
      <w:r>
        <w:rPr>
          <w:rFonts w:hint="eastAsia" w:ascii="仿宋" w:hAnsi="Times New Roman" w:eastAsia="仿宋" w:cs="Times New Roman"/>
          <w:b/>
          <w:spacing w:val="6"/>
          <w:sz w:val="36"/>
          <w:szCs w:val="36"/>
        </w:rPr>
        <w:t>残疾人福利性单位声明函</w:t>
      </w:r>
    </w:p>
    <w:p>
      <w:pPr>
        <w:spacing w:line="588" w:lineRule="exact"/>
        <w:ind w:firstLine="626"/>
        <w:rPr>
          <w:rFonts w:ascii="仿宋" w:hAnsi="Times New Roman" w:eastAsia="仿宋" w:cs="Times New Roman"/>
          <w:b/>
          <w:spacing w:val="6"/>
          <w:sz w:val="30"/>
          <w:szCs w:val="30"/>
        </w:rPr>
      </w:pPr>
    </w:p>
    <w:p>
      <w:pPr>
        <w:spacing w:line="588" w:lineRule="exact"/>
        <w:ind w:firstLine="480"/>
        <w:rPr>
          <w:rFonts w:ascii="仿宋" w:hAnsi="Times New Roman" w:eastAsia="仿宋" w:cs="仿宋_GB2312"/>
          <w:sz w:val="24"/>
          <w:szCs w:val="20"/>
        </w:rPr>
      </w:pPr>
      <w:r>
        <w:rPr>
          <w:rFonts w:hint="eastAsia" w:ascii="仿宋" w:hAnsi="Times New Roman" w:eastAsia="仿宋" w:cs="仿宋_GB2312"/>
          <w:sz w:val="24"/>
          <w:szCs w:val="20"/>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Times New Roman" w:eastAsia="仿宋" w:cs="仿宋_GB2312"/>
          <w:sz w:val="24"/>
          <w:szCs w:val="20"/>
          <w:u w:val="single"/>
        </w:rPr>
        <w:t>（请填写采购人名称）</w:t>
      </w:r>
      <w:r>
        <w:rPr>
          <w:rFonts w:hint="eastAsia" w:ascii="仿宋" w:hAnsi="Times New Roman" w:eastAsia="仿宋" w:cs="仿宋_GB2312"/>
          <w:sz w:val="24"/>
          <w:szCs w:val="20"/>
        </w:rPr>
        <w:t>的</w:t>
      </w:r>
      <w:r>
        <w:rPr>
          <w:rFonts w:hint="eastAsia" w:ascii="仿宋" w:hAnsi="Times New Roman" w:eastAsia="仿宋" w:cs="仿宋_GB2312"/>
          <w:sz w:val="24"/>
          <w:szCs w:val="20"/>
          <w:u w:val="single"/>
        </w:rPr>
        <w:t>（请填写项目名称）</w:t>
      </w:r>
      <w:r>
        <w:rPr>
          <w:rFonts w:hint="eastAsia" w:ascii="仿宋" w:hAnsi="Times New Roman" w:eastAsia="仿宋" w:cs="仿宋_GB2312"/>
          <w:sz w:val="24"/>
          <w:szCs w:val="20"/>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Times New Roman" w:eastAsia="仿宋" w:cs="仿宋_GB2312"/>
          <w:sz w:val="24"/>
          <w:szCs w:val="20"/>
        </w:rPr>
      </w:pPr>
      <w:r>
        <w:rPr>
          <w:rFonts w:hint="eastAsia" w:ascii="仿宋" w:hAnsi="Times New Roman" w:eastAsia="仿宋" w:cs="仿宋_GB2312"/>
          <w:sz w:val="24"/>
          <w:szCs w:val="20"/>
        </w:rPr>
        <w:t>本单位对上述声明的真实性负责。如有虚假，将依法承担相应责任。</w:t>
      </w: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spacing w:line="588" w:lineRule="exact"/>
        <w:ind w:firstLine="480"/>
        <w:rPr>
          <w:rFonts w:ascii="仿宋" w:hAnsi="Times New Roman" w:eastAsia="仿宋" w:cs="仿宋_GB2312"/>
          <w:sz w:val="24"/>
          <w:szCs w:val="20"/>
        </w:rPr>
      </w:pPr>
    </w:p>
    <w:p>
      <w:pPr>
        <w:tabs>
          <w:tab w:val="left" w:pos="4860"/>
        </w:tabs>
        <w:spacing w:line="588" w:lineRule="exact"/>
        <w:ind w:right="1560" w:firstLine="480"/>
        <w:jc w:val="center"/>
        <w:rPr>
          <w:rFonts w:ascii="仿宋" w:hAnsi="Times New Roman" w:eastAsia="仿宋" w:cs="仿宋_GB2312"/>
          <w:sz w:val="24"/>
          <w:szCs w:val="20"/>
        </w:rPr>
      </w:pPr>
      <w:r>
        <w:rPr>
          <w:rFonts w:hint="eastAsia" w:ascii="仿宋" w:hAnsi="Times New Roman" w:eastAsia="仿宋" w:cs="仿宋_GB2312"/>
          <w:sz w:val="24"/>
          <w:szCs w:val="20"/>
        </w:rPr>
        <w:t>单位名称（盖章）：</w:t>
      </w:r>
    </w:p>
    <w:p>
      <w:pPr>
        <w:spacing w:line="480" w:lineRule="exact"/>
        <w:ind w:firstLine="480" w:firstLineChars="200"/>
        <w:jc w:val="right"/>
        <w:rPr>
          <w:rFonts w:ascii="仿宋" w:hAnsi="Times New Roman" w:eastAsia="仿宋" w:cs="Times New Roman"/>
          <w:color w:val="000000"/>
          <w:sz w:val="24"/>
          <w:szCs w:val="20"/>
        </w:rPr>
      </w:pPr>
      <w:r>
        <w:rPr>
          <w:rFonts w:hint="eastAsia" w:ascii="仿宋" w:hAnsi="Times New Roman" w:eastAsia="仿宋" w:cs="Times New Roman"/>
          <w:color w:val="000000"/>
          <w:sz w:val="24"/>
          <w:szCs w:val="20"/>
        </w:rPr>
        <w:t>日期：年月日</w:t>
      </w:r>
    </w:p>
    <w:p>
      <w:pPr>
        <w:spacing w:line="240" w:lineRule="auto"/>
        <w:ind w:firstLine="480"/>
        <w:rPr>
          <w:rFonts w:ascii="仿宋" w:hAnsi="Times New Roman" w:eastAsia="仿宋" w:cs="仿宋_GB2312"/>
          <w:sz w:val="24"/>
          <w:szCs w:val="20"/>
        </w:rPr>
      </w:pPr>
    </w:p>
    <w:p>
      <w:pPr>
        <w:spacing w:line="240" w:lineRule="auto"/>
        <w:ind w:firstLine="420"/>
        <w:rPr>
          <w:rFonts w:ascii="仿宋" w:hAnsi="Times New Roman" w:eastAsia="仿宋" w:cs="Times New Roman"/>
          <w:szCs w:val="20"/>
        </w:rPr>
      </w:pPr>
    </w:p>
    <w:p>
      <w:pPr>
        <w:spacing w:line="240" w:lineRule="auto"/>
        <w:ind w:firstLine="420"/>
        <w:rPr>
          <w:rFonts w:ascii="仿宋" w:hAnsi="Times New Roman" w:eastAsia="仿宋" w:cs="Times New Roman"/>
          <w:szCs w:val="20"/>
        </w:rPr>
      </w:pPr>
    </w:p>
    <w:p>
      <w:pPr>
        <w:spacing w:line="240" w:lineRule="auto"/>
        <w:ind w:firstLine="420"/>
        <w:rPr>
          <w:rFonts w:ascii="仿宋" w:hAnsi="Times New Roman" w:eastAsia="仿宋" w:cs="Times New Roman"/>
          <w:szCs w:val="20"/>
        </w:rPr>
      </w:pPr>
    </w:p>
    <w:p>
      <w:pPr>
        <w:spacing w:line="240" w:lineRule="auto"/>
        <w:ind w:firstLine="420"/>
        <w:rPr>
          <w:rFonts w:ascii="仿宋" w:hAnsi="Times New Roman" w:eastAsia="仿宋" w:cs="Times New Roman"/>
          <w:szCs w:val="20"/>
        </w:rPr>
      </w:pPr>
    </w:p>
    <w:p>
      <w:pPr>
        <w:spacing w:line="240" w:lineRule="auto"/>
        <w:ind w:firstLine="420"/>
        <w:rPr>
          <w:rFonts w:ascii="仿宋" w:hAnsi="Times New Roman" w:eastAsia="仿宋" w:cs="Times New Roman"/>
          <w:szCs w:val="20"/>
        </w:rPr>
      </w:pPr>
    </w:p>
    <w:p>
      <w:pPr>
        <w:spacing w:line="240" w:lineRule="auto"/>
        <w:ind w:firstLine="420"/>
        <w:rPr>
          <w:rFonts w:ascii="仿宋" w:hAnsi="Times New Roman" w:eastAsia="仿宋" w:cs="Times New Roman"/>
          <w:szCs w:val="20"/>
        </w:rPr>
      </w:pPr>
    </w:p>
    <w:p>
      <w:pPr>
        <w:spacing w:line="240" w:lineRule="auto"/>
        <w:ind w:firstLine="420"/>
        <w:rPr>
          <w:rFonts w:ascii="仿宋" w:hAnsi="Times New Roman" w:eastAsia="仿宋" w:cs="Times New Roman"/>
          <w:szCs w:val="20"/>
        </w:rPr>
      </w:pPr>
    </w:p>
    <w:p>
      <w:pPr>
        <w:spacing w:line="240" w:lineRule="auto"/>
        <w:ind w:firstLine="482" w:firstLineChars="200"/>
        <w:rPr>
          <w:rFonts w:ascii="仿宋" w:hAnsi="Times New Roman" w:eastAsia="仿宋" w:cs="Times New Roman"/>
          <w:b/>
          <w:sz w:val="36"/>
          <w:szCs w:val="36"/>
        </w:rPr>
      </w:pPr>
      <w:r>
        <w:rPr>
          <w:rFonts w:hint="eastAsia" w:ascii="仿宋" w:hAnsi="Times New Roman" w:eastAsia="仿宋" w:cs="Times New Roman"/>
          <w:b/>
          <w:kern w:val="0"/>
          <w:sz w:val="24"/>
          <w:szCs w:val="20"/>
          <w:u w:val="single"/>
          <w:lang w:val="zh-CN"/>
        </w:rPr>
        <w:t>特别提示：采购机构将在中标公告中公布中标人的《残疾人福利性单位声明函》，接受社会监督。</w:t>
      </w:r>
      <w:r>
        <w:rPr>
          <w:rFonts w:hint="eastAsia" w:ascii="仿宋" w:hAnsi="Times New Roman" w:eastAsia="仿宋" w:cs="Times New Roman"/>
          <w:b/>
          <w:sz w:val="36"/>
          <w:szCs w:val="36"/>
        </w:rPr>
        <w:br w:type="page"/>
      </w:r>
    </w:p>
    <w:p>
      <w:pPr>
        <w:snapToGrid w:val="0"/>
        <w:spacing w:before="50" w:after="50"/>
        <w:jc w:val="left"/>
        <w:rPr>
          <w:rFonts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21</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r>
              <w:rPr>
                <w:rFonts w:hint="eastAsia" w:ascii="仿宋" w:eastAsia="仿宋"/>
                <w:b/>
                <w:color w:val="auto"/>
                <w:sz w:val="24"/>
                <w:szCs w:val="24"/>
                <w:highlight w:val="none"/>
                <w:lang w:val="en-US" w:eastAsia="zh-CN"/>
              </w:rPr>
              <w:t>/月</w:t>
            </w:r>
            <w:r>
              <w:rPr>
                <w:rFonts w:hint="eastAsia" w:ascii="仿宋" w:eastAsia="仿宋"/>
                <w:b/>
                <w:color w:val="auto"/>
                <w:sz w:val="24"/>
                <w:szCs w:val="24"/>
                <w:highlight w:val="none"/>
              </w:rPr>
              <w:t>）</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r>
              <w:rPr>
                <w:rFonts w:hint="eastAsia" w:ascii="仿宋" w:eastAsia="仿宋"/>
                <w:b/>
                <w:color w:val="auto"/>
                <w:sz w:val="24"/>
                <w:szCs w:val="24"/>
                <w:highlight w:val="none"/>
                <w:lang w:val="en-US" w:eastAsia="zh-CN"/>
              </w:rPr>
              <w:t>月</w:t>
            </w:r>
            <w:r>
              <w:rPr>
                <w:rFonts w:hint="eastAsia" w:ascii="仿宋" w:eastAsia="仿宋"/>
                <w:b/>
                <w:color w:val="auto"/>
                <w:sz w:val="24"/>
                <w:szCs w:val="24"/>
                <w:highlight w:val="none"/>
                <w:lang w:eastAsia="zh-CN"/>
              </w:rPr>
              <w:t>）</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bookmarkStart w:id="78" w:name="_Toc64369826"/>
      <w:r>
        <w:rPr>
          <w:rFonts w:hint="eastAsia" w:ascii="仿宋" w:eastAsia="仿宋"/>
          <w:color w:val="auto"/>
          <w:sz w:val="24"/>
          <w:highlight w:val="none"/>
        </w:rPr>
        <w:t xml:space="preserve">法定代表人或其授权代表签字（或盖章）：            </w:t>
      </w:r>
      <w:bookmarkEnd w:id="78"/>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bookmarkStart w:id="79" w:name="_Toc64369827"/>
      <w:r>
        <w:rPr>
          <w:rFonts w:hint="eastAsia" w:ascii="仿宋" w:eastAsia="仿宋"/>
          <w:color w:val="auto"/>
          <w:sz w:val="24"/>
          <w:highlight w:val="none"/>
        </w:rPr>
        <w:t>日期：    年   月   日</w:t>
      </w:r>
      <w:bookmarkEnd w:id="79"/>
    </w:p>
    <w:p>
      <w:pPr>
        <w:snapToGrid w:val="0"/>
        <w:ind w:firstLine="480" w:firstLineChars="200"/>
        <w:jc w:val="left"/>
        <w:rPr>
          <w:rFonts w:hint="eastAsia" w:ascii="仿宋" w:eastAsia="仿宋"/>
          <w:color w:val="auto"/>
          <w:sz w:val="24"/>
          <w:highlight w:val="none"/>
        </w:rPr>
        <w:sectPr>
          <w:footerReference r:id="rId8" w:type="default"/>
          <w:pgSz w:w="16840" w:h="11907" w:orient="landscape"/>
          <w:pgMar w:top="1803" w:right="1440" w:bottom="1236" w:left="1440" w:header="851" w:footer="992" w:gutter="0"/>
          <w:cols w:space="720" w:num="1"/>
          <w:docGrid w:type="lines" w:linePitch="312" w:charSpace="0"/>
        </w:sectPr>
      </w:pPr>
    </w:p>
    <w:p>
      <w:pPr>
        <w:keepNext/>
        <w:keepLines/>
        <w:pageBreakBefore w:val="0"/>
        <w:widowControl w:val="0"/>
        <w:suppressLineNumbers w:val="0"/>
        <w:suppressAutoHyphens w:val="0"/>
        <w:kinsoku/>
        <w:wordWrap/>
        <w:overflowPunct/>
        <w:topLinePunct w:val="0"/>
        <w:autoSpaceDE/>
        <w:autoSpaceDN/>
        <w:bidi w:val="0"/>
        <w:adjustRightInd/>
        <w:spacing w:before="0" w:after="0" w:line="578" w:lineRule="auto"/>
        <w:jc w:val="center"/>
        <w:textAlignment w:val="auto"/>
        <w:outlineLvl w:val="0"/>
        <w:rPr>
          <w:rFonts w:hint="eastAsia" w:ascii="仿宋" w:hAnsi="Times New Roman" w:eastAsia="仿宋" w:cs="Times New Roman"/>
          <w:b/>
          <w:color w:val="auto"/>
          <w:kern w:val="44"/>
          <w:sz w:val="44"/>
          <w:szCs w:val="20"/>
          <w:highlight w:val="none"/>
          <w:lang w:val="en-US" w:eastAsia="zh-CN" w:bidi="ar-SA"/>
        </w:rPr>
      </w:pPr>
      <w:bookmarkStart w:id="80" w:name="_Toc16291"/>
      <w:r>
        <w:rPr>
          <w:rFonts w:hint="eastAsia" w:ascii="仿宋" w:hAnsi="Times New Roman" w:eastAsia="仿宋" w:cs="Times New Roman"/>
          <w:b/>
          <w:color w:val="auto"/>
          <w:kern w:val="44"/>
          <w:sz w:val="44"/>
          <w:szCs w:val="20"/>
          <w:highlight w:val="none"/>
          <w:lang w:val="en-US" w:eastAsia="zh-CN" w:bidi="ar-SA"/>
        </w:rPr>
        <w:t>第七章  询问、质疑及投诉</w:t>
      </w:r>
      <w:bookmarkEnd w:id="80"/>
    </w:p>
    <w:p>
      <w:pPr>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keepNext/>
        <w:keepLines/>
        <w:pageBreakBefore w:val="0"/>
        <w:widowControl w:val="0"/>
        <w:kinsoku/>
        <w:wordWrap/>
        <w:overflowPunct/>
        <w:topLinePunct w:val="0"/>
        <w:autoSpaceDE/>
        <w:autoSpaceDN/>
        <w:bidi w:val="0"/>
        <w:adjustRightInd/>
        <w:spacing w:before="0" w:after="0" w:line="415" w:lineRule="auto"/>
        <w:jc w:val="center"/>
        <w:textAlignment w:val="auto"/>
        <w:outlineLvl w:val="1"/>
        <w:rPr>
          <w:rFonts w:hint="eastAsia" w:ascii="仿宋" w:hAnsi="Arial" w:eastAsia="仿宋" w:cs="Times New Roman"/>
          <w:b/>
          <w:color w:val="auto"/>
          <w:kern w:val="2"/>
          <w:sz w:val="32"/>
          <w:szCs w:val="20"/>
          <w:highlight w:val="none"/>
          <w:lang w:val="en-US" w:eastAsia="zh-CN" w:bidi="ar-SA"/>
        </w:rPr>
      </w:pPr>
      <w:bookmarkStart w:id="81" w:name="_Toc31383"/>
      <w:r>
        <w:rPr>
          <w:rFonts w:hint="eastAsia" w:ascii="仿宋" w:hAnsi="Arial" w:eastAsia="仿宋" w:cs="Times New Roman"/>
          <w:b/>
          <w:color w:val="auto"/>
          <w:kern w:val="2"/>
          <w:sz w:val="32"/>
          <w:szCs w:val="20"/>
          <w:highlight w:val="none"/>
          <w:lang w:val="en-US" w:eastAsia="zh-CN" w:bidi="ar-SA"/>
        </w:rPr>
        <w:t>一、供应商询问</w:t>
      </w:r>
      <w:bookmarkEnd w:id="81"/>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1.1供应商对</w:t>
      </w:r>
      <w:r>
        <w:rPr>
          <w:rFonts w:ascii="仿宋" w:hAnsi="Times New Roman" w:eastAsia="仿宋" w:cs="Times New Roman"/>
          <w:color w:val="auto"/>
          <w:kern w:val="2"/>
          <w:sz w:val="24"/>
          <w:szCs w:val="20"/>
          <w:highlight w:val="none"/>
          <w:lang w:val="en-US" w:eastAsia="zh-CN" w:bidi="ar-SA"/>
        </w:rPr>
        <w:t>采购文件、</w:t>
      </w:r>
      <w:r>
        <w:rPr>
          <w:rFonts w:hint="eastAsia" w:ascii="仿宋" w:hAnsi="Times New Roman" w:eastAsia="仿宋" w:cs="Times New Roman"/>
          <w:color w:val="auto"/>
          <w:kern w:val="2"/>
          <w:sz w:val="24"/>
          <w:szCs w:val="20"/>
          <w:highlight w:val="none"/>
          <w:lang w:val="en-US" w:eastAsia="zh-CN" w:bidi="ar-SA"/>
        </w:rPr>
        <w:t>采购活动事项有疑问</w:t>
      </w:r>
      <w:r>
        <w:rPr>
          <w:rFonts w:ascii="仿宋" w:hAnsi="Times New Roman" w:eastAsia="仿宋" w:cs="Times New Roman"/>
          <w:color w:val="auto"/>
          <w:kern w:val="2"/>
          <w:sz w:val="24"/>
          <w:szCs w:val="20"/>
          <w:highlight w:val="none"/>
          <w:lang w:val="en-US" w:eastAsia="zh-CN" w:bidi="ar-SA"/>
        </w:rPr>
        <w:t>需要解释</w:t>
      </w:r>
      <w:r>
        <w:rPr>
          <w:rFonts w:hint="eastAsia" w:ascii="仿宋" w:hAnsi="Times New Roman" w:eastAsia="仿宋" w:cs="Times New Roman"/>
          <w:color w:val="auto"/>
          <w:kern w:val="2"/>
          <w:sz w:val="24"/>
          <w:szCs w:val="20"/>
          <w:highlight w:val="none"/>
          <w:lang w:val="en-US" w:eastAsia="zh-CN" w:bidi="ar-SA"/>
        </w:rPr>
        <w:t>的，</w:t>
      </w:r>
      <w:r>
        <w:rPr>
          <w:rFonts w:ascii="仿宋" w:hAnsi="Times New Roman" w:eastAsia="仿宋" w:cs="Times New Roman"/>
          <w:color w:val="auto"/>
          <w:kern w:val="2"/>
          <w:sz w:val="24"/>
          <w:szCs w:val="20"/>
          <w:highlight w:val="none"/>
          <w:lang w:val="en-US" w:eastAsia="zh-CN" w:bidi="ar-SA"/>
        </w:rPr>
        <w:t>在政采云系统内</w:t>
      </w:r>
      <w:r>
        <w:rPr>
          <w:rFonts w:hint="eastAsia" w:ascii="仿宋" w:hAnsi="Times New Roman" w:eastAsia="仿宋" w:cs="Times New Roman"/>
          <w:color w:val="auto"/>
          <w:kern w:val="2"/>
          <w:sz w:val="24"/>
          <w:szCs w:val="20"/>
          <w:highlight w:val="none"/>
          <w:lang w:val="en-US" w:eastAsia="zh-CN" w:bidi="ar-SA"/>
        </w:rPr>
        <w:t>可以向采购机构提出</w:t>
      </w:r>
      <w:r>
        <w:rPr>
          <w:rFonts w:ascii="仿宋" w:hAnsi="Times New Roman" w:eastAsia="仿宋" w:cs="Times New Roman"/>
          <w:color w:val="auto"/>
          <w:kern w:val="2"/>
          <w:sz w:val="24"/>
          <w:szCs w:val="20"/>
          <w:highlight w:val="none"/>
          <w:lang w:val="en-US" w:eastAsia="zh-CN" w:bidi="ar-SA"/>
        </w:rPr>
        <w:t>在线</w:t>
      </w:r>
      <w:r>
        <w:rPr>
          <w:rFonts w:hint="eastAsia" w:ascii="仿宋" w:hAnsi="Times New Roman" w:eastAsia="仿宋" w:cs="Times New Roman"/>
          <w:color w:val="auto"/>
          <w:kern w:val="2"/>
          <w:sz w:val="24"/>
          <w:szCs w:val="20"/>
          <w:highlight w:val="none"/>
          <w:lang w:val="en-US" w:eastAsia="zh-CN" w:bidi="ar-SA"/>
        </w:rPr>
        <w:t>询问</w:t>
      </w:r>
      <w:r>
        <w:rPr>
          <w:rFonts w:ascii="仿宋" w:hAnsi="Times New Roman" w:eastAsia="仿宋" w:cs="Times New Roman"/>
          <w:color w:val="auto"/>
          <w:kern w:val="2"/>
          <w:sz w:val="24"/>
          <w:szCs w:val="20"/>
          <w:highlight w:val="none"/>
          <w:lang w:val="en-US" w:eastAsia="zh-CN" w:bidi="ar-SA"/>
        </w:rPr>
        <w:t>（加盖单位CA章）</w:t>
      </w:r>
      <w:r>
        <w:rPr>
          <w:rFonts w:hint="eastAsia" w:ascii="仿宋" w:hAnsi="Times New Roman" w:eastAsia="仿宋" w:cs="Times New Roman"/>
          <w:color w:val="auto"/>
          <w:kern w:val="2"/>
          <w:sz w:val="24"/>
          <w:szCs w:val="20"/>
          <w:highlight w:val="none"/>
          <w:lang w:val="en-US" w:eastAsia="zh-CN" w:bidi="ar-SA"/>
        </w:rPr>
        <w:t>，采购机构将</w:t>
      </w:r>
      <w:r>
        <w:rPr>
          <w:rFonts w:ascii="仿宋" w:hAnsi="Times New Roman" w:eastAsia="仿宋" w:cs="Times New Roman"/>
          <w:color w:val="auto"/>
          <w:kern w:val="2"/>
          <w:sz w:val="24"/>
          <w:szCs w:val="20"/>
          <w:highlight w:val="none"/>
          <w:lang w:val="en-US" w:eastAsia="zh-CN" w:bidi="ar-SA"/>
        </w:rPr>
        <w:t>在3个工作日内</w:t>
      </w:r>
      <w:r>
        <w:rPr>
          <w:rFonts w:hint="eastAsia" w:ascii="仿宋" w:hAnsi="Times New Roman" w:eastAsia="仿宋" w:cs="Times New Roman"/>
          <w:color w:val="auto"/>
          <w:kern w:val="2"/>
          <w:sz w:val="24"/>
          <w:szCs w:val="20"/>
          <w:highlight w:val="none"/>
          <w:lang w:val="en-US" w:eastAsia="zh-CN" w:bidi="ar-SA"/>
        </w:rPr>
        <w:t>对供应商依法提出的询问作出答复，但答复的内容不得涉及商业秘密。</w:t>
      </w:r>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1.</w:t>
      </w:r>
      <w:r>
        <w:rPr>
          <w:rFonts w:ascii="仿宋" w:hAnsi="Times New Roman" w:eastAsia="仿宋" w:cs="Times New Roman"/>
          <w:color w:val="auto"/>
          <w:kern w:val="2"/>
          <w:sz w:val="24"/>
          <w:szCs w:val="20"/>
          <w:highlight w:val="none"/>
          <w:lang w:val="en-US" w:eastAsia="zh-CN" w:bidi="ar-SA"/>
        </w:rPr>
        <w:t>2</w:t>
      </w:r>
      <w:r>
        <w:rPr>
          <w:rFonts w:hint="eastAsia" w:ascii="仿宋" w:hAnsi="Times New Roman" w:eastAsia="仿宋" w:cs="Times New Roman"/>
          <w:color w:val="auto"/>
          <w:kern w:val="2"/>
          <w:sz w:val="24"/>
          <w:szCs w:val="20"/>
          <w:highlight w:val="none"/>
          <w:lang w:val="en-US" w:eastAsia="zh-CN" w:bidi="ar-SA"/>
        </w:rPr>
        <w:t>采购机构一般通过</w:t>
      </w:r>
      <w:r>
        <w:rPr>
          <w:rFonts w:ascii="仿宋" w:hAnsi="Times New Roman" w:eastAsia="仿宋" w:cs="Times New Roman"/>
          <w:color w:val="auto"/>
          <w:kern w:val="2"/>
          <w:sz w:val="24"/>
          <w:szCs w:val="20"/>
          <w:highlight w:val="none"/>
          <w:lang w:val="en-US" w:eastAsia="zh-CN" w:bidi="ar-SA"/>
        </w:rPr>
        <w:t>与询问相同的</w:t>
      </w:r>
      <w:r>
        <w:rPr>
          <w:rFonts w:hint="eastAsia" w:ascii="仿宋" w:hAnsi="Times New Roman" w:eastAsia="仿宋" w:cs="Times New Roman"/>
          <w:color w:val="auto"/>
          <w:kern w:val="2"/>
          <w:sz w:val="24"/>
          <w:szCs w:val="20"/>
          <w:highlight w:val="none"/>
          <w:lang w:val="en-US" w:eastAsia="zh-CN" w:bidi="ar-SA"/>
        </w:rPr>
        <w:t>形式答复。</w:t>
      </w:r>
    </w:p>
    <w:p>
      <w:pPr>
        <w:keepNext/>
        <w:keepLines/>
        <w:pageBreakBefore w:val="0"/>
        <w:widowControl w:val="0"/>
        <w:kinsoku/>
        <w:wordWrap/>
        <w:overflowPunct/>
        <w:topLinePunct w:val="0"/>
        <w:autoSpaceDE/>
        <w:autoSpaceDN/>
        <w:bidi w:val="0"/>
        <w:adjustRightInd/>
        <w:spacing w:before="0" w:after="0" w:line="415" w:lineRule="auto"/>
        <w:jc w:val="center"/>
        <w:textAlignment w:val="auto"/>
        <w:outlineLvl w:val="1"/>
        <w:rPr>
          <w:rFonts w:hint="eastAsia" w:ascii="仿宋" w:hAnsi="Arial" w:eastAsia="仿宋" w:cs="Times New Roman"/>
          <w:b/>
          <w:color w:val="auto"/>
          <w:kern w:val="2"/>
          <w:sz w:val="32"/>
          <w:szCs w:val="20"/>
          <w:highlight w:val="none"/>
          <w:lang w:val="en-US" w:eastAsia="zh-CN" w:bidi="ar-SA"/>
        </w:rPr>
      </w:pPr>
      <w:bookmarkStart w:id="82" w:name="_Toc25373"/>
      <w:r>
        <w:rPr>
          <w:rFonts w:hint="eastAsia" w:ascii="仿宋" w:hAnsi="Arial" w:eastAsia="仿宋" w:cs="Times New Roman"/>
          <w:b/>
          <w:color w:val="auto"/>
          <w:kern w:val="2"/>
          <w:sz w:val="32"/>
          <w:szCs w:val="20"/>
          <w:highlight w:val="none"/>
          <w:lang w:val="en-US" w:eastAsia="zh-CN" w:bidi="ar-SA"/>
        </w:rPr>
        <w:t>二、供应商质疑</w:t>
      </w:r>
      <w:bookmarkEnd w:id="82"/>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b/>
          <w:bCs/>
          <w:color w:val="auto"/>
          <w:kern w:val="2"/>
          <w:sz w:val="24"/>
          <w:szCs w:val="20"/>
          <w:highlight w:val="none"/>
          <w:lang w:val="en-US" w:eastAsia="zh-CN" w:bidi="ar-SA"/>
        </w:rPr>
      </w:pPr>
      <w:r>
        <w:rPr>
          <w:rFonts w:hint="eastAsia" w:ascii="仿宋" w:hAnsi="Times New Roman" w:eastAsia="仿宋" w:cs="Times New Roman"/>
          <w:b/>
          <w:bCs/>
          <w:color w:val="auto"/>
          <w:kern w:val="2"/>
          <w:sz w:val="24"/>
          <w:szCs w:val="20"/>
          <w:highlight w:val="none"/>
          <w:lang w:val="en-US" w:eastAsia="zh-CN" w:bidi="ar-SA"/>
        </w:rPr>
        <w:t>2.1质疑有效期：</w:t>
      </w:r>
    </w:p>
    <w:p>
      <w:pPr>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供应商可以在知道或者应知其权益受到损害之日起七个工作日内，以加盖供应商电子签章的数据电文形式</w:t>
      </w:r>
      <w:r>
        <w:rPr>
          <w:rFonts w:ascii="仿宋" w:hAnsi="Times New Roman" w:eastAsia="仿宋" w:cs="Times New Roman"/>
          <w:color w:val="auto"/>
          <w:kern w:val="2"/>
          <w:sz w:val="24"/>
          <w:szCs w:val="20"/>
          <w:highlight w:val="none"/>
          <w:lang w:val="en-US" w:eastAsia="zh-CN" w:bidi="ar-SA"/>
        </w:rPr>
        <w:t>，在政采云系统内</w:t>
      </w:r>
      <w:r>
        <w:rPr>
          <w:rFonts w:hint="eastAsia" w:ascii="仿宋" w:hAnsi="Times New Roman" w:eastAsia="仿宋" w:cs="Times New Roman"/>
          <w:color w:val="auto"/>
          <w:kern w:val="2"/>
          <w:sz w:val="24"/>
          <w:szCs w:val="20"/>
          <w:highlight w:val="none"/>
          <w:lang w:val="en-US" w:eastAsia="zh-CN" w:bidi="ar-SA"/>
        </w:rPr>
        <w:t>向采购机构提出</w:t>
      </w:r>
      <w:r>
        <w:rPr>
          <w:rFonts w:ascii="仿宋" w:hAnsi="Times New Roman" w:eastAsia="仿宋" w:cs="Times New Roman"/>
          <w:color w:val="auto"/>
          <w:kern w:val="2"/>
          <w:sz w:val="24"/>
          <w:szCs w:val="20"/>
          <w:highlight w:val="none"/>
          <w:lang w:val="en-US" w:eastAsia="zh-CN" w:bidi="ar-SA"/>
        </w:rPr>
        <w:t>在线</w:t>
      </w:r>
      <w:r>
        <w:rPr>
          <w:rFonts w:hint="eastAsia" w:ascii="仿宋" w:hAnsi="Times New Roman" w:eastAsia="仿宋" w:cs="Times New Roman"/>
          <w:color w:val="auto"/>
          <w:kern w:val="2"/>
          <w:sz w:val="24"/>
          <w:szCs w:val="20"/>
          <w:highlight w:val="none"/>
          <w:lang w:val="en-US" w:eastAsia="zh-CN" w:bidi="ar-SA"/>
        </w:rPr>
        <w:t>质疑</w:t>
      </w:r>
      <w:r>
        <w:rPr>
          <w:rFonts w:ascii="仿宋" w:hAnsi="Times New Roman" w:eastAsia="仿宋" w:cs="Times New Roman"/>
          <w:color w:val="auto"/>
          <w:kern w:val="2"/>
          <w:sz w:val="24"/>
          <w:szCs w:val="20"/>
          <w:highlight w:val="none"/>
          <w:lang w:val="en-US" w:eastAsia="zh-CN" w:bidi="ar-SA"/>
        </w:rPr>
        <w:t>：</w:t>
      </w:r>
    </w:p>
    <w:p>
      <w:pPr>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ascii="仿宋" w:hAnsi="Times New Roman" w:eastAsia="仿宋" w:cs="Times New Roman"/>
          <w:color w:val="auto"/>
          <w:kern w:val="2"/>
          <w:sz w:val="24"/>
          <w:szCs w:val="20"/>
          <w:highlight w:val="none"/>
          <w:lang w:val="en-US" w:eastAsia="zh-CN" w:bidi="ar-SA"/>
        </w:rPr>
        <w:t>（1）</w:t>
      </w:r>
      <w:r>
        <w:rPr>
          <w:rFonts w:hint="eastAsia" w:ascii="仿宋" w:hAnsi="Times New Roman" w:eastAsia="仿宋" w:cs="Times New Roman"/>
          <w:color w:val="auto"/>
          <w:kern w:val="2"/>
          <w:sz w:val="24"/>
          <w:szCs w:val="20"/>
          <w:highlight w:val="none"/>
          <w:lang w:val="en-US" w:eastAsia="zh-CN" w:bidi="ar-SA"/>
        </w:rPr>
        <w:t>采购公告中的资格条件、获取采购文件时间设定等不符合有关规定，致使供应商不能参与本项目采购活动的</w:t>
      </w:r>
      <w:r>
        <w:rPr>
          <w:rFonts w:ascii="仿宋" w:hAnsi="Times New Roman" w:eastAsia="仿宋" w:cs="Times New Roman"/>
          <w:color w:val="auto"/>
          <w:kern w:val="2"/>
          <w:sz w:val="24"/>
          <w:szCs w:val="20"/>
          <w:highlight w:val="none"/>
          <w:lang w:val="en-US" w:eastAsia="zh-CN" w:bidi="ar-SA"/>
        </w:rPr>
        <w:t>，质疑期限自采购公告发布之日起计算。</w:t>
      </w:r>
    </w:p>
    <w:p>
      <w:pPr>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w:t>
      </w:r>
      <w:r>
        <w:rPr>
          <w:rFonts w:ascii="仿宋" w:hAnsi="Times New Roman" w:eastAsia="仿宋" w:cs="Times New Roman"/>
          <w:color w:val="auto"/>
          <w:kern w:val="2"/>
          <w:sz w:val="24"/>
          <w:szCs w:val="20"/>
          <w:highlight w:val="none"/>
          <w:lang w:val="en-US" w:eastAsia="zh-CN" w:bidi="ar-SA"/>
        </w:rPr>
        <w:t>2</w:t>
      </w:r>
      <w:r>
        <w:rPr>
          <w:rFonts w:hint="eastAsia" w:ascii="仿宋" w:hAnsi="Times New Roman" w:eastAsia="仿宋" w:cs="Times New Roman"/>
          <w:color w:val="auto"/>
          <w:kern w:val="2"/>
          <w:sz w:val="24"/>
          <w:szCs w:val="20"/>
          <w:highlight w:val="none"/>
          <w:lang w:val="en-US" w:eastAsia="zh-CN" w:bidi="ar-SA"/>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b/>
          <w:bCs/>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w:t>
      </w:r>
      <w:r>
        <w:rPr>
          <w:rFonts w:ascii="仿宋" w:hAnsi="Times New Roman" w:eastAsia="仿宋" w:cs="Times New Roman"/>
          <w:color w:val="auto"/>
          <w:kern w:val="2"/>
          <w:sz w:val="24"/>
          <w:szCs w:val="20"/>
          <w:highlight w:val="none"/>
          <w:lang w:val="en-US" w:eastAsia="zh-CN" w:bidi="ar-SA"/>
        </w:rPr>
        <w:t>3</w:t>
      </w:r>
      <w:r>
        <w:rPr>
          <w:rFonts w:hint="eastAsia" w:ascii="仿宋" w:hAnsi="Times New Roman" w:eastAsia="仿宋" w:cs="Times New Roman"/>
          <w:color w:val="auto"/>
          <w:kern w:val="2"/>
          <w:sz w:val="24"/>
          <w:szCs w:val="20"/>
          <w:highlight w:val="none"/>
          <w:lang w:val="en-US" w:eastAsia="zh-CN" w:bidi="ar-SA"/>
        </w:rPr>
        <w:t>）对采购过程提出质疑的，质疑期限为各采购程序环节结束之日起计算。</w:t>
      </w:r>
    </w:p>
    <w:p>
      <w:pPr>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w:t>
      </w:r>
      <w:r>
        <w:rPr>
          <w:rFonts w:ascii="仿宋" w:hAnsi="Times New Roman" w:eastAsia="仿宋" w:cs="Times New Roman"/>
          <w:color w:val="auto"/>
          <w:kern w:val="2"/>
          <w:sz w:val="24"/>
          <w:szCs w:val="20"/>
          <w:highlight w:val="none"/>
          <w:lang w:val="en-US" w:eastAsia="zh-CN" w:bidi="ar-SA"/>
        </w:rPr>
        <w:t>4</w:t>
      </w:r>
      <w:r>
        <w:rPr>
          <w:rFonts w:hint="eastAsia" w:ascii="仿宋" w:hAnsi="Times New Roman" w:eastAsia="仿宋" w:cs="Times New Roman"/>
          <w:color w:val="auto"/>
          <w:kern w:val="2"/>
          <w:sz w:val="24"/>
          <w:szCs w:val="20"/>
          <w:highlight w:val="none"/>
          <w:lang w:val="en-US" w:eastAsia="zh-CN" w:bidi="ar-SA"/>
        </w:rPr>
        <w:t>）对采购结果提出质疑的，质疑期限自采购结果公告（包括公示、预公告、结果更正公告等）期限届满之日起计算。</w:t>
      </w:r>
    </w:p>
    <w:p>
      <w:pPr>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w:t>
      </w:r>
      <w:r>
        <w:rPr>
          <w:rFonts w:ascii="仿宋" w:hAnsi="Times New Roman" w:eastAsia="仿宋" w:cs="Times New Roman"/>
          <w:color w:val="auto"/>
          <w:kern w:val="2"/>
          <w:sz w:val="24"/>
          <w:szCs w:val="20"/>
          <w:highlight w:val="none"/>
          <w:lang w:val="en-US" w:eastAsia="zh-CN" w:bidi="ar-SA"/>
        </w:rPr>
        <w:t>5</w:t>
      </w:r>
      <w:r>
        <w:rPr>
          <w:rFonts w:hint="eastAsia" w:ascii="仿宋" w:hAnsi="Times New Roman" w:eastAsia="仿宋" w:cs="Times New Roman"/>
          <w:color w:val="auto"/>
          <w:kern w:val="2"/>
          <w:sz w:val="24"/>
          <w:szCs w:val="20"/>
          <w:highlight w:val="none"/>
          <w:lang w:val="en-US" w:eastAsia="zh-CN" w:bidi="ar-SA"/>
        </w:rPr>
        <w:t>）供应商应在法定质疑期内一次性提出针对同一采购程序环节的质疑。提供新的事实或证据的除外。</w:t>
      </w:r>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b/>
          <w:bCs/>
          <w:color w:val="auto"/>
          <w:kern w:val="2"/>
          <w:sz w:val="24"/>
          <w:szCs w:val="20"/>
          <w:highlight w:val="none"/>
          <w:lang w:val="en-US" w:eastAsia="zh-CN" w:bidi="ar-SA"/>
        </w:rPr>
      </w:pPr>
      <w:r>
        <w:rPr>
          <w:rFonts w:hint="eastAsia" w:ascii="仿宋" w:hAnsi="Times New Roman" w:eastAsia="仿宋" w:cs="Times New Roman"/>
          <w:b/>
          <w:bCs/>
          <w:color w:val="auto"/>
          <w:kern w:val="2"/>
          <w:sz w:val="24"/>
          <w:szCs w:val="20"/>
          <w:highlight w:val="none"/>
          <w:lang w:val="en-US" w:eastAsia="zh-CN" w:bidi="ar-SA"/>
        </w:rPr>
        <w:t>2.2质疑主体的有效性：</w:t>
      </w:r>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2.2.1提出质疑的供应商应当是参与所质疑项目采购活动的供应商。</w:t>
      </w:r>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2.2.2质疑人应当与质疑事项存在利害关系,不得提出“自杀式质疑”。</w:t>
      </w:r>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b/>
          <w:bCs/>
          <w:color w:val="auto"/>
          <w:kern w:val="2"/>
          <w:sz w:val="24"/>
          <w:szCs w:val="20"/>
          <w:highlight w:val="none"/>
          <w:lang w:val="en-US" w:eastAsia="zh-CN" w:bidi="ar-SA"/>
        </w:rPr>
      </w:pPr>
      <w:r>
        <w:rPr>
          <w:rFonts w:hint="eastAsia" w:ascii="仿宋" w:hAnsi="Times New Roman" w:eastAsia="仿宋" w:cs="Times New Roman"/>
          <w:b/>
          <w:bCs/>
          <w:color w:val="auto"/>
          <w:kern w:val="2"/>
          <w:sz w:val="24"/>
          <w:szCs w:val="20"/>
          <w:highlight w:val="none"/>
          <w:lang w:val="en-US" w:eastAsia="zh-CN" w:bidi="ar-SA"/>
        </w:rPr>
        <w:t>2.3质疑的答复</w:t>
      </w:r>
    </w:p>
    <w:p>
      <w:pPr>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采购机构将在收到供应商的质疑后七个工作日内作出答复，但答复的内容不得涉及商业秘密。</w:t>
      </w:r>
      <w:r>
        <w:rPr>
          <w:rFonts w:ascii="仿宋" w:hAnsi="Times New Roman" w:eastAsia="仿宋" w:cs="Times New Roman"/>
          <w:color w:val="auto"/>
          <w:kern w:val="2"/>
          <w:sz w:val="24"/>
          <w:szCs w:val="20"/>
          <w:highlight w:val="none"/>
          <w:lang w:val="en-US" w:eastAsia="zh-CN" w:bidi="ar-SA"/>
        </w:rPr>
        <w:t>采购机构视情</w:t>
      </w:r>
      <w:r>
        <w:rPr>
          <w:rFonts w:hint="eastAsia" w:ascii="仿宋" w:hAnsi="Times New Roman" w:eastAsia="仿宋" w:cs="Times New Roman"/>
          <w:color w:val="auto"/>
          <w:kern w:val="2"/>
          <w:sz w:val="24"/>
          <w:szCs w:val="20"/>
          <w:highlight w:val="none"/>
          <w:lang w:val="en-US" w:eastAsia="zh-CN" w:bidi="ar-SA"/>
        </w:rPr>
        <w:t>以</w:t>
      </w:r>
      <w:r>
        <w:rPr>
          <w:rFonts w:ascii="仿宋" w:hAnsi="Times New Roman" w:eastAsia="仿宋" w:cs="Times New Roman"/>
          <w:color w:val="auto"/>
          <w:kern w:val="2"/>
          <w:sz w:val="24"/>
          <w:szCs w:val="20"/>
          <w:highlight w:val="none"/>
          <w:lang w:val="en-US" w:eastAsia="zh-CN" w:bidi="ar-SA"/>
        </w:rPr>
        <w:t>变更公告等</w:t>
      </w:r>
      <w:r>
        <w:rPr>
          <w:rFonts w:hint="eastAsia" w:ascii="仿宋" w:hAnsi="Times New Roman" w:eastAsia="仿宋" w:cs="Times New Roman"/>
          <w:color w:val="auto"/>
          <w:kern w:val="2"/>
          <w:sz w:val="24"/>
          <w:szCs w:val="20"/>
          <w:highlight w:val="none"/>
          <w:lang w:val="en-US" w:eastAsia="zh-CN" w:bidi="ar-SA"/>
        </w:rPr>
        <w:t>形式通知其他与质疑处理结果有利害关系的政府采购当事人</w:t>
      </w:r>
      <w:r>
        <w:rPr>
          <w:rFonts w:ascii="仿宋" w:hAnsi="Times New Roman" w:eastAsia="仿宋" w:cs="Times New Roman"/>
          <w:color w:val="auto"/>
          <w:kern w:val="2"/>
          <w:sz w:val="24"/>
          <w:szCs w:val="20"/>
          <w:highlight w:val="none"/>
          <w:lang w:val="en-US" w:eastAsia="zh-CN" w:bidi="ar-SA"/>
        </w:rPr>
        <w:t>。</w:t>
      </w:r>
    </w:p>
    <w:p>
      <w:pPr>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询问或者质疑事项可能影响采购结果的，采购人应当暂停签订合同，已经签订合同的，应当中止履行合同。</w:t>
      </w:r>
    </w:p>
    <w:p>
      <w:pPr>
        <w:pageBreakBefore w:val="0"/>
        <w:widowControl w:val="0"/>
        <w:kinsoku/>
        <w:wordWrap/>
        <w:overflowPunct/>
        <w:topLinePunct w:val="0"/>
        <w:autoSpaceDE/>
        <w:autoSpaceDN/>
        <w:bidi w:val="0"/>
        <w:adjustRightInd/>
        <w:spacing w:line="360" w:lineRule="auto"/>
        <w:ind w:left="0"/>
        <w:jc w:val="both"/>
        <w:textAlignment w:val="auto"/>
        <w:rPr>
          <w:rFonts w:hint="eastAsia" w:ascii="仿宋" w:hAnsi="Times New Roman" w:eastAsia="仿宋" w:cs="Times New Roman"/>
          <w:b/>
          <w:bCs/>
          <w:color w:val="auto"/>
          <w:kern w:val="2"/>
          <w:sz w:val="24"/>
          <w:szCs w:val="20"/>
          <w:highlight w:val="none"/>
          <w:lang w:val="en-US" w:eastAsia="zh-CN" w:bidi="ar-SA"/>
        </w:rPr>
      </w:pPr>
      <w:r>
        <w:rPr>
          <w:rFonts w:hint="eastAsia" w:ascii="仿宋" w:hAnsi="Times New Roman" w:eastAsia="仿宋" w:cs="Times New Roman"/>
          <w:b/>
          <w:bCs/>
          <w:color w:val="auto"/>
          <w:kern w:val="2"/>
          <w:sz w:val="24"/>
          <w:szCs w:val="20"/>
          <w:highlight w:val="none"/>
          <w:lang w:val="en-US" w:eastAsia="zh-CN" w:bidi="ar-SA"/>
        </w:rPr>
        <w:t>2.4质疑的撤回</w:t>
      </w:r>
    </w:p>
    <w:p>
      <w:pPr>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供应商可以通过</w:t>
      </w:r>
      <w:r>
        <w:rPr>
          <w:rFonts w:ascii="仿宋" w:hAnsi="Times New Roman" w:eastAsia="仿宋" w:cs="Times New Roman"/>
          <w:color w:val="auto"/>
          <w:kern w:val="0"/>
          <w:sz w:val="24"/>
          <w:highlight w:val="none"/>
        </w:rPr>
        <w:t>政采云系统</w:t>
      </w:r>
      <w:r>
        <w:rPr>
          <w:rFonts w:hint="eastAsia" w:ascii="仿宋" w:hAnsi="Times New Roman" w:eastAsia="仿宋" w:cs="Times New Roman"/>
          <w:color w:val="auto"/>
          <w:kern w:val="0"/>
          <w:sz w:val="24"/>
          <w:highlight w:val="none"/>
        </w:rPr>
        <w:t>撤回已经被受理的质疑书。</w:t>
      </w:r>
    </w:p>
    <w:p>
      <w:pPr>
        <w:keepNext/>
        <w:keepLines/>
        <w:pageBreakBefore w:val="0"/>
        <w:widowControl w:val="0"/>
        <w:suppressLineNumbers w:val="0"/>
        <w:suppressAutoHyphens w:val="0"/>
        <w:kinsoku/>
        <w:wordWrap/>
        <w:overflowPunct/>
        <w:topLinePunct w:val="0"/>
        <w:autoSpaceDE/>
        <w:autoSpaceDN/>
        <w:bidi w:val="0"/>
        <w:adjustRightInd/>
        <w:spacing w:before="0" w:after="0" w:line="415" w:lineRule="auto"/>
        <w:jc w:val="center"/>
        <w:textAlignment w:val="auto"/>
        <w:outlineLvl w:val="1"/>
        <w:rPr>
          <w:rFonts w:hint="eastAsia" w:ascii="仿宋" w:hAnsi="Arial" w:eastAsia="仿宋" w:cs="Times New Roman"/>
          <w:b/>
          <w:color w:val="auto"/>
          <w:kern w:val="2"/>
          <w:sz w:val="32"/>
          <w:szCs w:val="20"/>
          <w:highlight w:val="none"/>
          <w:lang w:val="en-US" w:eastAsia="zh-CN" w:bidi="ar-SA"/>
        </w:rPr>
      </w:pPr>
      <w:bookmarkStart w:id="83" w:name="_Toc17941"/>
      <w:r>
        <w:rPr>
          <w:rFonts w:hint="eastAsia" w:ascii="仿宋" w:hAnsi="Arial" w:eastAsia="仿宋" w:cs="Times New Roman"/>
          <w:b/>
          <w:color w:val="auto"/>
          <w:kern w:val="2"/>
          <w:sz w:val="32"/>
          <w:szCs w:val="20"/>
          <w:highlight w:val="none"/>
          <w:lang w:val="en-US" w:eastAsia="zh-CN" w:bidi="ar-SA"/>
        </w:rPr>
        <w:t>三、供应商投诉</w:t>
      </w:r>
      <w:bookmarkEnd w:id="83"/>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b/>
          <w:bCs/>
          <w:color w:val="auto"/>
          <w:kern w:val="0"/>
          <w:sz w:val="24"/>
          <w:highlight w:val="none"/>
        </w:rPr>
      </w:pPr>
      <w:r>
        <w:rPr>
          <w:rFonts w:hint="eastAsia" w:ascii="仿宋" w:hAnsi="Times New Roman" w:eastAsia="仿宋" w:cs="Times New Roman"/>
          <w:b/>
          <w:bCs/>
          <w:color w:val="auto"/>
          <w:kern w:val="0"/>
          <w:sz w:val="24"/>
          <w:highlight w:val="none"/>
        </w:rPr>
        <w:t>3.1投诉有效期</w:t>
      </w:r>
    </w:p>
    <w:p>
      <w:pPr>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b/>
          <w:bCs/>
          <w:color w:val="auto"/>
          <w:kern w:val="0"/>
          <w:sz w:val="24"/>
          <w:highlight w:val="none"/>
          <w:u w:val="single"/>
        </w:rPr>
      </w:pPr>
      <w:r>
        <w:rPr>
          <w:rFonts w:hint="eastAsia" w:ascii="仿宋" w:hAnsi="Times New Roman" w:eastAsia="仿宋" w:cs="Times New Roman"/>
          <w:b/>
          <w:bCs/>
          <w:color w:val="auto"/>
          <w:kern w:val="0"/>
          <w:sz w:val="24"/>
          <w:highlight w:val="none"/>
          <w:u w:val="single"/>
        </w:rPr>
        <w:t>特别提醒：质疑是投诉的前置程序，供应商必须先质疑后投诉。</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b/>
          <w:bCs/>
          <w:color w:val="auto"/>
          <w:kern w:val="0"/>
          <w:sz w:val="24"/>
          <w:highlight w:val="none"/>
        </w:rPr>
      </w:pPr>
      <w:r>
        <w:rPr>
          <w:rFonts w:hint="eastAsia" w:ascii="仿宋" w:hAnsi="Times New Roman" w:eastAsia="仿宋" w:cs="Times New Roman"/>
          <w:b/>
          <w:bCs/>
          <w:color w:val="auto"/>
          <w:kern w:val="0"/>
          <w:sz w:val="24"/>
          <w:highlight w:val="none"/>
        </w:rPr>
        <w:t>3.2投诉内容</w:t>
      </w:r>
    </w:p>
    <w:p>
      <w:pPr>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供应商投诉的事项不得超出已质疑事项的范围，但基于质疑答复内容提出的投诉事项除外。</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 xml:space="preserve">    投诉书需包括以下内容：</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（一）投诉人和被投诉人的姓名或者名称、通讯地址、邮编、联系人及联系电话；</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（二）质疑和质疑答复情况说明及相关证明材料；</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（三）具体、明确的投诉事项和与投诉事项相关的投诉请求；</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（四）事实依据；</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（五）法律依据；</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（六）提起投诉的日期。</w:t>
      </w:r>
    </w:p>
    <w:p>
      <w:pPr>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投诉人为自然人的，应当由本人签字；投诉人为法人或者其他组织的，应当由法定代表人、主要负责人，或者其授权代表签字或者盖章，并加盖公章。</w:t>
      </w: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p>
    <w:p>
      <w:pPr>
        <w:pageBreakBefore w:val="0"/>
        <w:widowControl/>
        <w:kinsoku/>
        <w:wordWrap/>
        <w:overflowPunct/>
        <w:topLinePunct w:val="0"/>
        <w:autoSpaceDE/>
        <w:autoSpaceDN/>
        <w:bidi w:val="0"/>
        <w:adjustRightInd/>
        <w:snapToGrid w:val="0"/>
        <w:spacing w:line="480" w:lineRule="exact"/>
        <w:textAlignment w:val="auto"/>
        <w:rPr>
          <w:rFonts w:hint="eastAsia" w:ascii="仿宋" w:hAnsi="Times New Roman" w:eastAsia="仿宋" w:cs="Times New Roman"/>
          <w:color w:val="auto"/>
          <w:kern w:val="0"/>
          <w:sz w:val="24"/>
          <w:highlight w:val="none"/>
        </w:rPr>
      </w:pPr>
    </w:p>
    <w:p>
      <w:pPr>
        <w:widowControl/>
        <w:snapToGrid w:val="0"/>
        <w:spacing w:line="480" w:lineRule="exact"/>
        <w:rPr>
          <w:rFonts w:hint="eastAsia" w:ascii="仿宋" w:hAnsi="Times New Roman" w:eastAsia="仿宋" w:cs="宋体"/>
          <w:b/>
          <w:bCs/>
          <w:color w:val="auto"/>
          <w:kern w:val="0"/>
          <w:sz w:val="24"/>
          <w:szCs w:val="24"/>
          <w:highlight w:val="none"/>
        </w:rPr>
      </w:pPr>
      <w:r>
        <w:rPr>
          <w:rFonts w:hint="eastAsia" w:ascii="仿宋" w:hAnsi="Times New Roman" w:eastAsia="仿宋" w:cs="宋体"/>
          <w:b/>
          <w:bCs/>
          <w:color w:val="auto"/>
          <w:kern w:val="0"/>
          <w:sz w:val="24"/>
          <w:szCs w:val="24"/>
          <w:highlight w:val="none"/>
        </w:rPr>
        <w:t>附件：质疑函范本</w:t>
      </w:r>
    </w:p>
    <w:p>
      <w:pPr>
        <w:jc w:val="center"/>
        <w:rPr>
          <w:rFonts w:hint="eastAsia" w:ascii="仿宋" w:hAnsi="Times New Roman" w:eastAsia="仿宋" w:cs="仿宋"/>
          <w:b/>
          <w:bCs/>
          <w:color w:val="auto"/>
          <w:sz w:val="24"/>
          <w:szCs w:val="24"/>
          <w:highlight w:val="none"/>
        </w:rPr>
      </w:pPr>
      <w:r>
        <w:rPr>
          <w:rFonts w:hint="eastAsia" w:ascii="仿宋" w:hAnsi="Times New Roman" w:eastAsia="仿宋" w:cs="仿宋"/>
          <w:b/>
          <w:bCs/>
          <w:color w:val="auto"/>
          <w:sz w:val="24"/>
          <w:szCs w:val="24"/>
          <w:highlight w:val="none"/>
        </w:rPr>
        <w:t>质疑函</w:t>
      </w:r>
    </w:p>
    <w:p>
      <w:pPr>
        <w:adjustRightInd w:val="0"/>
        <w:snapToGrid w:val="0"/>
        <w:spacing w:before="312" w:beforeLines="100" w:line="360" w:lineRule="auto"/>
        <w:rPr>
          <w:rFonts w:hint="eastAsia" w:ascii="仿宋" w:hAnsi="Times New Roman" w:eastAsia="仿宋" w:cs="仿宋"/>
          <w:bCs/>
          <w:color w:val="auto"/>
          <w:sz w:val="24"/>
          <w:szCs w:val="24"/>
          <w:highlight w:val="none"/>
        </w:rPr>
      </w:pPr>
      <w:r>
        <w:rPr>
          <w:rFonts w:hint="eastAsia" w:ascii="仿宋" w:hAnsi="Times New Roman" w:eastAsia="仿宋" w:cs="仿宋"/>
          <w:bCs/>
          <w:color w:val="auto"/>
          <w:sz w:val="24"/>
          <w:szCs w:val="24"/>
          <w:highlight w:val="none"/>
        </w:rPr>
        <w:t>一、质疑供应商基本信息</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质疑供应商：</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地址：</w:t>
      </w:r>
      <w:r>
        <w:rPr>
          <w:rFonts w:hint="eastAsia" w:ascii="仿宋" w:hAnsi="Times New Roman" w:eastAsia="仿宋" w:cs="仿宋"/>
          <w:color w:val="auto"/>
          <w:sz w:val="24"/>
          <w:szCs w:val="24"/>
          <w:highlight w:val="none"/>
          <w:u w:val="single"/>
        </w:rPr>
        <w:t xml:space="preserve">                                </w:t>
      </w:r>
      <w:r>
        <w:rPr>
          <w:rFonts w:hint="eastAsia" w:ascii="仿宋" w:hAnsi="Times New Roman" w:eastAsia="仿宋" w:cs="仿宋"/>
          <w:color w:val="auto"/>
          <w:sz w:val="24"/>
          <w:szCs w:val="24"/>
          <w:highlight w:val="none"/>
        </w:rPr>
        <w:t>邮编：</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授权代表：</w:t>
      </w:r>
      <w:r>
        <w:rPr>
          <w:rFonts w:hint="eastAsia" w:ascii="仿宋" w:hAnsi="Times New Roman" w:eastAsia="仿宋" w:cs="仿宋"/>
          <w:color w:val="auto"/>
          <w:sz w:val="24"/>
          <w:szCs w:val="24"/>
          <w:highlight w:val="none"/>
          <w:u w:val="single"/>
        </w:rPr>
        <w:t xml:space="preserve">                   </w:t>
      </w:r>
      <w:r>
        <w:rPr>
          <w:rFonts w:hint="eastAsia" w:ascii="仿宋" w:hAnsi="Times New Roman" w:eastAsia="仿宋" w:cs="仿宋"/>
          <w:color w:val="auto"/>
          <w:sz w:val="24"/>
          <w:szCs w:val="24"/>
          <w:highlight w:val="none"/>
        </w:rPr>
        <w:t>联系电话：</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邮箱：</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bCs/>
          <w:color w:val="auto"/>
          <w:sz w:val="24"/>
          <w:szCs w:val="24"/>
          <w:highlight w:val="none"/>
        </w:rPr>
      </w:pPr>
      <w:r>
        <w:rPr>
          <w:rFonts w:hint="eastAsia" w:ascii="仿宋" w:hAnsi="Times New Roman" w:eastAsia="仿宋" w:cs="仿宋"/>
          <w:bCs/>
          <w:color w:val="auto"/>
          <w:sz w:val="24"/>
          <w:szCs w:val="24"/>
          <w:highlight w:val="none"/>
        </w:rPr>
        <w:t>二、质疑项目基本情况</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质疑项目的名称：</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质疑项目的编号：</w:t>
      </w:r>
      <w:r>
        <w:rPr>
          <w:rFonts w:hint="eastAsia" w:ascii="仿宋" w:hAnsi="Times New Roman" w:eastAsia="仿宋" w:cs="仿宋"/>
          <w:color w:val="auto"/>
          <w:sz w:val="24"/>
          <w:szCs w:val="24"/>
          <w:highlight w:val="none"/>
          <w:u w:val="single"/>
        </w:rPr>
        <w:t xml:space="preserve">               </w:t>
      </w:r>
      <w:r>
        <w:rPr>
          <w:rFonts w:hint="eastAsia" w:ascii="仿宋" w:hAnsi="Times New Roman" w:eastAsia="仿宋" w:cs="仿宋"/>
          <w:color w:val="auto"/>
          <w:sz w:val="24"/>
          <w:szCs w:val="24"/>
          <w:highlight w:val="none"/>
        </w:rPr>
        <w:t>标项：</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采购人名称：</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采购文件获取日期：</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bCs/>
          <w:color w:val="auto"/>
          <w:sz w:val="24"/>
          <w:szCs w:val="24"/>
          <w:highlight w:val="none"/>
        </w:rPr>
      </w:pPr>
      <w:r>
        <w:rPr>
          <w:rFonts w:hint="eastAsia" w:ascii="仿宋" w:hAnsi="Times New Roman" w:eastAsia="仿宋" w:cs="仿宋"/>
          <w:bCs/>
          <w:color w:val="auto"/>
          <w:sz w:val="24"/>
          <w:szCs w:val="24"/>
          <w:highlight w:val="none"/>
        </w:rPr>
        <w:t>三、质疑事项具体内容</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质疑事项1：</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事实依据：</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法律依据：</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质疑事项2</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w:t>
      </w:r>
    </w:p>
    <w:p>
      <w:pPr>
        <w:adjustRightInd w:val="0"/>
        <w:snapToGrid w:val="0"/>
        <w:spacing w:line="360" w:lineRule="auto"/>
        <w:rPr>
          <w:rFonts w:hint="eastAsia" w:ascii="仿宋" w:hAnsi="Times New Roman" w:eastAsia="仿宋" w:cs="仿宋"/>
          <w:bCs/>
          <w:color w:val="auto"/>
          <w:sz w:val="24"/>
          <w:szCs w:val="24"/>
          <w:highlight w:val="none"/>
        </w:rPr>
      </w:pPr>
      <w:r>
        <w:rPr>
          <w:rFonts w:hint="eastAsia" w:ascii="仿宋" w:hAnsi="Times New Roman" w:eastAsia="仿宋" w:cs="仿宋"/>
          <w:bCs/>
          <w:color w:val="auto"/>
          <w:sz w:val="24"/>
          <w:szCs w:val="24"/>
          <w:highlight w:val="none"/>
        </w:rPr>
        <w:t>四、与质疑事项相关的请求</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请求1：</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u w:val="dotted"/>
        </w:rPr>
      </w:pPr>
      <w:r>
        <w:rPr>
          <w:rFonts w:hint="eastAsia" w:ascii="仿宋" w:hAnsi="Times New Roman" w:eastAsia="仿宋" w:cs="仿宋"/>
          <w:color w:val="auto"/>
          <w:sz w:val="24"/>
          <w:szCs w:val="24"/>
          <w:highlight w:val="none"/>
        </w:rPr>
        <w:t>请求2：</w:t>
      </w:r>
      <w:r>
        <w:rPr>
          <w:rFonts w:hint="eastAsia" w:ascii="仿宋" w:hAnsi="Times New Roman" w:eastAsia="仿宋" w:cs="仿宋"/>
          <w:color w:val="auto"/>
          <w:sz w:val="24"/>
          <w:szCs w:val="24"/>
          <w:highlight w:val="none"/>
          <w:u w:val="single"/>
        </w:rPr>
        <w:t xml:space="preserve">                                            </w:t>
      </w:r>
    </w:p>
    <w:p>
      <w:pPr>
        <w:adjustRightInd w:val="0"/>
        <w:snapToGrid w:val="0"/>
        <w:spacing w:line="360" w:lineRule="auto"/>
        <w:rPr>
          <w:rFonts w:hint="eastAsia" w:ascii="仿宋" w:hAnsi="Times New Roman" w:eastAsia="仿宋" w:cs="仿宋"/>
          <w:color w:val="auto"/>
          <w:sz w:val="24"/>
          <w:szCs w:val="24"/>
          <w:highlight w:val="none"/>
        </w:rPr>
      </w:pPr>
      <w:r>
        <w:rPr>
          <w:rFonts w:hint="eastAsia" w:ascii="仿宋" w:hAnsi="Times New Roman" w:eastAsia="仿宋" w:cs="仿宋"/>
          <w:color w:val="auto"/>
          <w:sz w:val="24"/>
          <w:szCs w:val="24"/>
          <w:highlight w:val="none"/>
        </w:rPr>
        <w:t>……</w:t>
      </w:r>
    </w:p>
    <w:p>
      <w:pPr>
        <w:adjustRightInd w:val="0"/>
        <w:snapToGrid w:val="0"/>
        <w:spacing w:line="360" w:lineRule="auto"/>
        <w:rPr>
          <w:rFonts w:hint="eastAsia" w:ascii="仿宋" w:hAnsi="Times New Roman" w:eastAsia="仿宋" w:cs="仿宋"/>
          <w:b/>
          <w:bCs/>
          <w:color w:val="auto"/>
          <w:sz w:val="24"/>
          <w:szCs w:val="24"/>
          <w:highlight w:val="none"/>
        </w:rPr>
      </w:pPr>
      <w:r>
        <w:rPr>
          <w:rFonts w:hint="eastAsia" w:ascii="仿宋" w:hAnsi="Times New Roman"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hAnsi="Times New Roman" w:eastAsia="仿宋" w:cs="仿宋"/>
          <w:b/>
          <w:bCs/>
          <w:color w:val="auto"/>
          <w:sz w:val="24"/>
          <w:szCs w:val="24"/>
          <w:highlight w:val="none"/>
          <w:u w:val="double"/>
          <w:lang w:eastAsia="zh-CN"/>
        </w:rPr>
      </w:pPr>
      <w:r>
        <w:rPr>
          <w:rFonts w:hint="eastAsia" w:ascii="仿宋" w:hAnsi="Times New Roman"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hAnsi="Times New Roman" w:eastAsia="仿宋" w:cs="仿宋"/>
          <w:color w:val="auto"/>
          <w:sz w:val="24"/>
          <w:szCs w:val="24"/>
          <w:highlight w:val="none"/>
          <w:u w:val="dotted"/>
        </w:rPr>
      </w:pPr>
    </w:p>
    <w:p>
      <w:pPr>
        <w:rPr>
          <w:rFonts w:hint="eastAsia"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 xml:space="preserve">授权代表签字(签章)：                 投标人签章：                      </w:t>
      </w:r>
    </w:p>
    <w:p>
      <w:pPr>
        <w:rPr>
          <w:rFonts w:hint="eastAsia"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 xml:space="preserve">日期：    </w:t>
      </w:r>
    </w:p>
    <w:p>
      <w:pPr>
        <w:adjustRightInd w:val="0"/>
        <w:snapToGrid w:val="0"/>
        <w:spacing w:line="360" w:lineRule="auto"/>
        <w:rPr>
          <w:rFonts w:hint="eastAsia" w:ascii="仿宋" w:hAnsi="Times New Roman" w:eastAsia="仿宋" w:cs="仿宋"/>
          <w:color w:val="auto"/>
          <w:sz w:val="24"/>
          <w:szCs w:val="24"/>
          <w:highlight w:val="none"/>
        </w:rPr>
      </w:pPr>
    </w:p>
    <w:p>
      <w:pPr>
        <w:adjustRightInd w:val="0"/>
        <w:snapToGrid w:val="0"/>
        <w:spacing w:line="360" w:lineRule="auto"/>
        <w:rPr>
          <w:rFonts w:hint="eastAsia" w:ascii="仿宋" w:hAnsi="Times New Roman" w:eastAsia="仿宋" w:cs="宋体"/>
          <w:color w:val="auto"/>
          <w:kern w:val="0"/>
          <w:sz w:val="24"/>
          <w:szCs w:val="24"/>
          <w:highlight w:val="none"/>
        </w:rPr>
      </w:pPr>
    </w:p>
    <w:p>
      <w:pPr>
        <w:adjustRightInd w:val="0"/>
        <w:snapToGrid w:val="0"/>
        <w:spacing w:line="360" w:lineRule="auto"/>
        <w:rPr>
          <w:rFonts w:hint="eastAsia" w:ascii="仿宋" w:hAnsi="Times New Roman" w:eastAsia="仿宋" w:cs="宋体"/>
          <w:color w:val="auto"/>
          <w:kern w:val="0"/>
          <w:sz w:val="24"/>
          <w:szCs w:val="24"/>
          <w:highlight w:val="none"/>
        </w:rPr>
      </w:pPr>
    </w:p>
    <w:p>
      <w:pPr>
        <w:rPr>
          <w:rFonts w:hint="eastAsia"/>
          <w:color w:val="auto"/>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FB4C7A4"/>
    <w:multiLevelType w:val="singleLevel"/>
    <w:tmpl w:val="CFB4C7A4"/>
    <w:lvl w:ilvl="0" w:tentative="0">
      <w:start w:val="1"/>
      <w:numFmt w:val="decimal"/>
      <w:lvlText w:val="%1)"/>
      <w:lvlJc w:val="left"/>
      <w:pPr>
        <w:ind w:left="845" w:hanging="425"/>
      </w:pPr>
      <w:rPr>
        <w:rFonts w:hint="default"/>
      </w:r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62CE09B5"/>
    <w:multiLevelType w:val="multilevel"/>
    <w:tmpl w:val="62CE09B5"/>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7"/>
  </w:num>
  <w:num w:numId="3">
    <w:abstractNumId w:val="1"/>
  </w:num>
  <w:num w:numId="4">
    <w:abstractNumId w:val="8"/>
  </w:num>
  <w:num w:numId="5">
    <w:abstractNumId w:val="3"/>
  </w:num>
  <w:num w:numId="6">
    <w:abstractNumId w:val="2"/>
  </w:num>
  <w:num w:numId="7">
    <w:abstractNumId w:val="4"/>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jAyZmE3MDM3N2RjMTIyYTc0MTUzMGVjY2VjZjcwNzUifQ=="/>
  </w:docVars>
  <w:rsids>
    <w:rsidRoot w:val="00172A27"/>
    <w:rsid w:val="023E705D"/>
    <w:rsid w:val="05DB49D6"/>
    <w:rsid w:val="08AD1324"/>
    <w:rsid w:val="0919640D"/>
    <w:rsid w:val="0C8D6A47"/>
    <w:rsid w:val="0D18143A"/>
    <w:rsid w:val="154E1EDF"/>
    <w:rsid w:val="17A76D3E"/>
    <w:rsid w:val="1A094AB3"/>
    <w:rsid w:val="1CA82F66"/>
    <w:rsid w:val="1D077DB8"/>
    <w:rsid w:val="1D1E7D7A"/>
    <w:rsid w:val="1D3418A9"/>
    <w:rsid w:val="1D4470E4"/>
    <w:rsid w:val="1E1D2516"/>
    <w:rsid w:val="206A426D"/>
    <w:rsid w:val="229841B5"/>
    <w:rsid w:val="22AD6640"/>
    <w:rsid w:val="22DA6B2F"/>
    <w:rsid w:val="232D0DD7"/>
    <w:rsid w:val="28CF5334"/>
    <w:rsid w:val="2919115F"/>
    <w:rsid w:val="2B695B53"/>
    <w:rsid w:val="2D07289A"/>
    <w:rsid w:val="2E012013"/>
    <w:rsid w:val="2EF50A34"/>
    <w:rsid w:val="317958EC"/>
    <w:rsid w:val="31BA1DDE"/>
    <w:rsid w:val="33BB3167"/>
    <w:rsid w:val="36926351"/>
    <w:rsid w:val="3CDB2774"/>
    <w:rsid w:val="40494363"/>
    <w:rsid w:val="42317364"/>
    <w:rsid w:val="435774E1"/>
    <w:rsid w:val="438D281F"/>
    <w:rsid w:val="44671731"/>
    <w:rsid w:val="460925EE"/>
    <w:rsid w:val="482651DC"/>
    <w:rsid w:val="482A6014"/>
    <w:rsid w:val="4C07463A"/>
    <w:rsid w:val="4D4C4B62"/>
    <w:rsid w:val="4E9222D8"/>
    <w:rsid w:val="4ECD364D"/>
    <w:rsid w:val="4F551AC8"/>
    <w:rsid w:val="51D2132F"/>
    <w:rsid w:val="53FD32A8"/>
    <w:rsid w:val="54E45DBE"/>
    <w:rsid w:val="57803FD4"/>
    <w:rsid w:val="581513EE"/>
    <w:rsid w:val="588202DC"/>
    <w:rsid w:val="58FA7DB6"/>
    <w:rsid w:val="5FB76756"/>
    <w:rsid w:val="604D67DF"/>
    <w:rsid w:val="60DA0BF8"/>
    <w:rsid w:val="62C91AB1"/>
    <w:rsid w:val="674F751F"/>
    <w:rsid w:val="69D245C4"/>
    <w:rsid w:val="6A6275B3"/>
    <w:rsid w:val="6C3E036E"/>
    <w:rsid w:val="6DB8318D"/>
    <w:rsid w:val="6DF41F69"/>
    <w:rsid w:val="6E345305"/>
    <w:rsid w:val="71BC0026"/>
    <w:rsid w:val="75DA0589"/>
    <w:rsid w:val="7B491125"/>
    <w:rsid w:val="7ED32C27"/>
    <w:rsid w:val="7F1265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next w:val="3"/>
    <w:qFormat/>
    <w:uiPriority w:val="0"/>
    <w:pPr>
      <w:widowControl w:val="0"/>
      <w:ind w:firstLine="420"/>
      <w:jc w:val="both"/>
    </w:pPr>
    <w:rPr>
      <w:rFonts w:ascii="Calibri" w:hAnsi="Calibri" w:eastAsia="宋体" w:cs="Times New Roman"/>
      <w:kern w:val="2"/>
      <w:sz w:val="21"/>
      <w:szCs w:val="20"/>
      <w:lang w:val="en-US" w:eastAsia="zh-CN" w:bidi="ar-SA"/>
    </w:rPr>
  </w:style>
  <w:style w:type="paragraph" w:customStyle="1" w:styleId="3">
    <w:name w:val="p0"/>
    <w:qFormat/>
    <w:uiPriority w:val="0"/>
    <w:pPr>
      <w:widowControl/>
      <w:spacing w:line="240" w:lineRule="auto"/>
      <w:jc w:val="both"/>
    </w:pPr>
    <w:rPr>
      <w:rFonts w:ascii="Times New Roman" w:hAnsi="Times New Roman" w:eastAsia="宋体" w:cs="Times New Roman"/>
      <w:kern w:val="0"/>
      <w:sz w:val="21"/>
      <w:szCs w:val="21"/>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qFormat/>
    <w:uiPriority w:val="99"/>
    <w:pPr>
      <w:widowControl/>
      <w:overflowPunct w:val="0"/>
      <w:autoSpaceDE w:val="0"/>
      <w:autoSpaceDN w:val="0"/>
      <w:adjustRightInd w:val="0"/>
      <w:spacing w:before="120" w:after="120"/>
      <w:ind w:left="2552"/>
      <w:jc w:val="left"/>
      <w:textAlignment w:val="baseline"/>
    </w:pPr>
    <w:rPr>
      <w:rFonts w:ascii="Book Antiqua" w:hAnsi="Book Antiqua"/>
      <w:kern w:val="0"/>
      <w:szCs w:val="20"/>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1"/>
    <w:next w:val="11"/>
    <w:qFormat/>
    <w:uiPriority w:val="0"/>
    <w:rPr>
      <w:b/>
    </w:r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character" w:styleId="32">
    <w:name w:val="annotation reference"/>
    <w:basedOn w:val="27"/>
    <w:qFormat/>
    <w:uiPriority w:val="0"/>
    <w:rPr>
      <w:sz w:val="21"/>
      <w:szCs w:val="21"/>
    </w:rPr>
  </w:style>
  <w:style w:type="paragraph" w:customStyle="1" w:styleId="33">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24222</Words>
  <Characters>26068</Characters>
  <Lines>1</Lines>
  <Paragraphs>1</Paragraphs>
  <TotalTime>11</TotalTime>
  <ScaleCrop>false</ScaleCrop>
  <LinksUpToDate>false</LinksUpToDate>
  <CharactersWithSpaces>29758</CharactersWithSpaces>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HC</cp:lastModifiedBy>
  <cp:lastPrinted>2023-01-06T10:17:00Z</cp:lastPrinted>
  <dcterms:modified xsi:type="dcterms:W3CDTF">2023-09-12T09:49:55Z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8897872F922B4EE7A37B16EB26C1139F</vt:lpwstr>
  </property>
</Properties>
</file>