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sz w:val="44"/>
          <w:szCs w:val="44"/>
        </w:rPr>
      </w:pPr>
      <w:r>
        <w:rPr>
          <w:rFonts w:hint="eastAsia" w:ascii="仿宋" w:hAnsi="仿宋" w:eastAsia="仿宋" w:cs="仿宋"/>
          <w:b/>
          <w:spacing w:val="-12"/>
          <w:sz w:val="44"/>
          <w:szCs w:val="44"/>
        </w:rPr>
        <w:t>绍兴市人民医院基于放射的AI人工智能建设项目和基于临床的AI人工智能建设项目</w:t>
      </w:r>
    </w:p>
    <w:p>
      <w:pPr>
        <w:pStyle w:val="3"/>
        <w:rPr>
          <w:rFonts w:hint="eastAsia" w:ascii="仿宋" w:hAnsi="仿宋" w:eastAsia="仿宋" w:cs="仿宋"/>
        </w:rPr>
      </w:pPr>
    </w:p>
    <w:p>
      <w:pPr>
        <w:rPr>
          <w:rFonts w:hint="eastAsia" w:ascii="仿宋" w:hAnsi="仿宋" w:eastAsia="仿宋" w:cs="仿宋"/>
        </w:rPr>
      </w:pPr>
    </w:p>
    <w:p>
      <w:pPr>
        <w:pStyle w:val="3"/>
        <w:rPr>
          <w:rFonts w:hint="eastAsia" w:ascii="仿宋" w:hAnsi="仿宋" w:eastAsia="仿宋" w:cs="仿宋"/>
        </w:rPr>
      </w:pPr>
    </w:p>
    <w:p>
      <w:pPr>
        <w:rPr>
          <w:rFonts w:hint="eastAsia" w:ascii="仿宋" w:hAnsi="仿宋" w:eastAsia="仿宋" w:cs="仿宋"/>
        </w:rPr>
      </w:pPr>
    </w:p>
    <w:p>
      <w:pPr>
        <w:pStyle w:val="3"/>
        <w:rPr>
          <w:rFonts w:hint="eastAsia" w:ascii="仿宋" w:hAnsi="仿宋" w:eastAsia="仿宋" w:cs="仿宋"/>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jc w:val="center"/>
        <w:outlineLvl w:val="0"/>
        <w:rPr>
          <w:rFonts w:hint="eastAsia" w:ascii="仿宋" w:hAnsi="仿宋" w:eastAsia="仿宋" w:cs="仿宋"/>
          <w:sz w:val="44"/>
        </w:rPr>
      </w:pPr>
      <w:r>
        <w:rPr>
          <w:rFonts w:hint="eastAsia" w:ascii="仿宋" w:hAnsi="仿宋" w:eastAsia="仿宋" w:cs="仿宋"/>
          <w:sz w:val="44"/>
        </w:rPr>
        <w:t>（电子招投标）</w:t>
      </w:r>
    </w:p>
    <w:p>
      <w:pPr>
        <w:jc w:val="both"/>
        <w:outlineLvl w:val="0"/>
        <w:rPr>
          <w:rFonts w:hint="eastAsia" w:ascii="仿宋" w:hAnsi="仿宋" w:eastAsia="仿宋" w:cs="仿宋"/>
          <w:sz w:val="44"/>
        </w:rPr>
      </w:pPr>
    </w:p>
    <w:p>
      <w:pPr>
        <w:jc w:val="center"/>
        <w:outlineLvl w:val="0"/>
        <w:rPr>
          <w:rFonts w:hint="eastAsia" w:ascii="仿宋" w:hAnsi="仿宋" w:eastAsia="仿宋" w:cs="仿宋"/>
          <w:sz w:val="44"/>
        </w:rPr>
      </w:pP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val="en-US" w:eastAsia="zh-CN"/>
        </w:rPr>
        <w:t>HCSF-2023-004</w:t>
      </w:r>
    </w:p>
    <w:tbl>
      <w:tblPr>
        <w:tblStyle w:val="4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rPr>
              <w:t>绍兴市</w:t>
            </w:r>
            <w:r>
              <w:rPr>
                <w:rFonts w:hint="eastAsia" w:ascii="仿宋" w:hAnsi="仿宋" w:eastAsia="仿宋" w:cs="仿宋"/>
                <w:sz w:val="28"/>
                <w:szCs w:val="28"/>
                <w:lang w:val="en-US" w:eastAsia="zh-CN"/>
              </w:rPr>
              <w:t>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12"/>
                <w:w w:val="93"/>
                <w:kern w:val="0"/>
                <w:sz w:val="28"/>
                <w:szCs w:val="28"/>
              </w:rPr>
              <w:t>采购代理机</w:t>
            </w:r>
            <w:r>
              <w:rPr>
                <w:rFonts w:hint="eastAsia" w:ascii="仿宋" w:hAnsi="仿宋" w:eastAsia="仿宋" w:cs="仿宋"/>
                <w:w w:val="93"/>
                <w:kern w:val="0"/>
                <w:sz w:val="28"/>
                <w:szCs w:val="28"/>
              </w:rPr>
              <w:t>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420"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三</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三 </w:t>
            </w:r>
            <w:r>
              <w:rPr>
                <w:rFonts w:hint="eastAsia" w:ascii="仿宋" w:hAnsi="仿宋" w:eastAsia="仿宋" w:cs="仿宋"/>
                <w:sz w:val="28"/>
                <w:szCs w:val="28"/>
              </w:rPr>
              <w:t>月</w:t>
            </w:r>
          </w:p>
        </w:tc>
      </w:tr>
    </w:tbl>
    <w:p>
      <w:pPr>
        <w:jc w:val="center"/>
        <w:rPr>
          <w:rFonts w:hint="eastAsia" w:ascii="仿宋" w:hAnsi="仿宋" w:eastAsia="仿宋" w:cs="仿宋"/>
          <w:b/>
          <w:sz w:val="44"/>
          <w:szCs w:val="44"/>
        </w:rPr>
        <w:sectPr>
          <w:headerReference r:id="rId4" w:type="first"/>
          <w:headerReference r:id="rId3" w:type="default"/>
          <w:footerReference r:id="rId5" w:type="default"/>
          <w:pgSz w:w="11907" w:h="16840"/>
          <w:pgMar w:top="1474" w:right="1814" w:bottom="1474" w:left="1814" w:header="851" w:footer="851" w:gutter="0"/>
          <w:pgNumType w:fmt="decimal" w:start="3"/>
          <w:cols w:space="720" w:num="1"/>
          <w:titlePg/>
          <w:docGrid w:linePitch="286" w:charSpace="0"/>
        </w:sectPr>
      </w:pPr>
    </w:p>
    <w:p>
      <w:pPr>
        <w:jc w:val="center"/>
        <w:rPr>
          <w:rFonts w:hint="eastAsia" w:ascii="仿宋" w:hAnsi="仿宋" w:eastAsia="仿宋" w:cs="仿宋"/>
          <w:b/>
          <w:sz w:val="44"/>
          <w:szCs w:val="44"/>
        </w:rPr>
      </w:pPr>
    </w:p>
    <w:p>
      <w:pPr>
        <w:jc w:val="center"/>
        <w:rPr>
          <w:rFonts w:hint="eastAsia" w:ascii="仿宋" w:hAnsi="仿宋" w:eastAsia="仿宋" w:cs="仿宋"/>
          <w:b/>
          <w:sz w:val="44"/>
          <w:szCs w:val="44"/>
        </w:rPr>
      </w:pPr>
    </w:p>
    <w:p>
      <w:pPr>
        <w:jc w:val="center"/>
        <w:rPr>
          <w:rFonts w:hint="eastAsia" w:ascii="仿宋" w:hAnsi="仿宋" w:eastAsia="仿宋" w:cs="仿宋"/>
          <w:b/>
          <w:sz w:val="44"/>
          <w:szCs w:val="44"/>
        </w:rPr>
      </w:pPr>
      <w:r>
        <w:rPr>
          <w:rFonts w:hint="eastAsia" w:ascii="仿宋" w:hAnsi="仿宋" w:eastAsia="仿宋" w:cs="仿宋"/>
          <w:b/>
          <w:sz w:val="44"/>
          <w:szCs w:val="44"/>
        </w:rPr>
        <w:t>目录</w:t>
      </w:r>
    </w:p>
    <w:p>
      <w:pPr>
        <w:jc w:val="center"/>
        <w:rPr>
          <w:rFonts w:hint="eastAsia" w:ascii="仿宋" w:hAnsi="仿宋" w:eastAsia="仿宋" w:cs="仿宋"/>
          <w:b/>
          <w:sz w:val="44"/>
          <w:szCs w:val="44"/>
        </w:rPr>
      </w:pPr>
    </w:p>
    <w:p>
      <w:pPr>
        <w:jc w:val="center"/>
        <w:rPr>
          <w:rFonts w:hint="eastAsia" w:ascii="仿宋" w:hAnsi="仿宋" w:eastAsia="仿宋" w:cs="仿宋"/>
        </w:rPr>
      </w:pP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pageBreakBefore/>
        <w:widowControl/>
        <w:jc w:val="center"/>
        <w:rPr>
          <w:rFonts w:hint="eastAsia" w:ascii="仿宋" w:hAnsi="仿宋" w:eastAsia="仿宋" w:cs="仿宋"/>
          <w:b/>
          <w:sz w:val="36"/>
          <w:szCs w:val="36"/>
        </w:rPr>
      </w:pPr>
      <w:r>
        <w:rPr>
          <w:rFonts w:hint="eastAsia" w:ascii="仿宋" w:hAnsi="仿宋" w:eastAsia="仿宋" w:cs="仿宋"/>
          <w:b/>
          <w:sz w:val="36"/>
          <w:szCs w:val="36"/>
        </w:rPr>
        <w:t>第一部分 招标公告</w:t>
      </w:r>
    </w:p>
    <w:tbl>
      <w:tblPr>
        <w:tblStyle w:val="44"/>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hint="eastAsia" w:ascii="仿宋" w:hAnsi="仿宋" w:eastAsia="仿宋" w:cs="仿宋"/>
              </w:rPr>
            </w:pPr>
            <w:r>
              <w:rPr>
                <w:rFonts w:hint="eastAsia" w:ascii="仿宋" w:hAnsi="仿宋" w:eastAsia="仿宋" w:cs="仿宋"/>
              </w:rPr>
              <w:br w:type="page"/>
            </w:r>
          </w:p>
          <w:tbl>
            <w:tblPr>
              <w:tblStyle w:val="44"/>
              <w:tblW w:w="8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8130" w:type="dxa"/>
                </w:tcPr>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项目概况：</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绍兴市人民医院基于放射的AI人工智能建设项目和基于临床的AI人工智能建设项目的潜在投标人应在</w:t>
                  </w:r>
                  <w:r>
                    <w:rPr>
                      <w:rStyle w:val="279"/>
                      <w:rFonts w:hint="eastAsia" w:ascii="仿宋" w:hAnsi="仿宋" w:eastAsia="仿宋" w:cs="仿宋"/>
                      <w:sz w:val="27"/>
                      <w:szCs w:val="27"/>
                    </w:rPr>
                    <w:t>https://www.zcygov.cn</w:t>
                  </w:r>
                  <w:r>
                    <w:rPr>
                      <w:rFonts w:hint="eastAsia" w:ascii="仿宋" w:hAnsi="仿宋" w:eastAsia="仿宋" w:cs="仿宋"/>
                      <w:szCs w:val="24"/>
                    </w:rPr>
                    <w:t>获取（下载）招标文件，并于202</w:t>
                  </w:r>
                  <w:r>
                    <w:rPr>
                      <w:rFonts w:hint="eastAsia" w:ascii="仿宋" w:hAnsi="仿宋" w:eastAsia="仿宋" w:cs="仿宋"/>
                      <w:szCs w:val="24"/>
                      <w:lang w:val="en-US" w:eastAsia="zh-CN"/>
                    </w:rPr>
                    <w:t>3</w:t>
                  </w:r>
                  <w:r>
                    <w:rPr>
                      <w:rFonts w:hint="eastAsia" w:ascii="仿宋" w:hAnsi="仿宋" w:eastAsia="仿宋" w:cs="仿宋"/>
                      <w:szCs w:val="24"/>
                    </w:rPr>
                    <w:t>年</w:t>
                  </w:r>
                  <w:r>
                    <w:rPr>
                      <w:rFonts w:hint="eastAsia" w:ascii="仿宋" w:hAnsi="仿宋" w:eastAsia="仿宋" w:cs="仿宋"/>
                      <w:szCs w:val="24"/>
                      <w:lang w:val="en-US" w:eastAsia="zh-CN"/>
                    </w:rPr>
                    <w:t xml:space="preserve"> 3 </w:t>
                  </w:r>
                  <w:r>
                    <w:rPr>
                      <w:rFonts w:hint="eastAsia" w:ascii="仿宋" w:hAnsi="仿宋" w:eastAsia="仿宋" w:cs="仿宋"/>
                      <w:szCs w:val="24"/>
                    </w:rPr>
                    <w:t>月</w:t>
                  </w:r>
                  <w:r>
                    <w:rPr>
                      <w:rFonts w:hint="eastAsia" w:ascii="仿宋" w:hAnsi="仿宋" w:eastAsia="仿宋" w:cs="仿宋"/>
                      <w:szCs w:val="24"/>
                      <w:lang w:val="en-US" w:eastAsia="zh-CN"/>
                    </w:rPr>
                    <w:t xml:space="preserve"> 28 </w:t>
                  </w:r>
                  <w:r>
                    <w:rPr>
                      <w:rFonts w:hint="eastAsia" w:ascii="仿宋" w:hAnsi="仿宋" w:eastAsia="仿宋" w:cs="仿宋"/>
                      <w:szCs w:val="24"/>
                    </w:rPr>
                    <w:t>日</w:t>
                  </w:r>
                  <w:r>
                    <w:rPr>
                      <w:rFonts w:hint="eastAsia" w:ascii="仿宋" w:hAnsi="仿宋" w:eastAsia="仿宋" w:cs="仿宋"/>
                      <w:szCs w:val="24"/>
                      <w:lang w:val="en-US" w:eastAsia="zh-CN"/>
                    </w:rPr>
                    <w:t xml:space="preserve"> 14:30</w:t>
                  </w:r>
                  <w:bookmarkStart w:id="170" w:name="_GoBack"/>
                  <w:bookmarkEnd w:id="170"/>
                  <w:r>
                    <w:rPr>
                      <w:rFonts w:hint="eastAsia" w:ascii="仿宋" w:hAnsi="仿宋" w:eastAsia="仿宋" w:cs="仿宋"/>
                      <w:szCs w:val="24"/>
                      <w:lang w:val="en-US" w:eastAsia="zh-CN"/>
                    </w:rPr>
                    <w:t>（</w:t>
                  </w:r>
                  <w:r>
                    <w:rPr>
                      <w:rFonts w:hint="eastAsia" w:ascii="仿宋" w:hAnsi="仿宋" w:eastAsia="仿宋" w:cs="仿宋"/>
                      <w:szCs w:val="24"/>
                    </w:rPr>
                    <w:t>北京时间）前递交（上传）投标文件。</w:t>
                  </w:r>
                </w:p>
              </w:tc>
            </w:tr>
          </w:tbl>
          <w:p>
            <w:pPr>
              <w:pStyle w:val="85"/>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一、项目基本情况</w:t>
            </w:r>
          </w:p>
          <w:p>
            <w:pPr>
              <w:pStyle w:val="85"/>
              <w:spacing w:afterLines="0" w:line="440" w:lineRule="exact"/>
              <w:ind w:firstLine="480"/>
              <w:rPr>
                <w:rFonts w:hint="default" w:ascii="仿宋" w:hAnsi="仿宋" w:eastAsia="仿宋" w:cs="仿宋"/>
                <w:lang w:val="en-US" w:eastAsia="zh-CN"/>
              </w:rPr>
            </w:pPr>
            <w:r>
              <w:rPr>
                <w:rFonts w:hint="eastAsia" w:ascii="仿宋" w:hAnsi="仿宋" w:eastAsia="仿宋" w:cs="仿宋"/>
                <w:szCs w:val="24"/>
              </w:rPr>
              <w:t>项目编号：</w:t>
            </w:r>
            <w:r>
              <w:rPr>
                <w:rFonts w:hint="eastAsia" w:ascii="仿宋" w:hAnsi="仿宋" w:eastAsia="仿宋" w:cs="仿宋"/>
                <w:lang w:val="en-US" w:eastAsia="zh-CN"/>
              </w:rPr>
              <w:t>HCSF-2023-004</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项目名称：绍兴市人民医院基于放射的AI人工智能建设项目和基于临床的AI人工智能建设项目</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采购方式：公开招标</w:t>
            </w:r>
          </w:p>
          <w:p>
            <w:pPr>
              <w:pStyle w:val="85"/>
              <w:spacing w:afterLines="0" w:line="440" w:lineRule="exact"/>
              <w:ind w:firstLine="480"/>
              <w:rPr>
                <w:rFonts w:hint="eastAsia" w:ascii="仿宋" w:hAnsi="仿宋" w:eastAsia="仿宋" w:cs="仿宋"/>
                <w:szCs w:val="24"/>
                <w:highlight w:val="none"/>
                <w:lang w:val="en-US" w:eastAsia="zh-CN"/>
              </w:rPr>
            </w:pPr>
            <w:r>
              <w:rPr>
                <w:rFonts w:hint="eastAsia" w:ascii="仿宋" w:hAnsi="仿宋" w:eastAsia="仿宋" w:cs="仿宋"/>
                <w:szCs w:val="24"/>
                <w:highlight w:val="none"/>
              </w:rPr>
              <w:t>预算金额（元）：</w:t>
            </w:r>
            <w:r>
              <w:rPr>
                <w:rFonts w:hint="eastAsia" w:ascii="仿宋" w:hAnsi="仿宋" w:eastAsia="仿宋" w:cs="仿宋"/>
                <w:szCs w:val="24"/>
                <w:highlight w:val="none"/>
                <w:lang w:val="en-US" w:eastAsia="zh-CN"/>
              </w:rPr>
              <w:t xml:space="preserve">2000000 </w:t>
            </w:r>
          </w:p>
          <w:p>
            <w:pPr>
              <w:pStyle w:val="85"/>
              <w:spacing w:afterLines="0" w:line="440" w:lineRule="exact"/>
              <w:ind w:firstLine="480"/>
              <w:rPr>
                <w:rFonts w:hint="default" w:ascii="仿宋" w:hAnsi="仿宋" w:eastAsia="仿宋" w:cs="仿宋"/>
                <w:szCs w:val="24"/>
                <w:highlight w:val="none"/>
                <w:lang w:val="en-US" w:eastAsia="zh-CN"/>
              </w:rPr>
            </w:pPr>
            <w:r>
              <w:rPr>
                <w:rFonts w:hint="eastAsia" w:ascii="仿宋" w:hAnsi="仿宋" w:eastAsia="仿宋" w:cs="仿宋"/>
                <w:szCs w:val="24"/>
                <w:highlight w:val="none"/>
              </w:rPr>
              <w:t>最高限价（元）：</w:t>
            </w:r>
            <w:r>
              <w:rPr>
                <w:rFonts w:hint="eastAsia" w:ascii="仿宋" w:hAnsi="仿宋" w:eastAsia="仿宋" w:cs="仿宋"/>
                <w:szCs w:val="24"/>
                <w:highlight w:val="none"/>
                <w:lang w:val="en-US" w:eastAsia="zh-CN"/>
              </w:rPr>
              <w:t xml:space="preserve"> 1000000；1000000</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采购需求：</w:t>
            </w:r>
            <w:r>
              <w:rPr>
                <w:rFonts w:hint="eastAsia" w:ascii="仿宋" w:hAnsi="仿宋" w:eastAsia="仿宋" w:cs="仿宋"/>
                <w:szCs w:val="24"/>
                <w:lang w:val="en-US" w:eastAsia="zh-CN"/>
              </w:rPr>
              <w:t>详见招标文件</w:t>
            </w:r>
          </w:p>
          <w:p>
            <w:pPr>
              <w:pStyle w:val="85"/>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标项一:</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  标项名称:绍兴市人民医院基于放射的AI人工智能建设项目</w:t>
            </w:r>
          </w:p>
          <w:p>
            <w:pPr>
              <w:pStyle w:val="85"/>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数量</w:t>
            </w:r>
            <w:r>
              <w:rPr>
                <w:rFonts w:hint="eastAsia" w:ascii="仿宋" w:hAnsi="仿宋" w:eastAsia="仿宋" w:cs="仿宋"/>
                <w:szCs w:val="24"/>
                <w:lang w:eastAsia="zh-CN"/>
              </w:rPr>
              <w:t>（</w:t>
            </w:r>
            <w:r>
              <w:rPr>
                <w:rFonts w:hint="eastAsia" w:ascii="仿宋" w:hAnsi="仿宋" w:eastAsia="仿宋" w:cs="仿宋"/>
                <w:szCs w:val="24"/>
                <w:lang w:val="en-US" w:eastAsia="zh-CN"/>
              </w:rPr>
              <w:t>项</w:t>
            </w:r>
            <w:r>
              <w:rPr>
                <w:rFonts w:hint="eastAsia" w:ascii="仿宋" w:hAnsi="仿宋" w:eastAsia="仿宋" w:cs="仿宋"/>
                <w:szCs w:val="24"/>
                <w:lang w:eastAsia="zh-CN"/>
              </w:rPr>
              <w:t>）</w:t>
            </w:r>
            <w:r>
              <w:rPr>
                <w:rFonts w:hint="eastAsia" w:ascii="仿宋" w:hAnsi="仿宋" w:eastAsia="仿宋" w:cs="仿宋"/>
                <w:szCs w:val="24"/>
              </w:rPr>
              <w:t>:1</w:t>
            </w:r>
          </w:p>
          <w:p>
            <w:pPr>
              <w:pStyle w:val="85"/>
              <w:spacing w:afterLines="0" w:line="440" w:lineRule="exact"/>
              <w:ind w:firstLine="480"/>
              <w:rPr>
                <w:rFonts w:hint="eastAsia" w:ascii="仿宋" w:hAnsi="仿宋" w:eastAsia="仿宋" w:cs="仿宋"/>
                <w:szCs w:val="24"/>
                <w:highlight w:val="none"/>
                <w:lang w:val="en-US" w:eastAsia="zh-CN"/>
              </w:rPr>
            </w:pPr>
            <w:r>
              <w:rPr>
                <w:rFonts w:hint="eastAsia" w:ascii="仿宋" w:hAnsi="仿宋" w:eastAsia="仿宋" w:cs="仿宋"/>
                <w:szCs w:val="24"/>
                <w:highlight w:val="none"/>
              </w:rPr>
              <w:t> 预算金额（元）:</w:t>
            </w:r>
            <w:r>
              <w:rPr>
                <w:rFonts w:hint="eastAsia" w:ascii="仿宋" w:hAnsi="仿宋" w:eastAsia="仿宋" w:cs="仿宋"/>
                <w:szCs w:val="24"/>
                <w:highlight w:val="none"/>
                <w:lang w:val="en-US" w:eastAsia="zh-CN"/>
              </w:rPr>
              <w:t xml:space="preserve"> 1000000</w:t>
            </w:r>
          </w:p>
          <w:p>
            <w:pPr>
              <w:pStyle w:val="85"/>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标项</w:t>
            </w:r>
            <w:r>
              <w:rPr>
                <w:rFonts w:hint="eastAsia" w:ascii="仿宋" w:hAnsi="仿宋" w:eastAsia="仿宋" w:cs="仿宋"/>
                <w:szCs w:val="24"/>
                <w:lang w:val="en-US" w:eastAsia="zh-CN"/>
              </w:rPr>
              <w:t>二</w:t>
            </w:r>
            <w:r>
              <w:rPr>
                <w:rFonts w:hint="eastAsia" w:ascii="仿宋" w:hAnsi="仿宋" w:eastAsia="仿宋" w:cs="仿宋"/>
                <w:szCs w:val="24"/>
              </w:rPr>
              <w:t>:</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  标项名称:绍兴市人民医院基于</w:t>
            </w:r>
            <w:r>
              <w:rPr>
                <w:rFonts w:hint="eastAsia" w:ascii="仿宋" w:hAnsi="仿宋" w:eastAsia="仿宋" w:cs="仿宋"/>
                <w:szCs w:val="24"/>
                <w:lang w:val="en-US" w:eastAsia="zh-CN"/>
              </w:rPr>
              <w:t>临床</w:t>
            </w:r>
            <w:r>
              <w:rPr>
                <w:rFonts w:hint="eastAsia" w:ascii="仿宋" w:hAnsi="仿宋" w:eastAsia="仿宋" w:cs="仿宋"/>
                <w:szCs w:val="24"/>
              </w:rPr>
              <w:t>的AI人工智能建设项目</w:t>
            </w:r>
          </w:p>
          <w:p>
            <w:pPr>
              <w:pStyle w:val="85"/>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数量</w:t>
            </w:r>
            <w:r>
              <w:rPr>
                <w:rFonts w:hint="eastAsia" w:ascii="仿宋" w:hAnsi="仿宋" w:eastAsia="仿宋" w:cs="仿宋"/>
                <w:szCs w:val="24"/>
                <w:lang w:eastAsia="zh-CN"/>
              </w:rPr>
              <w:t>（</w:t>
            </w:r>
            <w:r>
              <w:rPr>
                <w:rFonts w:hint="eastAsia" w:ascii="仿宋" w:hAnsi="仿宋" w:eastAsia="仿宋" w:cs="仿宋"/>
                <w:szCs w:val="24"/>
                <w:lang w:val="en-US" w:eastAsia="zh-CN"/>
              </w:rPr>
              <w:t>项</w:t>
            </w:r>
            <w:r>
              <w:rPr>
                <w:rFonts w:hint="eastAsia" w:ascii="仿宋" w:hAnsi="仿宋" w:eastAsia="仿宋" w:cs="仿宋"/>
                <w:szCs w:val="24"/>
                <w:lang w:eastAsia="zh-CN"/>
              </w:rPr>
              <w:t>）</w:t>
            </w:r>
            <w:r>
              <w:rPr>
                <w:rFonts w:hint="eastAsia" w:ascii="仿宋" w:hAnsi="仿宋" w:eastAsia="仿宋" w:cs="仿宋"/>
                <w:szCs w:val="24"/>
              </w:rPr>
              <w:t>:1</w:t>
            </w:r>
          </w:p>
          <w:p>
            <w:pPr>
              <w:pStyle w:val="85"/>
              <w:spacing w:afterLines="0" w:line="440" w:lineRule="exact"/>
              <w:ind w:firstLine="480"/>
              <w:rPr>
                <w:rFonts w:hint="default" w:ascii="仿宋" w:hAnsi="仿宋" w:eastAsia="仿宋" w:cs="仿宋"/>
                <w:szCs w:val="24"/>
                <w:highlight w:val="yellow"/>
                <w:lang w:val="en-US" w:eastAsia="zh-CN"/>
              </w:rPr>
            </w:pPr>
            <w:r>
              <w:rPr>
                <w:rFonts w:hint="eastAsia" w:ascii="仿宋" w:hAnsi="仿宋" w:eastAsia="仿宋" w:cs="仿宋"/>
                <w:szCs w:val="24"/>
                <w:highlight w:val="none"/>
              </w:rPr>
              <w:t> 预算金额（元）:</w:t>
            </w:r>
            <w:r>
              <w:rPr>
                <w:rFonts w:hint="eastAsia" w:ascii="仿宋" w:hAnsi="仿宋" w:eastAsia="仿宋" w:cs="仿宋"/>
                <w:szCs w:val="24"/>
                <w:highlight w:val="none"/>
                <w:lang w:val="en-US" w:eastAsia="zh-CN"/>
              </w:rPr>
              <w:t xml:space="preserve"> 1000000</w:t>
            </w:r>
          </w:p>
          <w:p>
            <w:pPr>
              <w:pStyle w:val="85"/>
              <w:spacing w:afterLines="0" w:line="440" w:lineRule="exact"/>
              <w:ind w:firstLine="480"/>
              <w:rPr>
                <w:rFonts w:hint="default" w:ascii="仿宋" w:hAnsi="仿宋" w:eastAsia="仿宋" w:cs="仿宋"/>
                <w:szCs w:val="24"/>
                <w:highlight w:val="none"/>
                <w:lang w:val="en-US" w:eastAsia="zh-CN"/>
              </w:rPr>
            </w:pPr>
          </w:p>
          <w:p>
            <w:pPr>
              <w:pStyle w:val="85"/>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简要规格描述或项目基本概况介绍、用途：详见采购文件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  备注：无</w:t>
            </w:r>
          </w:p>
          <w:p>
            <w:pPr>
              <w:pStyle w:val="85"/>
              <w:spacing w:afterLines="0" w:line="440" w:lineRule="exact"/>
              <w:rPr>
                <w:rFonts w:hint="eastAsia" w:ascii="仿宋" w:hAnsi="仿宋" w:eastAsia="仿宋" w:cs="仿宋"/>
                <w:szCs w:val="24"/>
              </w:rPr>
            </w:pPr>
            <w:r>
              <w:rPr>
                <w:rFonts w:hint="eastAsia" w:ascii="仿宋" w:hAnsi="仿宋" w:eastAsia="仿宋" w:cs="仿宋"/>
                <w:szCs w:val="24"/>
              </w:rPr>
              <w:t>合同履约期限：按双方合同约定条款执行。</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本项目（是）接受联合体投标。</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二、申请人的资格要求：</w:t>
            </w:r>
          </w:p>
          <w:p>
            <w:pPr>
              <w:pStyle w:val="85"/>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85"/>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3.落实政府采购政策需满足的资格要求：</w:t>
            </w:r>
          </w:p>
          <w:p>
            <w:pPr>
              <w:pStyle w:val="85"/>
              <w:spacing w:afterLines="0" w:line="440" w:lineRule="exact"/>
              <w:ind w:firstLine="420"/>
              <w:rPr>
                <w:rFonts w:hint="eastAsia" w:ascii="仿宋" w:hAnsi="仿宋" w:eastAsia="仿宋" w:cs="仿宋"/>
                <w:szCs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rPr>
              <w:t>无；</w:t>
            </w:r>
          </w:p>
          <w:p>
            <w:pPr>
              <w:spacing w:line="360" w:lineRule="auto"/>
              <w:ind w:firstLine="420" w:firstLineChars="200"/>
              <w:rPr>
                <w:rFonts w:hint="eastAsia"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785" w:firstLineChars="374"/>
              <w:rPr>
                <w:rFonts w:hint="eastAsia"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hint="eastAsia"/>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85"/>
              <w:numPr>
                <w:ilvl w:val="0"/>
                <w:numId w:val="0"/>
              </w:numPr>
              <w:spacing w:afterLines="0" w:line="440" w:lineRule="exact"/>
              <w:ind w:firstLine="480" w:firstLineChars="200"/>
              <w:rPr>
                <w:rFonts w:hint="eastAsia" w:ascii="仿宋" w:hAnsi="仿宋" w:eastAsia="仿宋" w:cs="仿宋"/>
                <w:color w:val="auto"/>
                <w:szCs w:val="24"/>
                <w:highlight w:val="yellow"/>
                <w:lang w:val="en-US" w:eastAsia="zh-CN"/>
              </w:rPr>
            </w:pPr>
            <w:r>
              <w:rPr>
                <w:rFonts w:hint="eastAsia" w:ascii="仿宋" w:hAnsi="仿宋" w:eastAsia="仿宋" w:cs="仿宋"/>
                <w:szCs w:val="24"/>
                <w:lang w:val="en-US" w:eastAsia="zh-CN"/>
              </w:rPr>
              <w:t>4.</w:t>
            </w:r>
            <w:r>
              <w:rPr>
                <w:rFonts w:hint="eastAsia" w:ascii="仿宋" w:hAnsi="仿宋" w:eastAsia="仿宋" w:cs="仿宋"/>
                <w:szCs w:val="24"/>
              </w:rPr>
              <w:t>本项目的特定资格要求：</w:t>
            </w:r>
            <w:r>
              <w:rPr>
                <w:rFonts w:hint="eastAsia" w:ascii="仿宋" w:hAnsi="仿宋" w:eastAsia="仿宋" w:cs="仿宋"/>
                <w:szCs w:val="24"/>
                <w:lang w:val="en-US" w:eastAsia="zh-CN"/>
              </w:rPr>
              <w:t>无。</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三、获取招标文件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时间：/至202</w:t>
            </w:r>
            <w:r>
              <w:rPr>
                <w:rFonts w:hint="eastAsia" w:ascii="仿宋" w:hAnsi="仿宋" w:eastAsia="仿宋" w:cs="仿宋"/>
                <w:szCs w:val="24"/>
                <w:lang w:val="en-US" w:eastAsia="zh-CN"/>
              </w:rPr>
              <w:t>3</w:t>
            </w:r>
            <w:r>
              <w:rPr>
                <w:rFonts w:hint="eastAsia" w:ascii="仿宋" w:hAnsi="仿宋" w:eastAsia="仿宋" w:cs="仿宋"/>
                <w:szCs w:val="24"/>
              </w:rPr>
              <w:t>年</w:t>
            </w:r>
            <w:r>
              <w:rPr>
                <w:rFonts w:hint="eastAsia" w:ascii="仿宋" w:hAnsi="仿宋" w:eastAsia="仿宋" w:cs="仿宋"/>
                <w:szCs w:val="24"/>
                <w:lang w:val="en-US" w:eastAsia="zh-CN"/>
              </w:rPr>
              <w:t xml:space="preserve"> 3 </w:t>
            </w:r>
            <w:r>
              <w:rPr>
                <w:rFonts w:hint="eastAsia" w:ascii="仿宋" w:hAnsi="仿宋" w:eastAsia="仿宋" w:cs="仿宋"/>
                <w:szCs w:val="24"/>
              </w:rPr>
              <w:t xml:space="preserve">月 </w:t>
            </w:r>
            <w:r>
              <w:rPr>
                <w:rFonts w:hint="eastAsia" w:ascii="仿宋" w:hAnsi="仿宋" w:eastAsia="仿宋" w:cs="仿宋"/>
                <w:szCs w:val="24"/>
                <w:lang w:val="en-US" w:eastAsia="zh-CN"/>
              </w:rPr>
              <w:t>28</w:t>
            </w:r>
            <w:r>
              <w:rPr>
                <w:rFonts w:hint="eastAsia" w:ascii="仿宋" w:hAnsi="仿宋" w:eastAsia="仿宋" w:cs="仿宋"/>
                <w:szCs w:val="24"/>
              </w:rPr>
              <w:t xml:space="preserve"> 日，每天上午00:00至12:00 ，下午12:00至23:59（北京时间，线上获取法定节假日均可，线下获取文件法定节假日除外）</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地点（网址）：</w:t>
            </w:r>
            <w:r>
              <w:rPr>
                <w:rFonts w:hint="eastAsia" w:ascii="仿宋" w:hAnsi="仿宋" w:eastAsia="仿宋" w:cs="仿宋"/>
                <w:bCs/>
              </w:rPr>
              <w:t>http://www.zcygov.cn/</w:t>
            </w:r>
            <w:r>
              <w:rPr>
                <w:rFonts w:hint="eastAsia" w:ascii="仿宋" w:hAnsi="仿宋" w:eastAsia="仿宋" w:cs="仿宋"/>
                <w:szCs w:val="24"/>
              </w:rPr>
              <w:t>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方式：</w:t>
            </w:r>
            <w:r>
              <w:rPr>
                <w:rFonts w:hint="eastAsia" w:ascii="仿宋" w:hAnsi="仿宋" w:eastAsia="仿宋" w:cs="仿宋"/>
                <w:bCs/>
              </w:rPr>
              <w:t>供应商登陆政采云平台http://www.zcygov.cn/，在线申请获取采购文件（进入“项目采购”应用，在获取采购文件菜单中选择项目，申请获取采购文件）。</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售价（元）：0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四、提交投标文件截止时间、开标时间和地点</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提交投标文件截止时间：202</w:t>
            </w:r>
            <w:r>
              <w:rPr>
                <w:rFonts w:hint="eastAsia" w:ascii="仿宋" w:hAnsi="仿宋" w:eastAsia="仿宋" w:cs="仿宋"/>
                <w:szCs w:val="24"/>
                <w:lang w:val="en-US" w:eastAsia="zh-CN"/>
              </w:rPr>
              <w:t>3</w:t>
            </w:r>
            <w:r>
              <w:rPr>
                <w:rFonts w:hint="eastAsia" w:ascii="仿宋" w:hAnsi="仿宋" w:eastAsia="仿宋" w:cs="仿宋"/>
                <w:szCs w:val="24"/>
              </w:rPr>
              <w:t>年</w:t>
            </w:r>
            <w:r>
              <w:rPr>
                <w:rFonts w:hint="eastAsia" w:ascii="仿宋" w:hAnsi="仿宋" w:eastAsia="仿宋" w:cs="仿宋"/>
                <w:szCs w:val="24"/>
                <w:lang w:val="en-US" w:eastAsia="zh-CN"/>
              </w:rPr>
              <w:t xml:space="preserve"> 3 </w:t>
            </w:r>
            <w:r>
              <w:rPr>
                <w:rFonts w:hint="eastAsia" w:ascii="仿宋" w:hAnsi="仿宋" w:eastAsia="仿宋" w:cs="仿宋"/>
                <w:szCs w:val="24"/>
              </w:rPr>
              <w:t xml:space="preserve">月 </w:t>
            </w:r>
            <w:r>
              <w:rPr>
                <w:rFonts w:hint="eastAsia" w:ascii="仿宋" w:hAnsi="仿宋" w:eastAsia="仿宋" w:cs="仿宋"/>
                <w:szCs w:val="24"/>
                <w:lang w:val="en-US" w:eastAsia="zh-CN"/>
              </w:rPr>
              <w:t>28</w:t>
            </w:r>
            <w:r>
              <w:rPr>
                <w:rFonts w:hint="eastAsia" w:ascii="仿宋" w:hAnsi="仿宋" w:eastAsia="仿宋" w:cs="仿宋"/>
                <w:szCs w:val="24"/>
              </w:rPr>
              <w:t xml:space="preserve"> 日</w:t>
            </w:r>
            <w:r>
              <w:rPr>
                <w:rFonts w:hint="eastAsia" w:ascii="仿宋" w:hAnsi="仿宋" w:eastAsia="仿宋" w:cs="仿宋"/>
                <w:szCs w:val="24"/>
                <w:lang w:val="en-US" w:eastAsia="zh-CN"/>
              </w:rPr>
              <w:t xml:space="preserve">14：30 </w:t>
            </w:r>
            <w:r>
              <w:rPr>
                <w:rFonts w:hint="eastAsia" w:ascii="仿宋" w:hAnsi="仿宋" w:eastAsia="仿宋" w:cs="仿宋"/>
                <w:szCs w:val="24"/>
              </w:rPr>
              <w:t>（北京时间）</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投标地点（网址）：政采云平台</w:t>
            </w:r>
            <w:r>
              <w:rPr>
                <w:rFonts w:hint="eastAsia" w:ascii="仿宋" w:hAnsi="仿宋" w:eastAsia="仿宋" w:cs="仿宋"/>
                <w:bCs/>
              </w:rPr>
              <w:t>http://www.zcygov.cn/</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开标时间：202</w:t>
            </w:r>
            <w:r>
              <w:rPr>
                <w:rFonts w:hint="eastAsia" w:ascii="仿宋" w:hAnsi="仿宋" w:eastAsia="仿宋" w:cs="仿宋"/>
                <w:szCs w:val="24"/>
                <w:lang w:val="en-US" w:eastAsia="zh-CN"/>
              </w:rPr>
              <w:t>3</w:t>
            </w:r>
            <w:r>
              <w:rPr>
                <w:rFonts w:hint="eastAsia" w:ascii="仿宋" w:hAnsi="仿宋" w:eastAsia="仿宋" w:cs="仿宋"/>
                <w:szCs w:val="24"/>
              </w:rPr>
              <w:t>年</w:t>
            </w:r>
            <w:r>
              <w:rPr>
                <w:rFonts w:hint="eastAsia" w:ascii="仿宋" w:hAnsi="仿宋" w:eastAsia="仿宋" w:cs="仿宋"/>
                <w:szCs w:val="24"/>
                <w:lang w:val="en-US" w:eastAsia="zh-CN"/>
              </w:rPr>
              <w:t xml:space="preserve"> 3 </w:t>
            </w:r>
            <w:r>
              <w:rPr>
                <w:rFonts w:hint="eastAsia" w:ascii="仿宋" w:hAnsi="仿宋" w:eastAsia="仿宋" w:cs="仿宋"/>
                <w:szCs w:val="24"/>
              </w:rPr>
              <w:t xml:space="preserve">月 </w:t>
            </w:r>
            <w:r>
              <w:rPr>
                <w:rFonts w:hint="eastAsia" w:ascii="仿宋" w:hAnsi="仿宋" w:eastAsia="仿宋" w:cs="仿宋"/>
                <w:szCs w:val="24"/>
                <w:lang w:val="en-US" w:eastAsia="zh-CN"/>
              </w:rPr>
              <w:t>28</w:t>
            </w:r>
            <w:r>
              <w:rPr>
                <w:rFonts w:hint="eastAsia" w:ascii="仿宋" w:hAnsi="仿宋" w:eastAsia="仿宋" w:cs="仿宋"/>
                <w:szCs w:val="24"/>
              </w:rPr>
              <w:t xml:space="preserve"> 日</w:t>
            </w:r>
            <w:r>
              <w:rPr>
                <w:rFonts w:hint="eastAsia" w:ascii="仿宋" w:hAnsi="仿宋" w:eastAsia="仿宋" w:cs="仿宋"/>
                <w:szCs w:val="24"/>
                <w:lang w:val="en-US" w:eastAsia="zh-CN"/>
              </w:rPr>
              <w:t xml:space="preserve">14：30  </w:t>
            </w:r>
            <w:r>
              <w:rPr>
                <w:rFonts w:hint="eastAsia" w:ascii="仿宋" w:hAnsi="仿宋" w:eastAsia="仿宋" w:cs="仿宋"/>
                <w:szCs w:val="24"/>
              </w:rPr>
              <w:t>（北京时间）</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开标地点（网址）：</w:t>
            </w:r>
            <w:r>
              <w:rPr>
                <w:rFonts w:hint="eastAsia" w:ascii="仿宋" w:hAnsi="仿宋" w:eastAsia="仿宋" w:cs="仿宋"/>
                <w:color w:val="auto"/>
                <w:szCs w:val="24"/>
              </w:rPr>
              <w:t>绍兴市越城区越西路800号金德隆商业中心8幢二楼</w:t>
            </w:r>
            <w:r>
              <w:rPr>
                <w:rFonts w:hint="eastAsia" w:ascii="仿宋" w:hAnsi="仿宋" w:eastAsia="仿宋" w:cs="仿宋"/>
                <w:color w:val="auto"/>
                <w:szCs w:val="24"/>
                <w:lang w:val="en-US" w:eastAsia="zh-CN"/>
              </w:rPr>
              <w:t>华诚工程咨询集团有限公司二</w:t>
            </w:r>
            <w:r>
              <w:rPr>
                <w:rFonts w:hint="eastAsia" w:ascii="仿宋" w:hAnsi="仿宋" w:eastAsia="仿宋" w:cs="仿宋"/>
                <w:color w:val="auto"/>
                <w:szCs w:val="24"/>
              </w:rPr>
              <w:t>楼开标室</w:t>
            </w:r>
            <w:r>
              <w:rPr>
                <w:rFonts w:hint="eastAsia" w:ascii="仿宋" w:hAnsi="仿宋" w:eastAsia="仿宋" w:cs="仿宋"/>
                <w:szCs w:val="24"/>
              </w:rPr>
              <w:t>，在政府采购云平台（www.zcygov.cn）上开启响应文件。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五、公告期限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自本公告发布之日起5个工作日。</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六、其他补充事宜</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七、对本次采购提出询问、质疑、投诉，请按以下方式联系</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1.采购人信息</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r>
              <w:rPr>
                <w:rFonts w:hint="eastAsia" w:ascii="仿宋" w:hAnsi="仿宋" w:eastAsia="仿宋" w:cs="仿宋"/>
                <w:szCs w:val="24"/>
              </w:rPr>
              <w:t>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地址：绍兴市越城区中兴北路568号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传真： /</w:t>
            </w:r>
          </w:p>
          <w:p>
            <w:pPr>
              <w:pStyle w:val="85"/>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 钱国良</w:t>
            </w:r>
          </w:p>
          <w:p>
            <w:pPr>
              <w:pStyle w:val="85"/>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项目联系方式（询问）：0575-88558842</w:t>
            </w:r>
          </w:p>
          <w:p>
            <w:pPr>
              <w:pStyle w:val="85"/>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质疑联系人：徐爱琴</w:t>
            </w:r>
          </w:p>
          <w:p>
            <w:pPr>
              <w:pStyle w:val="85"/>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质疑联系方式：0575-88558842</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2.采购代理机构信息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名称：</w:t>
            </w:r>
            <w:r>
              <w:rPr>
                <w:rFonts w:hint="eastAsia" w:ascii="仿宋" w:hAnsi="仿宋" w:eastAsia="仿宋" w:cs="仿宋"/>
                <w:szCs w:val="24"/>
                <w:lang w:val="en-US" w:eastAsia="zh-CN"/>
              </w:rPr>
              <w:t>华诚工程咨询集团有限公司</w:t>
            </w:r>
            <w:r>
              <w:rPr>
                <w:rFonts w:hint="eastAsia" w:ascii="仿宋" w:hAnsi="仿宋" w:eastAsia="仿宋" w:cs="仿宋"/>
                <w:szCs w:val="24"/>
              </w:rPr>
              <w:t>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地址：绍兴市越城区越西路800号金德隆商业中心8幢二楼</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传真：</w:t>
            </w:r>
            <w:r>
              <w:rPr>
                <w:rFonts w:hint="eastAsia" w:ascii="仿宋" w:hAnsi="仿宋" w:eastAsia="仿宋" w:cs="仿宋"/>
                <w:szCs w:val="24"/>
                <w:lang w:val="en-US" w:eastAsia="zh-CN"/>
              </w:rPr>
              <w:t>/</w:t>
            </w:r>
            <w:r>
              <w:rPr>
                <w:rFonts w:hint="eastAsia" w:ascii="仿宋" w:hAnsi="仿宋" w:eastAsia="仿宋" w:cs="仿宋"/>
                <w:szCs w:val="24"/>
              </w:rPr>
              <w:t>      </w:t>
            </w:r>
          </w:p>
          <w:p>
            <w:pPr>
              <w:pStyle w:val="85"/>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毕龙梅</w:t>
            </w:r>
          </w:p>
          <w:p>
            <w:pPr>
              <w:pStyle w:val="85"/>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项目联系方式（询问）：</w:t>
            </w:r>
            <w:r>
              <w:rPr>
                <w:rFonts w:hint="eastAsia" w:ascii="仿宋" w:hAnsi="仿宋" w:eastAsia="仿宋" w:cs="仿宋"/>
                <w:szCs w:val="24"/>
                <w:lang w:val="en-US" w:eastAsia="zh-CN"/>
              </w:rPr>
              <w:t>15068545458</w:t>
            </w:r>
          </w:p>
          <w:p>
            <w:pPr>
              <w:pStyle w:val="85"/>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质疑联系人：柯翔郎</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w:t>
            </w:r>
            <w:r>
              <w:rPr>
                <w:rFonts w:hint="eastAsia" w:ascii="仿宋" w:hAnsi="仿宋" w:eastAsia="仿宋" w:cs="仿宋"/>
                <w:color w:val="auto"/>
                <w:szCs w:val="24"/>
              </w:rPr>
              <w:t>　</w:t>
            </w:r>
            <w:r>
              <w:rPr>
                <w:rFonts w:hint="eastAsia" w:ascii="仿宋" w:hAnsi="仿宋" w:eastAsia="仿宋" w:cs="仿宋"/>
                <w:szCs w:val="24"/>
              </w:rPr>
              <w:t>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3.同级政府采购监督管理部门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w:t>
            </w:r>
            <w:r>
              <w:rPr>
                <w:rFonts w:hint="eastAsia" w:ascii="仿宋" w:hAnsi="仿宋" w:eastAsia="仿宋" w:cs="仿宋"/>
                <w:szCs w:val="24"/>
                <w:lang w:val="en-US" w:eastAsia="zh-CN"/>
              </w:rPr>
              <w:t>806</w:t>
            </w:r>
            <w:r>
              <w:rPr>
                <w:rFonts w:hint="eastAsia" w:ascii="仿宋" w:hAnsi="仿宋" w:eastAsia="仿宋" w:cs="仿宋"/>
                <w:szCs w:val="24"/>
              </w:rPr>
              <w:t>     </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联系人 ：</w:t>
            </w:r>
            <w:r>
              <w:rPr>
                <w:rFonts w:hint="eastAsia" w:ascii="仿宋" w:hAnsi="仿宋" w:eastAsia="仿宋" w:cs="仿宋"/>
                <w:szCs w:val="24"/>
                <w:lang w:val="en-US" w:eastAsia="zh-CN"/>
              </w:rPr>
              <w:t>吴滟</w:t>
            </w:r>
            <w:r>
              <w:rPr>
                <w:rFonts w:hint="eastAsia" w:ascii="仿宋" w:hAnsi="仿宋" w:eastAsia="仿宋" w:cs="仿宋"/>
                <w:szCs w:val="24"/>
              </w:rPr>
              <w:t>       </w:t>
            </w:r>
          </w:p>
          <w:p>
            <w:pPr>
              <w:pStyle w:val="85"/>
              <w:spacing w:afterLines="0" w:line="440" w:lineRule="exact"/>
              <w:ind w:firstLine="480"/>
              <w:jc w:val="left"/>
              <w:rPr>
                <w:rFonts w:hint="default" w:ascii="仿宋" w:hAnsi="仿宋" w:eastAsia="仿宋" w:cs="仿宋"/>
                <w:szCs w:val="24"/>
                <w:lang w:val="en-US" w:eastAsia="zh-CN"/>
              </w:rPr>
            </w:pPr>
            <w:r>
              <w:rPr>
                <w:rFonts w:hint="eastAsia" w:ascii="仿宋" w:hAnsi="仿宋" w:eastAsia="仿宋" w:cs="仿宋"/>
                <w:szCs w:val="24"/>
              </w:rPr>
              <w:t>监督投诉电话：0575-852096</w:t>
            </w:r>
            <w:r>
              <w:rPr>
                <w:rFonts w:hint="eastAsia" w:ascii="仿宋" w:hAnsi="仿宋" w:eastAsia="仿宋" w:cs="仿宋"/>
                <w:szCs w:val="24"/>
                <w:lang w:val="en-US" w:eastAsia="zh-CN"/>
              </w:rPr>
              <w:t>45</w:t>
            </w:r>
          </w:p>
          <w:p>
            <w:pPr>
              <w:pStyle w:val="85"/>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若对项目采购电子交易系统操作有疑问，可登录政采云（https://www.zcygov.cn/），点击右侧咨询小采，获取采小蜜智能服务管家帮助，或拨打政采云服务热线400-881-7190获取热线服务帮助。</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rPr>
            </w:pPr>
            <w:r>
              <w:rPr>
                <w:rFonts w:hint="eastAsia" w:ascii="仿宋" w:hAnsi="仿宋" w:eastAsia="仿宋" w:cs="仿宋"/>
              </w:rPr>
              <w:t>·</w:t>
            </w:r>
          </w:p>
        </w:tc>
      </w:tr>
    </w:tbl>
    <w:p>
      <w:pPr>
        <w:widowControl/>
        <w:jc w:val="left"/>
        <w:rPr>
          <w:rFonts w:hint="eastAsia" w:ascii="仿宋" w:hAnsi="仿宋" w:eastAsia="仿宋" w:cs="仿宋"/>
          <w:kern w:val="0"/>
          <w:sz w:val="24"/>
        </w:rPr>
      </w:pPr>
      <w:r>
        <w:rPr>
          <w:rFonts w:hint="eastAsia" w:ascii="仿宋" w:hAnsi="仿宋" w:eastAsia="仿宋" w:cs="仿宋"/>
        </w:rPr>
        <w:br w:type="page"/>
      </w:r>
    </w:p>
    <w:p>
      <w:pPr>
        <w:pageBreakBefore/>
        <w:ind w:left="238"/>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hint="eastAsia"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分包：</w:t>
            </w:r>
            <w:sdt>
              <w:sdtPr>
                <w:rPr>
                  <w:rFonts w:hint="eastAsia" w:ascii="仿宋" w:hAnsi="仿宋" w:eastAsia="仿宋" w:cs="仿宋"/>
                  <w:kern w:val="0"/>
                  <w:sz w:val="24"/>
                  <w:highlight w:val="none"/>
                </w:rPr>
                <w:id w:val="2547831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 xml:space="preserve">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工作分包。</w:t>
            </w:r>
          </w:p>
          <w:p>
            <w:pPr>
              <w:spacing w:line="440" w:lineRule="exact"/>
              <w:ind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126322061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hint="eastAsia" w:ascii="仿宋" w:hAnsi="仿宋" w:eastAsia="仿宋" w:cs="仿宋"/>
                <w:b/>
                <w:sz w:val="24"/>
                <w:highlight w:val="none"/>
              </w:rPr>
            </w:pPr>
            <w:sdt>
              <w:sdtPr>
                <w:rPr>
                  <w:rFonts w:hint="eastAsia" w:ascii="仿宋" w:hAnsi="仿宋" w:eastAsia="仿宋" w:cs="仿宋"/>
                  <w:kern w:val="0"/>
                  <w:sz w:val="24"/>
                  <w:highlight w:val="none"/>
                </w:rPr>
                <w:id w:val="-94006690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pPr>
              <w:spacing w:line="360" w:lineRule="auto"/>
              <w:rPr>
                <w:rFonts w:hint="eastAsia" w:ascii="仿宋" w:hAnsi="仿宋" w:eastAsia="仿宋" w:cs="仿宋"/>
                <w:b/>
                <w:sz w:val="24"/>
                <w:highlight w:val="none"/>
              </w:rPr>
            </w:pPr>
            <w:sdt>
              <w:sdtPr>
                <w:rPr>
                  <w:rFonts w:hint="eastAsia" w:ascii="仿宋" w:hAnsi="仿宋" w:eastAsia="仿宋" w:cs="仿宋"/>
                  <w:kern w:val="0"/>
                  <w:sz w:val="24"/>
                  <w:highlight w:val="none"/>
                </w:rPr>
                <w:id w:val="-74078883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02683198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9</w:t>
            </w:r>
          </w:p>
        </w:tc>
        <w:tc>
          <w:tcPr>
            <w:tcW w:w="8370" w:type="dxa"/>
            <w:gridSpan w:val="2"/>
            <w:vAlign w:val="center"/>
          </w:tcPr>
          <w:p>
            <w:pPr>
              <w:spacing w:line="440" w:lineRule="exact"/>
              <w:rPr>
                <w:rFonts w:hint="eastAsia"/>
                <w:lang w:val="en-US" w:eastAsia="zh-CN"/>
              </w:rPr>
            </w:pPr>
            <w:r>
              <w:rPr>
                <w:rFonts w:hint="eastAsia"/>
                <w:lang w:val="en-US" w:eastAsia="zh-CN"/>
              </w:rPr>
              <w:t>方案讲解演示：</w:t>
            </w:r>
          </w:p>
          <w:p>
            <w:pPr>
              <w:spacing w:line="440" w:lineRule="exact"/>
              <w:rPr>
                <w:rFonts w:hint="eastAsia"/>
                <w:lang w:val="en-US" w:eastAsia="zh-CN"/>
              </w:rPr>
            </w:pPr>
            <w:sdt>
              <w:sdtPr>
                <w:rPr>
                  <w:rFonts w:hint="eastAsia"/>
                  <w:lang w:val="en-US" w:eastAsia="zh-CN"/>
                </w:rPr>
                <w:id w:val="801731539"/>
              </w:sdtPr>
              <w:sdtEndPr>
                <w:rPr>
                  <w:rFonts w:hint="eastAsia"/>
                  <w:lang w:val="en-US" w:eastAsia="zh-CN"/>
                </w:rPr>
              </w:sdtEndPr>
              <w:sdtContent>
                <w:sdt>
                  <w:sdtPr>
                    <w:rPr>
                      <w:rFonts w:hint="eastAsia"/>
                      <w:lang w:val="en-US" w:eastAsia="zh-CN"/>
                    </w:rPr>
                    <w:id w:val="-1281644016"/>
                  </w:sdtPr>
                  <w:sdtEndPr>
                    <w:rPr>
                      <w:rFonts w:hint="eastAsia"/>
                      <w:lang w:val="en-US" w:eastAsia="zh-CN"/>
                    </w:rPr>
                  </w:sdtEndPr>
                  <w:sdtContent>
                    <w:r>
                      <w:rPr>
                        <w:rFonts w:hint="eastAsia"/>
                        <w:lang w:val="en-US" w:eastAsia="zh-CN"/>
                      </w:rPr>
                      <w:sym w:font="Wingdings" w:char="00A8"/>
                    </w:r>
                  </w:sdtContent>
                </w:sdt>
              </w:sdtContent>
            </w:sdt>
            <w:r>
              <w:rPr>
                <w:rFonts w:hint="eastAsia"/>
                <w:lang w:val="en-US" w:eastAsia="zh-CN"/>
              </w:rPr>
              <w:t>A无方案讲解演示。</w:t>
            </w:r>
          </w:p>
          <w:p>
            <w:pPr>
              <w:spacing w:line="440" w:lineRule="exact"/>
              <w:rPr>
                <w:rFonts w:hint="eastAsia" w:ascii="仿宋" w:hAnsi="仿宋" w:eastAsia="仿宋" w:cs="仿宋"/>
                <w:b/>
                <w:sz w:val="24"/>
                <w:szCs w:val="24"/>
              </w:rPr>
            </w:pPr>
            <w:sdt>
              <w:sdtPr>
                <w:rPr>
                  <w:rFonts w:hint="eastAsia"/>
                  <w:lang w:val="en-US" w:eastAsia="zh-CN"/>
                </w:rPr>
                <w:id w:val="-1281644016"/>
              </w:sdtPr>
              <w:sdtEndPr>
                <w:rPr>
                  <w:rFonts w:hint="eastAsia"/>
                  <w:lang w:val="en-US" w:eastAsia="zh-CN"/>
                </w:rPr>
              </w:sdtEndPr>
              <w:sdtContent/>
            </w:sdt>
            <w:r>
              <w:rPr>
                <w:rFonts w:hint="eastAsia" w:ascii="仿宋" w:hAnsi="仿宋" w:eastAsia="仿宋" w:cs="仿宋"/>
                <w:kern w:val="0"/>
                <w:sz w:val="24"/>
                <w:szCs w:val="24"/>
              </w:rPr>
              <w:sym w:font="Wingdings 2" w:char="0052"/>
            </w:r>
            <w:r>
              <w:rPr>
                <w:rFonts w:hint="eastAsia" w:ascii="仿宋" w:hAnsi="仿宋" w:eastAsia="仿宋" w:cs="仿宋"/>
                <w:kern w:val="0"/>
                <w:sz w:val="24"/>
                <w:szCs w:val="24"/>
              </w:rPr>
              <w:t>B有方案讲解演示：</w:t>
            </w:r>
          </w:p>
          <w:p>
            <w:pPr>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在评标时安排每个投标人进行</w:t>
            </w:r>
            <w:r>
              <w:rPr>
                <w:rFonts w:hint="eastAsia" w:ascii="仿宋" w:hAnsi="仿宋" w:eastAsia="仿宋" w:cs="仿宋"/>
                <w:color w:val="auto"/>
                <w:sz w:val="24"/>
              </w:rPr>
              <w:t>方案讲解演示</w:t>
            </w:r>
            <w:r>
              <w:rPr>
                <w:rFonts w:hint="eastAsia" w:ascii="仿宋" w:hAnsi="仿宋" w:eastAsia="仿宋" w:cs="仿宋"/>
                <w:color w:val="auto"/>
                <w:sz w:val="24"/>
                <w:lang w:val="zh-CN"/>
              </w:rPr>
              <w:t>，讲解</w:t>
            </w:r>
            <w:r>
              <w:rPr>
                <w:rFonts w:hint="eastAsia" w:ascii="仿宋" w:hAnsi="仿宋" w:eastAsia="仿宋" w:cs="仿宋"/>
                <w:color w:val="auto"/>
                <w:sz w:val="24"/>
              </w:rPr>
              <w:t>演示结束</w:t>
            </w:r>
            <w:r>
              <w:rPr>
                <w:rFonts w:hint="eastAsia" w:ascii="仿宋" w:hAnsi="仿宋" w:eastAsia="仿宋" w:cs="仿宋"/>
                <w:color w:val="auto"/>
                <w:sz w:val="24"/>
                <w:lang w:val="zh-CN"/>
              </w:rPr>
              <w:t>后按要求解答评标委员会的提问。</w:t>
            </w:r>
          </w:p>
          <w:p>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讲解演示设备：讲解</w:t>
            </w:r>
            <w:r>
              <w:rPr>
                <w:rFonts w:hint="eastAsia" w:ascii="仿宋" w:hAnsi="仿宋" w:eastAsia="仿宋" w:cs="仿宋"/>
                <w:color w:val="auto"/>
                <w:sz w:val="24"/>
              </w:rPr>
              <w:t>演示所需设备由投标人自行准备。</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讲解演示时间：每个投标人讲解演示前的调试准备时间不超过15分钟，讲解演示时间不超过15分钟，</w:t>
            </w:r>
            <w:r>
              <w:rPr>
                <w:rFonts w:hint="eastAsia" w:ascii="仿宋" w:hAnsi="仿宋" w:eastAsia="仿宋" w:cs="仿宋"/>
                <w:color w:val="auto"/>
                <w:sz w:val="24"/>
              </w:rPr>
              <w:t>不包含评标委员会提问解答时间。</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讲解演示次序：以政采云平台中</w:t>
            </w:r>
            <w:r>
              <w:rPr>
                <w:rFonts w:hint="eastAsia" w:ascii="仿宋" w:hAnsi="仿宋" w:eastAsia="仿宋" w:cs="仿宋"/>
                <w:color w:val="auto"/>
                <w:sz w:val="24"/>
              </w:rPr>
              <w:t>投标</w:t>
            </w:r>
            <w:r>
              <w:rPr>
                <w:rFonts w:hint="eastAsia" w:ascii="仿宋" w:hAnsi="仿宋" w:eastAsia="仿宋" w:cs="仿宋"/>
                <w:color w:val="auto"/>
                <w:sz w:val="24"/>
                <w:lang w:val="zh-CN"/>
              </w:rPr>
              <w:t>文件解密时间的先后顺序为准。</w:t>
            </w:r>
          </w:p>
          <w:p>
            <w:pPr>
              <w:pStyle w:val="7"/>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360" w:lineRule="auto"/>
              <w:rPr>
                <w:rFonts w:hint="eastAsia" w:ascii="仿宋" w:hAnsi="仿宋" w:eastAsia="仿宋" w:cs="仿宋"/>
                <w:kern w:val="0"/>
                <w:sz w:val="24"/>
                <w:highlight w:val="none"/>
              </w:rPr>
            </w:pPr>
            <w:sdt>
              <w:sdtPr>
                <w:rPr>
                  <w:rFonts w:hint="eastAsia" w:ascii="仿宋" w:hAnsi="仿宋" w:eastAsia="仿宋" w:cs="仿宋"/>
                  <w:kern w:val="0"/>
                  <w:sz w:val="24"/>
                  <w:highlight w:val="none"/>
                </w:rPr>
                <w:id w:val="-75181343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本项目不允许采购进口产品。</w:t>
            </w:r>
          </w:p>
          <w:p>
            <w:pPr>
              <w:snapToGrid w:val="0"/>
              <w:spacing w:line="440" w:lineRule="exact"/>
              <w:rPr>
                <w:rFonts w:hint="eastAsia" w:ascii="仿宋" w:hAnsi="仿宋" w:eastAsia="仿宋" w:cs="仿宋"/>
                <w:b/>
                <w:sz w:val="24"/>
                <w:highlight w:val="none"/>
              </w:rPr>
            </w:pPr>
            <w:sdt>
              <w:sdtPr>
                <w:rPr>
                  <w:rFonts w:hint="eastAsia" w:ascii="仿宋" w:hAnsi="仿宋" w:eastAsia="仿宋" w:cs="仿宋"/>
                  <w:kern w:val="0"/>
                  <w:sz w:val="24"/>
                  <w:highlight w:val="none"/>
                </w:rPr>
                <w:id w:val="-83321284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标项一：</w:t>
                </w:r>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科研平台</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rPr>
              <w:t>。</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681041712"/>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标项二：</w:t>
            </w:r>
            <w:sdt>
              <w:sdtPr>
                <w:rPr>
                  <w:rFonts w:hint="eastAsia" w:ascii="仿宋" w:hAnsi="仿宋" w:eastAsia="仿宋" w:cs="仿宋"/>
                  <w:color w:val="auto"/>
                  <w:kern w:val="0"/>
                  <w:sz w:val="24"/>
                </w:rPr>
                <w:id w:val="74946564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rPr>
              <w:t>。</w:t>
            </w:r>
          </w:p>
          <w:p>
            <w:pPr>
              <w:pStyle w:val="2"/>
              <w:rPr>
                <w:rFonts w:hint="eastAsia" w:ascii="仿宋" w:hAnsi="仿宋" w:eastAsia="仿宋" w:cs="仿宋"/>
                <w:highlight w:val="none"/>
                <w:lang w:val="en-US" w:eastAsia="zh-CN"/>
              </w:rPr>
            </w:pPr>
            <w:sdt>
              <w:sdtPr>
                <w:rPr>
                  <w:rFonts w:hint="eastAsia" w:ascii="仿宋" w:hAnsi="仿宋" w:eastAsia="仿宋" w:cs="仿宋"/>
                  <w:color w:val="auto"/>
                  <w:kern w:val="0"/>
                  <w:sz w:val="24"/>
                </w:rPr>
                <w:id w:val="1040554656"/>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509643220"/>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ind w:left="-18" w:leftChars="-9" w:right="-50" w:rightChars="-24"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tcPr>
          <w:p>
            <w:pPr>
              <w:numPr>
                <w:ilvl w:val="0"/>
                <w:numId w:val="5"/>
              </w:numPr>
              <w:snapToGrid w:val="0"/>
              <w:spacing w:line="360" w:lineRule="auto"/>
              <w:ind w:left="210" w:leftChars="0" w:firstLineChars="0"/>
              <w:rPr>
                <w:rFonts w:hint="eastAsia" w:ascii="仿宋" w:hAnsi="仿宋" w:eastAsia="仿宋" w:cs="仿宋"/>
                <w:highlight w:val="none"/>
              </w:rPr>
            </w:pPr>
            <w:r>
              <w:rPr>
                <w:rFonts w:hint="eastAsia" w:ascii="仿宋" w:hAnsi="仿宋" w:eastAsia="仿宋" w:cs="仿宋"/>
                <w:highlight w:val="none"/>
              </w:rPr>
              <w:t>标的：标的：标项一，属于</w:t>
            </w:r>
            <w:r>
              <w:rPr>
                <w:rFonts w:hint="eastAsia" w:ascii="仿宋" w:hAnsi="仿宋" w:eastAsia="仿宋" w:cs="仿宋"/>
                <w:highlight w:val="none"/>
                <w:u w:val="single"/>
                <w:lang w:val="en-US" w:eastAsia="zh-CN"/>
              </w:rPr>
              <w:t xml:space="preserve">  软件和信息技术服务业  </w:t>
            </w:r>
            <w:r>
              <w:rPr>
                <w:rFonts w:hint="eastAsia" w:ascii="仿宋" w:hAnsi="仿宋" w:eastAsia="仿宋" w:cs="仿宋"/>
                <w:highlight w:val="none"/>
                <w:lang w:val="en-US" w:eastAsia="zh-CN"/>
              </w:rPr>
              <w:t>行</w:t>
            </w:r>
            <w:r>
              <w:rPr>
                <w:rFonts w:hint="eastAsia" w:ascii="仿宋" w:hAnsi="仿宋" w:eastAsia="仿宋" w:cs="仿宋"/>
                <w:highlight w:val="none"/>
              </w:rPr>
              <w:t>业。</w:t>
            </w:r>
          </w:p>
          <w:p>
            <w:pPr>
              <w:numPr>
                <w:ilvl w:val="0"/>
                <w:numId w:val="5"/>
              </w:numPr>
              <w:snapToGrid w:val="0"/>
              <w:spacing w:line="360" w:lineRule="auto"/>
              <w:ind w:left="210" w:leftChars="0" w:firstLineChars="0"/>
              <w:rPr>
                <w:rFonts w:hint="eastAsia" w:ascii="仿宋" w:hAnsi="仿宋" w:eastAsia="仿宋" w:cs="仿宋"/>
                <w:highlight w:val="none"/>
              </w:rPr>
            </w:pPr>
            <w:r>
              <w:rPr>
                <w:rFonts w:hint="eastAsia" w:ascii="仿宋" w:hAnsi="仿宋" w:eastAsia="仿宋" w:cs="仿宋"/>
                <w:highlight w:val="none"/>
              </w:rPr>
              <w:t>标的：标的：标项</w:t>
            </w:r>
            <w:r>
              <w:rPr>
                <w:rFonts w:hint="eastAsia" w:ascii="仿宋" w:hAnsi="仿宋" w:eastAsia="仿宋" w:cs="仿宋"/>
                <w:highlight w:val="none"/>
                <w:lang w:val="en-US" w:eastAsia="zh-CN"/>
              </w:rPr>
              <w:t>二</w:t>
            </w:r>
            <w:r>
              <w:rPr>
                <w:rFonts w:hint="eastAsia" w:ascii="仿宋" w:hAnsi="仿宋" w:eastAsia="仿宋" w:cs="仿宋"/>
                <w:highlight w:val="none"/>
              </w:rPr>
              <w:t>，属于</w:t>
            </w:r>
            <w:r>
              <w:rPr>
                <w:rFonts w:hint="eastAsia" w:ascii="仿宋" w:hAnsi="仿宋" w:eastAsia="仿宋" w:cs="仿宋"/>
                <w:highlight w:val="none"/>
                <w:u w:val="single"/>
                <w:lang w:val="en-US" w:eastAsia="zh-CN"/>
              </w:rPr>
              <w:t xml:space="preserve">  软件和信息技术服务业  </w:t>
            </w:r>
            <w:r>
              <w:rPr>
                <w:rFonts w:hint="eastAsia" w:ascii="仿宋" w:hAnsi="仿宋" w:eastAsia="仿宋" w:cs="仿宋"/>
                <w:highlight w:val="none"/>
                <w:lang w:val="en-US" w:eastAsia="zh-CN"/>
              </w:rPr>
              <w:t>行</w:t>
            </w:r>
            <w:r>
              <w:rPr>
                <w:rFonts w:hint="eastAsia" w:ascii="仿宋" w:hAnsi="仿宋" w:eastAsia="仿宋" w:cs="仿宋"/>
                <w:highlight w:val="none"/>
              </w:rPr>
              <w:t>业。</w:t>
            </w:r>
          </w:p>
          <w:p>
            <w:pPr>
              <w:pStyle w:val="7"/>
              <w:rPr>
                <w:rFonts w:hint="eastAsia"/>
              </w:rPr>
            </w:pPr>
          </w:p>
          <w:p>
            <w:pPr>
              <w:pStyle w:val="25"/>
              <w:numPr>
                <w:ilvl w:val="0"/>
                <w:numId w:val="0"/>
              </w:num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40" w:lineRule="exact"/>
              <w:rPr>
                <w:rFonts w:hint="eastAsia" w:ascii="仿宋" w:hAnsi="仿宋" w:eastAsia="仿宋" w:cs="仿宋"/>
                <w:b/>
                <w:sz w:val="24"/>
                <w:highlight w:val="none"/>
              </w:rPr>
            </w:pPr>
          </w:p>
        </w:tc>
        <w:tc>
          <w:tcPr>
            <w:tcW w:w="7515"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40" w:lineRule="exact"/>
              <w:rPr>
                <w:rFonts w:hint="eastAsia" w:ascii="仿宋" w:hAnsi="仿宋" w:eastAsia="仿宋" w:cs="仿宋"/>
                <w:b/>
                <w:sz w:val="24"/>
                <w:highlight w:val="none"/>
              </w:rPr>
            </w:pPr>
          </w:p>
        </w:tc>
        <w:tc>
          <w:tcPr>
            <w:tcW w:w="7515" w:type="dxa"/>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kern w:val="28"/>
                <w:sz w:val="24"/>
                <w:highlight w:val="none"/>
              </w:rPr>
            </w:pPr>
            <w:sdt>
              <w:sdtPr>
                <w:rPr>
                  <w:rFonts w:hint="eastAsia" w:ascii="仿宋" w:hAnsi="仿宋" w:eastAsia="仿宋" w:cs="仿宋"/>
                  <w:kern w:val="0"/>
                  <w:sz w:val="24"/>
                  <w:szCs w:val="21"/>
                  <w:highlight w:val="none"/>
                </w:rPr>
                <w:id w:val="-232311894"/>
              </w:sdtPr>
              <w:sdtEndPr>
                <w:rPr>
                  <w:rFonts w:hint="eastAsia" w:ascii="仿宋" w:hAnsi="仿宋" w:eastAsia="仿宋" w:cs="仿宋"/>
                  <w:kern w:val="0"/>
                  <w:sz w:val="24"/>
                  <w:szCs w:val="21"/>
                  <w:highlight w:val="none"/>
                </w:rPr>
              </w:sdtEndPr>
              <w:sdtContent>
                <w:r>
                  <w:rPr>
                    <w:rFonts w:hint="eastAsia" w:ascii="仿宋" w:hAnsi="仿宋" w:eastAsia="仿宋" w:cs="仿宋"/>
                    <w:kern w:val="0"/>
                    <w:sz w:val="24"/>
                    <w:highlight w:val="none"/>
                  </w:rPr>
                  <w:sym w:font="Wingdings" w:char="00FE"/>
                </w:r>
              </w:sdtContent>
            </w:sdt>
            <w:sdt>
              <w:sdtPr>
                <w:rPr>
                  <w:rFonts w:hint="eastAsia" w:ascii="仿宋" w:hAnsi="仿宋" w:eastAsia="仿宋" w:cs="仿宋"/>
                  <w:kern w:val="0"/>
                  <w:sz w:val="24"/>
                  <w:szCs w:val="21"/>
                  <w:highlight w:val="none"/>
                </w:rPr>
                <w:id w:val="-1816336663"/>
              </w:sdtPr>
              <w:sdtEndPr>
                <w:rPr>
                  <w:rFonts w:hint="eastAsia" w:ascii="仿宋" w:hAnsi="仿宋" w:eastAsia="仿宋" w:cs="仿宋"/>
                  <w:kern w:val="0"/>
                  <w:sz w:val="24"/>
                  <w:szCs w:val="21"/>
                  <w:highlight w:val="none"/>
                </w:rPr>
              </w:sdtEndPr>
              <w:sdtContent/>
            </w:sdt>
            <w:r>
              <w:rPr>
                <w:rFonts w:hint="eastAsia" w:ascii="仿宋" w:hAnsi="仿宋" w:eastAsia="仿宋" w:cs="仿宋"/>
                <w:snapToGrid w:val="0"/>
                <w:kern w:val="28"/>
                <w:sz w:val="24"/>
                <w:highlight w:val="none"/>
              </w:rPr>
              <w:t>联合体投标的，联合体各方均需按招标文件第</w:t>
            </w:r>
            <w:r>
              <w:rPr>
                <w:rFonts w:hint="eastAsia" w:ascii="仿宋" w:hAnsi="仿宋" w:eastAsia="仿宋" w:cs="仿宋"/>
                <w:snapToGrid w:val="0"/>
                <w:kern w:val="28"/>
                <w:sz w:val="24"/>
                <w:highlight w:val="none"/>
                <w:lang w:val="en-US" w:eastAsia="zh-CN"/>
              </w:rPr>
              <w:t>五</w:t>
            </w:r>
            <w:r>
              <w:rPr>
                <w:rFonts w:hint="eastAsia" w:ascii="仿宋" w:hAnsi="仿宋" w:eastAsia="仿宋" w:cs="仿宋"/>
                <w:snapToGrid w:val="0"/>
                <w:kern w:val="28"/>
                <w:sz w:val="24"/>
                <w:highlight w:val="none"/>
              </w:rPr>
              <w:t>部分评标标准要求提供资信证明文件，否则视为不符合相关要求。</w:t>
            </w:r>
          </w:p>
          <w:p>
            <w:pPr>
              <w:spacing w:line="440" w:lineRule="exact"/>
              <w:rPr>
                <w:rFonts w:hint="eastAsia" w:ascii="仿宋" w:hAnsi="仿宋" w:eastAsia="仿宋" w:cs="仿宋"/>
                <w:b/>
                <w:sz w:val="24"/>
                <w:highlight w:val="none"/>
              </w:rPr>
            </w:pPr>
            <w:sdt>
              <w:sdtPr>
                <w:rPr>
                  <w:rFonts w:hint="eastAsia" w:ascii="仿宋" w:hAnsi="仿宋" w:eastAsia="仿宋" w:cs="仿宋"/>
                  <w:kern w:val="0"/>
                  <w:sz w:val="24"/>
                  <w:szCs w:val="21"/>
                  <w:highlight w:val="none"/>
                </w:rPr>
                <w:id w:val="-232311894"/>
              </w:sdtPr>
              <w:sdtEndPr>
                <w:rPr>
                  <w:rFonts w:hint="eastAsia" w:ascii="仿宋" w:hAnsi="仿宋" w:eastAsia="仿宋" w:cs="仿宋"/>
                  <w:kern w:val="0"/>
                  <w:sz w:val="24"/>
                  <w:szCs w:val="21"/>
                  <w:highlight w:val="none"/>
                </w:rPr>
              </w:sdtEndPr>
              <w:sdtContent>
                <w:r>
                  <w:rPr>
                    <w:rFonts w:hint="eastAsia" w:ascii="仿宋" w:hAnsi="仿宋" w:eastAsia="仿宋" w:cs="仿宋"/>
                    <w:kern w:val="0"/>
                    <w:sz w:val="24"/>
                    <w:highlight w:val="none"/>
                  </w:rPr>
                  <w:sym w:font="Wingdings" w:char="00A8"/>
                </w:r>
              </w:sdtContent>
            </w:sdt>
            <w:r>
              <w:rPr>
                <w:rFonts w:hint="eastAsia" w:ascii="仿宋" w:hAnsi="仿宋" w:eastAsia="仿宋" w:cs="仿宋"/>
                <w:snapToGrid w:val="0"/>
                <w:kern w:val="28"/>
                <w:sz w:val="24"/>
                <w:highlight w:val="none"/>
              </w:rPr>
              <w:t>联合体投标的，联合体中有一方或者联合体成员根据分工按招标文件第</w:t>
            </w:r>
            <w:r>
              <w:rPr>
                <w:rFonts w:hint="eastAsia" w:ascii="仿宋" w:hAnsi="仿宋" w:eastAsia="仿宋" w:cs="仿宋"/>
                <w:snapToGrid w:val="0"/>
                <w:kern w:val="28"/>
                <w:sz w:val="24"/>
                <w:highlight w:val="none"/>
                <w:lang w:val="en-US" w:eastAsia="zh-CN"/>
              </w:rPr>
              <w:t>五</w:t>
            </w:r>
            <w:r>
              <w:rPr>
                <w:rFonts w:hint="eastAsia" w:ascii="仿宋" w:hAnsi="仿宋" w:eastAsia="仿宋" w:cs="仿宋"/>
                <w:snapToGrid w:val="0"/>
                <w:kern w:val="28"/>
                <w:sz w:val="24"/>
                <w:highlight w:val="none"/>
              </w:rPr>
              <w:t>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19</w:t>
            </w:r>
          </w:p>
        </w:tc>
        <w:tc>
          <w:tcPr>
            <w:tcW w:w="8370" w:type="dxa"/>
            <w:gridSpan w:val="2"/>
            <w:vAlign w:val="center"/>
          </w:tcPr>
          <w:p>
            <w:pPr>
              <w:spacing w:line="340" w:lineRule="exact"/>
              <w:rPr>
                <w:rFonts w:hint="eastAsia" w:ascii="仿宋" w:hAnsi="仿宋" w:eastAsia="仿宋" w:cs="仿宋"/>
                <w:sz w:val="24"/>
                <w:highlight w:val="none"/>
              </w:rPr>
            </w:pPr>
            <w:r>
              <w:rPr>
                <w:rFonts w:hint="eastAsia" w:ascii="仿宋" w:hAnsi="仿宋" w:eastAsia="仿宋" w:cs="仿宋"/>
                <w:b/>
                <w:bCs/>
                <w:sz w:val="24"/>
                <w:highlight w:val="none"/>
              </w:rPr>
              <w:t>采购代理服务费：</w:t>
            </w:r>
          </w:p>
          <w:p>
            <w:pPr>
              <w:spacing w:line="340" w:lineRule="exact"/>
              <w:rPr>
                <w:rFonts w:hint="eastAsia"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pacing w:line="34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参考</w:t>
            </w:r>
            <w:r>
              <w:rPr>
                <w:rFonts w:hint="eastAsia" w:ascii="仿宋" w:hAnsi="仿宋" w:eastAsia="仿宋" w:cs="仿宋"/>
                <w:sz w:val="24"/>
                <w:highlight w:val="none"/>
                <w:lang w:eastAsia="zh-CN"/>
              </w:rPr>
              <w:t>《招标代理服务收费管理暂行办法》计价格[2002]1980号文和发改价格[2011]534号文件收费标准</w:t>
            </w:r>
            <w:r>
              <w:rPr>
                <w:rFonts w:hint="eastAsia" w:ascii="仿宋" w:hAnsi="仿宋" w:eastAsia="仿宋" w:cs="仿宋"/>
                <w:sz w:val="24"/>
                <w:highlight w:val="none"/>
                <w:lang w:val="en-US" w:eastAsia="zh-CN"/>
              </w:rPr>
              <w:t>*60%计取，不足2000元按2000元计取，超过15000元按15000元计取。</w:t>
            </w:r>
          </w:p>
          <w:p>
            <w:pPr>
              <w:spacing w:line="340" w:lineRule="exact"/>
              <w:rPr>
                <w:rFonts w:hint="eastAsia" w:ascii="仿宋" w:hAnsi="仿宋" w:eastAsia="仿宋" w:cs="仿宋"/>
                <w:sz w:val="24"/>
                <w:highlight w:val="none"/>
              </w:rPr>
            </w:pPr>
            <w:r>
              <w:rPr>
                <w:rFonts w:hint="eastAsia" w:ascii="仿宋" w:hAnsi="仿宋" w:eastAsia="仿宋" w:cs="仿宋"/>
                <w:sz w:val="24"/>
                <w:highlight w:val="none"/>
              </w:rPr>
              <w:t>（2）招标代理服务费的交纳方式：</w:t>
            </w:r>
          </w:p>
          <w:p>
            <w:pPr>
              <w:spacing w:line="340" w:lineRule="exact"/>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用银行支票、汇票、电汇、现金等付款方式直接交纳招标代理服务费。</w:t>
            </w:r>
          </w:p>
          <w:p>
            <w:pPr>
              <w:spacing w:line="34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rPr>
              <w:t>公司名称：</w:t>
            </w:r>
            <w:r>
              <w:rPr>
                <w:rFonts w:hint="eastAsia" w:ascii="仿宋" w:hAnsi="仿宋" w:eastAsia="仿宋" w:cs="仿宋"/>
                <w:sz w:val="24"/>
                <w:highlight w:val="none"/>
                <w:lang w:val="en-US" w:eastAsia="zh-CN"/>
              </w:rPr>
              <w:t>华诚工程咨询集团有限公司</w:t>
            </w:r>
          </w:p>
          <w:p>
            <w:pPr>
              <w:spacing w:line="340" w:lineRule="exact"/>
              <w:rPr>
                <w:rFonts w:hint="eastAsia" w:ascii="仿宋" w:hAnsi="仿宋" w:eastAsia="仿宋" w:cs="仿宋"/>
                <w:sz w:val="24"/>
                <w:highlight w:val="none"/>
              </w:rPr>
            </w:pPr>
            <w:r>
              <w:rPr>
                <w:rFonts w:hint="eastAsia" w:ascii="仿宋" w:hAnsi="仿宋" w:eastAsia="仿宋" w:cs="仿宋"/>
                <w:sz w:val="24"/>
                <w:highlight w:val="none"/>
              </w:rPr>
              <w:t>开户行：上海浦东发展银行股份有限公司杭州和睦支行</w:t>
            </w:r>
          </w:p>
          <w:p>
            <w:pPr>
              <w:spacing w:line="340" w:lineRule="exact"/>
              <w:rPr>
                <w:rFonts w:hint="eastAsia" w:ascii="仿宋" w:hAnsi="仿宋" w:eastAsia="仿宋" w:cs="仿宋"/>
                <w:sz w:val="24"/>
                <w:highlight w:val="none"/>
              </w:rPr>
            </w:pPr>
            <w:r>
              <w:rPr>
                <w:rFonts w:hint="eastAsia" w:ascii="仿宋" w:hAnsi="仿宋" w:eastAsia="仿宋" w:cs="仿宋"/>
                <w:sz w:val="24"/>
                <w:highlight w:val="none"/>
              </w:rPr>
              <w:t>账  号：95220078801100000315</w:t>
            </w:r>
          </w:p>
          <w:p>
            <w:pPr>
              <w:spacing w:line="44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解释：凡涉及本招标文件的解释权属于采购人和</w:t>
            </w:r>
            <w:r>
              <w:rPr>
                <w:rFonts w:hint="eastAsia" w:ascii="仿宋" w:hAnsi="仿宋" w:eastAsia="仿宋" w:cs="仿宋"/>
                <w:sz w:val="24"/>
                <w:highlight w:val="none"/>
                <w:lang w:val="en-US" w:eastAsia="zh-CN"/>
              </w:rPr>
              <w:t>本代理机构</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r>
              <w:rPr>
                <w:rFonts w:hint="eastAsia" w:ascii="仿宋" w:hAnsi="仿宋" w:eastAsia="仿宋" w:cs="仿宋"/>
                <w:b/>
                <w:sz w:val="24"/>
                <w:highlight w:val="none"/>
                <w:lang w:eastAsia="zh-CN"/>
              </w:rPr>
              <w:t>，</w:t>
            </w:r>
            <w:r>
              <w:rPr>
                <w:rFonts w:hint="eastAsia" w:ascii="仿宋" w:hAnsi="仿宋" w:eastAsia="仿宋" w:cs="仿宋"/>
                <w:b/>
                <w:sz w:val="24"/>
                <w:szCs w:val="24"/>
              </w:rPr>
              <w:t>对放弃中标（成交）资格的供应商，需承担代理费和专家评审费等费用</w:t>
            </w:r>
            <w:r>
              <w:rPr>
                <w:rFonts w:hint="eastAsia" w:ascii="仿宋" w:hAnsi="仿宋" w:eastAsia="仿宋" w:cs="仿宋"/>
                <w:b/>
                <w:sz w:val="24"/>
                <w:highlight w:val="none"/>
              </w:rPr>
              <w:t>。</w:t>
            </w:r>
          </w:p>
        </w:tc>
      </w:tr>
      <w:bookmarkEnd w:id="0"/>
    </w:tbl>
    <w:p>
      <w:pPr>
        <w:pageBreakBefore/>
        <w:snapToGrid w:val="0"/>
        <w:spacing w:line="300" w:lineRule="auto"/>
        <w:jc w:val="center"/>
        <w:rPr>
          <w:rFonts w:hint="eastAsia"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 定义</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2.1政府采购当事人及监管部门：绍兴市</w:t>
      </w:r>
      <w:r>
        <w:rPr>
          <w:rFonts w:hint="eastAsia" w:ascii="仿宋" w:hAnsi="仿宋" w:eastAsia="仿宋" w:cs="仿宋"/>
          <w:sz w:val="24"/>
          <w:lang w:val="en-US" w:eastAsia="zh-CN"/>
        </w:rPr>
        <w:t>人民医院</w:t>
      </w:r>
      <w:r>
        <w:rPr>
          <w:rFonts w:hint="eastAsia" w:ascii="仿宋" w:hAnsi="仿宋" w:eastAsia="仿宋" w:cs="仿宋"/>
          <w:sz w:val="24"/>
        </w:rPr>
        <w:t>为本项目的采购人（合同中的甲方），</w:t>
      </w:r>
      <w:r>
        <w:rPr>
          <w:rFonts w:hint="eastAsia" w:ascii="仿宋" w:hAnsi="仿宋" w:eastAsia="仿宋" w:cs="仿宋"/>
          <w:sz w:val="24"/>
          <w:lang w:val="en-US" w:eastAsia="zh-CN"/>
        </w:rPr>
        <w:t>华诚工程咨询集团有限公司为</w:t>
      </w:r>
      <w:r>
        <w:rPr>
          <w:rFonts w:hint="eastAsia" w:ascii="仿宋" w:hAnsi="仿宋" w:eastAsia="仿宋" w:cs="仿宋"/>
          <w:sz w:val="24"/>
        </w:rPr>
        <w:t>采购</w:t>
      </w:r>
      <w:r>
        <w:rPr>
          <w:rFonts w:hint="eastAsia" w:ascii="仿宋" w:hAnsi="仿宋" w:eastAsia="仿宋" w:cs="仿宋"/>
          <w:sz w:val="24"/>
          <w:lang w:val="en-US" w:eastAsia="zh-CN"/>
        </w:rPr>
        <w:t>代理</w:t>
      </w:r>
      <w:r>
        <w:rPr>
          <w:rFonts w:hint="eastAsia" w:ascii="仿宋" w:hAnsi="仿宋" w:eastAsia="仿宋" w:cs="仿宋"/>
          <w:sz w:val="24"/>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szCs w:val="21"/>
            <w:highlight w:val="none"/>
          </w:rPr>
          <w:id w:val="-232311894"/>
        </w:sdtPr>
        <w:sdtEndPr>
          <w:rPr>
            <w:rFonts w:hint="eastAsia" w:ascii="仿宋" w:hAnsi="仿宋" w:eastAsia="仿宋" w:cs="仿宋"/>
            <w:kern w:val="0"/>
            <w:sz w:val="24"/>
            <w:szCs w:val="21"/>
            <w:highlight w:val="none"/>
          </w:rPr>
        </w:sdtEndPr>
        <w:sdtContent>
          <w:r>
            <w:rPr>
              <w:rFonts w:hint="eastAsia" w:ascii="仿宋" w:hAnsi="仿宋" w:eastAsia="仿宋" w:cs="仿宋"/>
              <w:kern w:val="0"/>
              <w:sz w:val="24"/>
              <w:highlight w:val="none"/>
            </w:rPr>
            <w:sym w:font="Wingdings" w:char="F0FE"/>
          </w:r>
        </w:sdtContent>
      </w:sdt>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sdt>
      <w:r>
        <w:rPr>
          <w:rFonts w:hint="eastAsia" w:ascii="仿宋" w:hAnsi="仿宋" w:eastAsia="仿宋" w:cs="仿宋"/>
          <w:sz w:val="24"/>
        </w:rPr>
        <w:t>”系指适用本项目的要求，“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”系指不适用本项目的要求。</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rPr>
      </w:pPr>
      <w:r>
        <w:rPr>
          <w:rFonts w:hint="eastAsia" w:ascii="仿宋" w:hAnsi="仿宋" w:eastAsia="仿宋" w:cs="仿宋"/>
          <w:sz w:val="24"/>
        </w:rPr>
        <w:t>3.2 支持绿色发展</w:t>
      </w:r>
    </w:p>
    <w:p>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rPr>
      </w:pPr>
      <w:r>
        <w:rPr>
          <w:rFonts w:hint="eastAsia" w:ascii="仿宋" w:hAnsi="仿宋" w:eastAsia="仿宋" w:cs="仿宋"/>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rPr>
      </w:pPr>
      <w:r>
        <w:rPr>
          <w:rFonts w:hint="eastAsia" w:ascii="仿宋" w:hAnsi="仿宋" w:eastAsia="仿宋" w:cs="仿宋"/>
          <w:sz w:val="24"/>
        </w:rPr>
        <w:t>★4.特别说明：</w:t>
      </w:r>
    </w:p>
    <w:p>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hint="eastAsia"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hint="eastAsia" w:ascii="仿宋" w:hAnsi="仿宋" w:eastAsia="仿宋" w:cs="仿宋"/>
          <w:b/>
          <w:sz w:val="24"/>
        </w:rPr>
      </w:pPr>
      <w:r>
        <w:rPr>
          <w:rFonts w:hint="eastAsia" w:ascii="仿宋" w:hAnsi="仿宋" w:eastAsia="仿宋" w:cs="仿宋"/>
          <w:b/>
          <w:sz w:val="24"/>
        </w:rPr>
        <w:t>2.授权委托</w:t>
      </w:r>
    </w:p>
    <w:p>
      <w:pPr>
        <w:pStyle w:val="16"/>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pPr>
        <w:pStyle w:val="16"/>
        <w:tabs>
          <w:tab w:val="clear" w:pos="454"/>
        </w:tabs>
        <w:spacing w:afterLines="0" w:line="440" w:lineRule="exact"/>
        <w:ind w:left="0" w:firstLine="480" w:firstLineChars="200"/>
        <w:rPr>
          <w:rFonts w:hint="eastAsia" w:ascii="仿宋" w:hAnsi="仿宋" w:eastAsia="仿宋" w:cs="仿宋"/>
          <w:highlight w:val="none"/>
          <w:lang w:val="en-US" w:eastAsia="zh-CN"/>
        </w:rPr>
      </w:pPr>
      <w:r>
        <w:rPr>
          <w:rFonts w:hint="eastAsia" w:ascii="仿宋" w:hAnsi="仿宋" w:eastAsia="仿宋" w:cs="仿宋"/>
        </w:rPr>
        <w:t>投标人应自行承担编制投标文</w:t>
      </w:r>
      <w:r>
        <w:rPr>
          <w:rFonts w:hint="eastAsia" w:ascii="仿宋" w:hAnsi="仿宋" w:eastAsia="仿宋" w:cs="仿宋"/>
          <w:highlight w:val="none"/>
        </w:rPr>
        <w:t>件及参加本次投标所涉及的一切费用。不管投标结果如何，招标人对上述费用不负任何责任。</w:t>
      </w:r>
      <w:r>
        <w:rPr>
          <w:rFonts w:hint="eastAsia" w:ascii="仿宋" w:hAnsi="仿宋" w:eastAsia="仿宋" w:cs="仿宋"/>
          <w:highlight w:val="none"/>
          <w:lang w:val="en-US" w:eastAsia="zh-CN"/>
        </w:rPr>
        <w:t>中标人需支付采购代理服务费，详见前附表。</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6"/>
        <w:widowControl w:val="0"/>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 xml:space="preserve">4.2招标文件的澄清 </w:t>
      </w:r>
    </w:p>
    <w:p>
      <w:pPr>
        <w:pStyle w:val="16"/>
        <w:widowControl w:val="0"/>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6"/>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4.3招标文件的修改</w:t>
      </w:r>
    </w:p>
    <w:p>
      <w:pPr>
        <w:pStyle w:val="16"/>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三、投标文件</w:t>
      </w:r>
    </w:p>
    <w:p>
      <w:pPr>
        <w:numPr>
          <w:ilvl w:val="0"/>
          <w:numId w:val="6"/>
        </w:numPr>
        <w:snapToGrid w:val="0"/>
        <w:spacing w:line="440" w:lineRule="exact"/>
        <w:jc w:val="left"/>
        <w:rPr>
          <w:rFonts w:hint="eastAsia" w:ascii="仿宋" w:hAnsi="仿宋" w:eastAsia="仿宋" w:cs="仿宋"/>
          <w:b/>
          <w:sz w:val="24"/>
        </w:rPr>
      </w:pPr>
      <w:r>
        <w:rPr>
          <w:rFonts w:hint="eastAsia" w:ascii="仿宋" w:hAnsi="仿宋" w:eastAsia="仿宋" w:cs="仿宋"/>
          <w:b/>
          <w:sz w:val="24"/>
        </w:rPr>
        <w:t>投标文件的语言、计量单位、形式及效力</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72" w:firstLineChars="196"/>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投标文件由“报价文件资料”、“商务技术（资信）文件资料”两部分组成，其中</w:t>
      </w:r>
      <w:r>
        <w:rPr>
          <w:rFonts w:hint="eastAsia" w:ascii="仿宋" w:hAnsi="仿宋" w:eastAsia="仿宋" w:cs="仿宋"/>
          <w:b/>
          <w:sz w:val="24"/>
        </w:rPr>
        <w:t>电子投标文件中所须加盖公章部分均应采用电子签章。</w:t>
      </w:r>
    </w:p>
    <w:p>
      <w:pPr>
        <w:spacing w:line="440" w:lineRule="exact"/>
        <w:jc w:val="left"/>
        <w:rPr>
          <w:rFonts w:hint="eastAsia"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2.1.2开标一览表（格式见第六部分附件）；</w:t>
      </w:r>
    </w:p>
    <w:p>
      <w:pPr>
        <w:pStyle w:val="26"/>
        <w:spacing w:line="440" w:lineRule="exact"/>
        <w:rPr>
          <w:rFonts w:hint="eastAsia" w:ascii="仿宋" w:hAnsi="仿宋" w:eastAsia="仿宋" w:cs="仿宋"/>
          <w:b w:val="0"/>
          <w:sz w:val="24"/>
        </w:rPr>
      </w:pPr>
      <w:r>
        <w:rPr>
          <w:rFonts w:hint="eastAsia" w:ascii="仿宋" w:hAnsi="仿宋" w:eastAsia="仿宋" w:cs="仿宋"/>
          <w:b w:val="0"/>
          <w:sz w:val="24"/>
        </w:rPr>
        <w:t>2.1.3中小企业声明函（如有，格式见第六部分附件）；</w:t>
      </w:r>
    </w:p>
    <w:p>
      <w:pPr>
        <w:pStyle w:val="26"/>
        <w:spacing w:line="440" w:lineRule="exact"/>
        <w:rPr>
          <w:rFonts w:hint="eastAsia" w:ascii="仿宋" w:hAnsi="仿宋" w:eastAsia="仿宋" w:cs="仿宋"/>
          <w:b w:val="0"/>
          <w:sz w:val="24"/>
        </w:rPr>
      </w:pPr>
      <w:r>
        <w:rPr>
          <w:rFonts w:hint="eastAsia" w:ascii="仿宋" w:hAnsi="仿宋" w:eastAsia="仿宋" w:cs="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sz w:val="24"/>
          <w:szCs w:val="24"/>
        </w:rPr>
      </w:pPr>
      <w:bookmarkStart w:id="1" w:name="_Hlt68073093"/>
      <w:bookmarkEnd w:id="1"/>
      <w:bookmarkStart w:id="2" w:name="_Hlt68403820"/>
      <w:bookmarkEnd w:id="2"/>
      <w:bookmarkStart w:id="3" w:name="_Hlt68072998"/>
      <w:bookmarkEnd w:id="3"/>
      <w:r>
        <w:rPr>
          <w:rFonts w:hint="eastAsia" w:ascii="仿宋" w:hAnsi="仿宋" w:eastAsia="仿宋" w:cs="仿宋"/>
          <w:sz w:val="24"/>
          <w:szCs w:val="24"/>
        </w:rPr>
        <w:t>2.2 “商务技术（资信）文件资料”应包括以下内容（正本用原件）：</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2.2.1法定代表人授权委托书(格式见第六部分附件)；</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2.2.2授权代表社保证明（格式见第六部分附件）；</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2.2.3法定代表人</w:t>
      </w:r>
      <w:r>
        <w:rPr>
          <w:rFonts w:hint="eastAsia" w:ascii="仿宋" w:hAnsi="仿宋" w:eastAsia="仿宋" w:cs="仿宋"/>
          <w:sz w:val="24"/>
          <w:szCs w:val="24"/>
          <w:lang w:val="en-US" w:eastAsia="zh-CN"/>
        </w:rPr>
        <w:t>和</w:t>
      </w:r>
      <w:r>
        <w:rPr>
          <w:rFonts w:hint="eastAsia" w:ascii="仿宋" w:hAnsi="仿宋" w:eastAsia="仿宋" w:cs="仿宋"/>
          <w:sz w:val="24"/>
          <w:szCs w:val="24"/>
        </w:rPr>
        <w:t>授权代表</w:t>
      </w:r>
      <w:r>
        <w:rPr>
          <w:rFonts w:hint="eastAsia" w:ascii="仿宋" w:hAnsi="仿宋" w:eastAsia="仿宋" w:cs="仿宋"/>
          <w:sz w:val="24"/>
          <w:szCs w:val="24"/>
          <w:lang w:val="en-US" w:eastAsia="zh-CN"/>
        </w:rPr>
        <w:t>的身份证复印件</w:t>
      </w:r>
      <w:r>
        <w:rPr>
          <w:rFonts w:hint="eastAsia" w:ascii="仿宋" w:hAnsi="仿宋" w:eastAsia="仿宋" w:cs="仿宋"/>
          <w:sz w:val="24"/>
          <w:szCs w:val="24"/>
        </w:rPr>
        <w:t>（格式见第六部分附件）；</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2.2.4法定代表人身份证明书（格式见第六部分附件）；</w:t>
      </w:r>
    </w:p>
    <w:p>
      <w:pPr>
        <w:snapToGrid w:val="0"/>
        <w:spacing w:line="440" w:lineRule="exac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2.2.5</w:t>
      </w:r>
      <w:r>
        <w:rPr>
          <w:rFonts w:hint="eastAsia" w:ascii="仿宋" w:hAnsi="仿宋" w:eastAsia="仿宋" w:cs="仿宋"/>
          <w:kern w:val="0"/>
          <w:sz w:val="24"/>
          <w:szCs w:val="24"/>
        </w:rPr>
        <w:t>供应商基本资格条件</w:t>
      </w:r>
      <w:r>
        <w:rPr>
          <w:rFonts w:hint="eastAsia" w:ascii="仿宋" w:hAnsi="仿宋" w:eastAsia="仿宋" w:cs="仿宋"/>
          <w:sz w:val="24"/>
          <w:szCs w:val="24"/>
        </w:rPr>
        <w:t>书面承诺函（格式见第六部分附件）</w:t>
      </w:r>
      <w:r>
        <w:rPr>
          <w:rFonts w:hint="eastAsia" w:ascii="仿宋" w:hAnsi="仿宋" w:eastAsia="仿宋" w:cs="仿宋"/>
          <w:kern w:val="0"/>
          <w:sz w:val="24"/>
          <w:szCs w:val="24"/>
        </w:rPr>
        <w:t>；</w:t>
      </w:r>
    </w:p>
    <w:p>
      <w:pPr>
        <w:snapToGrid w:val="0"/>
        <w:spacing w:line="440" w:lineRule="exact"/>
        <w:rPr>
          <w:rFonts w:hint="eastAsia" w:ascii="仿宋" w:hAnsi="仿宋" w:eastAsia="仿宋" w:cs="仿宋"/>
          <w:kern w:val="0"/>
          <w:sz w:val="24"/>
          <w:szCs w:val="24"/>
        </w:rPr>
      </w:pPr>
      <w:r>
        <w:rPr>
          <w:rFonts w:hint="eastAsia" w:ascii="仿宋" w:hAnsi="仿宋" w:eastAsia="仿宋" w:cs="仿宋"/>
          <w:kern w:val="0"/>
          <w:sz w:val="24"/>
          <w:szCs w:val="24"/>
        </w:rPr>
        <w:t>2.2.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供应商</w:t>
      </w:r>
      <w:r>
        <w:rPr>
          <w:rFonts w:hint="eastAsia" w:ascii="仿宋" w:hAnsi="仿宋" w:eastAsia="仿宋" w:cs="仿宋"/>
          <w:sz w:val="24"/>
          <w:szCs w:val="24"/>
        </w:rPr>
        <w:t>特定资格条件（如项目要求）的有关证明材料（复印件）；</w:t>
      </w:r>
    </w:p>
    <w:p>
      <w:pPr>
        <w:pStyle w:val="25"/>
        <w:snapToGrid w:val="0"/>
        <w:spacing w:line="440" w:lineRule="exact"/>
        <w:rPr>
          <w:rFonts w:hint="eastAsia" w:ascii="仿宋" w:hAnsi="仿宋" w:eastAsia="仿宋" w:cs="仿宋"/>
          <w:sz w:val="24"/>
          <w:lang w:val="zh-CN"/>
        </w:rPr>
      </w:pPr>
      <w:r>
        <w:rPr>
          <w:rFonts w:hint="eastAsia" w:ascii="仿宋" w:hAnsi="仿宋" w:eastAsia="仿宋" w:cs="仿宋"/>
          <w:sz w:val="24"/>
        </w:rPr>
        <w:t>2.2.</w:t>
      </w:r>
      <w:r>
        <w:rPr>
          <w:rFonts w:hint="eastAsia" w:ascii="仿宋" w:hAnsi="仿宋" w:eastAsia="仿宋" w:cs="仿宋"/>
          <w:sz w:val="24"/>
          <w:lang w:val="en-US" w:eastAsia="zh-CN"/>
        </w:rPr>
        <w:t>7</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hint="eastAsia"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8</w:t>
      </w:r>
      <w:r>
        <w:rPr>
          <w:rFonts w:hint="eastAsia" w:ascii="仿宋" w:hAnsi="仿宋" w:eastAsia="仿宋" w:cs="仿宋"/>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9</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rPr>
        <w:t>2.2.</w:t>
      </w:r>
      <w:r>
        <w:rPr>
          <w:rFonts w:hint="eastAsia" w:ascii="仿宋" w:hAnsi="仿宋" w:eastAsia="仿宋" w:cs="仿宋"/>
          <w:kern w:val="0"/>
          <w:sz w:val="24"/>
          <w:lang w:val="en-US" w:eastAsia="zh-CN"/>
        </w:rPr>
        <w:t>10</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1</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2</w:t>
      </w:r>
      <w:r>
        <w:rPr>
          <w:rFonts w:hint="eastAsia" w:ascii="仿宋" w:hAnsi="仿宋" w:eastAsia="仿宋" w:cs="仿宋"/>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3</w:t>
      </w:r>
      <w:r>
        <w:rPr>
          <w:rFonts w:hint="eastAsia" w:ascii="仿宋" w:hAnsi="仿宋" w:eastAsia="仿宋" w:cs="仿宋"/>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4</w:t>
      </w:r>
      <w:r>
        <w:rPr>
          <w:rFonts w:hint="eastAsia" w:ascii="仿宋" w:hAnsi="仿宋" w:eastAsia="仿宋" w:cs="仿宋"/>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kern w:val="0"/>
          <w:sz w:val="24"/>
          <w:lang w:val="zh-CN"/>
        </w:rPr>
      </w:pPr>
      <w:r>
        <w:rPr>
          <w:rFonts w:hint="eastAsia" w:ascii="仿宋" w:hAnsi="仿宋" w:eastAsia="仿宋" w:cs="仿宋"/>
          <w:sz w:val="24"/>
        </w:rPr>
        <w:t>2.2.1</w:t>
      </w:r>
      <w:r>
        <w:rPr>
          <w:rFonts w:hint="eastAsia" w:ascii="仿宋" w:hAnsi="仿宋" w:eastAsia="仿宋" w:cs="仿宋"/>
          <w:sz w:val="24"/>
          <w:lang w:val="en-US" w:eastAsia="zh-CN"/>
        </w:rPr>
        <w:t>5</w:t>
      </w:r>
      <w:r>
        <w:rPr>
          <w:rFonts w:hint="eastAsia" w:ascii="仿宋" w:hAnsi="仿宋" w:eastAsia="仿宋" w:cs="仿宋"/>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6</w:t>
      </w:r>
      <w:r>
        <w:rPr>
          <w:rFonts w:hint="eastAsia" w:ascii="仿宋" w:hAnsi="仿宋" w:eastAsia="仿宋" w:cs="仿宋"/>
          <w:kern w:val="0"/>
          <w:sz w:val="24"/>
          <w:lang w:val="zh-CN"/>
        </w:rPr>
        <w:t>验收方案；</w:t>
      </w:r>
    </w:p>
    <w:p>
      <w:pPr>
        <w:snapToGrid w:val="0"/>
        <w:spacing w:line="440" w:lineRule="exact"/>
        <w:rPr>
          <w:rFonts w:hint="eastAsia" w:ascii="仿宋" w:hAnsi="仿宋" w:eastAsia="仿宋" w:cs="仿宋"/>
          <w:sz w:val="24"/>
          <w:lang w:val="zh-CN"/>
        </w:rPr>
      </w:pPr>
      <w:r>
        <w:rPr>
          <w:rFonts w:hint="eastAsia" w:ascii="仿宋" w:hAnsi="仿宋" w:eastAsia="仿宋" w:cs="仿宋"/>
          <w:kern w:val="0"/>
          <w:sz w:val="24"/>
        </w:rPr>
        <w:t>2.2.</w:t>
      </w:r>
      <w:r>
        <w:rPr>
          <w:rFonts w:hint="eastAsia" w:ascii="仿宋" w:hAnsi="仿宋" w:eastAsia="仿宋" w:cs="仿宋"/>
          <w:kern w:val="0"/>
          <w:sz w:val="24"/>
          <w:lang w:val="en-US" w:eastAsia="zh-CN"/>
        </w:rPr>
        <w:t>17</w:t>
      </w:r>
      <w:r>
        <w:rPr>
          <w:rFonts w:hint="eastAsia" w:ascii="仿宋" w:hAnsi="仿宋" w:eastAsia="仿宋" w:cs="仿宋"/>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lang w:val="zh-CN"/>
        </w:rPr>
        <w:t>；</w:t>
      </w:r>
    </w:p>
    <w:p>
      <w:pPr>
        <w:snapToGrid w:val="0"/>
        <w:spacing w:line="440" w:lineRule="exact"/>
        <w:rPr>
          <w:rFonts w:hint="eastAsia" w:ascii="仿宋" w:hAnsi="仿宋" w:eastAsia="仿宋" w:cs="仿宋"/>
          <w:kern w:val="0"/>
          <w:sz w:val="24"/>
        </w:rPr>
      </w:pPr>
      <w:r>
        <w:rPr>
          <w:rFonts w:hint="eastAsia" w:ascii="仿宋" w:hAnsi="仿宋" w:eastAsia="仿宋" w:cs="仿宋"/>
          <w:sz w:val="24"/>
          <w:lang w:val="zh-CN"/>
        </w:rPr>
        <w:t>2.2.1</w:t>
      </w:r>
      <w:r>
        <w:rPr>
          <w:rFonts w:hint="eastAsia" w:ascii="仿宋" w:hAnsi="仿宋" w:eastAsia="仿宋" w:cs="仿宋"/>
          <w:sz w:val="24"/>
          <w:lang w:val="en-US" w:eastAsia="zh-CN"/>
        </w:rPr>
        <w:t>8</w:t>
      </w:r>
      <w:r>
        <w:rPr>
          <w:rFonts w:hint="eastAsia" w:ascii="仿宋" w:hAnsi="仿宋" w:eastAsia="仿宋" w:cs="仿宋"/>
          <w:sz w:val="24"/>
          <w:lang w:val="zh-CN"/>
        </w:rPr>
        <w:t>廉政承诺书</w:t>
      </w:r>
      <w:r>
        <w:rPr>
          <w:rFonts w:hint="eastAsia" w:ascii="仿宋" w:hAnsi="仿宋" w:eastAsia="仿宋" w:cs="仿宋"/>
          <w:sz w:val="24"/>
        </w:rPr>
        <w:t>（格式见第六部分附件）；</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2.2.1</w:t>
      </w:r>
      <w:r>
        <w:rPr>
          <w:rFonts w:hint="eastAsia" w:ascii="仿宋" w:hAnsi="仿宋" w:eastAsia="仿宋" w:cs="仿宋"/>
          <w:lang w:val="en-US" w:eastAsia="zh-CN"/>
        </w:rPr>
        <w:t>9</w:t>
      </w:r>
      <w:r>
        <w:rPr>
          <w:rFonts w:hint="eastAsia" w:ascii="仿宋" w:hAnsi="仿宋" w:eastAsia="仿宋" w:cs="仿宋"/>
        </w:rPr>
        <w:t>联合协议（如有）；</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w:t>
      </w:r>
      <w:r>
        <w:rPr>
          <w:rFonts w:hint="eastAsia" w:ascii="仿宋" w:hAnsi="仿宋" w:eastAsia="仿宋" w:cs="仿宋"/>
          <w:lang w:val="en-US" w:eastAsia="zh-CN"/>
        </w:rPr>
        <w:t>20</w:t>
      </w:r>
      <w:r>
        <w:rPr>
          <w:rFonts w:hint="eastAsia" w:ascii="仿宋" w:hAnsi="仿宋" w:eastAsia="仿宋" w:cs="仿宋"/>
        </w:rPr>
        <w:t>分包意向协议（如有）；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w:t>
      </w:r>
      <w:r>
        <w:rPr>
          <w:rFonts w:hint="eastAsia" w:ascii="仿宋" w:hAnsi="仿宋" w:eastAsia="仿宋" w:cs="仿宋"/>
          <w:color w:val="auto"/>
          <w:lang w:val="en-US" w:eastAsia="zh-CN"/>
        </w:rPr>
        <w:t>1</w:t>
      </w:r>
      <w:r>
        <w:rPr>
          <w:rFonts w:hint="eastAsia" w:ascii="仿宋" w:hAnsi="仿宋" w:eastAsia="仿宋" w:cs="仿宋"/>
          <w:color w:val="auto"/>
        </w:rPr>
        <w:t>中小企业声明函（如有）；</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2.2.2</w:t>
      </w:r>
      <w:r>
        <w:rPr>
          <w:rFonts w:hint="eastAsia" w:ascii="仿宋" w:hAnsi="仿宋" w:eastAsia="仿宋" w:cs="仿宋"/>
          <w:sz w:val="24"/>
          <w:lang w:val="en-US" w:eastAsia="zh-CN"/>
        </w:rPr>
        <w:t>2</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2.2.2</w:t>
      </w:r>
      <w:r>
        <w:rPr>
          <w:rFonts w:hint="eastAsia" w:ascii="仿宋" w:hAnsi="仿宋" w:eastAsia="仿宋" w:cs="仿宋"/>
          <w:lang w:val="en-US" w:eastAsia="zh-CN"/>
        </w:rPr>
        <w:t>3</w:t>
      </w:r>
      <w:r>
        <w:rPr>
          <w:rFonts w:hint="eastAsia" w:ascii="仿宋" w:hAnsi="仿宋" w:eastAsia="仿宋" w:cs="仿宋"/>
        </w:rPr>
        <w:t>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b/>
        </w:rPr>
      </w:pPr>
      <w:r>
        <w:rPr>
          <w:rFonts w:hint="eastAsia" w:ascii="仿宋" w:hAnsi="仿宋" w:eastAsia="仿宋" w:cs="仿宋"/>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sz w:val="24"/>
        </w:rPr>
      </w:pPr>
      <w:r>
        <w:rPr>
          <w:rFonts w:hint="eastAsia" w:ascii="仿宋" w:hAnsi="仿宋" w:eastAsia="仿宋" w:cs="仿宋"/>
          <w:b/>
          <w:sz w:val="24"/>
        </w:rPr>
        <w:t>3. 投标报价</w:t>
      </w:r>
    </w:p>
    <w:p>
      <w:pPr>
        <w:pStyle w:val="25"/>
        <w:spacing w:line="440" w:lineRule="exact"/>
        <w:jc w:val="left"/>
        <w:rPr>
          <w:rFonts w:hint="eastAsia" w:ascii="仿宋" w:hAnsi="仿宋" w:eastAsia="仿宋" w:cs="仿宋"/>
          <w:sz w:val="24"/>
        </w:rPr>
      </w:pPr>
      <w:r>
        <w:rPr>
          <w:rFonts w:hint="eastAsia" w:ascii="仿宋" w:hAnsi="仿宋" w:eastAsia="仿宋" w:cs="仿宋"/>
          <w:sz w:val="24"/>
        </w:rPr>
        <w:t>3.1投标人应按招标文件中《开标一览表》等附表要求填写。</w:t>
      </w:r>
    </w:p>
    <w:p>
      <w:pPr>
        <w:pStyle w:val="25"/>
        <w:spacing w:line="440" w:lineRule="exact"/>
        <w:jc w:val="left"/>
        <w:rPr>
          <w:rFonts w:hint="eastAsia"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5"/>
        <w:spacing w:line="440" w:lineRule="exact"/>
        <w:jc w:val="left"/>
        <w:rPr>
          <w:rFonts w:hint="eastAsia"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
          <w:sz w:val="24"/>
        </w:rPr>
        <w:t>投标报价只允许有一个报价，有选择的报价将不予接受（除指定外）。</w:t>
      </w:r>
    </w:p>
    <w:p>
      <w:pPr>
        <w:pStyle w:val="16"/>
        <w:tabs>
          <w:tab w:val="clear" w:pos="454"/>
        </w:tabs>
        <w:spacing w:afterLines="0" w:line="440" w:lineRule="atLeast"/>
        <w:ind w:left="0" w:firstLine="0"/>
        <w:rPr>
          <w:rFonts w:hint="eastAsia" w:ascii="仿宋" w:hAnsi="仿宋" w:eastAsia="仿宋" w:cs="仿宋"/>
          <w:b/>
          <w:szCs w:val="24"/>
        </w:rPr>
      </w:pPr>
      <w:r>
        <w:rPr>
          <w:rFonts w:hint="eastAsia" w:ascii="仿宋" w:hAnsi="仿宋" w:eastAsia="仿宋" w:cs="仿宋"/>
          <w:b/>
          <w:szCs w:val="24"/>
        </w:rPr>
        <w:t>4.投标文件的有效期</w:t>
      </w:r>
    </w:p>
    <w:p>
      <w:pPr>
        <w:pStyle w:val="16"/>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6"/>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6"/>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sz w:val="24"/>
          <w:u w:val="single"/>
        </w:rPr>
      </w:pPr>
      <w:r>
        <w:rPr>
          <w:rFonts w:hint="eastAsia" w:ascii="仿宋" w:hAnsi="仿宋" w:eastAsia="仿宋" w:cs="仿宋"/>
          <w:b/>
          <w:sz w:val="24"/>
          <w:u w:val="single"/>
        </w:rPr>
        <w:t>5.投标文件的规定</w:t>
      </w:r>
    </w:p>
    <w:p>
      <w:pPr>
        <w:pStyle w:val="25"/>
        <w:spacing w:line="440" w:lineRule="exact"/>
        <w:jc w:val="left"/>
        <w:rPr>
          <w:rFonts w:hint="eastAsia" w:ascii="仿宋" w:hAnsi="仿宋" w:eastAsia="仿宋" w:cs="仿宋"/>
          <w:sz w:val="24"/>
          <w:szCs w:val="24"/>
        </w:rPr>
      </w:pPr>
      <w:r>
        <w:rPr>
          <w:rFonts w:hint="eastAsia" w:ascii="仿宋" w:hAnsi="仿宋" w:eastAsia="仿宋" w:cs="仿宋"/>
          <w:sz w:val="24"/>
          <w:szCs w:val="24"/>
        </w:rPr>
        <w:t>5.1投标文件由“商务技术（资信）文件资料”、“报价文件资料”两部分文件组成，应按统一格式填写。</w:t>
      </w:r>
    </w:p>
    <w:p>
      <w:pPr>
        <w:pStyle w:val="25"/>
        <w:spacing w:line="440" w:lineRule="exact"/>
        <w:jc w:val="left"/>
        <w:rPr>
          <w:rFonts w:hint="eastAsia" w:ascii="仿宋" w:hAnsi="仿宋" w:eastAsia="仿宋" w:cs="仿宋"/>
          <w:sz w:val="24"/>
          <w:szCs w:val="24"/>
        </w:rPr>
      </w:pPr>
      <w:r>
        <w:rPr>
          <w:rFonts w:hint="eastAsia" w:ascii="仿宋" w:hAnsi="仿宋" w:eastAsia="仿宋" w:cs="仿宋"/>
          <w:sz w:val="24"/>
          <w:szCs w:val="24"/>
        </w:rPr>
        <w:t>5.2投标文件须按附件格式要求进行电子签章，投标人应写全称。</w:t>
      </w:r>
    </w:p>
    <w:p>
      <w:pPr>
        <w:pStyle w:val="25"/>
        <w:spacing w:line="440" w:lineRule="exact"/>
        <w:jc w:val="left"/>
        <w:rPr>
          <w:rFonts w:hint="eastAsia" w:ascii="仿宋" w:hAnsi="仿宋" w:eastAsia="仿宋" w:cs="仿宋"/>
          <w:sz w:val="24"/>
          <w:szCs w:val="24"/>
        </w:rPr>
      </w:pPr>
      <w:r>
        <w:rPr>
          <w:rFonts w:hint="eastAsia" w:ascii="仿宋" w:hAnsi="仿宋" w:eastAsia="仿宋" w:cs="仿宋"/>
          <w:sz w:val="24"/>
          <w:szCs w:val="24"/>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5.4投标文件因字迹潦草或表达不清所引起的后果由投标人负责。</w:t>
      </w:r>
    </w:p>
    <w:p>
      <w:pPr>
        <w:spacing w:line="440" w:lineRule="exact"/>
        <w:jc w:val="left"/>
        <w:rPr>
          <w:rFonts w:hint="eastAsia" w:ascii="仿宋" w:hAnsi="仿宋" w:eastAsia="仿宋" w:cs="仿宋"/>
          <w:sz w:val="24"/>
        </w:rPr>
      </w:pPr>
      <w:r>
        <w:rPr>
          <w:rFonts w:hint="eastAsia" w:ascii="仿宋" w:hAnsi="仿宋" w:eastAsia="仿宋" w:cs="仿宋"/>
          <w:sz w:val="24"/>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sz w:val="24"/>
        </w:rPr>
      </w:pPr>
      <w:r>
        <w:rPr>
          <w:rFonts w:hint="eastAsia" w:ascii="仿宋" w:hAnsi="仿宋" w:eastAsia="仿宋" w:cs="仿宋"/>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6.投标文件的提交</w:t>
      </w:r>
    </w:p>
    <w:p>
      <w:pPr>
        <w:snapToGrid w:val="0"/>
        <w:spacing w:line="440" w:lineRule="exact"/>
        <w:ind w:firstLine="480" w:firstLineChars="200"/>
        <w:rPr>
          <w:rFonts w:hint="eastAsia"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hint="eastAsia"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1.7主持人公布评标结果。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pPr>
        <w:spacing w:line="440" w:lineRule="exact"/>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w:t>
      </w:r>
      <w:r>
        <w:rPr>
          <w:rFonts w:hint="eastAsia" w:ascii="仿宋" w:hAnsi="仿宋" w:eastAsia="仿宋" w:cs="仿宋"/>
          <w:sz w:val="24"/>
          <w:lang w:val="en-US" w:eastAsia="zh-CN"/>
        </w:rPr>
        <w:t>五</w:t>
      </w:r>
      <w:r>
        <w:rPr>
          <w:rFonts w:hint="eastAsia" w:ascii="仿宋" w:hAnsi="仿宋" w:eastAsia="仿宋" w:cs="仿宋"/>
          <w:sz w:val="24"/>
        </w:rPr>
        <w:t>人以上单数。</w:t>
      </w:r>
    </w:p>
    <w:p>
      <w:pPr>
        <w:spacing w:line="440" w:lineRule="exact"/>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pPr>
        <w:spacing w:line="440" w:lineRule="exact"/>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pPr>
        <w:spacing w:line="440" w:lineRule="exact"/>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kern w:val="0"/>
          <w:sz w:val="24"/>
        </w:rPr>
      </w:pPr>
      <w:r>
        <w:rPr>
          <w:rFonts w:hint="eastAsia" w:ascii="仿宋" w:hAnsi="仿宋" w:eastAsia="仿宋" w:cs="仿宋"/>
          <w:kern w:val="0"/>
          <w:sz w:val="24"/>
        </w:rPr>
        <w:t>3.6评</w:t>
      </w:r>
      <w:r>
        <w:rPr>
          <w:rFonts w:hint="eastAsia" w:ascii="仿宋" w:hAnsi="仿宋" w:eastAsia="仿宋" w:cs="仿宋"/>
          <w:sz w:val="24"/>
        </w:rPr>
        <w:t>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40" w:lineRule="exac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4.1资格性审查</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sz w:val="24"/>
        </w:rPr>
      </w:pPr>
      <w:r>
        <w:rPr>
          <w:rFonts w:hint="eastAsia" w:ascii="仿宋" w:hAnsi="仿宋" w:eastAsia="仿宋" w:cs="仿宋"/>
          <w:sz w:val="24"/>
        </w:rPr>
        <w:t>4.2符合性审查</w:t>
      </w:r>
    </w:p>
    <w:p>
      <w:pPr>
        <w:spacing w:line="440" w:lineRule="exact"/>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pacing w:line="440" w:lineRule="exact"/>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pacing w:line="440" w:lineRule="exact"/>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pPr>
        <w:spacing w:line="440" w:lineRule="exact"/>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pacing w:line="440" w:lineRule="exact"/>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pPr>
        <w:spacing w:line="440" w:lineRule="exact"/>
        <w:ind w:firstLine="48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pPr>
        <w:spacing w:line="440" w:lineRule="exact"/>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pacing w:line="440" w:lineRule="exact"/>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pacing w:line="440" w:lineRule="exact"/>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sz w:val="24"/>
        </w:rPr>
      </w:pPr>
      <w:r>
        <w:rPr>
          <w:rFonts w:hint="eastAsia" w:ascii="仿宋" w:hAnsi="仿宋" w:eastAsia="仿宋" w:cs="仿宋"/>
          <w:sz w:val="24"/>
        </w:rPr>
        <w:t>6.7.2根据财政部发布的《政府采购促进中小企业发展</w:t>
      </w:r>
      <w:r>
        <w:rPr>
          <w:rFonts w:hint="eastAsia" w:ascii="仿宋" w:hAnsi="仿宋" w:eastAsia="仿宋" w:cs="仿宋"/>
          <w:sz w:val="24"/>
          <w:lang w:val="en-US" w:eastAsia="zh-CN"/>
        </w:rPr>
        <w:t>管理</w:t>
      </w:r>
      <w:r>
        <w:rPr>
          <w:rFonts w:hint="eastAsia" w:ascii="仿宋" w:hAnsi="仿宋" w:eastAsia="仿宋" w:cs="仿宋"/>
          <w:sz w:val="24"/>
        </w:rPr>
        <w:t>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pacing w:line="440" w:lineRule="exact"/>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w:t>
      </w:r>
      <w:r>
        <w:rPr>
          <w:rFonts w:hint="eastAsia" w:ascii="仿宋" w:hAnsi="仿宋" w:eastAsia="仿宋" w:cs="仿宋"/>
          <w:sz w:val="24"/>
          <w:lang w:val="en-US" w:eastAsia="zh-CN"/>
        </w:rPr>
        <w:t>采购人</w:t>
      </w:r>
      <w:r>
        <w:rPr>
          <w:rFonts w:hint="eastAsia" w:ascii="仿宋" w:hAnsi="仿宋" w:eastAsia="仿宋" w:cs="仿宋"/>
          <w:sz w:val="24"/>
        </w:rPr>
        <w:t>提供书面评标报告，并按得分高低排序推荐中标候选供应商。</w:t>
      </w:r>
    </w:p>
    <w:p>
      <w:pPr>
        <w:pStyle w:val="16"/>
        <w:widowControl w:val="0"/>
        <w:tabs>
          <w:tab w:val="clear" w:pos="454"/>
        </w:tabs>
        <w:spacing w:afterLines="0" w:line="440" w:lineRule="exact"/>
        <w:ind w:left="0" w:firstLine="0"/>
        <w:rPr>
          <w:rFonts w:hint="eastAsia" w:ascii="仿宋" w:hAnsi="仿宋" w:eastAsia="仿宋" w:cs="仿宋"/>
          <w:b/>
        </w:rPr>
      </w:pPr>
      <w:r>
        <w:rPr>
          <w:rFonts w:hint="eastAsia" w:ascii="仿宋" w:hAnsi="仿宋" w:eastAsia="仿宋" w:cs="仿宋"/>
          <w:b/>
        </w:rPr>
        <w:t>7.投标文件的澄清</w:t>
      </w:r>
    </w:p>
    <w:p>
      <w:pPr>
        <w:pStyle w:val="16"/>
        <w:widowControl w:val="0"/>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5"/>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sz w:val="24"/>
        </w:rPr>
      </w:pPr>
      <w:r>
        <w:rPr>
          <w:rFonts w:hint="eastAsia" w:ascii="仿宋" w:hAnsi="仿宋" w:eastAsia="仿宋" w:cs="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kern w:val="0"/>
          <w:sz w:val="24"/>
        </w:rPr>
        <w:t>8.10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5"/>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5"/>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sz w:val="24"/>
        </w:rPr>
        <w:t>8.13投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sz w:val="24"/>
          <w:szCs w:val="21"/>
        </w:rPr>
      </w:pPr>
      <w:r>
        <w:rPr>
          <w:rFonts w:hint="eastAsia" w:ascii="仿宋" w:hAnsi="仿宋" w:eastAsia="仿宋" w:cs="仿宋"/>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480"/>
        <w:jc w:val="left"/>
        <w:rPr>
          <w:rFonts w:hint="eastAsia" w:ascii="仿宋" w:hAnsi="仿宋" w:eastAsia="仿宋" w:cs="仿宋"/>
          <w:sz w:val="24"/>
        </w:rPr>
      </w:pPr>
      <w:r>
        <w:rPr>
          <w:rFonts w:hint="eastAsia" w:ascii="仿宋" w:hAnsi="仿宋" w:eastAsia="仿宋" w:cs="仿宋"/>
          <w:sz w:val="24"/>
        </w:rPr>
        <w:t>8.20.5其他弄虚作假的行为。</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8.22.2供应商按照采购人或者采购机构的授意撤换、修改投标文件或者响应文件；</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8.22.3供应商之间协商报价、技术方案等投标文件或者响应文件的实质性内容；</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8.22.5供应商之间事先约定由某一特定供应商中标、成交；</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rPr>
      </w:pPr>
      <w:r>
        <w:rPr>
          <w:rFonts w:hint="eastAsia" w:ascii="仿宋" w:hAnsi="仿宋" w:eastAsia="仿宋" w:cs="仿宋"/>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szCs w:val="21"/>
        </w:rPr>
        <w:t>8.23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spacing w:line="440" w:lineRule="exact"/>
        <w:rPr>
          <w:rFonts w:hint="eastAsia"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5"/>
        <w:spacing w:line="800" w:lineRule="exact"/>
        <w:ind w:firstLine="726"/>
        <w:jc w:val="center"/>
        <w:rPr>
          <w:rFonts w:hint="eastAsia" w:ascii="仿宋" w:hAnsi="仿宋" w:eastAsia="仿宋" w:cs="仿宋"/>
          <w:b/>
          <w:sz w:val="36"/>
          <w:szCs w:val="36"/>
        </w:rPr>
      </w:pPr>
      <w:bookmarkStart w:id="4" w:name="_Toc84325929"/>
      <w:bookmarkStart w:id="5" w:name="_Toc81372953"/>
      <w:bookmarkStart w:id="6" w:name="_Toc81372776"/>
      <w:r>
        <w:rPr>
          <w:rFonts w:hint="eastAsia" w:ascii="仿宋" w:hAnsi="仿宋" w:eastAsia="仿宋" w:cs="仿宋"/>
          <w:b/>
          <w:sz w:val="36"/>
          <w:szCs w:val="36"/>
        </w:rPr>
        <w:t>五、授予合同</w:t>
      </w:r>
    </w:p>
    <w:p>
      <w:pPr>
        <w:pStyle w:val="16"/>
        <w:tabs>
          <w:tab w:val="clear" w:pos="454"/>
        </w:tabs>
        <w:spacing w:afterLines="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pPr>
        <w:pStyle w:val="16"/>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1.1投标文件基本符合招标文件要求；</w:t>
      </w:r>
    </w:p>
    <w:p>
      <w:pPr>
        <w:pStyle w:val="16"/>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1.2投标人有很好的执行合同的能力；</w:t>
      </w:r>
    </w:p>
    <w:p>
      <w:pPr>
        <w:pStyle w:val="16"/>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6"/>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pPr>
        <w:spacing w:line="440" w:lineRule="exact"/>
        <w:jc w:val="left"/>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pPr>
        <w:pStyle w:val="163"/>
        <w:tabs>
          <w:tab w:val="left" w:pos="0"/>
        </w:tabs>
        <w:spacing w:before="0" w:line="440" w:lineRule="exact"/>
        <w:ind w:firstLine="0" w:firstLineChars="0"/>
        <w:rPr>
          <w:rFonts w:hint="eastAsia"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对中标结果在指定媒体</w:t>
      </w:r>
      <w:r>
        <w:rPr>
          <w:rFonts w:hint="eastAsia" w:ascii="仿宋" w:hAnsi="仿宋" w:eastAsia="仿宋" w:cs="仿宋"/>
          <w:kern w:val="0"/>
        </w:rPr>
        <w:t>（浙江政府采购网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Style w:val="51"/>
          <w:rFonts w:hint="eastAsia" w:ascii="仿宋" w:hAnsi="仿宋" w:eastAsia="仿宋" w:cs="仿宋"/>
          <w:color w:val="auto"/>
          <w:kern w:val="0"/>
        </w:rPr>
        <w:t>http://zfcg.czt.zj.gov.cn/</w:t>
      </w:r>
      <w:r>
        <w:rPr>
          <w:rStyle w:val="51"/>
          <w:rFonts w:hint="eastAsia" w:ascii="仿宋" w:hAnsi="仿宋" w:eastAsia="仿宋" w:cs="仿宋"/>
          <w:color w:val="auto"/>
          <w:kern w:val="0"/>
        </w:rPr>
        <w:fldChar w:fldCharType="end"/>
      </w:r>
      <w:r>
        <w:rPr>
          <w:rFonts w:hint="eastAsia" w:ascii="仿宋" w:hAnsi="仿宋" w:eastAsia="仿宋" w:cs="仿宋"/>
          <w:kern w:val="0"/>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Style w:val="51"/>
          <w:rFonts w:hint="eastAsia" w:ascii="仿宋" w:hAnsi="仿宋" w:eastAsia="仿宋" w:cs="仿宋"/>
          <w:color w:val="auto"/>
        </w:rPr>
        <w:t>http://ggb.sx.gov.cn</w:t>
      </w:r>
      <w:r>
        <w:rPr>
          <w:rStyle w:val="51"/>
          <w:rFonts w:hint="eastAsia" w:ascii="仿宋" w:hAnsi="仿宋" w:eastAsia="仿宋" w:cs="仿宋"/>
          <w:color w:val="auto"/>
        </w:rPr>
        <w:fldChar w:fldCharType="end"/>
      </w:r>
      <w:r>
        <w:rPr>
          <w:rFonts w:hint="eastAsia" w:ascii="仿宋" w:hAnsi="仿宋" w:eastAsia="仿宋" w:cs="仿宋"/>
          <w:kern w:val="0"/>
        </w:rPr>
        <w:t>）发布中标公告，中标公告期限为1个工作日。</w:t>
      </w:r>
    </w:p>
    <w:p>
      <w:pPr>
        <w:tabs>
          <w:tab w:val="left" w:pos="0"/>
        </w:tabs>
        <w:spacing w:line="440" w:lineRule="exact"/>
        <w:rPr>
          <w:rFonts w:hint="eastAsia" w:ascii="仿宋" w:hAnsi="仿宋" w:eastAsia="仿宋" w:cs="仿宋"/>
          <w:kern w:val="0"/>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pPr>
        <w:spacing w:line="440" w:lineRule="exact"/>
        <w:jc w:val="left"/>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pPr>
        <w:spacing w:line="440" w:lineRule="exact"/>
        <w:jc w:val="left"/>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pPr>
        <w:spacing w:line="440" w:lineRule="exact"/>
        <w:jc w:val="left"/>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rPr>
      </w:pPr>
      <w:r>
        <w:rPr>
          <w:rFonts w:hint="eastAsia" w:ascii="仿宋" w:hAnsi="仿宋" w:eastAsia="仿宋" w:cs="仿宋"/>
          <w:b/>
          <w:sz w:val="24"/>
        </w:rPr>
        <w:t>6.验收</w:t>
      </w:r>
    </w:p>
    <w:p>
      <w:pPr>
        <w:spacing w:line="440" w:lineRule="exact"/>
        <w:jc w:val="left"/>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t>六、质疑与投诉</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（2）被质疑采购项目名称、编号及采购内容；</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（3）具体、明确的质疑事项和与质疑事项相关的请求</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（4）事实依据；</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（5）必要的法律依据；</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（7）提出质疑的日期。</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5"/>
        <w:spacing w:line="360" w:lineRule="auto"/>
        <w:ind w:firstLine="720" w:firstLineChars="300"/>
        <w:rPr>
          <w:rFonts w:hint="eastAsia" w:ascii="仿宋" w:hAnsi="仿宋" w:eastAsia="仿宋" w:cs="仿宋"/>
          <w:sz w:val="24"/>
        </w:rPr>
      </w:pPr>
      <w:r>
        <w:rPr>
          <w:rFonts w:hint="eastAsia" w:ascii="仿宋" w:hAnsi="仿宋" w:eastAsia="仿宋" w:cs="仿宋"/>
          <w:sz w:val="24"/>
        </w:rPr>
        <w:t>原则上由采购代理机构回复的质疑：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（3）对采购结果提出的质疑。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hint="eastAsia"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85"/>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1.6所有货物到现场安装使用前，招标人将进行抽样检验或试验。</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szCs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85"/>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2.数量调整</w:t>
      </w:r>
    </w:p>
    <w:p>
      <w:pPr>
        <w:pStyle w:val="85"/>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85"/>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85"/>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3.安装及调试、验收</w:t>
      </w:r>
    </w:p>
    <w:p>
      <w:pPr>
        <w:pStyle w:val="85"/>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85"/>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4.技术培训</w:t>
      </w:r>
    </w:p>
    <w:p>
      <w:pPr>
        <w:spacing w:line="440" w:lineRule="exact"/>
        <w:rPr>
          <w:rFonts w:hint="eastAsia"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hint="eastAsia"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hint="eastAsia" w:ascii="仿宋" w:hAnsi="仿宋" w:eastAsia="仿宋" w:cs="仿宋"/>
          <w:sz w:val="24"/>
        </w:rPr>
      </w:pPr>
      <w:r>
        <w:rPr>
          <w:rFonts w:hint="eastAsia" w:ascii="仿宋" w:hAnsi="仿宋" w:eastAsia="仿宋" w:cs="仿宋"/>
          <w:sz w:val="24"/>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4.4.1原理、构成和功能的描述。</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4.4.2常见故障的处理或排除。</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szCs w:val="24"/>
        </w:rPr>
      </w:pPr>
      <w:r>
        <w:rPr>
          <w:rFonts w:hint="eastAsia" w:ascii="仿宋" w:hAnsi="仿宋" w:eastAsia="仿宋" w:cs="仿宋"/>
          <w:b/>
          <w:szCs w:val="24"/>
        </w:rPr>
        <w:t>5.售后服务</w:t>
      </w:r>
    </w:p>
    <w:p>
      <w:pPr>
        <w:pStyle w:val="7"/>
        <w:spacing w:line="440" w:lineRule="exact"/>
        <w:ind w:firstLine="0" w:firstLineChars="0"/>
        <w:rPr>
          <w:rFonts w:hint="eastAsia"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hint="eastAsia"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numPr>
          <w:ilvl w:val="0"/>
          <w:numId w:val="7"/>
        </w:numPr>
        <w:snapToGrid w:val="0"/>
        <w:spacing w:line="440" w:lineRule="exact"/>
        <w:jc w:val="left"/>
        <w:rPr>
          <w:rFonts w:hint="eastAsia" w:ascii="仿宋" w:hAnsi="仿宋" w:eastAsia="仿宋" w:cs="仿宋"/>
          <w:b/>
          <w:sz w:val="24"/>
          <w:szCs w:val="24"/>
        </w:rPr>
      </w:pPr>
      <w:bookmarkStart w:id="7" w:name="_Toc151354173"/>
      <w:bookmarkStart w:id="8" w:name="_Toc81372964"/>
      <w:bookmarkStart w:id="9" w:name="_Toc84325981"/>
      <w:bookmarkStart w:id="10" w:name="_Toc81372787"/>
      <w:bookmarkStart w:id="11" w:name="_Toc80157775"/>
      <w:r>
        <w:rPr>
          <w:rFonts w:hint="eastAsia" w:ascii="仿宋" w:hAnsi="仿宋" w:eastAsia="仿宋" w:cs="仿宋"/>
          <w:b/>
          <w:sz w:val="24"/>
          <w:szCs w:val="24"/>
        </w:rPr>
        <w:t>招标项目设备名称及数量：</w:t>
      </w:r>
    </w:p>
    <w:p>
      <w:pPr>
        <w:pStyle w:val="39"/>
        <w:spacing w:before="0" w:beforeAutospacing="0" w:after="0" w:afterAutospacing="0"/>
        <w:rPr>
          <w:rFonts w:ascii="仿宋" w:hAnsi="仿宋" w:eastAsia="仿宋" w:cs="仿宋"/>
          <w:b/>
          <w:bCs/>
          <w:sz w:val="24"/>
          <w:szCs w:val="24"/>
        </w:rPr>
      </w:pPr>
      <w:r>
        <w:rPr>
          <w:rFonts w:hint="eastAsia" w:ascii="仿宋" w:hAnsi="仿宋" w:eastAsia="仿宋" w:cs="仿宋"/>
          <w:b/>
          <w:sz w:val="24"/>
          <w:szCs w:val="24"/>
          <w:bdr w:val="single" w:color="000000" w:sz="4" w:space="0"/>
        </w:rPr>
        <w:t>01</w:t>
      </w:r>
      <w:r>
        <w:rPr>
          <w:rFonts w:hint="eastAsia" w:ascii="仿宋" w:hAnsi="仿宋" w:eastAsia="仿宋" w:cs="仿宋"/>
          <w:b/>
          <w:bCs/>
          <w:sz w:val="24"/>
          <w:szCs w:val="24"/>
        </w:rPr>
        <w:t>标 绍兴市人民医院基于放射的AI人工智能建设项目，预算金额：100万元</w:t>
      </w:r>
    </w:p>
    <w:p>
      <w:pPr>
        <w:pStyle w:val="39"/>
        <w:spacing w:before="0" w:beforeAutospacing="0" w:after="0" w:afterAutospacing="0"/>
        <w:rPr>
          <w:rFonts w:ascii="仿宋" w:hAnsi="仿宋" w:eastAsia="仿宋" w:cs="仿宋"/>
          <w:b/>
          <w:bCs/>
          <w:sz w:val="24"/>
          <w:szCs w:val="24"/>
        </w:rPr>
      </w:pP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1.采购内容一览表</w:t>
      </w:r>
    </w:p>
    <w:tbl>
      <w:tblPr>
        <w:tblStyle w:val="44"/>
        <w:tblW w:w="4998"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46"/>
        <w:gridCol w:w="4620"/>
        <w:gridCol w:w="1425"/>
        <w:gridCol w:w="170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439" w:type="pct"/>
            <w:vAlign w:val="center"/>
          </w:tcPr>
          <w:p>
            <w:pPr>
              <w:pStyle w:val="7"/>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序号</w:t>
            </w:r>
          </w:p>
        </w:tc>
        <w:tc>
          <w:tcPr>
            <w:tcW w:w="2719" w:type="pct"/>
            <w:vAlign w:val="center"/>
          </w:tcPr>
          <w:p>
            <w:pPr>
              <w:pStyle w:val="7"/>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采购内容</w:t>
            </w:r>
          </w:p>
        </w:tc>
        <w:tc>
          <w:tcPr>
            <w:tcW w:w="839" w:type="pct"/>
            <w:vAlign w:val="center"/>
          </w:tcPr>
          <w:p>
            <w:pPr>
              <w:pStyle w:val="7"/>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数量</w:t>
            </w:r>
          </w:p>
        </w:tc>
        <w:tc>
          <w:tcPr>
            <w:tcW w:w="1001" w:type="pct"/>
            <w:vAlign w:val="center"/>
          </w:tcPr>
          <w:p>
            <w:pPr>
              <w:pStyle w:val="7"/>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439" w:type="pct"/>
            <w:vAlign w:val="center"/>
          </w:tcPr>
          <w:p>
            <w:pPr>
              <w:pStyle w:val="298"/>
              <w:ind w:firstLine="240"/>
              <w:rPr>
                <w:rFonts w:ascii="仿宋" w:hAnsi="仿宋" w:eastAsia="仿宋" w:cs="仿宋"/>
                <w:kern w:val="0"/>
                <w:sz w:val="24"/>
                <w:szCs w:val="24"/>
              </w:rPr>
            </w:pPr>
            <w:r>
              <w:rPr>
                <w:rFonts w:hint="eastAsia" w:ascii="仿宋" w:hAnsi="仿宋" w:eastAsia="仿宋" w:cs="仿宋"/>
                <w:color w:val="auto"/>
                <w:sz w:val="24"/>
                <w:szCs w:val="24"/>
              </w:rPr>
              <w:t>1</w:t>
            </w:r>
          </w:p>
        </w:tc>
        <w:tc>
          <w:tcPr>
            <w:tcW w:w="2719" w:type="pct"/>
            <w:vAlign w:val="center"/>
          </w:tcPr>
          <w:p>
            <w:pPr>
              <w:pStyle w:val="298"/>
              <w:rPr>
                <w:rFonts w:ascii="仿宋" w:hAnsi="仿宋" w:eastAsia="仿宋" w:cs="仿宋"/>
                <w:kern w:val="0"/>
                <w:sz w:val="24"/>
                <w:szCs w:val="24"/>
              </w:rPr>
            </w:pPr>
            <w:r>
              <w:rPr>
                <w:rFonts w:hint="eastAsia" w:ascii="仿宋" w:hAnsi="仿宋" w:eastAsia="仿宋" w:cs="仿宋"/>
                <w:color w:val="auto"/>
                <w:sz w:val="24"/>
                <w:szCs w:val="24"/>
              </w:rPr>
              <w:t>科研平台</w:t>
            </w:r>
          </w:p>
        </w:tc>
        <w:tc>
          <w:tcPr>
            <w:tcW w:w="839" w:type="pct"/>
            <w:vAlign w:val="center"/>
          </w:tcPr>
          <w:p>
            <w:pPr>
              <w:spacing w:line="360" w:lineRule="auto"/>
              <w:jc w:val="center"/>
              <w:rPr>
                <w:rFonts w:ascii="仿宋" w:hAnsi="仿宋" w:eastAsia="仿宋" w:cs="仿宋"/>
                <w:kern w:val="0"/>
                <w:sz w:val="24"/>
              </w:rPr>
            </w:pPr>
            <w:r>
              <w:rPr>
                <w:rFonts w:hint="eastAsia" w:ascii="仿宋" w:hAnsi="仿宋" w:eastAsia="仿宋" w:cs="仿宋"/>
                <w:color w:val="000000"/>
                <w:sz w:val="24"/>
              </w:rPr>
              <w:t>1套</w:t>
            </w:r>
          </w:p>
        </w:tc>
        <w:tc>
          <w:tcPr>
            <w:tcW w:w="1001" w:type="pct"/>
            <w:vAlign w:val="center"/>
          </w:tcPr>
          <w:p>
            <w:pPr>
              <w:spacing w:line="360" w:lineRule="auto"/>
              <w:jc w:val="center"/>
              <w:rPr>
                <w:rFonts w:ascii="仿宋" w:hAnsi="仿宋" w:eastAsia="仿宋" w:cs="仿宋"/>
                <w:color w:val="000000"/>
                <w:sz w:val="24"/>
              </w:rPr>
            </w:pPr>
            <w:r>
              <w:rPr>
                <w:rFonts w:hint="eastAsia" w:ascii="仿宋" w:hAnsi="仿宋" w:eastAsia="仿宋" w:cs="仿宋"/>
                <w:sz w:val="24"/>
              </w:rPr>
              <w:t>核心产品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439" w:type="pct"/>
            <w:vAlign w:val="center"/>
          </w:tcPr>
          <w:p>
            <w:pPr>
              <w:pStyle w:val="298"/>
              <w:ind w:firstLine="240"/>
              <w:rPr>
                <w:rFonts w:ascii="仿宋" w:hAnsi="仿宋" w:eastAsia="仿宋" w:cs="仿宋"/>
                <w:kern w:val="0"/>
                <w:sz w:val="24"/>
                <w:szCs w:val="24"/>
              </w:rPr>
            </w:pPr>
            <w:r>
              <w:rPr>
                <w:rFonts w:hint="eastAsia" w:ascii="仿宋" w:hAnsi="仿宋" w:eastAsia="仿宋" w:cs="仿宋"/>
                <w:color w:val="auto"/>
                <w:sz w:val="24"/>
                <w:szCs w:val="24"/>
              </w:rPr>
              <w:t>2</w:t>
            </w:r>
          </w:p>
        </w:tc>
        <w:tc>
          <w:tcPr>
            <w:tcW w:w="2719" w:type="pct"/>
            <w:vAlign w:val="center"/>
          </w:tcPr>
          <w:p>
            <w:pPr>
              <w:pStyle w:val="298"/>
              <w:rPr>
                <w:rFonts w:ascii="仿宋" w:hAnsi="仿宋" w:eastAsia="仿宋" w:cs="仿宋"/>
                <w:kern w:val="0"/>
                <w:sz w:val="24"/>
                <w:szCs w:val="24"/>
              </w:rPr>
            </w:pPr>
            <w:r>
              <w:rPr>
                <w:rFonts w:hint="eastAsia" w:ascii="仿宋" w:hAnsi="仿宋" w:eastAsia="仿宋" w:cs="仿宋"/>
                <w:color w:val="auto"/>
                <w:sz w:val="24"/>
                <w:szCs w:val="24"/>
              </w:rPr>
              <w:t>冠脉CTA辅助诊断系统</w:t>
            </w:r>
          </w:p>
        </w:tc>
        <w:tc>
          <w:tcPr>
            <w:tcW w:w="839" w:type="pct"/>
            <w:vAlign w:val="center"/>
          </w:tcPr>
          <w:p>
            <w:pPr>
              <w:spacing w:line="360" w:lineRule="auto"/>
              <w:jc w:val="center"/>
              <w:rPr>
                <w:rFonts w:ascii="仿宋" w:hAnsi="仿宋" w:eastAsia="仿宋" w:cs="仿宋"/>
                <w:kern w:val="0"/>
                <w:sz w:val="24"/>
              </w:rPr>
            </w:pPr>
            <w:r>
              <w:rPr>
                <w:rFonts w:hint="eastAsia" w:ascii="仿宋" w:hAnsi="仿宋" w:eastAsia="仿宋" w:cs="仿宋"/>
                <w:color w:val="000000"/>
                <w:sz w:val="24"/>
              </w:rPr>
              <w:t>1套</w:t>
            </w:r>
          </w:p>
        </w:tc>
        <w:tc>
          <w:tcPr>
            <w:tcW w:w="1001" w:type="pct"/>
            <w:vAlign w:val="center"/>
          </w:tcPr>
          <w:p>
            <w:pPr>
              <w:spacing w:line="360" w:lineRule="auto"/>
              <w:jc w:val="center"/>
              <w:rPr>
                <w:rFonts w:ascii="仿宋" w:hAnsi="仿宋" w:eastAsia="仿宋" w:cs="仿宋"/>
                <w:color w:val="00000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439" w:type="pct"/>
            <w:vAlign w:val="center"/>
          </w:tcPr>
          <w:p>
            <w:pPr>
              <w:pStyle w:val="298"/>
              <w:ind w:firstLine="240"/>
              <w:rPr>
                <w:rFonts w:ascii="仿宋" w:hAnsi="仿宋" w:eastAsia="仿宋" w:cs="仿宋"/>
                <w:kern w:val="0"/>
                <w:sz w:val="24"/>
                <w:szCs w:val="24"/>
              </w:rPr>
            </w:pPr>
            <w:r>
              <w:rPr>
                <w:rFonts w:hint="eastAsia" w:ascii="仿宋" w:hAnsi="仿宋" w:eastAsia="仿宋" w:cs="仿宋"/>
                <w:color w:val="auto"/>
                <w:sz w:val="24"/>
                <w:szCs w:val="24"/>
              </w:rPr>
              <w:t>3</w:t>
            </w:r>
          </w:p>
        </w:tc>
        <w:tc>
          <w:tcPr>
            <w:tcW w:w="2719" w:type="pct"/>
            <w:vAlign w:val="center"/>
          </w:tcPr>
          <w:p>
            <w:pPr>
              <w:pStyle w:val="298"/>
              <w:rPr>
                <w:rFonts w:ascii="仿宋" w:hAnsi="仿宋" w:eastAsia="仿宋" w:cs="仿宋"/>
                <w:kern w:val="0"/>
                <w:sz w:val="24"/>
                <w:szCs w:val="24"/>
              </w:rPr>
            </w:pPr>
            <w:r>
              <w:rPr>
                <w:rFonts w:hint="eastAsia" w:ascii="仿宋" w:hAnsi="仿宋" w:eastAsia="仿宋" w:cs="仿宋"/>
                <w:color w:val="auto"/>
                <w:sz w:val="24"/>
                <w:szCs w:val="24"/>
              </w:rPr>
              <w:t>基于冠脉CTA的无创FFR分析系统（CT-FFR）</w:t>
            </w:r>
          </w:p>
        </w:tc>
        <w:tc>
          <w:tcPr>
            <w:tcW w:w="839" w:type="pct"/>
            <w:vAlign w:val="center"/>
          </w:tcPr>
          <w:p>
            <w:pPr>
              <w:spacing w:line="360" w:lineRule="auto"/>
              <w:jc w:val="center"/>
              <w:rPr>
                <w:rFonts w:ascii="仿宋" w:hAnsi="仿宋" w:eastAsia="仿宋" w:cs="仿宋"/>
                <w:kern w:val="0"/>
                <w:sz w:val="24"/>
              </w:rPr>
            </w:pPr>
            <w:r>
              <w:rPr>
                <w:rFonts w:hint="eastAsia" w:ascii="仿宋" w:hAnsi="仿宋" w:eastAsia="仿宋" w:cs="仿宋"/>
                <w:color w:val="000000"/>
                <w:sz w:val="24"/>
              </w:rPr>
              <w:t>1套</w:t>
            </w:r>
          </w:p>
        </w:tc>
        <w:tc>
          <w:tcPr>
            <w:tcW w:w="1001" w:type="pct"/>
            <w:vAlign w:val="center"/>
          </w:tcPr>
          <w:p>
            <w:pPr>
              <w:spacing w:line="360" w:lineRule="auto"/>
              <w:jc w:val="center"/>
              <w:rPr>
                <w:rFonts w:ascii="仿宋" w:hAnsi="仿宋" w:eastAsia="仿宋" w:cs="仿宋"/>
                <w:color w:val="000000"/>
                <w:sz w:val="24"/>
              </w:rPr>
            </w:pPr>
          </w:p>
        </w:tc>
      </w:tr>
    </w:tbl>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2.项目概况及要求</w:t>
      </w:r>
    </w:p>
    <w:p>
      <w:pPr>
        <w:pStyle w:val="7"/>
        <w:spacing w:line="360" w:lineRule="auto"/>
        <w:ind w:firstLine="0" w:firstLineChars="0"/>
        <w:rPr>
          <w:rFonts w:ascii="仿宋" w:hAnsi="仿宋" w:eastAsia="仿宋" w:cs="仿宋"/>
          <w:kern w:val="0"/>
          <w:sz w:val="24"/>
        </w:rPr>
      </w:pPr>
      <w:bookmarkStart w:id="12" w:name="_Toc6472863"/>
      <w:bookmarkStart w:id="13" w:name="_Toc3550339"/>
      <w:r>
        <w:rPr>
          <w:rFonts w:hint="eastAsia" w:ascii="仿宋" w:hAnsi="仿宋" w:eastAsia="仿宋" w:cs="仿宋"/>
          <w:kern w:val="0"/>
          <w:sz w:val="24"/>
        </w:rPr>
        <w:t>2.1、项目背景</w:t>
      </w:r>
    </w:p>
    <w:bookmarkEnd w:id="12"/>
    <w:bookmarkEnd w:id="13"/>
    <w:p>
      <w:pPr>
        <w:pStyle w:val="7"/>
        <w:ind w:firstLine="480"/>
        <w:rPr>
          <w:rFonts w:ascii="仿宋" w:hAnsi="仿宋" w:eastAsia="仿宋" w:cs="仿宋"/>
          <w:kern w:val="0"/>
          <w:sz w:val="24"/>
        </w:rPr>
      </w:pPr>
      <w:r>
        <w:rPr>
          <w:rFonts w:hint="eastAsia" w:ascii="仿宋" w:hAnsi="仿宋" w:eastAsia="仿宋" w:cs="仿宋"/>
          <w:kern w:val="0"/>
          <w:sz w:val="24"/>
        </w:rPr>
        <w:t>近年来，我国医疗水平的不断提高刺激对临床医学研究的需求。国家于21年发布的政策《中华人民共和国国民经济和社会发展第十四个五年规划和2035年远景目标纲要》提出：“十四五”期间要集中优势资源攻关新发突发传染病和生物安全风险防控、医药和医疗设备等领域关键核心技术，建设转化医学研究设施等民生改善型重大科技基础设施。而《公立医院高质量发展的促进行动（2021-2025年）》中也提出要“深化医教协同，强化医院教学和人才培养职能，对接医疗技术、临床科研、医院运营等不同领域人才需求，加快公立医院高质量人才队伍建设，同时依托国家医学中心、国家区域医疗中心与高等院校、科研机构开展合作，探索多学科交叉融合，培育一批在医疗技术、医疗质量、临床研究等方面具有国内外一流水平的优势专科，引领我国医疗技术快速发展。”一系列的政策扶持都在表明国家对于推进高质量人才建设和临床医学技术发展的决心。</w:t>
      </w:r>
    </w:p>
    <w:p>
      <w:pPr>
        <w:pStyle w:val="7"/>
        <w:ind w:firstLine="480"/>
        <w:rPr>
          <w:rFonts w:ascii="仿宋" w:hAnsi="仿宋" w:eastAsia="仿宋" w:cs="仿宋"/>
          <w:kern w:val="0"/>
          <w:sz w:val="24"/>
        </w:rPr>
      </w:pPr>
      <w:r>
        <w:rPr>
          <w:rFonts w:hint="eastAsia" w:ascii="仿宋" w:hAnsi="仿宋" w:eastAsia="仿宋" w:cs="仿宋"/>
          <w:kern w:val="0"/>
          <w:sz w:val="24"/>
        </w:rPr>
        <w:t>影像科研的痛点：</w:t>
      </w:r>
    </w:p>
    <w:p>
      <w:pPr>
        <w:pStyle w:val="7"/>
        <w:ind w:firstLine="480"/>
        <w:rPr>
          <w:rFonts w:ascii="仿宋" w:hAnsi="仿宋" w:eastAsia="仿宋" w:cs="仿宋"/>
          <w:kern w:val="0"/>
          <w:sz w:val="24"/>
        </w:rPr>
      </w:pPr>
      <w:r>
        <w:rPr>
          <w:rFonts w:hint="eastAsia" w:ascii="仿宋" w:hAnsi="仿宋" w:eastAsia="仿宋" w:cs="仿宋"/>
          <w:kern w:val="0"/>
          <w:sz w:val="24"/>
        </w:rPr>
        <w:t>影像数据处理困难：医学影像数据多为DICOM格式的非结构化的数据，根据影像检查的不同少则一两张，多则几千张。且非结构化的图像数据，无法像临床征象以及检验指标一样直接进行数据分析，需要影像科医生手动将影像结果解读为结构化特征或者经过计算机处理得到结构化的数据才可以进行后续的数据挖掘工作，严重阻碍了影像研究的快速发展。</w:t>
      </w:r>
    </w:p>
    <w:p>
      <w:pPr>
        <w:pStyle w:val="7"/>
        <w:ind w:firstLine="480"/>
        <w:rPr>
          <w:rFonts w:ascii="仿宋" w:hAnsi="仿宋" w:eastAsia="仿宋" w:cs="仿宋"/>
          <w:kern w:val="0"/>
          <w:sz w:val="24"/>
        </w:rPr>
      </w:pPr>
      <w:r>
        <w:rPr>
          <w:rFonts w:hint="eastAsia" w:ascii="仿宋" w:hAnsi="仿宋" w:eastAsia="仿宋" w:cs="仿宋"/>
          <w:kern w:val="0"/>
          <w:sz w:val="24"/>
        </w:rPr>
        <w:t>人工标注耗时长：近几年告诉发展的影像组学研究以及人工智能相关研究，都高度依赖影像上的勾画结果，影像科医生需要手动勾勒出ROI区域的轮廓，再使用计算机软件进行特征的提取或计算，该过程耗时长，同时还会存在标注结果一致性较差的问题。</w:t>
      </w:r>
    </w:p>
    <w:p>
      <w:pPr>
        <w:pStyle w:val="7"/>
        <w:ind w:firstLine="480"/>
        <w:rPr>
          <w:rFonts w:ascii="仿宋" w:hAnsi="仿宋" w:eastAsia="仿宋" w:cs="仿宋"/>
          <w:kern w:val="0"/>
          <w:sz w:val="24"/>
        </w:rPr>
      </w:pPr>
      <w:r>
        <w:rPr>
          <w:rFonts w:hint="eastAsia" w:ascii="仿宋" w:hAnsi="仿宋" w:eastAsia="仿宋" w:cs="仿宋"/>
          <w:kern w:val="0"/>
          <w:sz w:val="24"/>
        </w:rPr>
        <w:t>数据分析难度大：由于我国影像科医生还存在大量的人才缺口，影像科的医生日常需要花费大量精力投入在临床工作中，在科研方面的投入也相应减少，而医学数据分析不仅需要熟知各种统计学方法以及人工智能模型的基础理论，也需要学习如何使用软件或代码工具将这些方法实现出来，这些都给影像科医学的科研工作造成了极大的阻力。</w:t>
      </w:r>
    </w:p>
    <w:p>
      <w:pPr>
        <w:pStyle w:val="7"/>
        <w:ind w:firstLine="480"/>
        <w:rPr>
          <w:rFonts w:ascii="仿宋" w:hAnsi="仿宋" w:eastAsia="仿宋" w:cs="仿宋"/>
          <w:kern w:val="0"/>
          <w:sz w:val="24"/>
        </w:rPr>
      </w:pPr>
      <w:r>
        <w:rPr>
          <w:rFonts w:hint="eastAsia" w:ascii="仿宋" w:hAnsi="仿宋" w:eastAsia="仿宋" w:cs="仿宋"/>
          <w:kern w:val="0"/>
          <w:sz w:val="24"/>
        </w:rPr>
        <w:t>科研图表不会做：对于已有不错的研究基础的影像科医生来讲，如何制作出精美的图表以呈现自己的研究成果，也是临床研究的一个难点，不同的研究所对应的图表不同，不同图表所表达的信息也不同，正确的使用图表可以实现锦上添花的效果，但目前市面上的图表制作工具多需要用户具备一些代码的基础，这对临床工作者也造成了一定难点。</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2.2、建设目标</w:t>
      </w:r>
    </w:p>
    <w:p>
      <w:pPr>
        <w:pStyle w:val="299"/>
        <w:spacing w:line="240" w:lineRule="auto"/>
        <w:ind w:firstLine="480"/>
        <w:rPr>
          <w:rFonts w:ascii="仿宋" w:hAnsi="仿宋" w:eastAsia="仿宋" w:cs="仿宋"/>
          <w:kern w:val="0"/>
          <w:szCs w:val="24"/>
        </w:rPr>
      </w:pPr>
      <w:r>
        <w:rPr>
          <w:rFonts w:hint="eastAsia" w:ascii="仿宋" w:hAnsi="仿宋" w:eastAsia="仿宋" w:cs="仿宋"/>
          <w:kern w:val="0"/>
          <w:szCs w:val="24"/>
        </w:rPr>
        <w:t>科研平台应以疾病为核心，针对原始影像数据进行存储，构成底层的数据库，为临床提供部分解剖结构自动化勾勒的能力，并且基于感兴趣区域的影像信息进行量化指标的计算，为临床和科研提供更加丰富的特征，解决人工标注耗时长问题，有效提升影像科研的效率。在底层数据被结构化和存储的基础上，提供科研项目管理的功能，结合AI引擎以及科研知识库加速推进科研能力建设，在科研知识库中整合了临床科研的分析思路、多种医学统计学的方法和人工智能相关的特征工程、训练模型等，既可满足科研经验不足的临床医生的需求，也可满足具备一定科研基础能力的医生的个性化需求，该系统提供了从数据导入、数据质量评估、数据集划分、特征预处理和筛选、模型训练、生成图表等全流程的功能，同时可自动根据数据分布，智能化的匹配最佳科研方案，让临床科研更方便也更省心。通过科研平台的建设，推动高质量临床科研人才的培养，加快高质量的临床科研的成果产出，以疾病为核心建设国内外一流的专科诊疗体系，让更多患者获利。</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2.3、建设原则和思路</w:t>
      </w:r>
    </w:p>
    <w:p>
      <w:pPr>
        <w:pStyle w:val="7"/>
        <w:ind w:firstLine="480"/>
        <w:rPr>
          <w:rFonts w:ascii="仿宋" w:hAnsi="仿宋" w:eastAsia="仿宋" w:cs="仿宋"/>
          <w:kern w:val="0"/>
          <w:sz w:val="24"/>
        </w:rPr>
      </w:pPr>
      <w:r>
        <w:rPr>
          <w:rFonts w:hint="eastAsia" w:ascii="仿宋" w:hAnsi="仿宋" w:eastAsia="仿宋" w:cs="仿宋"/>
          <w:kern w:val="0"/>
          <w:sz w:val="24"/>
        </w:rPr>
        <w:t>2.3.1、现状需求分析</w:t>
      </w:r>
    </w:p>
    <w:p>
      <w:pPr>
        <w:pStyle w:val="7"/>
        <w:ind w:firstLine="480"/>
        <w:rPr>
          <w:rFonts w:ascii="仿宋" w:hAnsi="仿宋" w:eastAsia="仿宋" w:cs="仿宋"/>
          <w:kern w:val="0"/>
          <w:sz w:val="24"/>
        </w:rPr>
      </w:pPr>
      <w:r>
        <w:rPr>
          <w:rFonts w:hint="eastAsia" w:ascii="仿宋" w:hAnsi="仿宋" w:eastAsia="仿宋" w:cs="仿宋"/>
          <w:kern w:val="0"/>
          <w:sz w:val="24"/>
        </w:rPr>
        <w:t>伴随大数据、人工智能等高新技术的快速发展，临床科研面临的问题逐渐得到了重视，不断有新的技术诞生以解决用户的痛点需求，临床文本的结构化解析已经收获了不错的成果，并得到越来越多专家的认可。影像数据的结构化存储和科研应用则是下一个需要解决的重点方向。如何有效的解决影像数据难以处理，人工标注耗时长，并真正以临床科研的思路教育年轻一代的医生进行高质量的科研工作，解决数据分析和科研结果呈现中的难点，真正推动医疗质量和临床研究达到国际一流水平的专科建设，是下一代智慧科研和教学平台的重心。</w:t>
      </w:r>
    </w:p>
    <w:p>
      <w:pPr>
        <w:pStyle w:val="7"/>
        <w:ind w:firstLine="480"/>
        <w:rPr>
          <w:rFonts w:ascii="仿宋" w:hAnsi="仿宋" w:eastAsia="仿宋" w:cs="仿宋"/>
          <w:kern w:val="0"/>
          <w:sz w:val="24"/>
        </w:rPr>
      </w:pPr>
      <w:r>
        <w:rPr>
          <w:rFonts w:hint="eastAsia" w:ascii="仿宋" w:hAnsi="仿宋" w:eastAsia="仿宋" w:cs="仿宋"/>
          <w:kern w:val="0"/>
          <w:sz w:val="24"/>
        </w:rPr>
        <w:t>2.3.2、建设内容</w:t>
      </w:r>
    </w:p>
    <w:p>
      <w:pPr>
        <w:pStyle w:val="33"/>
        <w:numPr>
          <w:ilvl w:val="0"/>
          <w:numId w:val="8"/>
        </w:numPr>
        <w:ind w:left="0" w:firstLine="480" w:firstLineChars="200"/>
        <w:rPr>
          <w:rFonts w:ascii="仿宋" w:hAnsi="仿宋" w:eastAsia="仿宋" w:cs="仿宋"/>
          <w:kern w:val="0"/>
          <w:sz w:val="24"/>
          <w:szCs w:val="24"/>
        </w:rPr>
      </w:pPr>
      <w:r>
        <w:rPr>
          <w:rFonts w:hint="eastAsia" w:ascii="仿宋" w:hAnsi="仿宋" w:eastAsia="仿宋" w:cs="仿宋"/>
          <w:kern w:val="0"/>
          <w:sz w:val="24"/>
          <w:szCs w:val="24"/>
        </w:rPr>
        <w:t>科研项目管理</w:t>
      </w:r>
    </w:p>
    <w:p>
      <w:pPr>
        <w:pStyle w:val="33"/>
        <w:ind w:left="420" w:leftChars="200" w:firstLine="0" w:firstLineChars="0"/>
        <w:rPr>
          <w:rFonts w:ascii="仿宋" w:hAnsi="仿宋" w:eastAsia="仿宋" w:cs="仿宋"/>
          <w:kern w:val="0"/>
          <w:sz w:val="24"/>
          <w:szCs w:val="24"/>
        </w:rPr>
      </w:pPr>
      <w:r>
        <w:rPr>
          <w:rFonts w:hint="eastAsia" w:ascii="仿宋" w:hAnsi="仿宋" w:eastAsia="仿宋" w:cs="仿宋"/>
          <w:kern w:val="0"/>
          <w:sz w:val="24"/>
          <w:szCs w:val="24"/>
        </w:rPr>
        <w:t>用户可以从网页端打开科研平台，平台首页管理用户所有创建和参与的全部科研项目，用户可以通过关键字进行检索。在需要创建新项目时，点击页面内创建项目的按钮即可进入创建项目的页面，输入项目的关键信息和参与人信息即可快速完成科研项目的创建。</w:t>
      </w:r>
    </w:p>
    <w:p>
      <w:pPr>
        <w:pStyle w:val="33"/>
        <w:numPr>
          <w:ilvl w:val="0"/>
          <w:numId w:val="8"/>
        </w:numPr>
        <w:ind w:left="0" w:firstLine="480" w:firstLineChars="200"/>
        <w:rPr>
          <w:rFonts w:ascii="仿宋" w:hAnsi="仿宋" w:eastAsia="仿宋" w:cs="仿宋"/>
          <w:kern w:val="0"/>
          <w:sz w:val="24"/>
          <w:szCs w:val="24"/>
        </w:rPr>
      </w:pPr>
      <w:r>
        <w:rPr>
          <w:rFonts w:hint="eastAsia" w:ascii="仿宋" w:hAnsi="仿宋" w:eastAsia="仿宋" w:cs="仿宋"/>
          <w:kern w:val="0"/>
          <w:sz w:val="24"/>
          <w:szCs w:val="24"/>
        </w:rPr>
        <w:t>数据管理</w:t>
      </w:r>
    </w:p>
    <w:p>
      <w:pPr>
        <w:pStyle w:val="33"/>
        <w:ind w:left="420" w:leftChars="200" w:firstLine="0" w:firstLineChars="0"/>
        <w:rPr>
          <w:rFonts w:ascii="仿宋" w:hAnsi="仿宋" w:eastAsia="仿宋" w:cs="仿宋"/>
          <w:kern w:val="0"/>
          <w:sz w:val="24"/>
          <w:szCs w:val="24"/>
        </w:rPr>
      </w:pPr>
      <w:r>
        <w:rPr>
          <w:rFonts w:hint="eastAsia" w:ascii="仿宋" w:hAnsi="仿宋" w:eastAsia="仿宋" w:cs="仿宋"/>
          <w:kern w:val="0"/>
          <w:sz w:val="24"/>
          <w:szCs w:val="24"/>
        </w:rPr>
        <w:t>支持三种数据来源，包括用户手动上传、Pacs传输、以及从AI辅助诊断系统传输的数据，支持DICOM格式的影像数据，以及XLS或CSV格式的文本数据，并可根据患者信息进行数据匹配。支持数据的增删查等操作，并为用户提供完整的上传日志管理。</w:t>
      </w:r>
    </w:p>
    <w:p>
      <w:pPr>
        <w:pStyle w:val="33"/>
        <w:numPr>
          <w:ilvl w:val="0"/>
          <w:numId w:val="8"/>
        </w:numPr>
        <w:ind w:left="0" w:firstLine="480" w:firstLineChars="200"/>
        <w:rPr>
          <w:rFonts w:ascii="仿宋" w:hAnsi="仿宋" w:eastAsia="仿宋" w:cs="仿宋"/>
          <w:kern w:val="0"/>
          <w:sz w:val="24"/>
          <w:szCs w:val="24"/>
        </w:rPr>
      </w:pPr>
      <w:r>
        <w:rPr>
          <w:rFonts w:hint="eastAsia" w:ascii="仿宋" w:hAnsi="仿宋" w:eastAsia="仿宋" w:cs="仿宋"/>
          <w:kern w:val="0"/>
          <w:sz w:val="24"/>
          <w:szCs w:val="24"/>
        </w:rPr>
        <w:t>影像标注管理</w:t>
      </w:r>
    </w:p>
    <w:p>
      <w:pPr>
        <w:pStyle w:val="33"/>
        <w:ind w:left="420" w:leftChars="200" w:firstLine="0" w:firstLineChars="0"/>
        <w:rPr>
          <w:rFonts w:ascii="仿宋" w:hAnsi="仿宋" w:eastAsia="仿宋" w:cs="仿宋"/>
          <w:kern w:val="0"/>
          <w:sz w:val="24"/>
          <w:szCs w:val="24"/>
        </w:rPr>
      </w:pPr>
      <w:r>
        <w:rPr>
          <w:rFonts w:hint="eastAsia" w:ascii="仿宋" w:hAnsi="仿宋" w:eastAsia="仿宋" w:cs="仿宋"/>
          <w:kern w:val="0"/>
          <w:sz w:val="24"/>
          <w:szCs w:val="24"/>
        </w:rPr>
        <w:t>影像标注支持单序列影像数据以及多序列的影像数据，同时多序列的影像数据可以实现同屏查看。用户可通过侧边栏进行影像标签的管理，支持一个影像数据同时管理多种类型的标签，例如：在一张胸部CT影像数据中，可以管理“肺炎”、“肺结节”、“骨折”等多种标签分类，在各个标签分类下可以实现病灶级别ROI的标注。</w:t>
      </w:r>
    </w:p>
    <w:p>
      <w:pPr>
        <w:pStyle w:val="33"/>
        <w:numPr>
          <w:ilvl w:val="0"/>
          <w:numId w:val="8"/>
        </w:numPr>
        <w:ind w:left="0" w:firstLine="480" w:firstLineChars="200"/>
        <w:rPr>
          <w:rFonts w:ascii="仿宋" w:hAnsi="仿宋" w:eastAsia="仿宋" w:cs="仿宋"/>
          <w:kern w:val="0"/>
          <w:sz w:val="24"/>
          <w:szCs w:val="24"/>
        </w:rPr>
      </w:pPr>
      <w:r>
        <w:rPr>
          <w:rFonts w:hint="eastAsia" w:ascii="仿宋" w:hAnsi="仿宋" w:eastAsia="仿宋" w:cs="仿宋"/>
          <w:kern w:val="0"/>
          <w:sz w:val="24"/>
          <w:szCs w:val="24"/>
        </w:rPr>
        <w:t>影像组学特征分析平台</w:t>
      </w:r>
    </w:p>
    <w:p>
      <w:pPr>
        <w:pStyle w:val="33"/>
        <w:ind w:left="420" w:leftChars="200" w:firstLine="0" w:firstLineChars="0"/>
        <w:rPr>
          <w:rFonts w:ascii="仿宋" w:hAnsi="仿宋" w:eastAsia="仿宋" w:cs="仿宋"/>
          <w:kern w:val="0"/>
          <w:sz w:val="24"/>
          <w:szCs w:val="24"/>
        </w:rPr>
      </w:pPr>
      <w:r>
        <w:rPr>
          <w:rFonts w:hint="eastAsia" w:ascii="仿宋" w:hAnsi="仿宋" w:eastAsia="仿宋" w:cs="仿宋"/>
          <w:kern w:val="0"/>
          <w:sz w:val="24"/>
          <w:szCs w:val="24"/>
        </w:rPr>
        <w:t>支持上千种影像组学特征的自动提取，并涵盖多种影像的预处理方式，包括原始处理、小波变换、exponential、logarithm、gradient、square、squareroot、2D、3D-k、3D-m1、3D-m2等处理方案，每种图像预处理方案又可以生成多种影像组学特征，包括</w:t>
      </w:r>
    </w:p>
    <w:p>
      <w:pPr>
        <w:pStyle w:val="33"/>
        <w:ind w:left="420" w:leftChars="200" w:firstLine="0" w:firstLineChars="0"/>
        <w:rPr>
          <w:rFonts w:ascii="仿宋" w:hAnsi="仿宋" w:eastAsia="仿宋" w:cs="仿宋"/>
          <w:kern w:val="0"/>
          <w:sz w:val="24"/>
          <w:szCs w:val="24"/>
        </w:rPr>
      </w:pPr>
      <w:r>
        <w:rPr>
          <w:rFonts w:hint="eastAsia" w:ascii="仿宋" w:hAnsi="仿宋" w:eastAsia="仿宋" w:cs="仿宋"/>
          <w:kern w:val="0"/>
          <w:sz w:val="24"/>
          <w:szCs w:val="24"/>
        </w:rPr>
        <w:t>first order、shape based (2D)、shape based (3D)、GLCM、GLDM、GLRLM、GLSZM、NGTDM、shape等，满足影像组学研究的多样化需求。无需具备编码基础，一键即可获取上千种影像组学特征，同时支持用户导出影像组学特征数据进行个性化的分析。</w:t>
      </w:r>
    </w:p>
    <w:p>
      <w:pPr>
        <w:pStyle w:val="33"/>
        <w:numPr>
          <w:ilvl w:val="0"/>
          <w:numId w:val="8"/>
        </w:numPr>
        <w:ind w:left="0" w:firstLine="480" w:firstLineChars="200"/>
        <w:rPr>
          <w:rFonts w:ascii="仿宋" w:hAnsi="仿宋" w:eastAsia="仿宋" w:cs="仿宋"/>
          <w:kern w:val="0"/>
          <w:sz w:val="24"/>
          <w:szCs w:val="24"/>
        </w:rPr>
      </w:pPr>
      <w:r>
        <w:rPr>
          <w:rFonts w:hint="eastAsia" w:ascii="仿宋" w:hAnsi="仿宋" w:eastAsia="仿宋" w:cs="仿宋"/>
          <w:kern w:val="0"/>
          <w:sz w:val="24"/>
          <w:szCs w:val="24"/>
        </w:rPr>
        <w:t>智能分析中心</w:t>
      </w:r>
    </w:p>
    <w:p>
      <w:pPr>
        <w:pStyle w:val="33"/>
        <w:ind w:left="420" w:leftChars="200" w:firstLine="0" w:firstLineChars="0"/>
        <w:rPr>
          <w:rFonts w:ascii="仿宋" w:hAnsi="仿宋" w:eastAsia="仿宋" w:cs="仿宋"/>
          <w:kern w:val="0"/>
          <w:sz w:val="24"/>
          <w:szCs w:val="24"/>
        </w:rPr>
      </w:pPr>
      <w:r>
        <w:rPr>
          <w:rFonts w:hint="eastAsia" w:ascii="仿宋" w:hAnsi="仿宋" w:eastAsia="仿宋" w:cs="仿宋"/>
          <w:kern w:val="0"/>
          <w:sz w:val="24"/>
          <w:szCs w:val="24"/>
        </w:rPr>
        <w:t xml:space="preserve">包括两个核心模块，机器学习和深度学习分析模块。两个模块均采用引导交互式帮助用户完成科学严谨的分析流程。 </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3、招标技术及其它要求</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3.1绍兴市人民医院基于</w:t>
      </w:r>
      <w:r>
        <w:rPr>
          <w:rFonts w:hint="eastAsia" w:ascii="仿宋" w:hAnsi="仿宋" w:eastAsia="仿宋" w:cs="仿宋"/>
          <w:kern w:val="0"/>
          <w:sz w:val="24"/>
          <w:lang w:val="en-US" w:eastAsia="zh-CN"/>
        </w:rPr>
        <w:t>放射</w:t>
      </w:r>
      <w:r>
        <w:rPr>
          <w:rFonts w:hint="eastAsia" w:ascii="仿宋" w:hAnsi="仿宋" w:eastAsia="仿宋" w:cs="仿宋"/>
          <w:kern w:val="0"/>
          <w:sz w:val="24"/>
        </w:rPr>
        <w:t>的AI人工智能建设技术参数要求：</w:t>
      </w:r>
    </w:p>
    <w:tbl>
      <w:tblPr>
        <w:tblStyle w:val="44"/>
        <w:tblW w:w="8805"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838"/>
        <w:gridCol w:w="696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b/>
                <w:bCs/>
                <w:color w:val="auto"/>
                <w:sz w:val="24"/>
                <w:szCs w:val="24"/>
              </w:rPr>
            </w:pPr>
            <w:r>
              <w:rPr>
                <w:rFonts w:hint="eastAsia" w:ascii="仿宋_GB2312" w:hAnsi="仿宋" w:eastAsia="仿宋_GB2312" w:cs="仿宋"/>
                <w:b/>
                <w:bCs/>
                <w:color w:val="auto"/>
                <w:sz w:val="24"/>
                <w:szCs w:val="24"/>
              </w:rPr>
              <w:t>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b/>
                <w:bCs/>
                <w:color w:val="auto"/>
                <w:sz w:val="24"/>
                <w:szCs w:val="24"/>
              </w:rPr>
            </w:pPr>
            <w:r>
              <w:rPr>
                <w:rFonts w:hint="eastAsia" w:ascii="仿宋_GB2312" w:hAnsi="仿宋" w:eastAsia="仿宋_GB2312" w:cs="仿宋"/>
                <w:b/>
                <w:bCs/>
                <w:color w:val="auto"/>
                <w:sz w:val="24"/>
                <w:szCs w:val="24"/>
              </w:rPr>
              <w:t>科研平台（核心产品）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科研项目</w:t>
            </w:r>
            <w:r>
              <w:rPr>
                <w:rFonts w:hint="eastAsia" w:ascii="仿宋_GB2312" w:hAnsi="仿宋" w:eastAsia="仿宋_GB2312" w:cs="仿宋"/>
                <w:color w:val="auto"/>
                <w:sz w:val="24"/>
                <w:szCs w:val="24"/>
              </w:rPr>
              <w:t>管理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用户可以快速创建多个研究项目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w:t>
            </w:r>
            <w:r>
              <w:rPr>
                <w:rFonts w:hint="eastAsia" w:ascii="仿宋_GB2312" w:hAnsi="仿宋" w:eastAsia="仿宋_GB2312" w:cs="仿宋"/>
                <w:color w:val="auto"/>
                <w:sz w:val="24"/>
                <w:szCs w:val="24"/>
              </w:rPr>
              <w:t>持</w:t>
            </w:r>
            <w:r>
              <w:rPr>
                <w:rFonts w:ascii="仿宋_GB2312" w:hAnsi="仿宋" w:eastAsia="仿宋_GB2312" w:cs="仿宋"/>
                <w:color w:val="auto"/>
                <w:sz w:val="24"/>
                <w:szCs w:val="24"/>
              </w:rPr>
              <w:t>按科研项目名称等信息的</w:t>
            </w:r>
            <w:r>
              <w:rPr>
                <w:rFonts w:hint="eastAsia" w:ascii="仿宋_GB2312" w:hAnsi="仿宋" w:eastAsia="仿宋_GB2312" w:cs="仿宋"/>
                <w:color w:val="auto"/>
                <w:sz w:val="24"/>
                <w:szCs w:val="24"/>
              </w:rPr>
              <w:t>模糊搜索</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数据管理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支持批量上传CT、MR、DR等DICOM影像数据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支持批量上传临床、组学特征数据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支持临床和组学特征数据集的导出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支持针对上传数据进行脱敏，包括患者姓名，医院名称等信息。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支持影像数据和标注同时上传，并可自动进行匹配</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支持按照标注文件的连通域进行ROI的拆分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支持图像数据、临床和组学特征数据的数据校验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提供上传日志方便用户查看上传进度和问题数据提示信息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9</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支持数据集的删除</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10</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支持按照数据集名称进行模糊检索</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支持新增患者数据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支持在影像列表内展示ROI标签信息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数据标注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提供影像</w:t>
            </w:r>
            <w:r>
              <w:rPr>
                <w:rFonts w:ascii="仿宋_GB2312" w:hAnsi="仿宋" w:eastAsia="仿宋_GB2312" w:cs="仿宋"/>
                <w:color w:val="auto"/>
                <w:sz w:val="24"/>
                <w:szCs w:val="24"/>
              </w:rPr>
              <w:t>阅片工具，包括序列筛选、布局切换、</w:t>
            </w:r>
            <w:r>
              <w:rPr>
                <w:rFonts w:hint="eastAsia" w:ascii="仿宋_GB2312" w:hAnsi="仿宋" w:eastAsia="仿宋_GB2312" w:cs="仿宋"/>
                <w:color w:val="auto"/>
                <w:sz w:val="24"/>
                <w:szCs w:val="24"/>
              </w:rPr>
              <w:t>隐藏/显示DICOM meta信息、快速调窗工具、自定义窗宽窗位配置、缩放和移动工具</w:t>
            </w:r>
            <w:r>
              <w:rPr>
                <w:rFonts w:ascii="仿宋_GB2312" w:hAnsi="仿宋" w:eastAsia="仿宋_GB2312" w:cs="仿宋"/>
                <w:color w:val="auto"/>
                <w:sz w:val="24"/>
                <w:szCs w:val="24"/>
              </w:rPr>
              <w:t>、自动生成MPR、图像翻转工具等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支持调整图窗布局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具备影像查看功能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具备序列影像滚动功能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支持多序列图像拖拽切换功能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hint="eastAsia" w:ascii="仿宋_GB2312" w:hAnsi="仿宋" w:eastAsia="仿宋_GB2312" w:cs="仿宋"/>
                <w:color w:val="auto"/>
                <w:sz w:val="24"/>
                <w:szCs w:val="24"/>
              </w:rPr>
              <w:t>1</w:t>
            </w:r>
            <w:r>
              <w:rPr>
                <w:rFonts w:ascii="仿宋_GB2312" w:hAnsi="仿宋" w:eastAsia="仿宋_GB2312" w:cs="仿宋"/>
                <w:color w:val="auto"/>
                <w:sz w:val="24"/>
                <w:szCs w:val="24"/>
              </w:rPr>
              <w:t>.3.6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支持病灶级别的标注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支持手动勾画工具，包括框选勾画、涂抹、画圆、画框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支持勾画结果的删改，包括框选删改、涂抹删改、按层面删改</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9</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支持三维框标注工具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3.10</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支持套索工具，用户勾勒病灶的大概范围后可自动根据图像信号差异进行精准勾画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.1</w:t>
            </w:r>
            <w:r>
              <w:rPr>
                <w:rFonts w:ascii="仿宋_GB2312" w:hAnsi="仿宋" w:eastAsia="仿宋_GB2312" w:cs="仿宋"/>
                <w:color w:val="auto"/>
                <w:sz w:val="24"/>
                <w:szCs w:val="24"/>
              </w:rPr>
              <w:t>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支持插值工具，用户任意勾画两层后，两层中间的层面将自动进行插值勾画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支持标注ROI的删除</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支持部分脏器和疾病的自动分割能力</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影像组学特征提取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r>
              <w:rPr>
                <w:rFonts w:hint="eastAsia" w:ascii="仿宋_GB2312" w:hAnsi="仿宋" w:eastAsia="仿宋_GB2312" w:cs="仿宋"/>
                <w:color w:val="auto"/>
                <w:sz w:val="24"/>
                <w:szCs w:val="24"/>
              </w:rPr>
              <w:t>.1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支持多种图像处理方式，包括经小波变换(LLL,LLH,LHL,LHH,LLH,HLL,HLH,HHH)、exponential、logarithm、gradient、square、squareroot、lbp（2D、3D-k、3D-m1、3D-m2）等10种图像处理方式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影像组学特征覆盖first order(18个特征)、shape based (2D)、shape based (3D)、GLCM(24个特征)、GLDM(14个特征)、GLRLM(16个特征)、GLSZM(16个特征)、NGTDM(5个特征)、shape(14个特征)等特征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支持多序列影像数据按序列提取组学特征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支持图像标准化预处理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支持图像重采样预处理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w:t>
            </w:r>
            <w:r>
              <w:rPr>
                <w:rFonts w:ascii="仿宋_GB2312" w:hAnsi="仿宋" w:eastAsia="仿宋_GB2312" w:cs="仿宋"/>
                <w:color w:val="auto"/>
                <w:sz w:val="24"/>
                <w:szCs w:val="24"/>
              </w:rPr>
              <w:t>图像归一化预处理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支持ROI合并提取组学特征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hint="eastAsia" w:ascii="仿宋_GB2312" w:hAnsi="仿宋" w:eastAsia="仿宋_GB2312" w:cs="仿宋"/>
                <w:color w:val="auto"/>
                <w:sz w:val="24"/>
                <w:szCs w:val="24"/>
              </w:rPr>
              <w:t>1</w:t>
            </w:r>
            <w:r>
              <w:rPr>
                <w:rFonts w:ascii="仿宋_GB2312" w:hAnsi="仿宋" w:eastAsia="仿宋_GB2312" w:cs="仿宋"/>
                <w:color w:val="auto"/>
                <w:sz w:val="24"/>
                <w:szCs w:val="24"/>
              </w:rPr>
              <w:t>.4.8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宋体" w:eastAsia="仿宋_GB2312"/>
                <w:sz w:val="24"/>
              </w:rPr>
              <w:t>★</w:t>
            </w:r>
            <w:r>
              <w:rPr>
                <w:rFonts w:hint="eastAsia" w:ascii="仿宋_GB2312" w:hAnsi="仿宋" w:eastAsia="仿宋_GB2312" w:cs="仿宋"/>
                <w:color w:val="auto"/>
                <w:sz w:val="24"/>
                <w:szCs w:val="24"/>
              </w:rPr>
              <w:t>支持特征筛选后的数据质量校验，确保模型纳入完整的哑变量特征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分析建模中心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用户可以选择需要使用的数据集创建分析任务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分析任务展示建模所使用的数据集，数据划分方式，特征筛选方式，以及最优模型的结果</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支持分析任务的删除</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支持模糊检索分析任务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机器学习任务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支持选择需要分析的因变量和纳入模型的特征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支持按照图像处理方式和组学特征类别选择纳入模型的组学特征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自动识别上传数据的数据类型，包括有序分类型变量、无序分类型变量、数值型变量、日期型变量、文本型变量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允许用户手动修改变量类型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自动计算临床特征的缺失数量和占比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自动为具有缺失数据的特征提供相应的数据处理方案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数值型变量提供删除缺失数据所在行、平均值插补、中位数插补等方法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分类型变量提供删除缺失数据所在行、众数插补、指定数值插补等方法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6.9</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提供训练集和测试集划分的方式，包括随机划分、交叉验证等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10</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提供3折、5折、10折三种常用的交叉验证折数选择</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提供随机划分数据集和人工划分数据集两种数据划分的方案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6.12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针对训练集和测试集划分的结果展示因变量的数据分布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提供特征预筛、单变量特征筛选以及应用模型进行特征筛选的方案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6.14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提供特征筛选方案组合使用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支持组学特征和临床特征的分类筛选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6.16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针对组学和临床特征，平台将智能采用不同的特征筛选方案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提供3种特征标准化的方案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6.18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特征筛选的结果以多种图表方式进行展示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19</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提供＞=12种常用的机器学习模型配置，用户可多选模型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6.20</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提供智能调参的功能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宋体" w:eastAsia="仿宋_GB2312"/>
                <w:sz w:val="24"/>
              </w:rPr>
              <w:t>▲</w:t>
            </w:r>
            <w:r>
              <w:rPr>
                <w:rFonts w:ascii="仿宋_GB2312" w:hAnsi="仿宋" w:eastAsia="仿宋_GB2312" w:cs="仿宋"/>
                <w:color w:val="auto"/>
                <w:sz w:val="24"/>
                <w:szCs w:val="24"/>
              </w:rPr>
              <w:t>提供多个机器学习模型结果对比，并可生成多模型对比的图表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6.22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提供每个模型的结果衡量指标，混淆矩阵和ROC、PR曲线等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6.23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宋体" w:eastAsia="仿宋_GB2312"/>
                <w:sz w:val="24"/>
              </w:rPr>
              <w:t>▲</w:t>
            </w:r>
            <w:r>
              <w:rPr>
                <w:rFonts w:ascii="仿宋_GB2312" w:hAnsi="仿宋" w:eastAsia="仿宋_GB2312" w:cs="仿宋"/>
                <w:color w:val="auto"/>
                <w:sz w:val="24"/>
                <w:szCs w:val="24"/>
              </w:rPr>
              <w:t>针对线性回归模型提供诺莫图、决策曲线等论文常用图表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宋体" w:eastAsia="仿宋_GB2312"/>
                <w:sz w:val="24"/>
              </w:rPr>
              <w:t>▲</w:t>
            </w:r>
            <w:r>
              <w:rPr>
                <w:rFonts w:ascii="仿宋_GB2312" w:hAnsi="仿宋" w:eastAsia="仿宋_GB2312" w:cs="仿宋"/>
                <w:color w:val="auto"/>
                <w:sz w:val="24"/>
                <w:szCs w:val="24"/>
              </w:rPr>
              <w:t>提供组学模型、临床模型、组学临床联合模型三种模型的对比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6.25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提供建模结果的导出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6.26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宋体" w:eastAsia="仿宋_GB2312"/>
                <w:sz w:val="24"/>
              </w:rPr>
              <w:t>★</w:t>
            </w:r>
            <w:r>
              <w:rPr>
                <w:rFonts w:hint="eastAsia" w:ascii="仿宋_GB2312" w:hAnsi="仿宋" w:eastAsia="仿宋_GB2312" w:cs="仿宋"/>
                <w:color w:val="auto"/>
                <w:sz w:val="24"/>
                <w:szCs w:val="24"/>
              </w:rPr>
              <w:t>提供自动生成</w:t>
            </w:r>
            <w:r>
              <w:rPr>
                <w:rFonts w:ascii="仿宋_GB2312" w:hAnsi="仿宋" w:eastAsia="仿宋_GB2312" w:cs="仿宋"/>
                <w:color w:val="auto"/>
                <w:sz w:val="24"/>
                <w:szCs w:val="24"/>
              </w:rPr>
              <w:t>Radscore的功能，并可以输出Radscore的图</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深度学习任务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支持选择需要分析的因变量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提供训练集和测试集的随机划分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提供按照患者和病灶维度的数据集划分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提供数据训练的维度，包括序列维度和切片维度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提供随机平移、缩放的数据增强方法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提供随机镜像变换的数据增强方法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提供随机旋转的数据增强方法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提供随机弹性变换的数据增强方法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5.7.9</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提供按比例像素增强的数据增强方法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5.7.10</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提供按像素值大小进行像素增强的数据增强方法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提供随机对比度增强的数据增强方法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提供随机高斯平滑的数据增强方法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提供随机高斯噪音的数据增强方法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提供多种深度学习模型的选择，包括不同深度的Densenet、Resnet和Senet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提供训练轮数的设置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提供多种损失函数的配置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提供多种优化器的配置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提供多种初始化参数的配置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5.7.19</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提供每个模型的结果衡量指标，混淆矩阵和ROC曲线等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5.7.20</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提供模型训练过程中的图表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1.5.7.21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提供结果的导出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辅助工具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提供ITK-SNAP工具下载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提个供针对两个ROC曲线进行对比的Delong Test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1</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仿宋" w:eastAsia="仿宋_GB2312" w:cs="仿宋"/>
                <w:color w:val="auto"/>
                <w:sz w:val="24"/>
                <w:szCs w:val="24"/>
              </w:rPr>
              <w:t>提供外部数据导入平台进行Delong Test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b/>
                <w:bCs/>
                <w:color w:val="auto"/>
                <w:sz w:val="24"/>
                <w:szCs w:val="24"/>
              </w:rPr>
            </w:pPr>
            <w:r>
              <w:rPr>
                <w:rFonts w:hint="eastAsia" w:ascii="仿宋_GB2312" w:hAnsi="仿宋" w:eastAsia="仿宋_GB2312" w:cs="仿宋"/>
                <w:b/>
                <w:bCs/>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b/>
                <w:bCs/>
                <w:color w:val="auto"/>
                <w:sz w:val="24"/>
                <w:szCs w:val="24"/>
              </w:rPr>
            </w:pPr>
            <w:r>
              <w:rPr>
                <w:rFonts w:hint="eastAsia" w:ascii="仿宋_GB2312" w:hAnsi="仿宋" w:eastAsia="仿宋_GB2312" w:cs="仿宋"/>
                <w:b/>
                <w:bCs/>
                <w:color w:val="auto"/>
                <w:sz w:val="24"/>
                <w:szCs w:val="24"/>
              </w:rPr>
              <w:t>冠脉</w:t>
            </w:r>
            <w:r>
              <w:rPr>
                <w:rFonts w:ascii="仿宋_GB2312" w:hAnsi="仿宋" w:eastAsia="仿宋_GB2312" w:cs="仿宋"/>
                <w:b/>
                <w:bCs/>
                <w:color w:val="auto"/>
                <w:sz w:val="24"/>
                <w:szCs w:val="24"/>
              </w:rPr>
              <w:t>CTA辅助诊断</w:t>
            </w:r>
            <w:r>
              <w:rPr>
                <w:rFonts w:hint="eastAsia" w:ascii="仿宋_GB2312" w:hAnsi="仿宋" w:eastAsia="仿宋_GB2312" w:cs="仿宋"/>
                <w:b/>
                <w:bCs/>
                <w:color w:val="auto"/>
                <w:sz w:val="24"/>
                <w:szCs w:val="24"/>
              </w:rPr>
              <w:t>系统</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提供左冠、右冠类重建组件，可将左冠和右冠的血管分别单独进行MIP、Reverse-MIP和类造影图像进行重建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支持CASS规范下自定义血管分段命名</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支持血管命名与3D模型交互</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提供血管</w:t>
            </w:r>
            <w:r>
              <w:rPr>
                <w:rFonts w:ascii="仿宋_GB2312" w:hAnsi="仿宋" w:eastAsia="仿宋_GB2312" w:cs="仿宋"/>
                <w:color w:val="auto"/>
                <w:sz w:val="24"/>
                <w:szCs w:val="24"/>
              </w:rPr>
              <w:t>ROI</w:t>
            </w:r>
            <w:r>
              <w:rPr>
                <w:rFonts w:hint="eastAsia" w:ascii="仿宋_GB2312" w:hAnsi="仿宋" w:eastAsia="仿宋_GB2312" w:cs="仿宋"/>
                <w:color w:val="auto"/>
                <w:sz w:val="24"/>
                <w:szCs w:val="24"/>
              </w:rPr>
              <w:t>区域操作工具（勾划增加工具、勾划去除工具、擦除工具）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提供智能二值化工具，根据图像的灰度值进行血管分割区域的新增或去除</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具备智能血管跟踪功能，定位血管始末点进行智能血管追踪并实时3d重建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具备智能静脉去除功能，定位静脉任意点进行静脉始末点精确查找及删除</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具备智能备选血管添加功能，提供多段智能挑选的备选血管供医生选择后进行冠脉树自动精确连接</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2.9</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提供智能血管分析引擎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2.9.1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提供主动脉/动脉血管分割组件，智能识别特征点和起始点，自动分割主动脉并标记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2.9.2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提供静脉辨识&amp;去除组件,智能识别分割结果并去除</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2.9.3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提供钙化斑块/非钙化斑块/混合斑块分割组件，可以实时扫描血管上对应斑块特征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2.9.4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提供支架分割组件，智能识别管腔上支架特征并在算法层分割支架区域</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2.9.5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提供心肌桥分割组件，智能识别管腔上心肌桥特征，判断冠脉血管与心肌间关系，智能分辨心肌桥造成的管腔狭窄与病变狭窄</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2.10</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提供冠脉优势型智能分析（右优势型、左优势型和平衡型冠脉解剖特征），用户可自定义修改结果</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提供左右冠起源智能分析（左冠和右冠起源方位、起源位置），用户可自定义起源结果</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具备心肌桥检出功能：输出肌桥厚度值和壁冠状动脉长度值，并在报告中提示，支持用户修改检出结果</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具备支架检出功能：智能检出支架及支架长度值，并在报告中提示，支持用户修改检出结果</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具备斑块分类功能（钙化斑块、非钙化斑块、混合斑块）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具备分段最狭窄处定位功能，检出显示各个分段管腔最狭窄处</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具备心肌桥狭窄识别功能，根据分辨管腔走形和心肌桥形态特征，区分非钙化斑块和心肌桥造成的狭窄</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具备闭塞段检出功能，智能追踪闭塞段的始末位置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具备斑块狭窄率计算功能，根据对管腔走形和不同分类斑块形态特征的分辨以及周围组织CT值分析，精确计算斑块造成的狭窄率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2.19</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支持两种不同方式的狭窄程度分级（六分级（六分法）、五分级（五分法）），同时可配置百分比模式或非百分比模式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2.20</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具备最狭窄处定位标记功能，自动识别分段内最狭窄处后以标签形式将坐标可视化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管腔剖面分割可视化（拉直序列）：自动展示血管开口至末梢管腔分割结果，医生可以通过管腔的分割结果，看到除去斑块后管腔最狭窄处的情况</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hint="eastAsia" w:ascii="仿宋_GB2312" w:hAnsi="仿宋" w:eastAsia="仿宋_GB2312" w:cs="仿宋"/>
                <w:color w:val="auto"/>
                <w:sz w:val="24"/>
                <w:szCs w:val="24"/>
              </w:rPr>
              <w:t>2</w:t>
            </w:r>
            <w:r>
              <w:rPr>
                <w:rFonts w:ascii="仿宋_GB2312" w:hAnsi="仿宋" w:eastAsia="仿宋_GB2312" w:cs="仿宋"/>
                <w:color w:val="auto"/>
                <w:sz w:val="24"/>
                <w:szCs w:val="24"/>
              </w:rPr>
              <w:t>.22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具备血管分析视图</w:t>
            </w:r>
            <w:r>
              <w:rPr>
                <w:rFonts w:ascii="仿宋_GB2312" w:hAnsi="仿宋" w:eastAsia="仿宋_GB2312" w:cs="仿宋"/>
                <w:color w:val="auto"/>
                <w:sz w:val="24"/>
                <w:szCs w:val="24"/>
              </w:rPr>
              <w:t>，</w:t>
            </w:r>
            <w:r>
              <w:rPr>
                <w:rFonts w:hint="eastAsia" w:ascii="仿宋_GB2312" w:hAnsi="仿宋" w:eastAsia="仿宋_GB2312" w:cs="仿宋"/>
                <w:color w:val="auto"/>
                <w:sz w:val="24"/>
                <w:szCs w:val="24"/>
              </w:rPr>
              <w:t>可自定义血管分析</w:t>
            </w:r>
            <w:r>
              <w:rPr>
                <w:rFonts w:ascii="仿宋_GB2312" w:hAnsi="仿宋" w:eastAsia="仿宋_GB2312" w:cs="仿宋"/>
                <w:color w:val="auto"/>
                <w:sz w:val="24"/>
                <w:szCs w:val="24"/>
              </w:rPr>
              <w:t>：</w:t>
            </w:r>
            <w:r>
              <w:rPr>
                <w:rFonts w:hint="eastAsia" w:ascii="仿宋_GB2312" w:hAnsi="仿宋" w:eastAsia="仿宋_GB2312" w:cs="仿宋"/>
                <w:color w:val="auto"/>
                <w:sz w:val="24"/>
                <w:szCs w:val="24"/>
              </w:rPr>
              <w:t>支持自定义近心端/远心端进行人工狭窄分析</w:t>
            </w:r>
            <w:r>
              <w:rPr>
                <w:rFonts w:ascii="仿宋_GB2312" w:hAnsi="仿宋" w:eastAsia="仿宋_GB2312" w:cs="仿宋"/>
                <w:color w:val="auto"/>
                <w:sz w:val="24"/>
                <w:szCs w:val="24"/>
              </w:rPr>
              <w:t>、</w:t>
            </w:r>
            <w:r>
              <w:rPr>
                <w:rFonts w:hint="eastAsia" w:ascii="仿宋_GB2312" w:hAnsi="仿宋" w:eastAsia="仿宋_GB2312" w:cs="仿宋"/>
                <w:color w:val="auto"/>
                <w:sz w:val="24"/>
                <w:szCs w:val="24"/>
              </w:rPr>
              <w:t>自定义面积法/直径法进行狭窄率计算</w:t>
            </w:r>
            <w:r>
              <w:rPr>
                <w:rFonts w:ascii="仿宋_GB2312" w:hAnsi="仿宋" w:eastAsia="仿宋_GB2312" w:cs="仿宋"/>
                <w:color w:val="auto"/>
                <w:sz w:val="24"/>
                <w:szCs w:val="24"/>
              </w:rPr>
              <w:t>、</w:t>
            </w:r>
            <w:r>
              <w:rPr>
                <w:rFonts w:hint="eastAsia" w:ascii="仿宋_GB2312" w:hAnsi="仿宋" w:eastAsia="仿宋_GB2312" w:cs="仿宋"/>
                <w:color w:val="auto"/>
                <w:sz w:val="24"/>
                <w:szCs w:val="24"/>
              </w:rPr>
              <w:t>基于探针图像进行管腔轮廓浏览及编辑</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具备独立的斑块分析视图</w:t>
            </w:r>
            <w:r>
              <w:rPr>
                <w:rFonts w:ascii="仿宋_GB2312" w:hAnsi="仿宋" w:eastAsia="仿宋_GB2312" w:cs="仿宋"/>
                <w:color w:val="auto"/>
                <w:sz w:val="24"/>
                <w:szCs w:val="24"/>
              </w:rPr>
              <w:t>，</w:t>
            </w:r>
            <w:r>
              <w:rPr>
                <w:rFonts w:hint="eastAsia" w:ascii="仿宋_GB2312" w:hAnsi="仿宋" w:eastAsia="仿宋_GB2312" w:cs="仿宋"/>
                <w:color w:val="auto"/>
                <w:sz w:val="24"/>
                <w:szCs w:val="24"/>
              </w:rPr>
              <w:t>包含并支持VR图、</w:t>
            </w:r>
            <w:r>
              <w:rPr>
                <w:rFonts w:ascii="仿宋_GB2312" w:hAnsi="仿宋" w:eastAsia="仿宋_GB2312" w:cs="仿宋"/>
                <w:color w:val="auto"/>
                <w:sz w:val="24"/>
                <w:szCs w:val="24"/>
              </w:rPr>
              <w:t>CPR</w:t>
            </w:r>
            <w:r>
              <w:rPr>
                <w:rFonts w:hint="eastAsia" w:ascii="仿宋_GB2312" w:hAnsi="仿宋" w:eastAsia="仿宋_GB2312" w:cs="仿宋"/>
                <w:color w:val="auto"/>
                <w:sz w:val="24"/>
                <w:szCs w:val="24"/>
              </w:rPr>
              <w:t>图、探针图、轴位图、侧边栏的同步联动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支持基于</w:t>
            </w:r>
            <w:r>
              <w:rPr>
                <w:rFonts w:ascii="仿宋_GB2312" w:hAnsi="仿宋" w:eastAsia="仿宋_GB2312" w:cs="仿宋"/>
                <w:color w:val="auto"/>
                <w:sz w:val="24"/>
                <w:szCs w:val="24"/>
              </w:rPr>
              <w:t>CPR</w:t>
            </w:r>
            <w:r>
              <w:rPr>
                <w:rFonts w:hint="eastAsia" w:ascii="仿宋_GB2312" w:hAnsi="仿宋" w:eastAsia="仿宋_GB2312" w:cs="仿宋"/>
                <w:color w:val="auto"/>
                <w:sz w:val="24"/>
                <w:szCs w:val="24"/>
              </w:rPr>
              <w:t>和探针影像展示所有斑块和冠脉管腔的精细分割结果，并支持结果的隐藏和显示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支持自动生成斑块成分曲线，包括脂质、纤维脂质、纤维、钙化的成分曲线，并支持用户调整不同成分的阈值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一键报告功能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2.27.1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结构化报告：根据国际SCCT冠脉指南，形成结构化报告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2.27.</w:t>
            </w:r>
            <w:r>
              <w:rPr>
                <w:rFonts w:hint="eastAsia"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自然语言报告：符合用户日常报告书写习惯的模板，至少包括冠脉优势型、起源，SCCT标准的18段分支的病变定位，狭窄和斑块描述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智能选片与胶片打印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2.28</w:t>
            </w:r>
            <w:r>
              <w:rPr>
                <w:rFonts w:hint="eastAsia" w:ascii="仿宋_GB2312" w:hAnsi="仿宋" w:eastAsia="仿宋_GB2312" w:cs="仿宋"/>
                <w:color w:val="auto"/>
                <w:sz w:val="24"/>
                <w:szCs w:val="24"/>
              </w:rPr>
              <w:t>.1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智能VR选取配置：可以根据医院习惯对VR Full、VR Tree、MIP、Reverse-MIP、类DSA图像进行顺序排版配置，可以配置每组胶片选取数量以及特定角度，可以选择带血管名称或不带血管名称等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2.28</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提供病灶最佳角度组合图（探针+CPR+拉直</w:t>
            </w:r>
            <w:r>
              <w:rPr>
                <w:rFonts w:ascii="仿宋_GB2312" w:hAnsi="仿宋" w:eastAsia="仿宋_GB2312" w:cs="仿宋"/>
                <w:color w:val="auto"/>
                <w:sz w:val="24"/>
                <w:szCs w:val="24"/>
              </w:rPr>
              <w:t>+</w:t>
            </w:r>
            <w:r>
              <w:rPr>
                <w:rFonts w:hint="eastAsia" w:ascii="仿宋_GB2312" w:hAnsi="仿宋" w:eastAsia="仿宋_GB2312" w:cs="仿宋"/>
                <w:color w:val="auto"/>
                <w:sz w:val="24"/>
                <w:szCs w:val="24"/>
              </w:rPr>
              <w:t>管腔狭窄曲线）</w:t>
            </w:r>
            <w:r>
              <w:rPr>
                <w:rFonts w:ascii="仿宋_GB2312" w:hAnsi="仿宋" w:eastAsia="仿宋_GB2312" w:cs="仿宋"/>
                <w:color w:val="auto"/>
                <w:sz w:val="24"/>
                <w:szCs w:val="24"/>
              </w:rPr>
              <w:t>：</w:t>
            </w:r>
            <w:r>
              <w:rPr>
                <w:rFonts w:hint="eastAsia" w:ascii="仿宋_GB2312" w:hAnsi="仿宋" w:eastAsia="仿宋_GB2312" w:cs="仿宋"/>
                <w:color w:val="auto"/>
                <w:sz w:val="24"/>
                <w:szCs w:val="24"/>
              </w:rPr>
              <w:t>可根据医院习惯自动生成组合图，并在图中显示医生标识的病灶中心位提示线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2.28</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支持跨期像选片：医生可以跨不同期像选择合适的影像打印或推送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2.28</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支持多期像已选图像在≥</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种窗口视图进行自定义合并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2.28</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支持不同期像血管分段按名称或序列类型排序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2.28</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自动去重：系统可以识别完全相同的图像并自动去重</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FF0000"/>
                <w:sz w:val="24"/>
                <w:szCs w:val="24"/>
              </w:rPr>
            </w:pPr>
            <w:r>
              <w:rPr>
                <w:rFonts w:ascii="仿宋_GB2312" w:hAnsi="仿宋" w:eastAsia="仿宋_GB2312" w:cs="仿宋"/>
                <w:color w:val="FF0000"/>
                <w:sz w:val="24"/>
                <w:szCs w:val="24"/>
              </w:rPr>
              <w:t>2.29</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FF0000"/>
                <w:sz w:val="24"/>
                <w:szCs w:val="24"/>
              </w:rPr>
            </w:pPr>
            <w:r>
              <w:rPr>
                <w:rFonts w:ascii="仿宋_GB2312" w:hAnsi="宋体" w:eastAsia="仿宋_GB2312"/>
                <w:color w:val="FF0000"/>
                <w:sz w:val="24"/>
              </w:rPr>
              <w:t>▲</w:t>
            </w:r>
            <w:r>
              <w:rPr>
                <w:rFonts w:hint="eastAsia" w:ascii="仿宋_GB2312" w:hAnsi="仿宋" w:eastAsia="仿宋_GB2312" w:cs="仿宋"/>
                <w:color w:val="FF0000"/>
                <w:sz w:val="24"/>
                <w:szCs w:val="24"/>
              </w:rPr>
              <w:t>所投产品具备冠脉CTA功能模块，需经过临床验证，疾病检测敏感性和特异性均达到90%以上，提供</w:t>
            </w:r>
            <w:r>
              <w:rPr>
                <w:rFonts w:hint="eastAsia" w:ascii="仿宋_GB2312" w:hAnsi="仿宋" w:eastAsia="仿宋_GB2312" w:cs="仿宋"/>
                <w:color w:val="FF0000"/>
                <w:sz w:val="24"/>
                <w:szCs w:val="24"/>
                <w:lang w:eastAsia="zh-CN"/>
              </w:rPr>
              <w:t>相应</w:t>
            </w:r>
            <w:r>
              <w:rPr>
                <w:rFonts w:hint="eastAsia" w:ascii="仿宋_GB2312" w:hAnsi="仿宋" w:eastAsia="仿宋_GB2312" w:cs="仿宋"/>
                <w:color w:val="FF0000"/>
                <w:sz w:val="24"/>
                <w:szCs w:val="24"/>
              </w:rPr>
              <w:t>证明；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2.30</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提供WHO注册多中心临床研究项目备案号。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b/>
                <w:bCs/>
                <w:color w:val="auto"/>
                <w:sz w:val="24"/>
                <w:szCs w:val="24"/>
              </w:rPr>
            </w:pPr>
            <w:r>
              <w:rPr>
                <w:rFonts w:hint="eastAsia" w:ascii="仿宋_GB2312" w:hAnsi="仿宋" w:eastAsia="仿宋_GB2312" w:cs="仿宋"/>
                <w:b/>
                <w:bCs/>
                <w:color w:val="auto"/>
                <w:sz w:val="24"/>
                <w:szCs w:val="24"/>
              </w:rPr>
              <w:t>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b/>
                <w:bCs/>
                <w:color w:val="auto"/>
                <w:sz w:val="24"/>
                <w:szCs w:val="24"/>
              </w:rPr>
            </w:pPr>
            <w:r>
              <w:rPr>
                <w:rFonts w:hint="eastAsia" w:ascii="仿宋_GB2312" w:hAnsi="仿宋" w:eastAsia="仿宋_GB2312" w:cs="仿宋"/>
                <w:b/>
                <w:bCs/>
                <w:color w:val="auto"/>
                <w:sz w:val="24"/>
                <w:szCs w:val="24"/>
              </w:rPr>
              <w:t>基于冠脉CTA的无创FFR分析系统（CT</w:t>
            </w:r>
            <w:r>
              <w:rPr>
                <w:rFonts w:ascii="仿宋_GB2312" w:hAnsi="仿宋" w:eastAsia="仿宋_GB2312" w:cs="仿宋"/>
                <w:b/>
                <w:bCs/>
                <w:color w:val="auto"/>
                <w:sz w:val="24"/>
                <w:szCs w:val="24"/>
              </w:rPr>
              <w:t>-</w:t>
            </w:r>
            <w:r>
              <w:rPr>
                <w:rFonts w:hint="eastAsia" w:ascii="仿宋_GB2312" w:hAnsi="仿宋" w:eastAsia="仿宋_GB2312" w:cs="仿宋"/>
                <w:b/>
                <w:bCs/>
                <w:color w:val="auto"/>
                <w:sz w:val="24"/>
                <w:szCs w:val="24"/>
              </w:rPr>
              <w:t>FFR）</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提供本地化部署且基于深度学习的多模态大数据联动分析组件，智能影像后处理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病人列表智能管理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支持查阅目标患者基本信息、检查时间、序列名称、图像数量、诊断结果、数值、状态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支持个性化搜索、筛选目标病例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支持数据重新计算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2</w:t>
            </w:r>
            <w:r>
              <w:rPr>
                <w:rFonts w:hint="eastAsia" w:ascii="仿宋_GB2312" w:hAnsi="仿宋" w:eastAsia="仿宋_GB2312" w:cs="仿宋"/>
                <w:color w:val="auto"/>
                <w:sz w:val="24"/>
                <w:szCs w:val="24"/>
              </w:rPr>
              <w:t>.4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支持多期像序列展示；若病例为多期像序列，系统可自动为此病例合并序列展示并提示用户此病例的期像序列数量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自动定位罪犯血管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4</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提供联动组件（轴位图，CPR，探针，曲线窗口联动）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5</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提供多视图智能3D渲染模块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6</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智能血流动力学分析模块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7</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支持智能自定义变量值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8</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支持显示CT</w:t>
            </w:r>
            <w:r>
              <w:rPr>
                <w:rFonts w:ascii="仿宋_GB2312" w:hAnsi="仿宋" w:eastAsia="仿宋_GB2312" w:cs="仿宋"/>
                <w:color w:val="auto"/>
                <w:sz w:val="24"/>
                <w:szCs w:val="24"/>
              </w:rPr>
              <w:t>-</w:t>
            </w:r>
            <w:r>
              <w:rPr>
                <w:rFonts w:hint="eastAsia" w:ascii="仿宋_GB2312" w:hAnsi="仿宋" w:eastAsia="仿宋_GB2312" w:cs="仿宋"/>
                <w:color w:val="auto"/>
                <w:sz w:val="24"/>
                <w:szCs w:val="24"/>
              </w:rPr>
              <w:t>FFR分段数值曲线分布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9</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指出提示狭窄智能定量分析及风险</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10</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自动生成数据特征值综合分析结构化报告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11</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ascii="仿宋_GB2312" w:hAnsi="宋体" w:eastAsia="仿宋_GB2312"/>
                <w:sz w:val="24"/>
              </w:rPr>
              <w:t>▲</w:t>
            </w:r>
            <w:r>
              <w:rPr>
                <w:rFonts w:hint="eastAsia" w:ascii="仿宋_GB2312" w:hAnsi="仿宋" w:eastAsia="仿宋_GB2312" w:cs="仿宋"/>
                <w:color w:val="auto"/>
                <w:sz w:val="24"/>
                <w:szCs w:val="24"/>
              </w:rPr>
              <w:t>智能生成三大支情况图文结构化报告</w:t>
            </w:r>
            <w:r>
              <w:rPr>
                <w:rFonts w:ascii="仿宋_GB2312" w:hAnsi="仿宋" w:eastAsia="仿宋_GB2312" w:cs="仿宋"/>
                <w:color w:val="auto"/>
                <w:sz w:val="24"/>
                <w:szCs w:val="24"/>
              </w:rPr>
              <w:t>，包含VR、CPR探针图</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w:t>
            </w:r>
            <w:r>
              <w:rPr>
                <w:rFonts w:hint="eastAsia" w:ascii="仿宋_GB2312" w:hAnsi="仿宋" w:eastAsia="仿宋_GB2312" w:cs="仿宋"/>
                <w:color w:val="auto"/>
                <w:sz w:val="24"/>
                <w:szCs w:val="24"/>
              </w:rPr>
              <w:t>.</w:t>
            </w:r>
            <w:r>
              <w:rPr>
                <w:rFonts w:ascii="仿宋_GB2312" w:hAnsi="仿宋" w:eastAsia="仿宋_GB2312" w:cs="仿宋"/>
                <w:color w:val="auto"/>
                <w:sz w:val="24"/>
                <w:szCs w:val="24"/>
              </w:rPr>
              <w:t>12</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自动存储数据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jc w:val="center"/>
        </w:trPr>
        <w:tc>
          <w:tcPr>
            <w:tcW w:w="1838" w:type="dxa"/>
            <w:tcBorders>
              <w:top w:val="single" w:color="000000" w:sz="6" w:space="0"/>
              <w:left w:val="single" w:color="000000" w:sz="4"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298"/>
              <w:ind w:firstLine="240"/>
              <w:rPr>
                <w:rFonts w:ascii="仿宋_GB2312" w:hAnsi="仿宋" w:eastAsia="仿宋_GB2312" w:cs="仿宋"/>
                <w:color w:val="auto"/>
                <w:sz w:val="24"/>
                <w:szCs w:val="24"/>
              </w:rPr>
            </w:pPr>
            <w:r>
              <w:rPr>
                <w:rFonts w:ascii="仿宋_GB2312" w:hAnsi="仿宋" w:eastAsia="仿宋_GB2312" w:cs="仿宋"/>
                <w:color w:val="auto"/>
                <w:sz w:val="24"/>
                <w:szCs w:val="24"/>
              </w:rPr>
              <w:t>3.13</w:t>
            </w:r>
          </w:p>
        </w:tc>
        <w:tc>
          <w:tcPr>
            <w:tcW w:w="6967" w:type="dxa"/>
            <w:tcBorders>
              <w:top w:val="single"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vAlign w:val="center"/>
          </w:tcPr>
          <w:p>
            <w:pPr>
              <w:pStyle w:val="298"/>
              <w:rPr>
                <w:rFonts w:ascii="仿宋_GB2312" w:hAnsi="仿宋" w:eastAsia="仿宋_GB2312" w:cs="仿宋"/>
                <w:color w:val="auto"/>
                <w:sz w:val="24"/>
                <w:szCs w:val="24"/>
              </w:rPr>
            </w:pPr>
            <w:r>
              <w:rPr>
                <w:rFonts w:hint="eastAsia" w:ascii="仿宋_GB2312" w:hAnsi="仿宋" w:eastAsia="仿宋_GB2312" w:cs="仿宋"/>
                <w:color w:val="auto"/>
                <w:sz w:val="24"/>
                <w:szCs w:val="24"/>
              </w:rPr>
              <w:t>具备独立的CT</w:t>
            </w:r>
            <w:r>
              <w:rPr>
                <w:rFonts w:ascii="仿宋_GB2312" w:hAnsi="仿宋" w:eastAsia="仿宋_GB2312" w:cs="仿宋"/>
                <w:color w:val="auto"/>
                <w:sz w:val="24"/>
                <w:szCs w:val="24"/>
              </w:rPr>
              <w:t>-</w:t>
            </w:r>
            <w:r>
              <w:rPr>
                <w:rFonts w:hint="eastAsia" w:ascii="仿宋_GB2312" w:hAnsi="仿宋" w:eastAsia="仿宋_GB2312" w:cs="仿宋"/>
                <w:color w:val="auto"/>
                <w:sz w:val="24"/>
                <w:szCs w:val="24"/>
              </w:rPr>
              <w:t>FFR软件著作证书</w:t>
            </w:r>
          </w:p>
        </w:tc>
      </w:tr>
    </w:tbl>
    <w:p>
      <w:pPr>
        <w:pStyle w:val="7"/>
        <w:spacing w:line="360" w:lineRule="auto"/>
        <w:ind w:firstLine="0" w:firstLineChars="0"/>
        <w:rPr>
          <w:rFonts w:ascii="仿宋" w:hAnsi="仿宋" w:eastAsia="仿宋" w:cs="仿宋"/>
          <w:b/>
          <w:bCs/>
          <w:kern w:val="0"/>
          <w:sz w:val="24"/>
        </w:rPr>
      </w:pPr>
      <w:r>
        <w:rPr>
          <w:rFonts w:hint="eastAsia" w:ascii="仿宋" w:hAnsi="仿宋" w:eastAsia="仿宋" w:cs="仿宋"/>
          <w:b/>
          <w:bCs/>
          <w:kern w:val="0"/>
          <w:sz w:val="24"/>
        </w:rPr>
        <w:t>相关要求：</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1、按照电子病历六级评级、互联互通五乙、智慧医院三级、智慧服务三级信息化建设要求，须每年提供相关操作文档包括开发文档及数据采集相关材料。</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2、未涉及业务流程改造，投标方应按医院业务需求修改，不收取任何费用。</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3、投标方提供免费接口供其它系统使用及认证并承担与本软件相关的HIS、LIS、数字认证等医院信息系统接口费用。</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4、本项目实施过程中产生的实施施工费用由中标商承担。</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5、 本次采购为交钥匙项目，本项目预算包括与本项目所有功能实现所产生的费用。凡投标人在报价中未列明但又为本次采购所必备的项目或遗漏项目，采购人将一律视为已包括在其报价中，在合同执行中将不予考虑，投标人根据采购文件、各自情况等进行报价的编制。</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6、投标人须承诺所投科研平台，AI诊断应用软件功能满足一院二区的应用需求，所投的服务器性能、数量需要满足业务需求，保证数据上传调用流畅，AI智能诊断业务不延滞。</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7、支持接入内容包括但不限于下列系统及系统中的信息：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（1）医院CDR</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（2）医疗机构信息系统（HIS）：患者、挂号、入出转、就诊、处方/医嘱、申请、收费三测单等信息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（3） 实验室系统（LIS）：标本、检验结果等信息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（4） 超声信息系统：超声检查、超声报告等信息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（5） 病理信息系统：病理检查、病理标本、病理报告等信息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（6） 内镜信息系统：内镜检查、内镜报告等信息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（7） 放射信息系统：放射检查、放射报告等信息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（8） 电子病历系统（EMR）：入院记录、出院记录、病程等病历信息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（9） 护理系统：护理记录、观察记录、护理文书、用药记录等信息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（10） 病案管理系统：病案首页信息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（11） 重症监护系统：重症护理记录、观察记录、护理文书、用药记录等信息</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8、项目实施进度要求:</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中标人应务必在投标文件中标明工期及实施方案，签订合同后25个工作日内，中标人需将中标物品免费运送至采购方指定场所。本项目实施完成时间：自合同签订之日后3个月内完成。</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lang w:val="en-US" w:eastAsia="zh-CN"/>
        </w:rPr>
        <w:t>9</w:t>
      </w:r>
      <w:r>
        <w:rPr>
          <w:rFonts w:hint="eastAsia" w:ascii="仿宋" w:hAnsi="仿宋" w:eastAsia="仿宋" w:cs="仿宋"/>
          <w:b/>
          <w:bCs/>
          <w:kern w:val="0"/>
          <w:sz w:val="24"/>
        </w:rPr>
        <w:t>、项目培训要求:</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系统操作培训：主要面向使用人员（临床、医技、技术等），提供操作培训及文档.</w:t>
      </w:r>
    </w:p>
    <w:p>
      <w:pPr>
        <w:pStyle w:val="7"/>
        <w:spacing w:line="360" w:lineRule="auto"/>
        <w:ind w:firstLine="482"/>
        <w:rPr>
          <w:rFonts w:hint="eastAsia" w:ascii="仿宋" w:hAnsi="仿宋" w:eastAsia="仿宋" w:cs="仿宋"/>
          <w:b/>
          <w:bCs/>
          <w:kern w:val="0"/>
          <w:sz w:val="24"/>
        </w:rPr>
      </w:pPr>
      <w:r>
        <w:rPr>
          <w:rFonts w:ascii="仿宋" w:hAnsi="仿宋" w:eastAsia="仿宋" w:cs="仿宋"/>
          <w:b/>
          <w:bCs/>
          <w:kern w:val="0"/>
          <w:sz w:val="24"/>
        </w:rPr>
        <w:t>1</w:t>
      </w:r>
      <w:r>
        <w:rPr>
          <w:rFonts w:hint="eastAsia" w:ascii="仿宋" w:hAnsi="仿宋" w:eastAsia="仿宋" w:cs="仿宋"/>
          <w:b/>
          <w:bCs/>
          <w:kern w:val="0"/>
          <w:sz w:val="24"/>
          <w:lang w:val="en-US" w:eastAsia="zh-CN"/>
        </w:rPr>
        <w:t>0</w:t>
      </w:r>
      <w:r>
        <w:rPr>
          <w:rFonts w:hint="eastAsia" w:ascii="仿宋" w:hAnsi="仿宋" w:eastAsia="仿宋" w:cs="仿宋"/>
          <w:b/>
          <w:bCs/>
          <w:kern w:val="0"/>
          <w:sz w:val="24"/>
        </w:rPr>
        <w:t>、项目售后服务要求:</w:t>
      </w:r>
    </w:p>
    <w:p>
      <w:pPr>
        <w:pStyle w:val="7"/>
        <w:spacing w:line="360" w:lineRule="auto"/>
        <w:ind w:firstLine="482"/>
        <w:rPr>
          <w:rFonts w:hint="eastAsia" w:ascii="仿宋" w:hAnsi="仿宋" w:eastAsia="仿宋" w:cs="仿宋"/>
          <w:b/>
          <w:bCs/>
          <w:kern w:val="0"/>
          <w:sz w:val="24"/>
        </w:rPr>
      </w:pPr>
      <w:r>
        <w:rPr>
          <w:rFonts w:ascii="仿宋" w:hAnsi="仿宋" w:eastAsia="仿宋" w:cs="仿宋"/>
          <w:b/>
          <w:bCs/>
          <w:kern w:val="0"/>
          <w:sz w:val="24"/>
        </w:rPr>
        <w:t>1</w:t>
      </w:r>
      <w:r>
        <w:rPr>
          <w:rFonts w:hint="eastAsia" w:ascii="仿宋" w:hAnsi="仿宋" w:eastAsia="仿宋" w:cs="仿宋"/>
          <w:b/>
          <w:bCs/>
          <w:kern w:val="0"/>
          <w:sz w:val="24"/>
          <w:lang w:val="en-US" w:eastAsia="zh-CN"/>
        </w:rPr>
        <w:t>0</w:t>
      </w:r>
      <w:r>
        <w:rPr>
          <w:rFonts w:ascii="仿宋" w:hAnsi="仿宋" w:eastAsia="仿宋" w:cs="仿宋"/>
          <w:b/>
          <w:bCs/>
          <w:kern w:val="0"/>
          <w:sz w:val="24"/>
        </w:rPr>
        <w:t>.1</w:t>
      </w:r>
      <w:r>
        <w:rPr>
          <w:rFonts w:hint="eastAsia" w:ascii="仿宋" w:hAnsi="仿宋" w:eastAsia="仿宋" w:cs="仿宋"/>
          <w:b/>
          <w:bCs/>
          <w:kern w:val="0"/>
          <w:sz w:val="24"/>
        </w:rPr>
        <w:t>投标人必须根据本次招标文件所制定的目标和范围，提出相应的售后服务方案。</w:t>
      </w:r>
    </w:p>
    <w:p>
      <w:pPr>
        <w:pStyle w:val="7"/>
        <w:spacing w:line="360" w:lineRule="auto"/>
        <w:ind w:firstLine="482"/>
        <w:rPr>
          <w:rFonts w:hint="eastAsia" w:ascii="仿宋" w:hAnsi="仿宋" w:eastAsia="仿宋" w:cs="仿宋"/>
          <w:b/>
          <w:bCs/>
          <w:kern w:val="0"/>
          <w:sz w:val="24"/>
        </w:rPr>
      </w:pPr>
      <w:r>
        <w:rPr>
          <w:rFonts w:ascii="仿宋" w:hAnsi="仿宋" w:eastAsia="仿宋" w:cs="仿宋"/>
          <w:b/>
          <w:bCs/>
          <w:kern w:val="0"/>
          <w:sz w:val="24"/>
        </w:rPr>
        <w:t>1</w:t>
      </w:r>
      <w:r>
        <w:rPr>
          <w:rFonts w:hint="eastAsia" w:ascii="仿宋" w:hAnsi="仿宋" w:eastAsia="仿宋" w:cs="仿宋"/>
          <w:b/>
          <w:bCs/>
          <w:kern w:val="0"/>
          <w:sz w:val="24"/>
          <w:lang w:val="en-US" w:eastAsia="zh-CN"/>
        </w:rPr>
        <w:t>0</w:t>
      </w:r>
      <w:r>
        <w:rPr>
          <w:rFonts w:ascii="仿宋" w:hAnsi="仿宋" w:eastAsia="仿宋" w:cs="仿宋"/>
          <w:b/>
          <w:bCs/>
          <w:kern w:val="0"/>
          <w:sz w:val="24"/>
        </w:rPr>
        <w:t>.2</w:t>
      </w:r>
      <w:r>
        <w:rPr>
          <w:rFonts w:hint="eastAsia" w:ascii="仿宋" w:hAnsi="仿宋" w:eastAsia="仿宋" w:cs="仿宋"/>
          <w:b/>
          <w:bCs/>
          <w:kern w:val="0"/>
          <w:sz w:val="24"/>
        </w:rPr>
        <w:t>为保证服务持续可及，供应商应提供7*24小时不间断服务，通过 电话、微信等技术支持方式，以解决日常系统出现的问题咨询和故障处理。当甲方出现紧急故障情况时，立即向投标方电话报修，要求投标方10分钟内响应，积极配合诊断并进行处理。</w:t>
      </w:r>
    </w:p>
    <w:p>
      <w:pPr>
        <w:pStyle w:val="7"/>
        <w:spacing w:line="360" w:lineRule="auto"/>
        <w:ind w:firstLine="482"/>
        <w:rPr>
          <w:rFonts w:hint="eastAsia" w:ascii="仿宋" w:hAnsi="仿宋" w:eastAsia="仿宋" w:cs="仿宋"/>
          <w:b/>
          <w:bCs/>
          <w:kern w:val="0"/>
          <w:sz w:val="24"/>
        </w:rPr>
      </w:pPr>
      <w:r>
        <w:rPr>
          <w:rFonts w:ascii="仿宋" w:hAnsi="仿宋" w:eastAsia="仿宋" w:cs="仿宋"/>
          <w:b/>
          <w:bCs/>
          <w:kern w:val="0"/>
          <w:sz w:val="24"/>
        </w:rPr>
        <w:t>1</w:t>
      </w:r>
      <w:r>
        <w:rPr>
          <w:rFonts w:hint="eastAsia" w:ascii="仿宋" w:hAnsi="仿宋" w:eastAsia="仿宋" w:cs="仿宋"/>
          <w:b/>
          <w:bCs/>
          <w:kern w:val="0"/>
          <w:sz w:val="24"/>
          <w:lang w:val="en-US" w:eastAsia="zh-CN"/>
        </w:rPr>
        <w:t>0</w:t>
      </w:r>
      <w:r>
        <w:rPr>
          <w:rFonts w:ascii="仿宋" w:hAnsi="仿宋" w:eastAsia="仿宋" w:cs="仿宋"/>
          <w:b/>
          <w:bCs/>
          <w:kern w:val="0"/>
          <w:sz w:val="24"/>
        </w:rPr>
        <w:t>.3</w:t>
      </w:r>
      <w:r>
        <w:rPr>
          <w:rFonts w:hint="eastAsia" w:ascii="仿宋" w:hAnsi="仿宋" w:eastAsia="仿宋" w:cs="仿宋"/>
          <w:b/>
          <w:bCs/>
          <w:kern w:val="0"/>
          <w:sz w:val="24"/>
        </w:rPr>
        <w:t>在本合同项目实施及维保期间内，中标方对合同范围内的产品免费提供更新、升级服务。</w:t>
      </w:r>
    </w:p>
    <w:p>
      <w:pPr>
        <w:pStyle w:val="7"/>
        <w:spacing w:line="360" w:lineRule="auto"/>
        <w:ind w:firstLine="482"/>
        <w:rPr>
          <w:rFonts w:hint="eastAsia" w:ascii="仿宋" w:hAnsi="仿宋" w:eastAsia="仿宋" w:cs="仿宋"/>
          <w:b/>
          <w:bCs/>
          <w:kern w:val="0"/>
          <w:sz w:val="24"/>
        </w:rPr>
      </w:pPr>
      <w:r>
        <w:rPr>
          <w:rFonts w:ascii="仿宋" w:hAnsi="仿宋" w:eastAsia="仿宋" w:cs="仿宋"/>
          <w:b/>
          <w:bCs/>
          <w:kern w:val="0"/>
          <w:sz w:val="24"/>
        </w:rPr>
        <w:t>1</w:t>
      </w:r>
      <w:r>
        <w:rPr>
          <w:rFonts w:hint="eastAsia" w:ascii="仿宋" w:hAnsi="仿宋" w:eastAsia="仿宋" w:cs="仿宋"/>
          <w:b/>
          <w:bCs/>
          <w:kern w:val="0"/>
          <w:sz w:val="24"/>
          <w:lang w:val="en-US" w:eastAsia="zh-CN"/>
        </w:rPr>
        <w:t>0</w:t>
      </w:r>
      <w:r>
        <w:rPr>
          <w:rFonts w:ascii="仿宋" w:hAnsi="仿宋" w:eastAsia="仿宋" w:cs="仿宋"/>
          <w:b/>
          <w:bCs/>
          <w:kern w:val="0"/>
          <w:sz w:val="24"/>
        </w:rPr>
        <w:t>.4</w:t>
      </w:r>
      <w:r>
        <w:rPr>
          <w:rFonts w:hint="eastAsia" w:ascii="仿宋" w:hAnsi="仿宋" w:eastAsia="仿宋" w:cs="仿宋"/>
          <w:b/>
          <w:bCs/>
          <w:kern w:val="0"/>
          <w:sz w:val="24"/>
        </w:rPr>
        <w:t>免费质保期：自项目验收之日起，免费原厂质保服务至少为期1年，具体质保年限根据投标人响应的投标文件为准。</w:t>
      </w:r>
    </w:p>
    <w:p>
      <w:pPr>
        <w:pStyle w:val="7"/>
        <w:spacing w:line="360" w:lineRule="auto"/>
        <w:ind w:firstLine="482"/>
        <w:rPr>
          <w:rFonts w:hint="eastAsia" w:ascii="仿宋" w:hAnsi="仿宋" w:eastAsia="仿宋" w:cs="仿宋"/>
          <w:b/>
          <w:bCs/>
          <w:kern w:val="0"/>
          <w:sz w:val="24"/>
        </w:rPr>
      </w:pPr>
      <w:r>
        <w:rPr>
          <w:rFonts w:ascii="仿宋" w:hAnsi="仿宋" w:eastAsia="仿宋" w:cs="仿宋"/>
          <w:b/>
          <w:bCs/>
          <w:kern w:val="0"/>
          <w:sz w:val="24"/>
        </w:rPr>
        <w:t>1</w:t>
      </w:r>
      <w:r>
        <w:rPr>
          <w:rFonts w:hint="eastAsia" w:ascii="仿宋" w:hAnsi="仿宋" w:eastAsia="仿宋" w:cs="仿宋"/>
          <w:b/>
          <w:bCs/>
          <w:kern w:val="0"/>
          <w:sz w:val="24"/>
          <w:lang w:val="en-US" w:eastAsia="zh-CN"/>
        </w:rPr>
        <w:t>1</w:t>
      </w:r>
      <w:r>
        <w:rPr>
          <w:rFonts w:hint="eastAsia" w:ascii="仿宋" w:hAnsi="仿宋" w:eastAsia="仿宋" w:cs="仿宋"/>
          <w:b/>
          <w:bCs/>
          <w:kern w:val="0"/>
          <w:sz w:val="24"/>
        </w:rPr>
        <w:t>、项目验收要求:</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项目的工作内容及成果文档的提交应覆盖以下内容，电子文档是成果不可分割的部分。</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(1)系统实施确认书；</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(2)设备培训资料；</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(3)设备安装维护手册；</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(4)使用操作手册；</w:t>
      </w:r>
    </w:p>
    <w:p>
      <w:pPr>
        <w:pStyle w:val="7"/>
        <w:spacing w:line="360" w:lineRule="auto"/>
        <w:ind w:firstLine="482"/>
        <w:rPr>
          <w:rFonts w:hint="eastAsia" w:ascii="仿宋" w:hAnsi="仿宋" w:eastAsia="仿宋" w:cs="仿宋"/>
          <w:b/>
          <w:bCs/>
          <w:kern w:val="0"/>
          <w:sz w:val="24"/>
        </w:rPr>
      </w:pPr>
      <w:r>
        <w:rPr>
          <w:rFonts w:hint="eastAsia" w:ascii="仿宋" w:hAnsi="仿宋" w:eastAsia="仿宋" w:cs="仿宋"/>
          <w:b/>
          <w:bCs/>
          <w:kern w:val="0"/>
          <w:sz w:val="24"/>
        </w:rPr>
        <w:t>(5)项目验收报告。</w:t>
      </w:r>
    </w:p>
    <w:p>
      <w:pPr>
        <w:pStyle w:val="7"/>
        <w:spacing w:line="360" w:lineRule="auto"/>
        <w:ind w:firstLine="482"/>
        <w:rPr>
          <w:rFonts w:hint="eastAsia" w:ascii="仿宋" w:hAnsi="仿宋" w:eastAsia="仿宋" w:cs="仿宋"/>
          <w:b/>
          <w:bCs/>
          <w:kern w:val="0"/>
          <w:sz w:val="24"/>
        </w:rPr>
      </w:pPr>
      <w:r>
        <w:rPr>
          <w:rFonts w:ascii="仿宋" w:hAnsi="仿宋" w:eastAsia="仿宋" w:cs="仿宋"/>
          <w:b/>
          <w:bCs/>
          <w:kern w:val="0"/>
          <w:sz w:val="24"/>
        </w:rPr>
        <w:t>1</w:t>
      </w:r>
      <w:r>
        <w:rPr>
          <w:rFonts w:hint="eastAsia" w:ascii="仿宋" w:hAnsi="仿宋" w:eastAsia="仿宋" w:cs="仿宋"/>
          <w:b/>
          <w:bCs/>
          <w:kern w:val="0"/>
          <w:sz w:val="24"/>
          <w:lang w:val="en-US" w:eastAsia="zh-CN"/>
        </w:rPr>
        <w:t>2</w:t>
      </w:r>
      <w:r>
        <w:rPr>
          <w:rFonts w:hint="eastAsia" w:ascii="仿宋" w:hAnsi="仿宋" w:eastAsia="仿宋" w:cs="仿宋"/>
          <w:b/>
          <w:bCs/>
          <w:kern w:val="0"/>
          <w:sz w:val="24"/>
        </w:rPr>
        <w:t>、付款方式：</w:t>
      </w:r>
    </w:p>
    <w:p>
      <w:pPr>
        <w:pStyle w:val="7"/>
        <w:spacing w:line="360" w:lineRule="auto"/>
        <w:ind w:firstLine="482" w:firstLineChars="200"/>
        <w:rPr>
          <w:rFonts w:hint="eastAsia" w:ascii="仿宋" w:hAnsi="仿宋" w:eastAsia="仿宋" w:cs="仿宋"/>
          <w:b/>
          <w:bCs/>
          <w:kern w:val="0"/>
          <w:sz w:val="24"/>
        </w:rPr>
      </w:pPr>
      <w:r>
        <w:rPr>
          <w:rFonts w:hint="eastAsia" w:ascii="仿宋" w:hAnsi="仿宋" w:eastAsia="仿宋" w:cs="仿宋"/>
          <w:b/>
          <w:bCs/>
          <w:kern w:val="0"/>
          <w:sz w:val="24"/>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pStyle w:val="2"/>
        <w:numPr>
          <w:ilvl w:val="0"/>
          <w:numId w:val="0"/>
        </w:numPr>
        <w:rPr>
          <w:rFonts w:hint="eastAsia"/>
        </w:rPr>
      </w:pPr>
    </w:p>
    <w:p>
      <w:pPr>
        <w:rPr>
          <w:rFonts w:hint="eastAsia" w:ascii="仿宋" w:hAnsi="仿宋" w:eastAsia="仿宋" w:cs="仿宋"/>
          <w:b/>
          <w:sz w:val="24"/>
          <w:szCs w:val="24"/>
          <w:bdr w:val="single" w:color="000000" w:sz="4" w:space="0"/>
        </w:rPr>
      </w:pPr>
      <w:r>
        <w:rPr>
          <w:rFonts w:hint="eastAsia" w:ascii="仿宋" w:hAnsi="仿宋" w:eastAsia="仿宋" w:cs="仿宋"/>
          <w:b/>
          <w:sz w:val="24"/>
          <w:szCs w:val="24"/>
          <w:bdr w:val="single" w:color="000000" w:sz="4" w:space="0"/>
        </w:rPr>
        <w:br w:type="page"/>
      </w:r>
    </w:p>
    <w:p>
      <w:pPr>
        <w:pStyle w:val="39"/>
        <w:spacing w:before="0" w:beforeAutospacing="0" w:after="0" w:afterAutospacing="0"/>
        <w:rPr>
          <w:rFonts w:ascii="仿宋" w:hAnsi="仿宋" w:eastAsia="仿宋" w:cs="仿宋"/>
          <w:b/>
          <w:bCs/>
          <w:sz w:val="24"/>
          <w:szCs w:val="24"/>
        </w:rPr>
      </w:pPr>
      <w:r>
        <w:rPr>
          <w:rFonts w:hint="eastAsia" w:ascii="仿宋" w:hAnsi="仿宋" w:eastAsia="仿宋" w:cs="仿宋"/>
          <w:b/>
          <w:sz w:val="24"/>
          <w:szCs w:val="24"/>
          <w:bdr w:val="single" w:color="000000" w:sz="4" w:space="0"/>
        </w:rPr>
        <w:t>0</w:t>
      </w:r>
      <w:r>
        <w:rPr>
          <w:rFonts w:hint="eastAsia" w:ascii="仿宋" w:hAnsi="仿宋" w:eastAsia="仿宋" w:cs="仿宋"/>
          <w:b/>
          <w:sz w:val="24"/>
          <w:szCs w:val="24"/>
          <w:bdr w:val="single" w:color="000000" w:sz="4" w:space="0"/>
          <w:lang w:val="en-US" w:eastAsia="zh-CN"/>
        </w:rPr>
        <w:t>2</w:t>
      </w:r>
      <w:r>
        <w:rPr>
          <w:rFonts w:hint="eastAsia" w:ascii="仿宋" w:hAnsi="仿宋" w:eastAsia="仿宋" w:cs="仿宋"/>
          <w:b/>
          <w:bCs/>
          <w:sz w:val="24"/>
          <w:szCs w:val="24"/>
        </w:rPr>
        <w:t>标 绍兴市人民医院基于临床的AI人工智能建设项目，预算金额：100万元</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1.采购内容一览表</w:t>
      </w:r>
    </w:p>
    <w:tbl>
      <w:tblPr>
        <w:tblStyle w:val="44"/>
        <w:tblW w:w="4997"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44"/>
        <w:gridCol w:w="5738"/>
        <w:gridCol w:w="1024"/>
        <w:gridCol w:w="98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438" w:type="pct"/>
            <w:vAlign w:val="center"/>
          </w:tcPr>
          <w:p>
            <w:pPr>
              <w:pStyle w:val="7"/>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序号</w:t>
            </w:r>
          </w:p>
        </w:tc>
        <w:tc>
          <w:tcPr>
            <w:tcW w:w="3378" w:type="pct"/>
            <w:vAlign w:val="center"/>
          </w:tcPr>
          <w:p>
            <w:pPr>
              <w:pStyle w:val="7"/>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采购内容</w:t>
            </w:r>
          </w:p>
        </w:tc>
        <w:tc>
          <w:tcPr>
            <w:tcW w:w="603" w:type="pct"/>
            <w:vAlign w:val="center"/>
          </w:tcPr>
          <w:p>
            <w:pPr>
              <w:pStyle w:val="7"/>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数量</w:t>
            </w:r>
          </w:p>
        </w:tc>
        <w:tc>
          <w:tcPr>
            <w:tcW w:w="579" w:type="pct"/>
            <w:vAlign w:val="center"/>
          </w:tcPr>
          <w:p>
            <w:pPr>
              <w:pStyle w:val="7"/>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438" w:type="pct"/>
            <w:vAlign w:val="center"/>
          </w:tcPr>
          <w:p>
            <w:pPr>
              <w:pStyle w:val="298"/>
              <w:ind w:firstLine="240"/>
              <w:rPr>
                <w:rFonts w:ascii="仿宋" w:hAnsi="仿宋" w:eastAsia="仿宋" w:cs="仿宋"/>
                <w:kern w:val="0"/>
                <w:sz w:val="24"/>
                <w:szCs w:val="24"/>
              </w:rPr>
            </w:pPr>
            <w:r>
              <w:rPr>
                <w:rFonts w:hint="eastAsia" w:ascii="仿宋" w:hAnsi="仿宋" w:eastAsia="仿宋" w:cs="仿宋"/>
                <w:color w:val="auto"/>
                <w:sz w:val="24"/>
                <w:szCs w:val="24"/>
              </w:rPr>
              <w:t>1</w:t>
            </w:r>
          </w:p>
        </w:tc>
        <w:tc>
          <w:tcPr>
            <w:tcW w:w="3378" w:type="pct"/>
            <w:vAlign w:val="center"/>
          </w:tcPr>
          <w:p>
            <w:pPr>
              <w:pStyle w:val="298"/>
              <w:rPr>
                <w:rFonts w:hint="eastAsia" w:ascii="仿宋" w:hAnsi="仿宋" w:eastAsia="仿宋" w:cs="仿宋"/>
                <w:kern w:val="0"/>
                <w:sz w:val="24"/>
                <w:szCs w:val="24"/>
              </w:rPr>
            </w:pPr>
            <w:r>
              <w:rPr>
                <w:rFonts w:hint="eastAsia" w:ascii="仿宋" w:hAnsi="仿宋" w:eastAsia="仿宋" w:cs="仿宋"/>
                <w:b/>
                <w:bCs/>
                <w:sz w:val="24"/>
                <w:szCs w:val="24"/>
              </w:rPr>
              <w:t>绍兴市人民医院基于临床的专病库（</w:t>
            </w:r>
            <w:r>
              <w:rPr>
                <w:rFonts w:hint="eastAsia" w:ascii="仿宋" w:hAnsi="仿宋" w:eastAsia="仿宋" w:cs="仿宋"/>
                <w:kern w:val="0"/>
                <w:sz w:val="24"/>
                <w:szCs w:val="24"/>
                <w:lang w:eastAsia="zh-Hans"/>
              </w:rPr>
              <w:t>肺癌、肝癌</w:t>
            </w:r>
            <w:r>
              <w:rPr>
                <w:rFonts w:hint="eastAsia" w:ascii="仿宋" w:hAnsi="仿宋" w:eastAsia="仿宋" w:cs="仿宋"/>
                <w:b/>
                <w:bCs/>
                <w:sz w:val="24"/>
                <w:szCs w:val="24"/>
              </w:rPr>
              <w:t>）平台</w:t>
            </w:r>
            <w:r>
              <w:rPr>
                <w:rFonts w:ascii="仿宋" w:hAnsi="仿宋" w:eastAsia="仿宋" w:cs="仿宋"/>
                <w:b/>
                <w:bCs/>
                <w:sz w:val="24"/>
                <w:szCs w:val="24"/>
              </w:rPr>
              <w:t xml:space="preserve"> </w:t>
            </w:r>
          </w:p>
        </w:tc>
        <w:tc>
          <w:tcPr>
            <w:tcW w:w="603" w:type="pct"/>
            <w:vAlign w:val="center"/>
          </w:tcPr>
          <w:p>
            <w:pPr>
              <w:spacing w:line="360" w:lineRule="auto"/>
              <w:jc w:val="center"/>
              <w:rPr>
                <w:rFonts w:ascii="仿宋" w:hAnsi="仿宋" w:eastAsia="仿宋" w:cs="仿宋"/>
                <w:kern w:val="0"/>
                <w:sz w:val="24"/>
              </w:rPr>
            </w:pPr>
            <w:r>
              <w:rPr>
                <w:rFonts w:hint="eastAsia" w:ascii="仿宋" w:hAnsi="仿宋" w:eastAsia="仿宋" w:cs="仿宋"/>
                <w:color w:val="000000"/>
                <w:sz w:val="24"/>
              </w:rPr>
              <w:t>1项</w:t>
            </w:r>
          </w:p>
        </w:tc>
        <w:tc>
          <w:tcPr>
            <w:tcW w:w="579" w:type="pct"/>
            <w:vAlign w:val="center"/>
          </w:tcPr>
          <w:p>
            <w:pPr>
              <w:spacing w:line="360" w:lineRule="auto"/>
              <w:jc w:val="center"/>
              <w:rPr>
                <w:rFonts w:ascii="仿宋" w:hAnsi="仿宋" w:eastAsia="仿宋" w:cs="仿宋"/>
                <w:color w:val="000000"/>
                <w:sz w:val="24"/>
              </w:rPr>
            </w:pPr>
          </w:p>
        </w:tc>
      </w:tr>
    </w:tbl>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2.项目概况及要求</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2.1、政策背景</w:t>
      </w:r>
    </w:p>
    <w:p>
      <w:pPr>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近年来，国家、政府不断出台</w:t>
      </w:r>
      <w:r>
        <w:rPr>
          <w:rFonts w:hint="eastAsia" w:ascii="仿宋" w:hAnsi="仿宋" w:eastAsia="仿宋" w:cs="仿宋"/>
          <w:kern w:val="0"/>
          <w:sz w:val="24"/>
          <w:lang w:eastAsia="zh-Hans"/>
        </w:rPr>
        <w:t>健康医疗</w:t>
      </w:r>
      <w:r>
        <w:rPr>
          <w:rFonts w:hint="eastAsia" w:ascii="仿宋" w:hAnsi="仿宋" w:eastAsia="仿宋" w:cs="仿宋"/>
          <w:kern w:val="0"/>
          <w:sz w:val="24"/>
        </w:rPr>
        <w:t>大数据与人工智能相关政策，大力推</w:t>
      </w:r>
      <w:r>
        <w:rPr>
          <w:rFonts w:hint="eastAsia" w:ascii="仿宋" w:hAnsi="仿宋" w:eastAsia="仿宋" w:cs="仿宋"/>
          <w:kern w:val="0"/>
          <w:sz w:val="24"/>
          <w:lang w:eastAsia="zh-Hans"/>
        </w:rPr>
        <w:t>动医疗</w:t>
      </w:r>
      <w:r>
        <w:rPr>
          <w:rFonts w:hint="eastAsia" w:ascii="仿宋" w:hAnsi="仿宋" w:eastAsia="仿宋" w:cs="仿宋"/>
          <w:kern w:val="0"/>
          <w:sz w:val="24"/>
        </w:rPr>
        <w:t>大数据和人工智能的发展</w:t>
      </w:r>
      <w:r>
        <w:rPr>
          <w:rFonts w:hint="eastAsia" w:ascii="仿宋" w:hAnsi="仿宋" w:eastAsia="仿宋" w:cs="仿宋"/>
          <w:kern w:val="0"/>
          <w:sz w:val="24"/>
          <w:lang w:eastAsia="zh-Hans"/>
        </w:rPr>
        <w:t>。</w:t>
      </w:r>
      <w:r>
        <w:rPr>
          <w:rFonts w:hint="eastAsia" w:ascii="仿宋" w:hAnsi="仿宋" w:eastAsia="仿宋" w:cs="仿宋"/>
          <w:kern w:val="0"/>
          <w:sz w:val="24"/>
        </w:rPr>
        <w:t>2016年6月，国务院发布</w:t>
      </w:r>
      <w:r>
        <w:rPr>
          <w:rFonts w:hint="eastAsia" w:ascii="仿宋" w:hAnsi="仿宋" w:eastAsia="仿宋" w:cs="仿宋"/>
          <w:kern w:val="0"/>
          <w:sz w:val="24"/>
          <w:lang w:eastAsia="zh-Hans"/>
        </w:rPr>
        <w:t>了</w:t>
      </w:r>
      <w:r>
        <w:rPr>
          <w:rFonts w:hint="eastAsia" w:ascii="仿宋" w:hAnsi="仿宋" w:eastAsia="仿宋" w:cs="仿宋"/>
          <w:kern w:val="0"/>
          <w:sz w:val="24"/>
        </w:rPr>
        <w:t>《关于促进和规范健康医疗大数据应用发展的指导意见》（以下简称“意见”），意见指出，健康医疗大数据是国家重要的基础性战略资源。推进健康医疗临床和科研大数据应用、充分利用优势资源，优化生物医学大数据布局，依托国家临床医学研究中心和协同研究网络，系统加强临床和科研数据资源整合共享，提升医学科研及应用效能，推动智慧医疗发展。</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lang w:eastAsia="zh-Hans"/>
        </w:rPr>
        <w:t>随后几年，国务院发布的政策，更加关注</w:t>
      </w:r>
      <w:r>
        <w:rPr>
          <w:rFonts w:hint="eastAsia" w:ascii="仿宋" w:hAnsi="仿宋" w:eastAsia="仿宋" w:cs="仿宋"/>
          <w:kern w:val="0"/>
          <w:sz w:val="24"/>
        </w:rPr>
        <w:t>健康医疗大数据</w:t>
      </w:r>
      <w:r>
        <w:rPr>
          <w:rFonts w:hint="eastAsia" w:ascii="仿宋" w:hAnsi="仿宋" w:eastAsia="仿宋" w:cs="仿宋"/>
          <w:kern w:val="0"/>
          <w:sz w:val="24"/>
          <w:lang w:eastAsia="zh-Hans"/>
        </w:rPr>
        <w:t>集成、行业治理、临床和科研</w:t>
      </w:r>
      <w:r>
        <w:rPr>
          <w:rFonts w:hint="eastAsia" w:ascii="仿宋" w:hAnsi="仿宋" w:eastAsia="仿宋" w:cs="仿宋"/>
          <w:kern w:val="0"/>
          <w:sz w:val="24"/>
        </w:rPr>
        <w:t>等领域的应用</w:t>
      </w:r>
      <w:r>
        <w:rPr>
          <w:rFonts w:hint="eastAsia" w:ascii="仿宋" w:hAnsi="仿宋" w:eastAsia="仿宋" w:cs="仿宋"/>
          <w:kern w:val="0"/>
          <w:sz w:val="24"/>
          <w:lang w:eastAsia="zh-Hans"/>
        </w:rPr>
        <w:t>及成果转化。其中，</w:t>
      </w:r>
      <w:r>
        <w:rPr>
          <w:rFonts w:hint="eastAsia" w:ascii="仿宋" w:hAnsi="仿宋" w:eastAsia="仿宋" w:cs="仿宋"/>
          <w:kern w:val="0"/>
          <w:sz w:val="24"/>
        </w:rPr>
        <w:t>国家卫健委和国家中医药管理局</w:t>
      </w:r>
      <w:r>
        <w:rPr>
          <w:rFonts w:hint="eastAsia" w:ascii="仿宋" w:hAnsi="仿宋" w:eastAsia="仿宋" w:cs="仿宋"/>
          <w:kern w:val="0"/>
          <w:sz w:val="24"/>
          <w:lang w:eastAsia="zh-Hans"/>
        </w:rPr>
        <w:t>发布的</w:t>
      </w:r>
      <w:r>
        <w:rPr>
          <w:rFonts w:hint="eastAsia" w:ascii="仿宋" w:hAnsi="仿宋" w:eastAsia="仿宋" w:cs="仿宋"/>
          <w:kern w:val="0"/>
          <w:sz w:val="24"/>
        </w:rPr>
        <w:t>《公立医院高质量发展促进行动（2021-2025年）》</w:t>
      </w:r>
      <w:r>
        <w:rPr>
          <w:rFonts w:hint="eastAsia" w:ascii="仿宋" w:hAnsi="仿宋" w:eastAsia="仿宋" w:cs="仿宋"/>
          <w:kern w:val="0"/>
          <w:sz w:val="24"/>
          <w:lang w:eastAsia="zh-Hans"/>
        </w:rPr>
        <w:t>指出：在“十四五”期间，要求以医疗质量、医疗服务、医学教育、临床科研、医院管理提升为重点，以公立医院高质量发展指数为标尺，推动我国公立医院医疗服务和管理能力再上新台阶。</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2.2、医院背景分析</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rPr>
        <w:t>绍兴市人民医院</w:t>
      </w:r>
      <w:r>
        <w:rPr>
          <w:rFonts w:hint="eastAsia" w:ascii="仿宋" w:hAnsi="仿宋" w:eastAsia="仿宋" w:cs="仿宋"/>
          <w:kern w:val="0"/>
          <w:sz w:val="24"/>
          <w:lang w:eastAsia="zh-Hans"/>
        </w:rPr>
        <w:t>是</w:t>
      </w:r>
      <w:r>
        <w:rPr>
          <w:rFonts w:hint="eastAsia" w:ascii="仿宋" w:hAnsi="仿宋" w:eastAsia="仿宋" w:cs="仿宋"/>
          <w:kern w:val="0"/>
          <w:sz w:val="24"/>
        </w:rPr>
        <w:t>集医疗、教学、科研、预防、康复、保健为一体的现代化综合性三级甲等医院</w:t>
      </w:r>
      <w:r>
        <w:rPr>
          <w:rFonts w:hint="eastAsia" w:ascii="仿宋" w:hAnsi="仿宋" w:eastAsia="仿宋" w:cs="仿宋"/>
          <w:kern w:val="0"/>
          <w:sz w:val="24"/>
          <w:lang w:eastAsia="zh-Hans"/>
        </w:rPr>
        <w:t>。医院秉承科教兴院、人才强院的理念，致力于加快学科建设、专业细化和整合步伐，不断优化专业结构，积极发展医学重点学科，其中，中西医结合卒中康复学为浙江省中医药重点学科；肿瘤学（消化系）、神经病学为浙江省医学重点扶植学科；心血管病学、普通外科学（肝胆胰）、医学分子生物学、病理学、骨外科学、医学影像学、泌尿外科学为浙江省绍兴市共建医学重点扶植学科；绍兴市医学重点学科30个，囊括全市领先学科一层次，共4个，领先二层次6个，占全市60% ,引领医院医疗技术与科技创新的发展，在全省乃至全国具有较高影响力。</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lang w:eastAsia="zh-Hans"/>
        </w:rPr>
        <w:t>作为绍兴市卫健系统首批设立市级重点实验室单位，现有肿瘤功能分子影像与介入诊疗重点实验室、腹部微创外科与肿瘤精准诊疗重点实验室、心脑血管疾病康复技术创新与应用重点实验室等3个市级重点实验室（含培育1个）；设有全市卫健系统首家浙江省博士后工作站；创建绍兴市重点创新团队4个，部分优势学科、关键技术和整体创新环境已跨入国内先进行列。</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lang w:eastAsia="zh-Hans"/>
        </w:rPr>
        <w:t>近十年，承担各级各类纵向科研项目751项，其中，国家自然科学基金 11项、省级92项，立项数位居我省地市级医院前列，获各类成果奖184项次；发表论文3942篇，SCI/SSCI收录541篇，其中TOP期刊23篇（1区8篇，最高 IF23.629 ）,中华级420篇。出版医学专著42部。取得软件著作权70项，授权专利462项,其中发明专利18项、成果转化20项，专利转化量位列《中国医院创新转化排行榜》全国地市级三甲医院第18位，进入综合榜单全国50强。医院被授予浙江省卫生科技教育工作先进集体。</w:t>
      </w:r>
    </w:p>
    <w:p>
      <w:pPr>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lang w:eastAsia="zh-Hans"/>
        </w:rPr>
        <w:t>为贯彻落实</w:t>
      </w:r>
      <w:r>
        <w:rPr>
          <w:rFonts w:hint="eastAsia" w:ascii="仿宋" w:hAnsi="仿宋" w:eastAsia="仿宋" w:cs="仿宋"/>
          <w:kern w:val="0"/>
          <w:sz w:val="24"/>
        </w:rPr>
        <w:t>《公立医院高质量发展促进行动（2021-2025年）》</w:t>
      </w:r>
      <w:r>
        <w:rPr>
          <w:rFonts w:hint="eastAsia" w:ascii="仿宋" w:hAnsi="仿宋" w:eastAsia="仿宋" w:cs="仿宋"/>
          <w:kern w:val="0"/>
          <w:sz w:val="24"/>
          <w:lang w:eastAsia="zh-Hans"/>
        </w:rPr>
        <w:t>、《</w:t>
      </w:r>
      <w:r>
        <w:rPr>
          <w:rFonts w:hint="eastAsia" w:ascii="仿宋" w:hAnsi="仿宋" w:eastAsia="仿宋" w:cs="仿宋"/>
          <w:kern w:val="0"/>
          <w:sz w:val="24"/>
        </w:rPr>
        <w:t>“十四五”国家临床专科能力建设规划》</w:t>
      </w:r>
      <w:r>
        <w:rPr>
          <w:rFonts w:hint="eastAsia" w:ascii="仿宋" w:hAnsi="仿宋" w:eastAsia="仿宋" w:cs="仿宋"/>
          <w:kern w:val="0"/>
          <w:sz w:val="24"/>
          <w:lang w:eastAsia="zh-Hans"/>
        </w:rPr>
        <w:t>，</w:t>
      </w:r>
      <w:r>
        <w:rPr>
          <w:rFonts w:hint="eastAsia" w:ascii="仿宋" w:hAnsi="仿宋" w:eastAsia="仿宋" w:cs="仿宋"/>
          <w:kern w:val="0"/>
          <w:sz w:val="24"/>
        </w:rPr>
        <w:t>为支持医院的高标准、严要求、不断技术创新、服务创新的远景，医院希望通过</w:t>
      </w:r>
      <w:r>
        <w:rPr>
          <w:rFonts w:hint="eastAsia" w:ascii="仿宋" w:hAnsi="仿宋" w:eastAsia="仿宋" w:cs="仿宋"/>
          <w:kern w:val="0"/>
          <w:sz w:val="24"/>
          <w:lang w:eastAsia="zh-Hans"/>
        </w:rPr>
        <w:t>大数据</w:t>
      </w:r>
      <w:r>
        <w:rPr>
          <w:rFonts w:hint="eastAsia" w:ascii="仿宋" w:hAnsi="仿宋" w:eastAsia="仿宋" w:cs="仿宋"/>
          <w:kern w:val="0"/>
          <w:sz w:val="24"/>
        </w:rPr>
        <w:t>科研平台的建设，引入大数据、AI人工智能技术，帮助医院更好的进行科研创新和成果转化。</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2.3、必要性分析</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lang w:eastAsia="zh-Hans"/>
        </w:rPr>
        <w:t>本项目将结合我院在肺癌、肝癌专病诊疗方面雄厚的医学实力，利用人工智能技术，进行肺癌和肝癌专病数据库智慧化建设，建设此项目有专病管理需求推动和创新技术推动。</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lang w:eastAsia="zh-Hans"/>
        </w:rPr>
        <w:t>（</w:t>
      </w:r>
      <w:r>
        <w:rPr>
          <w:rFonts w:ascii="仿宋" w:hAnsi="仿宋" w:eastAsia="仿宋" w:cs="仿宋"/>
          <w:kern w:val="0"/>
          <w:sz w:val="24"/>
          <w:lang w:eastAsia="zh-Hans"/>
        </w:rPr>
        <w:t>1</w:t>
      </w:r>
      <w:r>
        <w:rPr>
          <w:rFonts w:hint="eastAsia" w:ascii="仿宋" w:hAnsi="仿宋" w:eastAsia="仿宋" w:cs="仿宋"/>
          <w:kern w:val="0"/>
          <w:sz w:val="24"/>
          <w:lang w:eastAsia="zh-Hans"/>
        </w:rPr>
        <w:t>）专病管理需求推动驱动</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lang w:eastAsia="zh-Hans"/>
        </w:rPr>
        <w:t>数据集成整合的需求。</w:t>
      </w:r>
      <w:r>
        <w:rPr>
          <w:rFonts w:hint="eastAsia" w:ascii="仿宋" w:hAnsi="仿宋" w:eastAsia="仿宋" w:cs="仿宋"/>
          <w:kern w:val="0"/>
          <w:sz w:val="24"/>
        </w:rPr>
        <w:t>开展临床科研通常需要把HIS、LIS、PACS 等多个临床业务系统中的数据进行集成整合。以全面、标准、统一的格式整合病例数据并提供统一存储。</w:t>
      </w:r>
    </w:p>
    <w:p>
      <w:pPr>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lang w:eastAsia="zh-Hans"/>
        </w:rPr>
        <w:t>疾病数据库模型构建需求。</w:t>
      </w:r>
      <w:r>
        <w:rPr>
          <w:rFonts w:hint="eastAsia" w:ascii="仿宋" w:hAnsi="仿宋" w:eastAsia="仿宋" w:cs="仿宋"/>
          <w:kern w:val="0"/>
          <w:sz w:val="24"/>
        </w:rPr>
        <w:t>由于专科专病关注的临床信息域比较类似，更容易统一管理。同一专病的疾病分型和分期比较接近，诊疗措施比较接近，并发症比较类似，选用的文书模板相对集中，各种结果报告的描述及关注点比较相同，非常有利于后期的后结构化数据的提取，以及数据标准化诊疗方案更有利于专病的治疗规范。针对医学专病科学研究，需要定制化开发适用于某种疾病的数据模型，以便于开展有针对性的研究，可带来以下好处：</w:t>
      </w:r>
    </w:p>
    <w:p>
      <w:pPr>
        <w:numPr>
          <w:ilvl w:val="0"/>
          <w:numId w:val="9"/>
        </w:numPr>
        <w:spacing w:line="360" w:lineRule="auto"/>
        <w:jc w:val="left"/>
        <w:rPr>
          <w:rFonts w:ascii="仿宋" w:hAnsi="仿宋" w:eastAsia="仿宋" w:cs="仿宋"/>
          <w:kern w:val="0"/>
          <w:sz w:val="24"/>
        </w:rPr>
      </w:pPr>
      <w:r>
        <w:rPr>
          <w:rFonts w:hint="eastAsia" w:ascii="仿宋" w:hAnsi="仿宋" w:eastAsia="仿宋" w:cs="仿宋"/>
          <w:kern w:val="0"/>
          <w:sz w:val="24"/>
        </w:rPr>
        <w:t>构建临床科研专病库平台，成为临床科研病种管理、课题管理、科研病例资料收集、整理及管理的依托。</w:t>
      </w:r>
    </w:p>
    <w:p>
      <w:pPr>
        <w:numPr>
          <w:ilvl w:val="0"/>
          <w:numId w:val="9"/>
        </w:numPr>
        <w:spacing w:line="360" w:lineRule="auto"/>
        <w:jc w:val="left"/>
        <w:rPr>
          <w:rFonts w:ascii="仿宋" w:hAnsi="仿宋" w:eastAsia="仿宋" w:cs="仿宋"/>
          <w:kern w:val="0"/>
          <w:sz w:val="24"/>
        </w:rPr>
      </w:pPr>
      <w:r>
        <w:rPr>
          <w:rFonts w:hint="eastAsia" w:ascii="仿宋" w:hAnsi="仿宋" w:eastAsia="仿宋" w:cs="仿宋"/>
          <w:kern w:val="0"/>
          <w:sz w:val="24"/>
        </w:rPr>
        <w:t>科研病历资料收集自动化。</w:t>
      </w:r>
    </w:p>
    <w:p>
      <w:pPr>
        <w:numPr>
          <w:ilvl w:val="0"/>
          <w:numId w:val="9"/>
        </w:numPr>
        <w:spacing w:line="360" w:lineRule="auto"/>
        <w:jc w:val="left"/>
        <w:rPr>
          <w:rFonts w:ascii="仿宋" w:hAnsi="仿宋" w:eastAsia="仿宋" w:cs="仿宋"/>
          <w:kern w:val="0"/>
          <w:sz w:val="24"/>
        </w:rPr>
      </w:pPr>
      <w:r>
        <w:rPr>
          <w:rFonts w:hint="eastAsia" w:ascii="仿宋" w:hAnsi="仿宋" w:eastAsia="仿宋" w:cs="仿宋"/>
          <w:kern w:val="0"/>
          <w:sz w:val="24"/>
        </w:rPr>
        <w:t>统一规范专病库科研数据集。</w:t>
      </w:r>
    </w:p>
    <w:p>
      <w:pPr>
        <w:numPr>
          <w:ilvl w:val="0"/>
          <w:numId w:val="9"/>
        </w:numPr>
        <w:spacing w:line="360" w:lineRule="auto"/>
        <w:jc w:val="left"/>
        <w:rPr>
          <w:rFonts w:ascii="仿宋" w:hAnsi="仿宋" w:eastAsia="仿宋" w:cs="仿宋"/>
          <w:kern w:val="0"/>
          <w:sz w:val="24"/>
        </w:rPr>
      </w:pPr>
      <w:r>
        <w:rPr>
          <w:rFonts w:hint="eastAsia" w:ascii="仿宋" w:hAnsi="仿宋" w:eastAsia="仿宋" w:cs="仿宋"/>
          <w:kern w:val="0"/>
          <w:sz w:val="24"/>
        </w:rPr>
        <w:t>规范化科研病历报告CRF表单定义。</w:t>
      </w:r>
    </w:p>
    <w:p>
      <w:pPr>
        <w:numPr>
          <w:ilvl w:val="0"/>
          <w:numId w:val="9"/>
        </w:numPr>
        <w:spacing w:line="360" w:lineRule="auto"/>
        <w:jc w:val="left"/>
        <w:rPr>
          <w:rFonts w:ascii="仿宋" w:hAnsi="仿宋" w:eastAsia="仿宋" w:cs="仿宋"/>
          <w:kern w:val="0"/>
          <w:sz w:val="24"/>
        </w:rPr>
      </w:pPr>
      <w:r>
        <w:rPr>
          <w:rFonts w:hint="eastAsia" w:ascii="仿宋" w:hAnsi="仿宋" w:eastAsia="仿宋" w:cs="仿宋"/>
          <w:kern w:val="0"/>
          <w:sz w:val="24"/>
        </w:rPr>
        <w:t>统一专病支持多个课题，避免资料的重复收集和整理，造成资源浪费。</w:t>
      </w:r>
    </w:p>
    <w:p>
      <w:pPr>
        <w:numPr>
          <w:ilvl w:val="0"/>
          <w:numId w:val="9"/>
        </w:numPr>
        <w:spacing w:line="360" w:lineRule="auto"/>
        <w:jc w:val="left"/>
        <w:rPr>
          <w:rFonts w:ascii="仿宋" w:hAnsi="仿宋" w:eastAsia="仿宋" w:cs="仿宋"/>
          <w:kern w:val="0"/>
          <w:sz w:val="24"/>
        </w:rPr>
      </w:pPr>
      <w:r>
        <w:rPr>
          <w:rFonts w:hint="eastAsia" w:ascii="仿宋" w:hAnsi="仿宋" w:eastAsia="仿宋" w:cs="仿宋"/>
          <w:kern w:val="0"/>
          <w:sz w:val="24"/>
        </w:rPr>
        <w:t>支持自动表单填写，并能同时显示参考信息，减少手工录入，减少填写工作量，避免误差，大大提高CRF表单的完成效率。</w:t>
      </w:r>
    </w:p>
    <w:p>
      <w:pPr>
        <w:numPr>
          <w:ilvl w:val="0"/>
          <w:numId w:val="9"/>
        </w:numPr>
        <w:spacing w:line="360" w:lineRule="auto"/>
        <w:jc w:val="left"/>
        <w:rPr>
          <w:rFonts w:ascii="仿宋" w:hAnsi="仿宋" w:eastAsia="仿宋" w:cs="仿宋"/>
          <w:kern w:val="0"/>
          <w:sz w:val="24"/>
        </w:rPr>
      </w:pPr>
      <w:r>
        <w:rPr>
          <w:rFonts w:hint="eastAsia" w:ascii="仿宋" w:hAnsi="仿宋" w:eastAsia="仿宋" w:cs="仿宋"/>
          <w:kern w:val="0"/>
          <w:sz w:val="24"/>
        </w:rPr>
        <w:t>完善病历资料权限管理，保护科研病例资料的安全。</w:t>
      </w:r>
    </w:p>
    <w:p>
      <w:pPr>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lang w:eastAsia="zh-Hans"/>
        </w:rPr>
        <w:t>全链路科研管理。</w:t>
      </w:r>
      <w:r>
        <w:rPr>
          <w:rFonts w:hint="eastAsia" w:ascii="仿宋" w:hAnsi="仿宋" w:eastAsia="仿宋" w:cs="仿宋"/>
          <w:kern w:val="0"/>
          <w:sz w:val="24"/>
        </w:rPr>
        <w:t>目前，医院现行的信息系统并不能</w:t>
      </w:r>
      <w:r>
        <w:rPr>
          <w:rFonts w:hint="eastAsia" w:ascii="仿宋" w:hAnsi="仿宋" w:eastAsia="仿宋" w:cs="仿宋"/>
          <w:kern w:val="0"/>
          <w:sz w:val="24"/>
          <w:lang w:eastAsia="zh-Hans"/>
        </w:rPr>
        <w:t>高效</w:t>
      </w:r>
      <w:r>
        <w:rPr>
          <w:rFonts w:hint="eastAsia" w:ascii="仿宋" w:hAnsi="仿宋" w:eastAsia="仿宋" w:cs="仿宋"/>
          <w:kern w:val="0"/>
          <w:sz w:val="24"/>
        </w:rPr>
        <w:t>提供</w:t>
      </w:r>
      <w:r>
        <w:rPr>
          <w:rFonts w:hint="eastAsia" w:ascii="仿宋" w:hAnsi="仿宋" w:eastAsia="仿宋" w:cs="仿宋"/>
          <w:kern w:val="0"/>
          <w:sz w:val="24"/>
          <w:lang w:eastAsia="zh-Hans"/>
        </w:rPr>
        <w:t>完全</w:t>
      </w:r>
      <w:r>
        <w:rPr>
          <w:rFonts w:hint="eastAsia" w:ascii="仿宋" w:hAnsi="仿宋" w:eastAsia="仿宋" w:cs="仿宋"/>
          <w:kern w:val="0"/>
          <w:sz w:val="24"/>
        </w:rPr>
        <w:t>符合要求的临床科研数据，科研数据前期还是需要人工录入，极大地影响了科研工作的效率和准确性</w:t>
      </w:r>
      <w:r>
        <w:rPr>
          <w:rFonts w:hint="eastAsia" w:ascii="仿宋" w:hAnsi="仿宋" w:eastAsia="仿宋" w:cs="仿宋"/>
          <w:kern w:val="0"/>
          <w:sz w:val="24"/>
          <w:lang w:eastAsia="zh-Hans"/>
        </w:rPr>
        <w:t>，</w:t>
      </w:r>
      <w:r>
        <w:rPr>
          <w:rFonts w:hint="eastAsia" w:ascii="仿宋" w:hAnsi="仿宋" w:eastAsia="仿宋" w:cs="仿宋"/>
          <w:kern w:val="0"/>
          <w:sz w:val="24"/>
        </w:rPr>
        <w:t>迫切需要对医院现行的信息化系统升级，以满足临床科研的需求。</w:t>
      </w:r>
    </w:p>
    <w:p>
      <w:pPr>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提供从初步设想、自主筛选、定课题、设计随访、随访管理、CRF导入、分析软件、撰写文章，一套针对研究型病例、涵盖临床研究各环节的全链路规范化的临床科研信息系统，可以提供个性化定制的结构化数据。引入人工智能辅助科研探索，只需设定观测变量与待研究的影响因素自动进行数据分组探索，自动选择数据分析算法与模型，自动计算相关性、显著性，实现一站式AI自动化提取入库。</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lang w:eastAsia="zh-Hans"/>
        </w:rPr>
        <w:t>（2）创新技术驱动</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lang w:eastAsia="zh-Hans"/>
        </w:rPr>
        <w:t>患者数据深度有效利用。根据IDC统计，到2020年全球数据总量将猛增至35ZB，约为2011年全球数据总量的20倍。特别是在综合性医院，各种业务系统中积累了很多结构化和非结构化的数据，从体量上医疗数据已经变得非常“大”，而且数据的复杂性使其具有了大数据的特征，迫切需要深入分析现有的各类数据，以便获得其中具有重要价值的信息。</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lang w:eastAsia="zh-Hans"/>
        </w:rPr>
        <w:t>传统的数据分析方式往往只针对相对单一的数据集合来进行分析，这种方式存在数据割裂以及信息关联程度较差的问题。而大数据分析技术可对多种集合或不同类型的数据进行聚合处理与分析，它更加重视不同数据间的融合与关联分析，是一种关注全局特征的分析方式。规范建立医院大数据专科教学数据库，从数据的采集、存储、传输、集成分析与应用等方面实现规范化、标准化，同时与医院教学工作和临床业务发展深度结合，形成基于医院大数据的管理与运营体系，有利于促进医院教学资源拓展、教学水平提高，协同带动临床业务与管理水平的提升。</w:t>
      </w:r>
    </w:p>
    <w:p>
      <w:pPr>
        <w:spacing w:line="360" w:lineRule="auto"/>
        <w:ind w:firstLine="480" w:firstLineChars="200"/>
        <w:jc w:val="left"/>
        <w:rPr>
          <w:rFonts w:ascii="仿宋" w:hAnsi="仿宋" w:eastAsia="仿宋" w:cs="仿宋"/>
          <w:kern w:val="0"/>
          <w:sz w:val="24"/>
          <w:lang w:eastAsia="zh-Hans"/>
        </w:rPr>
      </w:pPr>
      <w:r>
        <w:rPr>
          <w:rFonts w:hint="eastAsia" w:ascii="仿宋" w:hAnsi="仿宋" w:eastAsia="仿宋" w:cs="仿宋"/>
          <w:kern w:val="0"/>
          <w:sz w:val="24"/>
          <w:lang w:eastAsia="zh-Hans"/>
        </w:rPr>
        <w:t>患者数据价值驱动。在传统的临床医学教育中，“基于案例”教学法(Case-based learning, CBL) 是一种由PBL教学法（基于问题的学习, Problem-Based Learning）发展而来，以临床案例为基础，设计与之相关的问题，引导并启发学生围绕问题展开讨论的一种讨论式教学法。它以满足条件的典型真实案例为基础，引导学生针对病例中的重点、疑点、难点及问题进行讨论，带教教师对病例进行总结归纳并解析，引导学员做出正确的临床诊断、鉴别诊断及诊疗思路。CBL教学法被广泛应用于医学教学开展中，相比于传统教学方法，可促进学员在真实病例中强化知识、培养临床思维，然而在实际教学开展中，CBL常常受限于病例量少、重复性高、数据多样性不足等诸多问题，这时基于医疗大数据的研究方法显示出了其优越性，为医学教学专科病例积累提供了新的解决方案，也是医院大数据资源价值得以体现的关键所在。</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3</w:t>
      </w:r>
      <w:r>
        <w:rPr>
          <w:rFonts w:hint="eastAsia" w:ascii="仿宋" w:hAnsi="仿宋" w:eastAsia="仿宋" w:cs="仿宋"/>
          <w:kern w:val="0"/>
          <w:sz w:val="24"/>
          <w:lang w:val="en-US" w:eastAsia="zh-CN"/>
        </w:rPr>
        <w:t>.</w:t>
      </w:r>
      <w:r>
        <w:rPr>
          <w:rFonts w:hint="eastAsia" w:ascii="仿宋" w:hAnsi="仿宋" w:eastAsia="仿宋" w:cs="仿宋"/>
          <w:kern w:val="0"/>
          <w:sz w:val="24"/>
        </w:rPr>
        <w:t>招标技术及其它要求</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rPr>
        <w:t>3.1绍兴市人民医院基于临床的AI人工智能建设技术参数要求：</w:t>
      </w:r>
    </w:p>
    <w:tbl>
      <w:tblPr>
        <w:tblStyle w:val="44"/>
        <w:tblW w:w="4997" w:type="pct"/>
        <w:tblInd w:w="0" w:type="dxa"/>
        <w:tblLayout w:type="autofit"/>
        <w:tblCellMar>
          <w:top w:w="0" w:type="dxa"/>
          <w:left w:w="108" w:type="dxa"/>
          <w:bottom w:w="0" w:type="dxa"/>
          <w:right w:w="108" w:type="dxa"/>
        </w:tblCellMar>
      </w:tblPr>
      <w:tblGrid>
        <w:gridCol w:w="1440"/>
        <w:gridCol w:w="7050"/>
      </w:tblGrid>
      <w:tr>
        <w:trPr>
          <w:trHeight w:val="52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4F5F7"/>
            <w:vAlign w:val="center"/>
          </w:tcPr>
          <w:p>
            <w:pPr>
              <w:widowControl/>
              <w:jc w:val="center"/>
              <w:textAlignment w:val="center"/>
              <w:rPr>
                <w:rFonts w:ascii="仿宋" w:hAnsi="仿宋" w:eastAsia="仿宋" w:cs="仿宋"/>
                <w:b/>
                <w:bCs/>
                <w:sz w:val="24"/>
              </w:rPr>
            </w:pPr>
            <w:r>
              <w:rPr>
                <w:rFonts w:hint="eastAsia" w:ascii="仿宋" w:hAnsi="仿宋" w:eastAsia="仿宋" w:cs="仿宋"/>
                <w:b/>
                <w:bCs/>
                <w:kern w:val="0"/>
                <w:sz w:val="24"/>
                <w:lang w:bidi="ar"/>
              </w:rPr>
              <w:t>功能模块</w:t>
            </w:r>
          </w:p>
        </w:tc>
        <w:tc>
          <w:tcPr>
            <w:tcW w:w="4152" w:type="pct"/>
            <w:tcBorders>
              <w:top w:val="single" w:color="000000" w:sz="4" w:space="0"/>
              <w:left w:val="single" w:color="000000" w:sz="4" w:space="0"/>
              <w:bottom w:val="single" w:color="000000" w:sz="4" w:space="0"/>
              <w:right w:val="single" w:color="000000" w:sz="4" w:space="0"/>
            </w:tcBorders>
            <w:shd w:val="clear" w:color="auto" w:fill="F4F5F7"/>
            <w:vAlign w:val="center"/>
          </w:tcPr>
          <w:p>
            <w:pPr>
              <w:widowControl/>
              <w:jc w:val="center"/>
              <w:textAlignment w:val="center"/>
              <w:rPr>
                <w:rFonts w:ascii="仿宋" w:hAnsi="仿宋" w:eastAsia="仿宋" w:cs="仿宋"/>
                <w:b/>
                <w:bCs/>
                <w:sz w:val="24"/>
              </w:rPr>
            </w:pPr>
            <w:r>
              <w:rPr>
                <w:rFonts w:hint="eastAsia" w:ascii="仿宋" w:hAnsi="仿宋" w:eastAsia="仿宋" w:cs="仿宋"/>
                <w:b/>
                <w:bCs/>
                <w:kern w:val="0"/>
                <w:sz w:val="24"/>
                <w:lang w:bidi="ar"/>
              </w:rPr>
              <w:t>功能描述</w:t>
            </w:r>
          </w:p>
        </w:tc>
      </w:tr>
      <w:tr>
        <w:tblPrEx>
          <w:tblCellMar>
            <w:top w:w="0" w:type="dxa"/>
            <w:left w:w="108" w:type="dxa"/>
            <w:bottom w:w="0" w:type="dxa"/>
            <w:right w:w="108" w:type="dxa"/>
          </w:tblCellMar>
        </w:tblPrEx>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b/>
                <w:bCs/>
                <w:sz w:val="24"/>
              </w:rPr>
            </w:pPr>
            <w:r>
              <w:rPr>
                <w:rFonts w:hint="eastAsia" w:ascii="仿宋" w:hAnsi="仿宋" w:eastAsia="仿宋" w:cs="仿宋"/>
                <w:b/>
                <w:bCs/>
                <w:kern w:val="0"/>
                <w:sz w:val="24"/>
                <w:lang w:bidi="ar"/>
              </w:rPr>
              <w:t>1.数据集成与治理</w:t>
            </w:r>
          </w:p>
        </w:tc>
      </w:tr>
      <w:tr>
        <w:trPr>
          <w:trHeight w:val="38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1</w:t>
            </w:r>
            <w:r>
              <w:rPr>
                <w:rFonts w:hint="eastAsia" w:ascii="仿宋" w:hAnsi="仿宋" w:eastAsia="仿宋" w:cs="仿宋"/>
                <w:kern w:val="0"/>
                <w:sz w:val="24"/>
                <w:lang w:bidi="ar"/>
              </w:rPr>
              <w:t>专病数据纳排</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支持根据临床要求对数据库的定制化纳排标准，包括诊断、科室及患者ID 标准等</w:t>
            </w:r>
          </w:p>
        </w:tc>
      </w:tr>
      <w:tr>
        <w:tblPrEx>
          <w:tblCellMar>
            <w:top w:w="0" w:type="dxa"/>
            <w:left w:w="108" w:type="dxa"/>
            <w:bottom w:w="0" w:type="dxa"/>
            <w:right w:w="108" w:type="dxa"/>
          </w:tblCellMar>
        </w:tblPrEx>
        <w:trPr>
          <w:trHeight w:val="6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2</w:t>
            </w:r>
            <w:r>
              <w:rPr>
                <w:rFonts w:hint="eastAsia" w:ascii="仿宋" w:hAnsi="仿宋" w:eastAsia="仿宋" w:cs="仿宋"/>
                <w:kern w:val="0"/>
                <w:sz w:val="24"/>
                <w:lang w:bidi="ar"/>
              </w:rPr>
              <w:t>数据治理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1、支持数据纳排后的专病数据的清洗、脱敏、患者主索引等建设，支持相关的诊疗数据、检验检查等报告的数据的关联和治理：</w:t>
            </w:r>
          </w:p>
        </w:tc>
      </w:tr>
      <w:tr>
        <w:tblPrEx>
          <w:tblCellMar>
            <w:top w:w="0" w:type="dxa"/>
            <w:left w:w="108" w:type="dxa"/>
            <w:bottom w:w="0" w:type="dxa"/>
            <w:right w:w="108" w:type="dxa"/>
          </w:tblCellMar>
        </w:tblPrEx>
        <w:trPr>
          <w:trHeight w:val="33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2、患者EMPI构建：支持各业务系统多源数据的患者主索引建设。</w:t>
            </w:r>
          </w:p>
        </w:tc>
      </w:tr>
      <w:tr>
        <w:trPr>
          <w:trHeight w:val="12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数据清洗：对采集汇聚的数据进行清洗加工处理，并做标准化整理。主要包括制定数据清洗流程、清洗流程控制、清洗质量控制、清洗过程管理等。通过规范流程和规则库，基于流程引擎构建统一的、可配置的数据转换、清洗、比对、关联、融合等加工处理过程，对异构异源海量离散的数据资源加工生产，生成易于分析利用的、可共享的数据。</w:t>
            </w:r>
          </w:p>
        </w:tc>
      </w:tr>
      <w:tr>
        <w:tblPrEx>
          <w:tblCellMar>
            <w:top w:w="0" w:type="dxa"/>
            <w:left w:w="108" w:type="dxa"/>
            <w:bottom w:w="0" w:type="dxa"/>
            <w:right w:w="108" w:type="dxa"/>
          </w:tblCellMar>
        </w:tblPrEx>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4、在数据治理过程中支持数据质控管理，数据标化处理，数据归一处理，医学知识图谱构建，国内外标准映射，医学术语词库构建，数据溯源管理，数据监查等流程管控和业务数据处理。</w:t>
            </w:r>
          </w:p>
        </w:tc>
      </w:tr>
      <w:tr>
        <w:trPr>
          <w:trHeight w:val="6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3</w:t>
            </w:r>
            <w:r>
              <w:rPr>
                <w:rFonts w:hint="eastAsia" w:ascii="仿宋" w:hAnsi="仿宋" w:eastAsia="仿宋" w:cs="仿宋"/>
                <w:kern w:val="0"/>
                <w:sz w:val="24"/>
                <w:lang w:bidi="ar"/>
              </w:rPr>
              <w:t>数据标准化</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平台参考以下国内、国际、行业、指南等标准（包括但不限于），对采集数据进行标准化处理，并反馈给业务系统：</w:t>
            </w:r>
          </w:p>
        </w:tc>
      </w:tr>
      <w:tr>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1、卫健委数据标准：中国卫生信息数据元值域代码WS364.X-2011、电子病历基本数据集WS445.X-2014、医疗机构诊疗科目名录、中国卫生信息数据元、电子病历基本数据集</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2、国家相关数据标准：GB/T 2261.1-2003 个人基本信息分类与代码、GB/T 4671-2008 家庭关系代码</w:t>
            </w:r>
          </w:p>
        </w:tc>
      </w:tr>
      <w:tr>
        <w:tblPrEx>
          <w:tblCellMar>
            <w:top w:w="0" w:type="dxa"/>
            <w:left w:w="108" w:type="dxa"/>
            <w:bottom w:w="0" w:type="dxa"/>
            <w:right w:w="108" w:type="dxa"/>
          </w:tblCellMar>
        </w:tblPrEx>
        <w:trPr>
          <w:trHeight w:val="9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3、相关术语标准：国际疾病分类第九版临床修订第三卷：手术与操作 ICD-9-CM-3、国际疾病分类第10版 ICD-10、国际疾病分类肿瘤学专辑第三版 ICD-O-3 、观测指标标识符逻辑命名与编码系统LOINC V2.42、SNOMED CT、MESH</w:t>
            </w:r>
          </w:p>
        </w:tc>
      </w:tr>
      <w:tr>
        <w:tblPrEx>
          <w:tblCellMar>
            <w:top w:w="0" w:type="dxa"/>
            <w:left w:w="108" w:type="dxa"/>
            <w:bottom w:w="0" w:type="dxa"/>
            <w:right w:w="108" w:type="dxa"/>
          </w:tblCellMar>
        </w:tblPrEx>
        <w:trPr>
          <w:trHeight w:val="9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4、相关疾病诊治指南：参考ICD-10、《2022版CSCO非小细胞肺癌诊疗指南》、《2022年NCCN非小细胞肺癌诊疗指南》《2019版原发性肝癌诊疗指南》、《亚太肝细胞癌管理临床实践指南2017版》、 《2018CSCO原发性肝癌诊疗指南》等</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5、HL7CDA文档：HL7ChinaCDA规范试行2013版</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6、药品词典规范：CFDA,ATC分类</w:t>
            </w:r>
          </w:p>
        </w:tc>
      </w:tr>
      <w:tr>
        <w:trPr>
          <w:trHeight w:val="12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4</w:t>
            </w:r>
            <w:r>
              <w:rPr>
                <w:rFonts w:hint="eastAsia" w:ascii="仿宋" w:hAnsi="仿宋" w:eastAsia="仿宋" w:cs="仿宋"/>
                <w:kern w:val="0"/>
                <w:sz w:val="24"/>
                <w:lang w:bidi="ar"/>
              </w:rPr>
              <w:t>自然语言处理技术要求</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自然语言处理引擎需结合NLP技术、医学术语库、医学知识图谱、深度学习技术等前沿技术，可以对临床自由文本数据进行语义解析与后结构化处理，可以将数据处理为key-value形式的数据；可以持续处理接入到系统中的临床文本数据。结构化后的数据，需要包含人口学信息、重点疾病确诊信息、疾病相关因素信息、就诊症状与诊断信息、实验室检验信息、病理、手术、化疗、医嘱用药模块。</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2、支持文本分句、分词能力 支持自然语言分词能力；分词使用的医学专业词库种类多样；</w:t>
            </w:r>
          </w:p>
        </w:tc>
      </w:tr>
      <w:tr>
        <w:tblPrEx>
          <w:tblCellMar>
            <w:top w:w="0" w:type="dxa"/>
            <w:left w:w="108" w:type="dxa"/>
            <w:bottom w:w="0" w:type="dxa"/>
            <w:right w:w="108" w:type="dxa"/>
          </w:tblCellMar>
        </w:tblPrEx>
        <w:trPr>
          <w:trHeight w:val="9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3、支持关键术语提取与医学术语本体构建技术</w:t>
            </w:r>
            <w:r>
              <w:rPr>
                <w:rFonts w:hint="eastAsia" w:ascii="仿宋" w:hAnsi="仿宋" w:eastAsia="仿宋" w:cs="仿宋"/>
                <w:kern w:val="0"/>
                <w:sz w:val="24"/>
                <w:lang w:val="en-US" w:eastAsia="zh-CN" w:bidi="ar"/>
              </w:rPr>
              <w:t xml:space="preserve"> </w:t>
            </w:r>
            <w:r>
              <w:rPr>
                <w:rFonts w:hint="eastAsia" w:ascii="仿宋" w:hAnsi="仿宋" w:eastAsia="仿宋" w:cs="仿宋"/>
                <w:kern w:val="0"/>
                <w:sz w:val="24"/>
                <w:lang w:bidi="ar"/>
              </w:rPr>
              <w:t>需使用深度学习技术，对医学自然语言实现语义解析和结构化提取；结合自建中文医学术语与中文医学知识图谱，在解析文本语义的基础上，识别并构建医学术语本体，支撑后续信息逻辑抽取与信息网络架构；</w:t>
            </w:r>
          </w:p>
        </w:tc>
      </w:tr>
      <w:tr>
        <w:tblPrEx>
          <w:tblCellMar>
            <w:top w:w="0" w:type="dxa"/>
            <w:left w:w="108" w:type="dxa"/>
            <w:bottom w:w="0" w:type="dxa"/>
            <w:right w:w="108" w:type="dxa"/>
          </w:tblCellMar>
        </w:tblPrEx>
        <w:trPr>
          <w:trHeight w:val="12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4、支持自然语言识别建模与文本结构化 支持基于医学术语本体构建以及进一步文本信息逻辑抽取与网络架构搭建的结果，进行自然语言识别建模，全面解析自然语言文本中的全量信息，建立语义解析模型。并在语义模型的基础上，有效提取疾病相关关键信息，进行语义推导与结构化输出；结构化模型可以在医院的临床数据中进行持续的训练，不断地提升准确率；</w:t>
            </w:r>
          </w:p>
        </w:tc>
      </w:tr>
      <w:tr>
        <w:tblPrEx>
          <w:tblCellMar>
            <w:top w:w="0" w:type="dxa"/>
            <w:left w:w="108" w:type="dxa"/>
            <w:bottom w:w="0" w:type="dxa"/>
            <w:right w:w="108" w:type="dxa"/>
          </w:tblCellMar>
        </w:tblPrEx>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5、支持文本标准化处理与输出 自然语言结构化提取结果，需可以参照医学术语标准或医学知识图谱进行表述的标准化和归一；</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6、支持BERT、ELMo、PointerNet、Bi-LSTM、Transformer、CRF等前沿技术进行自然语言处理。</w:t>
            </w:r>
          </w:p>
        </w:tc>
      </w:tr>
      <w:tr>
        <w:tblPrEx>
          <w:tblCellMar>
            <w:top w:w="0" w:type="dxa"/>
            <w:left w:w="108" w:type="dxa"/>
            <w:bottom w:w="0" w:type="dxa"/>
            <w:right w:w="108" w:type="dxa"/>
          </w:tblCellMar>
        </w:tblPrEx>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7、影像学报告解析能够支持对CT、MR、PET-CT等重点疾病诊断和疗效评估相关的影像学检查报告进行全量信息的结构化表达；</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8、支持病理报告解析：能够对重点疾病相关病理报告进行全量信息解析</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9、支持手术信息等的解析、提取、标准化</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10、支持提取诊断、实验室检验、药品等结构化临床信息，并参照相关数据标准进行标准化归一</w:t>
            </w:r>
          </w:p>
        </w:tc>
      </w:tr>
      <w:tr>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11、治疗方案的识别与结构化，能够基于自然语言处理技术和医学知识图谱技术，使用出院小结、医嘱等数据对患者的治疗方案进行归类总结和结构化表达</w:t>
            </w:r>
          </w:p>
        </w:tc>
      </w:tr>
      <w:tr>
        <w:tblPrEx>
          <w:tblCellMar>
            <w:top w:w="0" w:type="dxa"/>
            <w:left w:w="108" w:type="dxa"/>
            <w:bottom w:w="0" w:type="dxa"/>
            <w:right w:w="108" w:type="dxa"/>
          </w:tblCellMar>
        </w:tblPrEx>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12、基于自动摘要实现病情总结，能够基于自然语言处理中的段落摘要技术，对现病史、出院小结报告等信息，对患者的首次确诊的时间和方式、病理诊断的分期分型、基因诊断进行总结和结构化表达。</w:t>
            </w:r>
          </w:p>
        </w:tc>
      </w:tr>
      <w:tr>
        <w:trPr>
          <w:trHeight w:val="315"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5</w:t>
            </w:r>
            <w:r>
              <w:rPr>
                <w:rFonts w:hint="eastAsia" w:ascii="仿宋" w:hAnsi="仿宋" w:eastAsia="仿宋" w:cs="仿宋"/>
                <w:kern w:val="0"/>
                <w:sz w:val="24"/>
                <w:lang w:bidi="ar"/>
              </w:rPr>
              <w:t>肺癌、肝癌专病医学术语库要求</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1、搭建完善的医学术语与术语关系图谱，支撑医学文本全量信息解析。</w:t>
            </w:r>
          </w:p>
        </w:tc>
      </w:tr>
      <w:tr>
        <w:tblPrEx>
          <w:tblCellMar>
            <w:top w:w="0" w:type="dxa"/>
            <w:left w:w="108" w:type="dxa"/>
            <w:bottom w:w="0" w:type="dxa"/>
            <w:right w:w="108" w:type="dxa"/>
          </w:tblCellMar>
        </w:tblPrEx>
        <w:trPr>
          <w:trHeight w:val="12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2、医学术语库需要可扩充易维护。拥有完整、结构合理的自建中文医学术语库，中文概念及中文描述 支持全球范围内领先的医学知识图谱作为自然语言处理的语义解析基础，包括SNOMED-CT、UMLS、MeSH或类似架构的中文医学知识图谱；使用的医学知识图谱可以编辑更新，持续提升医学自然语言处理的准确率</w:t>
            </w:r>
          </w:p>
        </w:tc>
      </w:tr>
      <w:tr>
        <w:tblPrEx>
          <w:tblCellMar>
            <w:top w:w="0" w:type="dxa"/>
            <w:left w:w="108" w:type="dxa"/>
            <w:bottom w:w="0" w:type="dxa"/>
            <w:right w:w="108" w:type="dxa"/>
          </w:tblCellMar>
        </w:tblPrEx>
        <w:trPr>
          <w:trHeight w:val="9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3、参考ICD-10、《2022版CSCO非小细胞肺癌诊疗指南》、《2022年NCCN非小细胞肺癌诊疗指南》《2019版原发性肝癌诊疗指南》、《亚太肝细胞癌管理临床实践指南2017版》、 《2018CSCO原发性肝癌诊疗指南》等进行临床诊断、治疗数据、药物数据等特征的结构化提取和术语标准化。</w:t>
            </w:r>
          </w:p>
        </w:tc>
      </w:tr>
      <w:tr>
        <w:tblPrEx>
          <w:tblCellMar>
            <w:top w:w="0" w:type="dxa"/>
            <w:left w:w="108" w:type="dxa"/>
            <w:bottom w:w="0" w:type="dxa"/>
            <w:right w:w="108" w:type="dxa"/>
          </w:tblCellMar>
        </w:tblPrEx>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2.专病数据模型建设</w:t>
            </w:r>
          </w:p>
        </w:tc>
      </w:tr>
      <w:tr>
        <w:trPr>
          <w:trHeight w:val="915"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2.1肺癌、肝癌数据模型构建</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构建专病数据模型，重点突出肺癌、肝癌特有的诊断、检验检查和治疗手段等内容，将特有的内容设计成为高度结构化字段，覆盖以下数据来源：病案首页、检验报告、超声报告、病理报告、放射报告、手术记录、用药记录等，肺癌、肝癌专病字段包括但不限于：</w:t>
            </w:r>
          </w:p>
        </w:tc>
      </w:tr>
      <w:tr>
        <w:trPr>
          <w:trHeight w:val="39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1、既往病史：有无肿瘤病史、有无COPD、有无哮喘、有无支气管扩张等；</w:t>
            </w:r>
          </w:p>
        </w:tc>
      </w:tr>
      <w:tr>
        <w:trPr>
          <w:trHeight w:val="6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2、影像学检查：胸部CT/MRI等、PET-CT检查、肿瘤方部位、肿瘤最大径、有无胸膜侵犯、 肿瘤部位分型(周伟型/中央型/)等</w:t>
            </w:r>
          </w:p>
        </w:tc>
      </w:tr>
      <w:tr>
        <w:tblPrEx>
          <w:tblCellMar>
            <w:top w:w="0" w:type="dxa"/>
            <w:left w:w="108" w:type="dxa"/>
            <w:bottom w:w="0" w:type="dxa"/>
            <w:right w:w="108" w:type="dxa"/>
          </w:tblCellMar>
        </w:tblPrEx>
        <w:trPr>
          <w:trHeight w:val="39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3、肺功能检查：FEV1、FEV、 PEF等</w:t>
            </w:r>
          </w:p>
        </w:tc>
      </w:tr>
      <w:tr>
        <w:trPr>
          <w:trHeight w:val="39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4、免疫组化信息：免疫组化指标 CK5/6、 c-MET、 Ki-67、 PD-1、 PD-L1等</w:t>
            </w:r>
          </w:p>
        </w:tc>
      </w:tr>
      <w:tr>
        <w:trPr>
          <w:trHeight w:val="39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5、基因检测信息：基因检测指标 EGFR、ROS1、 ALK、HER-2、 MET等</w:t>
            </w:r>
          </w:p>
        </w:tc>
      </w:tr>
      <w:tr>
        <w:tblPrEx>
          <w:tblCellMar>
            <w:top w:w="0" w:type="dxa"/>
            <w:left w:w="108" w:type="dxa"/>
            <w:bottom w:w="0" w:type="dxa"/>
            <w:right w:w="108" w:type="dxa"/>
          </w:tblCellMar>
        </w:tblPrEx>
        <w:trPr>
          <w:trHeight w:val="6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6、手术治疗：手术时长(min)、手术方式：开放式、腔镜、机器人、其他；手术目的：根治、姑息、减瘤、探查、肺切除方式：楔形、袖式、全肺…术中输血量、术中出血量等</w:t>
            </w:r>
          </w:p>
        </w:tc>
      </w:tr>
      <w:tr>
        <w:trPr>
          <w:trHeight w:val="6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7、病理信息</w:t>
            </w:r>
            <w:r>
              <w:rPr>
                <w:rFonts w:hint="eastAsia" w:ascii="仿宋" w:hAnsi="仿宋" w:eastAsia="仿宋" w:cs="仿宋"/>
                <w:kern w:val="0"/>
                <w:sz w:val="24"/>
                <w:lang w:eastAsia="zh-CN" w:bidi="ar"/>
              </w:rPr>
              <w:t>：</w:t>
            </w:r>
            <w:r>
              <w:rPr>
                <w:rFonts w:hint="eastAsia" w:ascii="仿宋" w:hAnsi="仿宋" w:eastAsia="仿宋" w:cs="仿宋"/>
                <w:kern w:val="0"/>
                <w:sz w:val="24"/>
                <w:lang w:bidi="ar"/>
              </w:rPr>
              <w:t>病理组织学分型、病理分化程度、TNM分期、送检淋巴结分组、淋巴结是否阳性、有无脉管癌栓、有无神经侵犯等</w:t>
            </w:r>
          </w:p>
        </w:tc>
      </w:tr>
      <w:tr>
        <w:tblPrEx>
          <w:tblCellMar>
            <w:top w:w="0" w:type="dxa"/>
            <w:left w:w="108" w:type="dxa"/>
            <w:bottom w:w="0" w:type="dxa"/>
            <w:right w:w="108" w:type="dxa"/>
          </w:tblCellMar>
        </w:tblPrEx>
        <w:trPr>
          <w:trHeight w:val="6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8、药物治疗：药物商品/通用名、药物ATC分类、肿瘤治疗分类、化学治疗、靶向治疗、免疫治疗、药物剂量/单位等</w:t>
            </w:r>
          </w:p>
        </w:tc>
      </w:tr>
      <w:tr>
        <w:tblPrEx>
          <w:tblCellMar>
            <w:top w:w="0" w:type="dxa"/>
            <w:left w:w="108" w:type="dxa"/>
            <w:bottom w:w="0" w:type="dxa"/>
            <w:right w:w="108" w:type="dxa"/>
          </w:tblCellMar>
        </w:tblPrEx>
        <w:trPr>
          <w:trHeight w:val="6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9、肝癌介入治疗：局部消融治疗、是否行消融治疗、 消融类型、TACE术、 栓塞剂名称、栓塞血管名称、化疗药物名称等</w:t>
            </w:r>
          </w:p>
        </w:tc>
      </w:tr>
      <w:tr>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3.数据驾驶舱</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3.1数据概览</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支持展示所有患者在库内总体情况和各个模块分布统计，包括全院患者总数，就诊人次数据、时间范围、全科室的项目总数、全部科室信息概览等信息；</w:t>
            </w:r>
          </w:p>
        </w:tc>
      </w:tr>
      <w:tr>
        <w:tblPrEx>
          <w:tblCellMar>
            <w:top w:w="0" w:type="dxa"/>
            <w:left w:w="108" w:type="dxa"/>
            <w:bottom w:w="0" w:type="dxa"/>
            <w:right w:w="108" w:type="dxa"/>
          </w:tblCellMar>
        </w:tblPrEx>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3.2疾病相关统计</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疾病相关信息统计，包括患者基本信息、临床信息以及治疗信息的统计分布；</w:t>
            </w:r>
          </w:p>
        </w:tc>
      </w:tr>
      <w:tr>
        <w:tblPrEx>
          <w:tblCellMar>
            <w:top w:w="0" w:type="dxa"/>
            <w:left w:w="108" w:type="dxa"/>
            <w:bottom w:w="0" w:type="dxa"/>
            <w:right w:w="108" w:type="dxa"/>
          </w:tblCellMar>
        </w:tblPrEx>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3.3治疗相关分析</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数据驾驶舱可对治疗手段和治疗药物进行相关分析展示；</w:t>
            </w:r>
          </w:p>
        </w:tc>
      </w:tr>
      <w:tr>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3.4患者新增趋势</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支持患者数据量历年趋势可视化展现；</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3.5分科室数据统计</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1、支持按照医院科室组织结构进行数据与科室机构的标准化处理；</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2、支持全院科室筛选，并自动统计对应的数据指标；</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3.6病历模块统计</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1、支持全院数据各病历模块分布的可视化展现；</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2、支持时间范围动态调整，以及年、月时间粒度调整；</w:t>
            </w:r>
          </w:p>
        </w:tc>
      </w:tr>
      <w:tr>
        <w:trPr>
          <w:trHeight w:val="6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3.7自定义可视化指标</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1、支持自定义展示各维度指标数据，包括患者信息、就诊概要、入院记录、诊断、病理、影像学检查、超声检查、手术记录等；</w:t>
            </w:r>
          </w:p>
        </w:tc>
      </w:tr>
      <w:tr>
        <w:trPr>
          <w:trHeight w:val="3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2、支持用户定义指标与登录账户绑定联动；；</w:t>
            </w:r>
          </w:p>
        </w:tc>
      </w:tr>
      <w:tr>
        <w:tblPrEx>
          <w:tblCellMar>
            <w:top w:w="0" w:type="dxa"/>
            <w:left w:w="108" w:type="dxa"/>
            <w:bottom w:w="0" w:type="dxa"/>
            <w:right w:w="108" w:type="dxa"/>
          </w:tblCellMar>
        </w:tblPrEx>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4.智能搜索</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4.1快捷搜索</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1、支持关键词检索，根据关键字快速搜索全库符合条件的患者；</w:t>
            </w:r>
          </w:p>
        </w:tc>
      </w:tr>
      <w:tr>
        <w:tblPrEx>
          <w:tblCellMar>
            <w:top w:w="0" w:type="dxa"/>
            <w:left w:w="108" w:type="dxa"/>
            <w:bottom w:w="0" w:type="dxa"/>
            <w:right w:w="108" w:type="dxa"/>
          </w:tblCellMar>
        </w:tblPrEx>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2、支持关键词智能推荐，精准扩大搜索范围（例如：搜索“乳腺癌”时，自动使用“乳腺恶性肿瘤”一同搜索，归一检索）；</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3、支持搜索时选用自然语言处理切词技术，提升搜索准召率；</w:t>
            </w:r>
          </w:p>
        </w:tc>
      </w:tr>
      <w:tr>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4、支持搜索结果的二次筛选，可根据就诊时间、就诊类型、就诊科室、诊断名称、就诊类型、手术名称等类别进行数据筛选；</w:t>
            </w:r>
          </w:p>
        </w:tc>
      </w:tr>
      <w:tr>
        <w:tblPrEx>
          <w:tblCellMar>
            <w:top w:w="0" w:type="dxa"/>
            <w:left w:w="108" w:type="dxa"/>
            <w:bottom w:w="0" w:type="dxa"/>
            <w:right w:w="108" w:type="dxa"/>
          </w:tblCellMar>
        </w:tblPrEx>
        <w:trPr>
          <w:trHeight w:val="6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ind w:firstLine="0" w:firstLineChars="0"/>
              <w:jc w:val="left"/>
              <w:textAlignment w:val="top"/>
              <w:rPr>
                <w:rFonts w:ascii="仿宋" w:hAnsi="仿宋" w:eastAsia="仿宋" w:cs="仿宋"/>
                <w:sz w:val="24"/>
              </w:rPr>
            </w:pPr>
            <w:r>
              <w:rPr>
                <w:rFonts w:hint="eastAsia" w:ascii="仿宋" w:hAnsi="仿宋" w:eastAsia="仿宋" w:cs="仿宋"/>
                <w:kern w:val="0"/>
                <w:sz w:val="24"/>
                <w:lang w:bidi="ar"/>
              </w:rPr>
              <w:t>4.2条件搜索</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1、支持以条件树形式进行多级组合条件可视化筛选，组合条件之间支持 “and \or \not”多层逻辑关系的嵌套组合；</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2、支持筛选条件在“纳入、排除”选项之间灵活切换；</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3、支持多级搜索条件支持同患者、同就诊、同报告的数据维度筛选；</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4、支持根据搜索记录实时计算命中的患者数，用户可即刻感知搜索效果，根据需要及时调整筛选条件；</w:t>
            </w:r>
          </w:p>
        </w:tc>
      </w:tr>
      <w:tr>
        <w:tblPrEx>
          <w:tblCellMar>
            <w:top w:w="0" w:type="dxa"/>
            <w:left w:w="108" w:type="dxa"/>
            <w:bottom w:w="0" w:type="dxa"/>
            <w:right w:w="108" w:type="dxa"/>
          </w:tblCellMar>
        </w:tblPrEx>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5、支持智能病历筛选，对搜索结果进行二次的病历维度检索，例如在患者数据中筛选主诊断为肺癌的病历数据；</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4.3事件-时间搜索</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1、支持“事件-时间”式筛选（例如首次病理确诊后一个月内使用了某种新辅助治疗药物）</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2、支持事件筛选条件包括首次、末次、每次和前、后时间范围内容；</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4.4患者号精确搜索</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1、支持使用患者号、就诊号、住院号、门诊号、病案号进行批量精确搜索；</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 Excel、txt 文件列拷贝，自动识别患者号数据；</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4.5搜索结果展示</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1、支持搜索结果以可视化数据列表形式展现，展现内容包括患者的基本信息和关键疾病信息；</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2、支持按照各维度字段对患者列表进行排序；</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▲3、支持二次筛结果展示，按照患者诊疗维度的病历数据展现；</w:t>
            </w:r>
          </w:p>
        </w:tc>
      </w:tr>
      <w:tr>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4.6搜索结果分析</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1、支持搜索结果的重点指标分析，展示各类关键疾病信息的统计分布；</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2、支持用户自定义分析各类指标的描述性统计分析；</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3、支持分析结果实时计算，并以图表形式进行可视化展现；</w:t>
            </w:r>
          </w:p>
        </w:tc>
      </w:tr>
      <w:tr>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4、支持定量指标分析结果的表格展现，包括有效数据、缺失数据均值、最大值、最小值、均值标准 差、中位数（下四分位数~上四分位数）；</w:t>
            </w:r>
          </w:p>
        </w:tc>
      </w:tr>
      <w:tr>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4.7患者数据导出</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1、支持对筛选结果做数据的表单导出，例如excel格式；</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2、支持用户选择对可溯源的患者编号、病案号、检查号进行脱敏导出；</w:t>
            </w:r>
          </w:p>
        </w:tc>
      </w:tr>
      <w:tr>
        <w:tblPrEx>
          <w:tblCellMar>
            <w:top w:w="0" w:type="dxa"/>
            <w:left w:w="108" w:type="dxa"/>
            <w:bottom w:w="0" w:type="dxa"/>
            <w:right w:w="108" w:type="dxa"/>
          </w:tblCellMar>
        </w:tblPrEx>
        <w:trPr>
          <w:trHeight w:val="615"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4.8筛选记录和筛选收藏夹</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支持记录筛选记录查看；支持保存常用的筛选条件进入收藏夹，可一键点击恢复筛选；</w:t>
            </w:r>
          </w:p>
        </w:tc>
      </w:tr>
      <w:tr>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5.患者全景</w:t>
            </w:r>
          </w:p>
        </w:tc>
      </w:tr>
      <w:tr>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5.1患者病历全景视图</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1、支持查看患者历次就诊的各类诊疗模块数据的在统一视图展现；</w:t>
            </w:r>
          </w:p>
        </w:tc>
      </w:tr>
      <w:tr>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2、支持门诊、住院等类别的各类原始文书和检验检查数据等数据分模块展现，包括门诊病历、住院病历、病案首页、检查记录、检验报告、医嘱记录等数据内容；</w:t>
            </w:r>
          </w:p>
        </w:tc>
      </w:tr>
      <w:tr>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3、支持患者病历数据模块结构化信息展现，包括患者基本信息、入院记录、检验报告、检查报告、病理报告等内容；</w:t>
            </w:r>
          </w:p>
        </w:tc>
      </w:tr>
      <w:tr>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5.2数据列表结构自定义</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1、支持患者就诊概要、检验报告、检查报告、病理报告等数据模块表格视图和摘要视图切换展现；</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2、支持表格视图展现模式下，自定义表头显示隐藏和表头拖拽排序；</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5.3患者病案夹</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1、支持以患者就诊时间序列整合显示患者历次就诊列别及就诊信息摘要；</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2、支持按照就诊类型、就诊时间范围筛选，并可查看对应的病历详情；</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3、按时间顺序展示患者每份病案摘要，并可以查看病案详情；</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5.4结构化数据溯源</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1、支持患者临床结构化数据与原始数据溯源，实现结构化结果在原文中的快速定位；</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2、支持结构化数据取值逻辑展现，包括取值来源、原始数据摘要展示等；</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3、支持结构化数据一键定位取值原文，并实时高亮显示显示标记结果；</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5.5患者诊疗时间轴</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以时间轴形式展示患者的全治疗周期数据，记录患者在每一个时间 节点的诊断、用药、体征数据、检查、检验、治疗、手术等数据，建立患者全景视图 ；</w:t>
            </w:r>
          </w:p>
        </w:tc>
      </w:tr>
      <w:tr>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5.6检验数据指标图标</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支持查看患者的全部诊疗路径数据；支持用户自定义并查看检验指标的时序变化图；</w:t>
            </w:r>
          </w:p>
        </w:tc>
      </w:tr>
      <w:tr>
        <w:tblPrEx>
          <w:tblCellMar>
            <w:top w:w="0" w:type="dxa"/>
            <w:left w:w="108" w:type="dxa"/>
            <w:bottom w:w="0" w:type="dxa"/>
            <w:right w:w="108" w:type="dxa"/>
          </w:tblCellMar>
        </w:tblPrEx>
        <w:trPr>
          <w:trHeight w:val="315"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5.7就诊详情</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支持查看患者某一次就诊的诊疗数据；</w:t>
            </w:r>
          </w:p>
        </w:tc>
      </w:tr>
      <w:tr>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6.回顾性研究项目</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6.1项目管理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1、支持对项目的增删改，支持查看所有项目的概要信息，支持按照项目名称进行搜索；</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2、支持项目成员权限管理；</w:t>
            </w:r>
          </w:p>
        </w:tc>
      </w:tr>
      <w:tr>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6.2研究队列管理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1、支持多方式搜索设置纳排条件，并将搜索出的患者作为队列保存进项目；</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2、支持増删改队列中的患者；</w:t>
            </w:r>
          </w:p>
        </w:tc>
      </w:tr>
      <w:tr>
        <w:tblPrEx>
          <w:tblCellMar>
            <w:top w:w="0" w:type="dxa"/>
            <w:left w:w="108" w:type="dxa"/>
            <w:bottom w:w="0" w:type="dxa"/>
            <w:right w:w="108" w:type="dxa"/>
          </w:tblCellMar>
        </w:tblPrEx>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▲3、支持查看和调整队列对应的筛选条件，根据修改的后筛选结果更新研究数据，并提供增</w:t>
            </w:r>
            <w:r>
              <w:rPr>
                <w:rFonts w:hint="eastAsia" w:ascii="仿宋" w:hAnsi="仿宋" w:eastAsia="仿宋" w:cs="仿宋"/>
                <w:kern w:val="0"/>
                <w:sz w:val="24"/>
                <w:lang w:eastAsia="zh-CN" w:bidi="ar"/>
              </w:rPr>
              <w:t>量</w:t>
            </w:r>
            <w:r>
              <w:rPr>
                <w:rFonts w:hint="eastAsia" w:ascii="仿宋" w:hAnsi="仿宋" w:eastAsia="仿宋" w:cs="仿宋"/>
                <w:kern w:val="0"/>
                <w:sz w:val="24"/>
                <w:lang w:bidi="ar"/>
              </w:rPr>
              <w:t>更新和覆盖更新两种模式；</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6.3研究指标制备</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1、支持变量分组管理；</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2、支持基线变量设置，并可根据首次、末次、前后时间区间自动完成基线指标降维；</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▲3、支持研究变量填充率计算，并可根据首次、末次、最近、全部等方式进行数据降维；</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▲4、支持用户自定义添加指标，可设置指标的默认规则，比如默认值、备选值等；；</w:t>
            </w:r>
          </w:p>
        </w:tc>
      </w:tr>
      <w:tr>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5、支持数据列表可视化编辑，实现数据修改和补录；</w:t>
            </w:r>
          </w:p>
        </w:tc>
      </w:tr>
      <w:tr>
        <w:tblPrEx>
          <w:tblCellMar>
            <w:top w:w="0" w:type="dxa"/>
            <w:left w:w="108" w:type="dxa"/>
            <w:bottom w:w="0" w:type="dxa"/>
            <w:right w:w="108" w:type="dxa"/>
          </w:tblCellMar>
        </w:tblPrEx>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6、支持以 Excel 数据模版形式，批量导入患者数据，数据类型支持文本题型、数值题型、日期题型、枚举题型等；</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7、支持研究指标可视化点选拖拽排序，保存后指标排序规则即可更新在数据列表中；</w:t>
            </w:r>
          </w:p>
        </w:tc>
      </w:tr>
      <w:tr>
        <w:tblPrEx>
          <w:tblCellMar>
            <w:top w:w="0" w:type="dxa"/>
            <w:left w:w="108" w:type="dxa"/>
            <w:bottom w:w="0" w:type="dxa"/>
            <w:right w:w="108" w:type="dxa"/>
          </w:tblCellMar>
        </w:tblPrEx>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6.4病历文本数据调阅</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支持对库内患者结构化数据和文书数据的一键调阅，实现对照原始数据评估补充研究指标等信息；</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6.5数据更新</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支持科研项目内的增量更新数据，支持对前瞻和回顾的科研项目，患者数据发生增量更新后，提醒并支持用户确认该患者是否要入组；</w:t>
            </w:r>
          </w:p>
        </w:tc>
      </w:tr>
      <w:tr>
        <w:trPr>
          <w:trHeight w:val="6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6.6数据导出</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1、支持宽表导出,根据基线时间将数据整理成一个患者一行数据，满足SPSS格式要求,并支持导出效果的在线预览；</w:t>
            </w:r>
          </w:p>
        </w:tc>
      </w:tr>
      <w:tr>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2、支持表单导出，支持患者数据按照人口学信息、入院记录、检验报告等模块进行模块筛选和对应字段筛选，可进行导出效果的在线预览，导出结果以 Excel 文件按照模块区分形式进行下载到本地；</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6.7数据导出管理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1、支持数据导出申请与审批,根据用户的数据权限区分数据线上审批流程，保证数据使用安全性；</w:t>
            </w:r>
          </w:p>
        </w:tc>
      </w:tr>
      <w:tr>
        <w:tblPrEx>
          <w:tblCellMar>
            <w:top w:w="0" w:type="dxa"/>
            <w:left w:w="108" w:type="dxa"/>
            <w:bottom w:w="0" w:type="dxa"/>
            <w:right w:w="108" w:type="dxa"/>
          </w:tblCellMar>
        </w:tblPrEx>
        <w:trPr>
          <w:trHeight w:val="3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2、已审批的导出数据可进行多次下载；</w:t>
            </w:r>
          </w:p>
        </w:tc>
      </w:tr>
      <w:tr>
        <w:trPr>
          <w:trHeight w:val="300"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7.前瞻性项目</w:t>
            </w:r>
          </w:p>
        </w:tc>
      </w:tr>
      <w:tr>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7.1随访模式表单配置</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1、支持多机构设置，可增加其他机构名称实现数据管理；</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2、支持成员管理</w:t>
            </w:r>
          </w:p>
        </w:tc>
      </w:tr>
      <w:tr>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7.2随访CRF表单创建</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支持建立自定义的随访CRF；</w:t>
            </w:r>
          </w:p>
        </w:tc>
      </w:tr>
      <w:tr>
        <w:trPr>
          <w:trHeight w:val="6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7.3随访管理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1、支持按照项目来灵活创建患者随访周期，支持对随访的信息进行增删改，并支持对随访进度的进行可视化管理。</w:t>
            </w:r>
          </w:p>
        </w:tc>
      </w:tr>
      <w:tr>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2、支持随访系统中的数据统计，包括但不限于用户随访成功率</w:t>
            </w:r>
            <w:r>
              <w:rPr>
                <w:rFonts w:hint="eastAsia" w:ascii="仿宋" w:hAnsi="仿宋" w:eastAsia="仿宋" w:cs="仿宋"/>
                <w:kern w:val="0"/>
                <w:sz w:val="24"/>
                <w:lang w:eastAsia="zh-CN" w:bidi="ar"/>
              </w:rPr>
              <w:t>、</w:t>
            </w:r>
            <w:r>
              <w:rPr>
                <w:rFonts w:hint="eastAsia" w:ascii="仿宋" w:hAnsi="仿宋" w:eastAsia="仿宋" w:cs="仿宋"/>
                <w:kern w:val="0"/>
                <w:sz w:val="24"/>
                <w:lang w:bidi="ar"/>
              </w:rPr>
              <w:t>失访率</w:t>
            </w:r>
            <w:r>
              <w:rPr>
                <w:rFonts w:hint="eastAsia" w:ascii="仿宋" w:hAnsi="仿宋" w:eastAsia="仿宋" w:cs="仿宋"/>
                <w:kern w:val="0"/>
                <w:sz w:val="24"/>
                <w:lang w:eastAsia="zh-CN" w:bidi="ar"/>
              </w:rPr>
              <w:t>、</w:t>
            </w:r>
            <w:r>
              <w:rPr>
                <w:rFonts w:hint="eastAsia" w:ascii="仿宋" w:hAnsi="仿宋" w:eastAsia="仿宋" w:cs="仿宋"/>
                <w:kern w:val="0"/>
                <w:sz w:val="24"/>
                <w:lang w:bidi="ar"/>
              </w:rPr>
              <w:t>生存率</w:t>
            </w:r>
            <w:r>
              <w:rPr>
                <w:rFonts w:hint="eastAsia" w:ascii="仿宋" w:hAnsi="仿宋" w:eastAsia="仿宋" w:cs="仿宋"/>
                <w:kern w:val="0"/>
                <w:sz w:val="24"/>
                <w:lang w:eastAsia="zh-CN" w:bidi="ar"/>
              </w:rPr>
              <w:t>、</w:t>
            </w:r>
            <w:r>
              <w:rPr>
                <w:rFonts w:hint="eastAsia" w:ascii="仿宋" w:hAnsi="仿宋" w:eastAsia="仿宋" w:cs="仿宋"/>
                <w:kern w:val="0"/>
                <w:sz w:val="24"/>
                <w:lang w:bidi="ar"/>
              </w:rPr>
              <w:t>随访脱落率等数据可视化内容。</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7.4随访计划和日历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支持对不同批次患者提供相应的随访计划和规则，可灵活设定随访频次、开始时间、结束时间、终止规则等，并提供每日的随访工作安排，方便随访人员快速开展随访数据录入工作。</w:t>
            </w:r>
          </w:p>
        </w:tc>
      </w:tr>
      <w:tr>
        <w:tblPrEx>
          <w:tblCellMar>
            <w:top w:w="0" w:type="dxa"/>
            <w:left w:w="108" w:type="dxa"/>
            <w:bottom w:w="0" w:type="dxa"/>
            <w:right w:w="108" w:type="dxa"/>
          </w:tblCellMar>
        </w:tblPrEx>
        <w:trPr>
          <w:trHeight w:val="6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7.5随访流程管理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1、支持随访流程管理模块包括随访计划设置、随访表单关联等功能，可对科研项目指定的受访者进行随访管理。</w:t>
            </w:r>
          </w:p>
        </w:tc>
      </w:tr>
      <w:tr>
        <w:trPr>
          <w:trHeight w:val="6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2、具备对单个项目组配置随访流程，并针对每一次随访设置关联的表单的功能，满足预定义随访策略，支持多种随访类型的设置。</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7.6患者入组</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支持增删改项目中的患者，支持对项目中的患者做搜索，支持调整项目的纳排筛选条件，或手动添加患者进入项目</w:t>
            </w:r>
          </w:p>
        </w:tc>
      </w:tr>
      <w:tr>
        <w:tblPrEx>
          <w:tblCellMar>
            <w:top w:w="0" w:type="dxa"/>
            <w:left w:w="108" w:type="dxa"/>
            <w:bottom w:w="0" w:type="dxa"/>
            <w:right w:w="108" w:type="dxa"/>
          </w:tblCellMar>
        </w:tblPrEx>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7.7数据收集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支持用户以人工录入的形式收集数据</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7.8多中心项目管理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支持添加与删除项目，满足项目查询、增加、修改、作废等功能，具备设置项目的基本信息，包括：项目名称、项目类型、项目状态、相关科室、负责人、相关CRF模板等。</w:t>
            </w:r>
          </w:p>
        </w:tc>
      </w:tr>
      <w:tr>
        <w:tblPrEx>
          <w:tblCellMar>
            <w:top w:w="0" w:type="dxa"/>
            <w:left w:w="108" w:type="dxa"/>
            <w:bottom w:w="0" w:type="dxa"/>
            <w:right w:w="108" w:type="dxa"/>
          </w:tblCellMar>
        </w:tblPrEx>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7.9项目成员管理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1、人员账号配置，以项目维度创建，管理参与者账号。</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2、人员权限配置，可配置CRC，CRA，DM，PI，admin多种角色；</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3、数据流程配置，根据项目的需求，灵活的配置项目的数据流转规则。</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4、项目进度看板，入组患者数量、项目成员数量等项目进度以及项目数据质量的可视化展示。</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7.10研究指标自动预填写</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支持研究者根据不同课题，设置不同CRF表单，提取不同观察指标，及设置每个指标的数据提取规则，根据平台内的患者数据，支持CRF表单智能预填充，提高效率、减少转抄带来的人工错误；</w:t>
            </w:r>
          </w:p>
        </w:tc>
      </w:tr>
      <w:tr>
        <w:tblPrEx>
          <w:tblCellMar>
            <w:top w:w="0" w:type="dxa"/>
            <w:left w:w="108" w:type="dxa"/>
            <w:bottom w:w="0" w:type="dxa"/>
            <w:right w:w="108" w:type="dxa"/>
          </w:tblCellMar>
        </w:tblPrEx>
        <w:trPr>
          <w:trHeight w:val="15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center"/>
              <w:textAlignment w:val="top"/>
              <w:rPr>
                <w:rFonts w:ascii="仿宋" w:hAnsi="仿宋" w:eastAsia="仿宋" w:cs="仿宋"/>
                <w:sz w:val="24"/>
              </w:rPr>
            </w:pPr>
            <w:r>
              <w:rPr>
                <w:rFonts w:hint="eastAsia" w:ascii="仿宋" w:hAnsi="仿宋" w:eastAsia="仿宋" w:cs="仿宋"/>
                <w:kern w:val="0"/>
                <w:sz w:val="24"/>
                <w:lang w:bidi="ar"/>
              </w:rPr>
              <w:t>7.11多角色参与的项目数据流</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完整的IIT，CRA，CRC，DM，PI参与的数据治理流程：临床协调员（CRC）使用纸质CRFs填写数据（或直接录入系统）并由数据管理部门录入系统，临床监查员（CRA）在线核对原始数据，确认无误后提交CRF；数据管理员（DM）在线复核数据前后逻辑，并对有问题的数据提出质疑，并由CRC对质疑进行处理，确认无误后提交CRF；再由主要研究者（PI）对确认后数据进行电子签字，DM锁定数据库，准备报表做分析。可做配置。</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2、支持简单审核模式管理数据，录入人员可直接录入系统，审核人员在线核对原始数据。</w:t>
            </w:r>
          </w:p>
        </w:tc>
      </w:tr>
      <w:tr>
        <w:tblPrEx>
          <w:tblCellMar>
            <w:top w:w="0" w:type="dxa"/>
            <w:left w:w="108" w:type="dxa"/>
            <w:bottom w:w="0" w:type="dxa"/>
            <w:right w:w="108" w:type="dxa"/>
          </w:tblCellMar>
        </w:tblPrEx>
        <w:trPr>
          <w:trHeight w:val="9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7.12自动质疑</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基于逻辑核查的设置，系统可实现智能纠错，通过设置必选项、数据类型、数据长度，以及问题间答案的冲突性，一旦录入数据存在问题或重要项未填写，系统会给予警示，从而保证数据的准确性和完整性。</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7.13数据留痕</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产品支持数据留痕，当数据录入并提交后，所有关于此数据点的修改、质疑，数据状态等都将被记录下来，保存最完整的原始资料。</w:t>
            </w:r>
          </w:p>
        </w:tc>
      </w:tr>
      <w:tr>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7.14数据阅览</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产品具备数据宽表展示：在传统EDC产品单个患者的CRF表单数据呈现模式上，增加了聚合宽表的数据展示模式，其中对于各CRF字段的填充率以及分布进行了可视化展示，易于PI参与审阅。</w:t>
            </w:r>
          </w:p>
        </w:tc>
      </w:tr>
      <w:tr>
        <w:tblPrEx>
          <w:tblCellMar>
            <w:top w:w="0" w:type="dxa"/>
            <w:left w:w="108" w:type="dxa"/>
            <w:bottom w:w="0" w:type="dxa"/>
            <w:right w:w="108" w:type="dxa"/>
          </w:tblCellMar>
        </w:tblPrEx>
        <w:trPr>
          <w:trHeight w:val="315"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7.15数据导出</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产品支持以excel形式导出CRF表单数据。</w:t>
            </w:r>
          </w:p>
        </w:tc>
      </w:tr>
      <w:tr>
        <w:tblPrEx>
          <w:tblCellMar>
            <w:top w:w="0" w:type="dxa"/>
            <w:left w:w="108" w:type="dxa"/>
            <w:bottom w:w="0" w:type="dxa"/>
            <w:right w:w="108" w:type="dxa"/>
          </w:tblCellMar>
        </w:tblPrEx>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8.eCRF 管理</w:t>
            </w:r>
          </w:p>
        </w:tc>
      </w:tr>
      <w:tr>
        <w:tblPrEx>
          <w:tblCellMar>
            <w:top w:w="0" w:type="dxa"/>
            <w:left w:w="108" w:type="dxa"/>
            <w:bottom w:w="0" w:type="dxa"/>
            <w:right w:w="108" w:type="dxa"/>
          </w:tblCellMar>
        </w:tblPrEx>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8.1CRF模板管理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产品支持用户保存当前CRF为模板功能；支持其他项目复用CRF模板。</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8.2CRF表单自动填充</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产品支持CRF表单智能预填充，能够提高科研效率、减少转抄带来的人工错误。满足实现动态填写表单，同时满足从外部获取外部系统数据使用。</w:t>
            </w:r>
          </w:p>
        </w:tc>
      </w:tr>
      <w:tr>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8.3自定义配置CRF）</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支持个性化制定所需观测变量，包括单选题、多选题、日期题等；支持自定义指标的默认规则，比如默认值、备选值等；用户可直接选用数据集中字段，可直接从库中抽取数据，自动填充。</w:t>
            </w:r>
          </w:p>
        </w:tc>
      </w:tr>
      <w:tr>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8.4逻辑配置</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CRF表单支持设置题目间隐藏和显示逻辑以及自动计算逻辑。支持使用平台的标准数据集字段作为CRF信息。</w:t>
            </w:r>
          </w:p>
        </w:tc>
      </w:tr>
      <w:tr>
        <w:tblPrEx>
          <w:tblCellMar>
            <w:top w:w="0" w:type="dxa"/>
            <w:left w:w="108" w:type="dxa"/>
            <w:bottom w:w="0" w:type="dxa"/>
            <w:right w:w="108" w:type="dxa"/>
          </w:tblCellMar>
        </w:tblPrEx>
        <w:trPr>
          <w:trHeight w:val="9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8.5自动校验配置</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CRF具备多种数据录入方式和数据质量校验，数据校验功能，能够校验一个表单内部单一或者多个数据项间逻辑关系的合法性，同时实现跨表单数据逻辑管理的校验，具备自动计算和评分的功能，能够根据多个数据项目的内容进行其他项目内容或分值的自动计算。</w:t>
            </w:r>
          </w:p>
        </w:tc>
      </w:tr>
      <w:tr>
        <w:trPr>
          <w:trHeight w:val="315"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8.6常用字典</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产品提供CRF常用字段字典，可在表单配置过程中直接从字典中选取，提升eCRF搭建速度。</w:t>
            </w:r>
          </w:p>
        </w:tc>
      </w:tr>
      <w:tr>
        <w:tblPrEx>
          <w:tblCellMar>
            <w:top w:w="0" w:type="dxa"/>
            <w:left w:w="108" w:type="dxa"/>
            <w:bottom w:w="0" w:type="dxa"/>
            <w:right w:w="108" w:type="dxa"/>
          </w:tblCellMar>
        </w:tblPrEx>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9.统计分析</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9.1统计分析数据选择</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支持用户上传数据,或从平台的已有产品项目选择作为数据源生成统计分析结果，支持在线管理独立数据集</w:t>
            </w:r>
          </w:p>
        </w:tc>
      </w:tr>
      <w:tr>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9.2填充率计算</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支持定量统计指标的有效填充率自动计算</w:t>
            </w:r>
          </w:p>
        </w:tc>
      </w:tr>
      <w:tr>
        <w:trPr>
          <w:trHeight w:val="300"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9.3描述性统计</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描述性统计,支持自定义选择科研项目中的多个指标，做统计量多种维度计算，包括多种统计图的展示；</w:t>
            </w:r>
          </w:p>
        </w:tc>
      </w:tr>
      <w:tr>
        <w:tblPrEx>
          <w:tblCellMar>
            <w:top w:w="0" w:type="dxa"/>
            <w:left w:w="108" w:type="dxa"/>
            <w:bottom w:w="0" w:type="dxa"/>
            <w:right w:w="108" w:type="dxa"/>
          </w:tblCellMar>
        </w:tblPrEx>
        <w:trPr>
          <w:trHeight w:val="300"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支持所有统计指标的有效填充率自动计算；</w:t>
            </w:r>
          </w:p>
        </w:tc>
      </w:tr>
      <w:tr>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9.4单因素分析</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单因素分析,支持单变量的单因素组间比较，支持t检验、矫正t检验、秩和检验、单因素方差分析、Fisher精确概率法等统计学检验方法</w:t>
            </w:r>
          </w:p>
        </w:tc>
      </w:tr>
      <w:tr>
        <w:tblPrEx>
          <w:tblCellMar>
            <w:top w:w="0" w:type="dxa"/>
            <w:left w:w="108" w:type="dxa"/>
            <w:bottom w:w="0" w:type="dxa"/>
            <w:right w:w="108" w:type="dxa"/>
          </w:tblCellMar>
        </w:tblPrEx>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9.5多因素分析</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多因素分析,支持构建回归模型，支持逻辑和线性回归方法</w:t>
            </w:r>
          </w:p>
        </w:tc>
      </w:tr>
      <w:tr>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9.6生存分析</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生存分析,支持展示生存曲线，单因素的生存分析方法log-Rank，和构建生存cox模型。</w:t>
            </w:r>
          </w:p>
        </w:tc>
      </w:tr>
      <w:tr>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9.7自动生成图文报告，统计结果一键生成</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数据自动统计，生成图文报告和文章自动生成，可直接用于论文撰写完成科研链路闭环</w:t>
            </w:r>
          </w:p>
        </w:tc>
      </w:tr>
      <w:tr>
        <w:trPr>
          <w:trHeight w:val="915"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9.8项目数据可导出到SPSS、SAS等统计分析软件进行分析</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支持项目数据、检索数据精细化导出，并支持使用SPSS\SAS等统计工具进行分析。</w:t>
            </w:r>
          </w:p>
        </w:tc>
      </w:tr>
      <w:tr>
        <w:tblPrEx>
          <w:tblCellMar>
            <w:top w:w="0" w:type="dxa"/>
            <w:left w:w="108" w:type="dxa"/>
            <w:bottom w:w="0" w:type="dxa"/>
            <w:right w:w="108" w:type="dxa"/>
          </w:tblCellMar>
        </w:tblPrEx>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10.数据补录</w:t>
            </w:r>
          </w:p>
        </w:tc>
      </w:tr>
      <w:tr>
        <w:trPr>
          <w:trHeight w:val="315"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10.1数据补录</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1、支持对库内患者的结构化数据进行补充录入及修改。</w:t>
            </w:r>
          </w:p>
        </w:tc>
      </w:tr>
      <w:tr>
        <w:tblPrEx>
          <w:tblCellMar>
            <w:top w:w="0" w:type="dxa"/>
            <w:left w:w="108" w:type="dxa"/>
            <w:bottom w:w="0" w:type="dxa"/>
            <w:right w:w="108" w:type="dxa"/>
          </w:tblCellMar>
        </w:tblPrEx>
        <w:trPr>
          <w:trHeight w:val="3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2、支持补录任务查看与管理。</w:t>
            </w:r>
          </w:p>
        </w:tc>
      </w:tr>
      <w:tr>
        <w:tblPrEx>
          <w:tblCellMar>
            <w:top w:w="0" w:type="dxa"/>
            <w:left w:w="108" w:type="dxa"/>
            <w:bottom w:w="0" w:type="dxa"/>
            <w:right w:w="108" w:type="dxa"/>
          </w:tblCellMar>
        </w:tblPrEx>
        <w:trPr>
          <w:trHeight w:val="315"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仿宋"/>
                <w:sz w:val="24"/>
              </w:rPr>
            </w:pP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3、对于补录的数据支持筛选、统计分析、项目数据制备等功能。</w:t>
            </w:r>
          </w:p>
        </w:tc>
      </w:tr>
      <w:tr>
        <w:tblPrEx>
          <w:tblCellMar>
            <w:top w:w="0" w:type="dxa"/>
            <w:left w:w="108" w:type="dxa"/>
            <w:bottom w:w="0" w:type="dxa"/>
            <w:right w:w="108" w:type="dxa"/>
          </w:tblCellMar>
        </w:tblPrEx>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11.平台管理</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11.1平台使用情况总览</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系统使用数据总览，查看每天平台上的登录、筛选、申请导出、导出审批通过、下载数据、科研项目创建的数量，以及指定时间段内的趋势</w:t>
            </w:r>
          </w:p>
        </w:tc>
      </w:tr>
      <w:tr>
        <w:tblPrEx>
          <w:tblCellMar>
            <w:top w:w="0" w:type="dxa"/>
            <w:left w:w="108" w:type="dxa"/>
            <w:bottom w:w="0" w:type="dxa"/>
            <w:right w:w="108" w:type="dxa"/>
          </w:tblCellMar>
        </w:tblPrEx>
        <w:trPr>
          <w:trHeight w:val="3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11.2登录记录查看</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查看用户的登录日志，提供平台上所有用户权限内的登录记录，包括登录时间、账号名、科室、角色。</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11.3筛选记录查看</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查看用户筛选记录，提供平台上所有用户的所有筛选记录，包括筛选时间、账号名、所属科室、筛选条件，并支持按照时间筛选。</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11.4导出记录查看</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用户导出记录，提供平台上所有用户的所有数据导出记录，包括导出时间、账号名、科室、项目、导出字段</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11.5项目情况查看</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科研项目记录，可以看到所有创建的项目，对应的创建时间、课题名称、创建人、项目所属科室、项目成员、项目中患者数、数据被导出的次数</w:t>
            </w:r>
          </w:p>
        </w:tc>
      </w:tr>
      <w:tr>
        <w:tblPrEx>
          <w:tblCellMar>
            <w:top w:w="0" w:type="dxa"/>
            <w:left w:w="108" w:type="dxa"/>
            <w:bottom w:w="0" w:type="dxa"/>
            <w:right w:w="108" w:type="dxa"/>
          </w:tblCellMar>
        </w:tblPrEx>
        <w:trPr>
          <w:trHeight w:val="6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11.6导出审批</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审批管理，管理员可对平台上所有用户申请的数据导出请求进行审批，在“审批”菜单栏，可通过或拒绝，拒绝时需要填写拒绝原因。</w:t>
            </w:r>
          </w:p>
        </w:tc>
      </w:tr>
      <w:tr>
        <w:tblPrEx>
          <w:tblCellMar>
            <w:top w:w="0" w:type="dxa"/>
            <w:left w:w="108" w:type="dxa"/>
            <w:bottom w:w="0" w:type="dxa"/>
            <w:right w:w="108" w:type="dxa"/>
          </w:tblCellMar>
        </w:tblPrEx>
        <w:trPr>
          <w:trHeight w:val="900"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11.7权限管理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产品支持多种权限管理，管理员可为每个用户配置不同的账号、角色，从而实现功能权限划分。例如基础科研人员仅可访问数据，导出数据需要经过审批。高级科研人员可直接导出数据等；可根据不同分中心划分用户可访问患者及患者相关数据。</w:t>
            </w:r>
          </w:p>
        </w:tc>
      </w:tr>
      <w:tr>
        <w:trPr>
          <w:trHeight w:val="615"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11.8帐号管理</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支持院内所有平台的账号权限统一配置管理。支持增删改帐号信息，支持预设管理员账号，对系统内的账号信息做角色和管理授权；</w:t>
            </w:r>
          </w:p>
        </w:tc>
      </w:tr>
      <w:tr>
        <w:trPr>
          <w:trHeight w:val="31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仿宋"/>
                <w:sz w:val="24"/>
              </w:rPr>
            </w:pPr>
            <w:r>
              <w:rPr>
                <w:rFonts w:hint="eastAsia" w:ascii="仿宋" w:hAnsi="仿宋" w:eastAsia="仿宋" w:cs="仿宋"/>
                <w:b/>
                <w:bCs/>
                <w:kern w:val="0"/>
                <w:sz w:val="24"/>
                <w:lang w:bidi="ar"/>
              </w:rPr>
              <w:t>12.个人管理</w:t>
            </w:r>
          </w:p>
        </w:tc>
      </w:tr>
      <w:tr>
        <w:tblPrEx>
          <w:tblCellMar>
            <w:top w:w="0" w:type="dxa"/>
            <w:left w:w="108" w:type="dxa"/>
            <w:bottom w:w="0" w:type="dxa"/>
            <w:right w:w="108" w:type="dxa"/>
          </w:tblCellMar>
        </w:tblPrEx>
        <w:trPr>
          <w:trHeight w:val="615"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12.1患者收藏夹</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具备患者收藏夹，对于感兴趣的典型患者，可加入“收藏夹”，进行反复浏览，并且可将特定患者号入特定的项目组。</w:t>
            </w:r>
          </w:p>
        </w:tc>
      </w:tr>
      <w:tr>
        <w:tblPrEx>
          <w:tblCellMar>
            <w:top w:w="0" w:type="dxa"/>
            <w:left w:w="108" w:type="dxa"/>
            <w:bottom w:w="0" w:type="dxa"/>
            <w:right w:w="108" w:type="dxa"/>
          </w:tblCellMar>
        </w:tblPrEx>
        <w:trPr>
          <w:trHeight w:val="615"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12.2操作记录查看</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操作记录,查看历史的筛选操作记录，在数据筛选页面中，可以对历史的筛选条件做恢复。在导出页面，可以支持反复下载历史导出的文件。</w:t>
            </w:r>
          </w:p>
        </w:tc>
      </w:tr>
      <w:tr>
        <w:trPr>
          <w:trHeight w:val="315" w:hRule="atLeast"/>
        </w:trPr>
        <w:tc>
          <w:tcPr>
            <w:tcW w:w="848"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12.3个人信息查看</w:t>
            </w:r>
          </w:p>
        </w:tc>
        <w:tc>
          <w:tcPr>
            <w:tcW w:w="4152"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仿宋"/>
                <w:sz w:val="24"/>
              </w:rPr>
            </w:pPr>
            <w:r>
              <w:rPr>
                <w:rFonts w:hint="eastAsia" w:ascii="仿宋" w:hAnsi="仿宋" w:eastAsia="仿宋" w:cs="仿宋"/>
                <w:kern w:val="0"/>
                <w:sz w:val="24"/>
                <w:lang w:bidi="ar"/>
              </w:rPr>
              <w:t>支持个人信息查看</w:t>
            </w:r>
          </w:p>
        </w:tc>
      </w:tr>
    </w:tbl>
    <w:p>
      <w:pPr>
        <w:pStyle w:val="7"/>
        <w:spacing w:line="360" w:lineRule="auto"/>
        <w:ind w:firstLine="0" w:firstLineChars="0"/>
        <w:rPr>
          <w:rFonts w:ascii="仿宋" w:hAnsi="仿宋" w:eastAsia="仿宋" w:cs="仿宋"/>
          <w:b/>
          <w:bCs/>
          <w:kern w:val="0"/>
          <w:sz w:val="24"/>
        </w:rPr>
      </w:pPr>
      <w:r>
        <w:rPr>
          <w:rFonts w:hint="eastAsia" w:ascii="仿宋" w:hAnsi="仿宋" w:eastAsia="仿宋" w:cs="仿宋"/>
          <w:b/>
          <w:bCs/>
          <w:kern w:val="0"/>
          <w:sz w:val="24"/>
        </w:rPr>
        <w:t>相关要求：</w:t>
      </w:r>
    </w:p>
    <w:p>
      <w:pPr>
        <w:pStyle w:val="7"/>
        <w:numPr>
          <w:ilvl w:val="0"/>
          <w:numId w:val="10"/>
        </w:numPr>
        <w:spacing w:line="360" w:lineRule="auto"/>
        <w:ind w:firstLineChars="0"/>
        <w:rPr>
          <w:rFonts w:ascii="仿宋" w:hAnsi="仿宋" w:eastAsia="仿宋" w:cs="仿宋"/>
          <w:b/>
          <w:bCs/>
          <w:kern w:val="0"/>
          <w:sz w:val="24"/>
        </w:rPr>
      </w:pPr>
      <w:r>
        <w:rPr>
          <w:rFonts w:hint="eastAsia" w:ascii="仿宋" w:hAnsi="仿宋" w:eastAsia="仿宋" w:cs="仿宋"/>
          <w:b/>
          <w:bCs/>
          <w:kern w:val="0"/>
          <w:sz w:val="24"/>
        </w:rPr>
        <w:t>按照电子病历六级评级、互联互通五乙、智慧医院三级、智慧服务三级信息化建设要求，须每年提供相关操作文档包括开发文档及数据采集相关材料。</w:t>
      </w:r>
    </w:p>
    <w:p>
      <w:pPr>
        <w:pStyle w:val="7"/>
        <w:numPr>
          <w:ilvl w:val="0"/>
          <w:numId w:val="10"/>
        </w:numPr>
        <w:spacing w:line="360" w:lineRule="auto"/>
        <w:ind w:firstLineChars="0"/>
        <w:rPr>
          <w:rFonts w:ascii="仿宋" w:hAnsi="仿宋" w:eastAsia="仿宋" w:cs="仿宋"/>
          <w:b/>
          <w:bCs/>
          <w:kern w:val="0"/>
          <w:sz w:val="24"/>
        </w:rPr>
      </w:pPr>
      <w:r>
        <w:rPr>
          <w:rFonts w:hint="eastAsia" w:ascii="仿宋" w:hAnsi="仿宋" w:eastAsia="仿宋" w:cs="仿宋"/>
          <w:b/>
          <w:bCs/>
          <w:kern w:val="0"/>
          <w:sz w:val="24"/>
        </w:rPr>
        <w:t>未涉及业务流程改造，投标方应按医院业务需求修改，不收取任何费用。</w:t>
      </w:r>
    </w:p>
    <w:p>
      <w:pPr>
        <w:pStyle w:val="7"/>
        <w:numPr>
          <w:ilvl w:val="0"/>
          <w:numId w:val="10"/>
        </w:numPr>
        <w:spacing w:line="360" w:lineRule="auto"/>
        <w:ind w:firstLineChars="0"/>
        <w:rPr>
          <w:rFonts w:ascii="仿宋" w:hAnsi="仿宋" w:eastAsia="仿宋" w:cs="仿宋"/>
          <w:b/>
          <w:bCs/>
          <w:kern w:val="0"/>
          <w:sz w:val="24"/>
        </w:rPr>
      </w:pPr>
      <w:r>
        <w:rPr>
          <w:rFonts w:hint="eastAsia" w:ascii="仿宋" w:hAnsi="仿宋" w:eastAsia="仿宋" w:cs="仿宋"/>
          <w:b/>
          <w:bCs/>
          <w:kern w:val="0"/>
          <w:sz w:val="24"/>
        </w:rPr>
        <w:t>投标方提供免费接口供其它系统使用及认证并承担与本软件相关的HIS、LIS、数字认证等医院信息系统接口费用。</w:t>
      </w:r>
    </w:p>
    <w:p>
      <w:pPr>
        <w:pStyle w:val="7"/>
        <w:numPr>
          <w:ilvl w:val="0"/>
          <w:numId w:val="10"/>
        </w:numPr>
        <w:spacing w:line="360" w:lineRule="auto"/>
        <w:ind w:firstLineChars="0"/>
        <w:rPr>
          <w:rFonts w:ascii="仿宋" w:hAnsi="仿宋" w:eastAsia="仿宋" w:cs="仿宋"/>
          <w:b/>
          <w:bCs/>
          <w:kern w:val="0"/>
          <w:sz w:val="24"/>
        </w:rPr>
      </w:pPr>
      <w:r>
        <w:rPr>
          <w:rFonts w:hint="eastAsia" w:ascii="仿宋" w:hAnsi="仿宋" w:eastAsia="仿宋" w:cs="仿宋"/>
          <w:b/>
          <w:bCs/>
          <w:kern w:val="0"/>
          <w:sz w:val="24"/>
        </w:rPr>
        <w:t>本项目实施过程中产生的实施施工费用由中标商承担。</w:t>
      </w:r>
    </w:p>
    <w:p>
      <w:pPr>
        <w:pStyle w:val="7"/>
        <w:numPr>
          <w:ilvl w:val="0"/>
          <w:numId w:val="10"/>
        </w:numPr>
        <w:spacing w:line="360" w:lineRule="auto"/>
        <w:ind w:firstLineChars="0"/>
        <w:rPr>
          <w:rFonts w:ascii="仿宋" w:hAnsi="仿宋" w:eastAsia="仿宋" w:cs="仿宋"/>
          <w:b/>
          <w:bCs/>
          <w:kern w:val="0"/>
          <w:sz w:val="24"/>
        </w:rPr>
      </w:pPr>
      <w:r>
        <w:rPr>
          <w:rFonts w:hint="eastAsia" w:ascii="仿宋" w:hAnsi="仿宋" w:eastAsia="仿宋" w:cs="仿宋"/>
          <w:b/>
          <w:bCs/>
          <w:kern w:val="0"/>
          <w:sz w:val="24"/>
        </w:rPr>
        <w:t xml:space="preserve"> 本次采购为交钥匙项目，本项目预算包括与本项目所有功能实现所产生的费用。凡投标人在报价中未列明但又为本次采购所必备的项目或遗漏项目，采购人将一律视为已包括在其报价中，在合同执行中将不予考虑，投标人根据采购文件、各自情况等进行报价的编制。</w:t>
      </w:r>
    </w:p>
    <w:p>
      <w:pPr>
        <w:pStyle w:val="7"/>
        <w:numPr>
          <w:ilvl w:val="0"/>
          <w:numId w:val="10"/>
        </w:numPr>
        <w:spacing w:line="360" w:lineRule="auto"/>
        <w:ind w:firstLineChars="0"/>
        <w:rPr>
          <w:rFonts w:ascii="仿宋" w:hAnsi="仿宋" w:eastAsia="仿宋" w:cs="仿宋"/>
          <w:b/>
          <w:bCs/>
          <w:kern w:val="0"/>
          <w:sz w:val="24"/>
        </w:rPr>
      </w:pPr>
      <w:r>
        <w:rPr>
          <w:rFonts w:hint="eastAsia" w:ascii="仿宋" w:hAnsi="仿宋" w:eastAsia="仿宋" w:cs="仿宋"/>
          <w:b/>
          <w:bCs/>
          <w:kern w:val="0"/>
          <w:sz w:val="24"/>
        </w:rPr>
        <w:t>投标人须承诺所投科研平台，AI诊断应用软件功能满足一院二区的应用需求，所投的服务器性能、数量需要满足业务需求，保证数据上传调用流畅，AI智能诊断业务不延滞。</w:t>
      </w:r>
    </w:p>
    <w:p>
      <w:pPr>
        <w:pStyle w:val="7"/>
        <w:numPr>
          <w:ilvl w:val="0"/>
          <w:numId w:val="10"/>
        </w:numPr>
        <w:spacing w:line="360" w:lineRule="auto"/>
        <w:ind w:firstLineChars="0"/>
        <w:rPr>
          <w:rFonts w:hint="eastAsia" w:ascii="仿宋" w:hAnsi="仿宋" w:eastAsia="仿宋" w:cs="仿宋"/>
          <w:b/>
          <w:bCs/>
          <w:kern w:val="0"/>
          <w:sz w:val="24"/>
        </w:rPr>
      </w:pPr>
      <w:r>
        <w:rPr>
          <w:rFonts w:hint="eastAsia" w:ascii="仿宋" w:hAnsi="仿宋" w:eastAsia="仿宋" w:cs="仿宋"/>
          <w:b/>
          <w:bCs/>
          <w:kern w:val="0"/>
          <w:sz w:val="24"/>
        </w:rPr>
        <w:t>支持接入内容包括但不限于下列系统及系统中的信息：</w:t>
      </w:r>
    </w:p>
    <w:p>
      <w:pPr>
        <w:pStyle w:val="7"/>
        <w:numPr>
          <w:ilvl w:val="0"/>
          <w:numId w:val="0"/>
        </w:numPr>
        <w:spacing w:line="360" w:lineRule="auto"/>
        <w:ind w:firstLine="0" w:firstLineChars="0"/>
        <w:rPr>
          <w:rFonts w:hint="eastAsia" w:ascii="仿宋" w:hAnsi="仿宋" w:eastAsia="仿宋" w:cs="仿宋"/>
          <w:b/>
          <w:bCs/>
          <w:kern w:val="0"/>
          <w:sz w:val="24"/>
        </w:rPr>
      </w:pPr>
      <w:r>
        <w:rPr>
          <w:rFonts w:hint="eastAsia" w:ascii="仿宋" w:hAnsi="仿宋" w:eastAsia="仿宋" w:cs="仿宋"/>
          <w:b/>
          <w:bCs/>
          <w:kern w:val="0"/>
          <w:sz w:val="24"/>
        </w:rPr>
        <w:t>（1）医院CDR</w:t>
      </w:r>
    </w:p>
    <w:p>
      <w:pPr>
        <w:pStyle w:val="7"/>
        <w:numPr>
          <w:ilvl w:val="0"/>
          <w:numId w:val="0"/>
        </w:numPr>
        <w:spacing w:line="360" w:lineRule="auto"/>
        <w:ind w:firstLine="0" w:firstLineChars="0"/>
        <w:rPr>
          <w:rFonts w:hint="eastAsia" w:ascii="仿宋" w:hAnsi="仿宋" w:eastAsia="仿宋" w:cs="仿宋"/>
          <w:b/>
          <w:bCs/>
          <w:kern w:val="0"/>
          <w:sz w:val="24"/>
        </w:rPr>
      </w:pPr>
      <w:r>
        <w:rPr>
          <w:rFonts w:hint="eastAsia" w:ascii="仿宋" w:hAnsi="仿宋" w:eastAsia="仿宋" w:cs="仿宋"/>
          <w:b/>
          <w:bCs/>
          <w:kern w:val="0"/>
          <w:sz w:val="24"/>
        </w:rPr>
        <w:t>（2）医疗机构信息系统（HIS）：患者、挂号、入出转、就诊、处方/医嘱、申请、收费三测单等信息</w:t>
      </w:r>
    </w:p>
    <w:p>
      <w:pPr>
        <w:pStyle w:val="7"/>
        <w:numPr>
          <w:ilvl w:val="0"/>
          <w:numId w:val="11"/>
        </w:numPr>
        <w:spacing w:line="360" w:lineRule="auto"/>
        <w:ind w:hanging="720" w:firstLineChars="0"/>
        <w:rPr>
          <w:rFonts w:hint="eastAsia" w:ascii="仿宋" w:hAnsi="仿宋" w:eastAsia="仿宋" w:cs="仿宋"/>
          <w:b/>
          <w:bCs/>
          <w:kern w:val="0"/>
          <w:sz w:val="24"/>
        </w:rPr>
      </w:pPr>
      <w:r>
        <w:rPr>
          <w:rFonts w:hint="eastAsia" w:ascii="仿宋" w:hAnsi="仿宋" w:eastAsia="仿宋" w:cs="仿宋"/>
          <w:b/>
          <w:bCs/>
          <w:kern w:val="0"/>
          <w:sz w:val="24"/>
        </w:rPr>
        <w:t>实验室系统（LIS）：标本、检验结果等信息</w:t>
      </w:r>
    </w:p>
    <w:p>
      <w:pPr>
        <w:pStyle w:val="7"/>
        <w:numPr>
          <w:ilvl w:val="0"/>
          <w:numId w:val="11"/>
        </w:numPr>
        <w:spacing w:line="360" w:lineRule="auto"/>
        <w:ind w:hanging="720" w:firstLineChars="0"/>
        <w:rPr>
          <w:rFonts w:hint="eastAsia" w:ascii="仿宋" w:hAnsi="仿宋" w:eastAsia="仿宋" w:cs="仿宋"/>
          <w:b/>
          <w:bCs/>
          <w:kern w:val="0"/>
          <w:sz w:val="24"/>
        </w:rPr>
      </w:pPr>
      <w:r>
        <w:rPr>
          <w:rFonts w:hint="eastAsia" w:ascii="仿宋" w:hAnsi="仿宋" w:eastAsia="仿宋" w:cs="仿宋"/>
          <w:b/>
          <w:bCs/>
          <w:kern w:val="0"/>
          <w:sz w:val="24"/>
        </w:rPr>
        <w:t>超声信息系统：超声检查、超声报告等信息</w:t>
      </w:r>
    </w:p>
    <w:p>
      <w:pPr>
        <w:pStyle w:val="7"/>
        <w:numPr>
          <w:ilvl w:val="0"/>
          <w:numId w:val="11"/>
        </w:numPr>
        <w:spacing w:line="360" w:lineRule="auto"/>
        <w:ind w:hanging="720" w:firstLineChars="0"/>
        <w:rPr>
          <w:rFonts w:hint="eastAsia" w:ascii="仿宋" w:hAnsi="仿宋" w:eastAsia="仿宋" w:cs="仿宋"/>
          <w:b/>
          <w:bCs/>
          <w:kern w:val="0"/>
          <w:sz w:val="24"/>
        </w:rPr>
      </w:pPr>
      <w:r>
        <w:rPr>
          <w:rFonts w:hint="eastAsia" w:ascii="仿宋" w:hAnsi="仿宋" w:eastAsia="仿宋" w:cs="仿宋"/>
          <w:b/>
          <w:bCs/>
          <w:kern w:val="0"/>
          <w:sz w:val="24"/>
        </w:rPr>
        <w:t>病理信息系统：病理检查、病理标本、病理报告等信息</w:t>
      </w:r>
    </w:p>
    <w:p>
      <w:pPr>
        <w:pStyle w:val="7"/>
        <w:numPr>
          <w:ilvl w:val="0"/>
          <w:numId w:val="11"/>
        </w:numPr>
        <w:spacing w:line="360" w:lineRule="auto"/>
        <w:ind w:hanging="720" w:firstLineChars="0"/>
        <w:rPr>
          <w:rFonts w:hint="eastAsia" w:ascii="仿宋" w:hAnsi="仿宋" w:eastAsia="仿宋" w:cs="仿宋"/>
          <w:b/>
          <w:bCs/>
          <w:kern w:val="0"/>
          <w:sz w:val="24"/>
        </w:rPr>
      </w:pPr>
      <w:r>
        <w:rPr>
          <w:rFonts w:hint="eastAsia" w:ascii="仿宋" w:hAnsi="仿宋" w:eastAsia="仿宋" w:cs="仿宋"/>
          <w:b/>
          <w:bCs/>
          <w:kern w:val="0"/>
          <w:sz w:val="24"/>
        </w:rPr>
        <w:t>内镜信息系统：内镜检查、内镜报告等信息</w:t>
      </w:r>
    </w:p>
    <w:p>
      <w:pPr>
        <w:pStyle w:val="7"/>
        <w:numPr>
          <w:ilvl w:val="0"/>
          <w:numId w:val="11"/>
        </w:numPr>
        <w:spacing w:line="360" w:lineRule="auto"/>
        <w:ind w:hanging="720" w:firstLineChars="0"/>
        <w:rPr>
          <w:rFonts w:hint="eastAsia" w:ascii="仿宋" w:hAnsi="仿宋" w:eastAsia="仿宋" w:cs="仿宋"/>
          <w:b/>
          <w:bCs/>
          <w:kern w:val="0"/>
          <w:sz w:val="24"/>
        </w:rPr>
      </w:pPr>
      <w:r>
        <w:rPr>
          <w:rFonts w:hint="eastAsia" w:ascii="仿宋" w:hAnsi="仿宋" w:eastAsia="仿宋" w:cs="仿宋"/>
          <w:b/>
          <w:bCs/>
          <w:kern w:val="0"/>
          <w:sz w:val="24"/>
        </w:rPr>
        <w:t>放射信息系统：放射检查、放射报告等信息</w:t>
      </w:r>
    </w:p>
    <w:p>
      <w:pPr>
        <w:pStyle w:val="7"/>
        <w:numPr>
          <w:ilvl w:val="0"/>
          <w:numId w:val="11"/>
        </w:numPr>
        <w:spacing w:line="360" w:lineRule="auto"/>
        <w:ind w:hanging="720" w:firstLineChars="0"/>
        <w:rPr>
          <w:rFonts w:hint="eastAsia" w:ascii="仿宋" w:hAnsi="仿宋" w:eastAsia="仿宋" w:cs="仿宋"/>
          <w:b/>
          <w:bCs/>
          <w:kern w:val="0"/>
          <w:sz w:val="24"/>
        </w:rPr>
      </w:pPr>
      <w:r>
        <w:rPr>
          <w:rFonts w:hint="eastAsia" w:ascii="仿宋" w:hAnsi="仿宋" w:eastAsia="仿宋" w:cs="仿宋"/>
          <w:b/>
          <w:bCs/>
          <w:kern w:val="0"/>
          <w:sz w:val="24"/>
        </w:rPr>
        <w:t>电子病历系统（EMR）：入院记录、出院记录、病程等病历信息</w:t>
      </w:r>
    </w:p>
    <w:p>
      <w:pPr>
        <w:pStyle w:val="7"/>
        <w:numPr>
          <w:ilvl w:val="0"/>
          <w:numId w:val="11"/>
        </w:numPr>
        <w:spacing w:line="360" w:lineRule="auto"/>
        <w:ind w:hanging="720" w:firstLineChars="0"/>
        <w:rPr>
          <w:rFonts w:hint="eastAsia" w:ascii="仿宋" w:hAnsi="仿宋" w:eastAsia="仿宋" w:cs="仿宋"/>
          <w:b/>
          <w:bCs/>
          <w:kern w:val="0"/>
          <w:sz w:val="24"/>
        </w:rPr>
      </w:pPr>
      <w:r>
        <w:rPr>
          <w:rFonts w:hint="eastAsia" w:ascii="仿宋" w:hAnsi="仿宋" w:eastAsia="仿宋" w:cs="仿宋"/>
          <w:b/>
          <w:bCs/>
          <w:kern w:val="0"/>
          <w:sz w:val="24"/>
        </w:rPr>
        <w:t>护理系统：护理记录、观察记录、护理文书、用药记录等信息</w:t>
      </w:r>
    </w:p>
    <w:p>
      <w:pPr>
        <w:pStyle w:val="7"/>
        <w:numPr>
          <w:ilvl w:val="0"/>
          <w:numId w:val="11"/>
        </w:numPr>
        <w:spacing w:line="360" w:lineRule="auto"/>
        <w:ind w:hanging="720" w:firstLineChars="0"/>
        <w:rPr>
          <w:rFonts w:hint="eastAsia" w:ascii="仿宋" w:hAnsi="仿宋" w:eastAsia="仿宋" w:cs="仿宋"/>
          <w:b/>
          <w:bCs/>
          <w:kern w:val="0"/>
          <w:sz w:val="24"/>
        </w:rPr>
      </w:pPr>
      <w:r>
        <w:rPr>
          <w:rFonts w:hint="eastAsia" w:ascii="仿宋" w:hAnsi="仿宋" w:eastAsia="仿宋" w:cs="仿宋"/>
          <w:b/>
          <w:bCs/>
          <w:kern w:val="0"/>
          <w:sz w:val="24"/>
        </w:rPr>
        <w:t>病案管理系统：病案首页信息</w:t>
      </w:r>
    </w:p>
    <w:p>
      <w:pPr>
        <w:pStyle w:val="7"/>
        <w:numPr>
          <w:ilvl w:val="0"/>
          <w:numId w:val="11"/>
        </w:numPr>
        <w:spacing w:line="360" w:lineRule="auto"/>
        <w:ind w:hanging="720" w:firstLineChars="0"/>
        <w:rPr>
          <w:rFonts w:ascii="仿宋" w:hAnsi="仿宋" w:eastAsia="仿宋" w:cs="仿宋"/>
          <w:b/>
          <w:bCs/>
          <w:kern w:val="0"/>
          <w:sz w:val="24"/>
        </w:rPr>
      </w:pPr>
      <w:r>
        <w:rPr>
          <w:rFonts w:hint="eastAsia" w:ascii="仿宋" w:hAnsi="仿宋" w:eastAsia="仿宋" w:cs="仿宋"/>
          <w:b/>
          <w:bCs/>
          <w:kern w:val="0"/>
          <w:sz w:val="24"/>
        </w:rPr>
        <w:t>重症监护系统：重症护理记录、观察记录、护理文书、用药记录等信息</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、项目实施进度要求:</w:t>
      </w:r>
    </w:p>
    <w:p>
      <w:pPr>
        <w:pStyle w:val="7"/>
        <w:numPr>
          <w:ilvl w:val="0"/>
          <w:numId w:val="0"/>
        </w:numPr>
        <w:spacing w:line="360" w:lineRule="auto"/>
        <w:ind w:left="397" w:leftChars="0"/>
        <w:rPr>
          <w:rFonts w:ascii="仿宋" w:hAnsi="仿宋" w:eastAsia="仿宋" w:cs="仿宋"/>
          <w:kern w:val="0"/>
          <w:sz w:val="24"/>
        </w:rPr>
      </w:pPr>
      <w:r>
        <w:rPr>
          <w:rFonts w:hint="eastAsia" w:ascii="仿宋" w:hAnsi="仿宋" w:eastAsia="仿宋" w:cs="仿宋"/>
          <w:kern w:val="0"/>
          <w:sz w:val="24"/>
          <w:lang w:val="en-US" w:eastAsia="zh-CN"/>
        </w:rPr>
        <w:t>8.1</w:t>
      </w:r>
      <w:r>
        <w:rPr>
          <w:rFonts w:hint="eastAsia" w:ascii="仿宋" w:hAnsi="仿宋" w:eastAsia="仿宋" w:cs="仿宋"/>
          <w:kern w:val="0"/>
          <w:sz w:val="24"/>
        </w:rPr>
        <w:t>中标人应务必在投标文件中标明工期及实施方案，签订合同后25个工作日内，中标方需将中标物品免费运送至采购方指定场所。</w:t>
      </w:r>
    </w:p>
    <w:p>
      <w:pPr>
        <w:pStyle w:val="7"/>
        <w:numPr>
          <w:ilvl w:val="0"/>
          <w:numId w:val="0"/>
        </w:numPr>
        <w:spacing w:line="360" w:lineRule="auto"/>
        <w:ind w:left="420" w:leftChars="0"/>
        <w:rPr>
          <w:rFonts w:ascii="仿宋" w:hAnsi="仿宋" w:eastAsia="仿宋" w:cs="仿宋"/>
          <w:kern w:val="0"/>
          <w:sz w:val="24"/>
        </w:rPr>
      </w:pPr>
      <w:r>
        <w:rPr>
          <w:rFonts w:hint="eastAsia" w:ascii="仿宋" w:hAnsi="仿宋" w:eastAsia="仿宋" w:cs="仿宋"/>
          <w:kern w:val="0"/>
          <w:sz w:val="24"/>
          <w:lang w:val="en-US" w:eastAsia="zh-CN"/>
        </w:rPr>
        <w:t>8.2</w:t>
      </w:r>
      <w:r>
        <w:rPr>
          <w:rFonts w:hint="eastAsia" w:ascii="仿宋" w:hAnsi="仿宋" w:eastAsia="仿宋" w:cs="仿宋"/>
          <w:kern w:val="0"/>
          <w:sz w:val="24"/>
        </w:rPr>
        <w:t>本项目实施完成时间：自合同签订之日后12个月内完成。</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9</w:t>
      </w:r>
      <w:r>
        <w:rPr>
          <w:rFonts w:hint="eastAsia" w:ascii="仿宋" w:hAnsi="仿宋" w:eastAsia="仿宋" w:cs="仿宋"/>
          <w:kern w:val="0"/>
          <w:sz w:val="24"/>
        </w:rPr>
        <w:t>、项目培训要求:</w:t>
      </w:r>
    </w:p>
    <w:p>
      <w:pPr>
        <w:pStyle w:val="7"/>
        <w:spacing w:line="360" w:lineRule="auto"/>
        <w:ind w:firstLine="480"/>
        <w:rPr>
          <w:rFonts w:ascii="仿宋" w:hAnsi="仿宋" w:eastAsia="仿宋" w:cs="仿宋"/>
          <w:kern w:val="0"/>
          <w:sz w:val="24"/>
        </w:rPr>
      </w:pPr>
      <w:r>
        <w:rPr>
          <w:rFonts w:hint="eastAsia" w:ascii="仿宋" w:hAnsi="仿宋" w:eastAsia="仿宋" w:cs="仿宋"/>
          <w:kern w:val="0"/>
          <w:sz w:val="24"/>
        </w:rPr>
        <w:t>系统操作培训：主要面向使用人员（临床、医技、技术等），提供操作培训及文档；</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10</w:t>
      </w:r>
      <w:r>
        <w:rPr>
          <w:rFonts w:hint="eastAsia" w:ascii="仿宋" w:hAnsi="仿宋" w:eastAsia="仿宋" w:cs="仿宋"/>
          <w:kern w:val="0"/>
          <w:sz w:val="24"/>
        </w:rPr>
        <w:t>、项目售后服务要求:</w:t>
      </w:r>
    </w:p>
    <w:p>
      <w:pPr>
        <w:pStyle w:val="7"/>
        <w:numPr>
          <w:ilvl w:val="0"/>
          <w:numId w:val="0"/>
        </w:numPr>
        <w:spacing w:line="360" w:lineRule="auto"/>
        <w:ind w:left="397" w:leftChars="0"/>
        <w:rPr>
          <w:rFonts w:ascii="仿宋" w:hAnsi="仿宋" w:eastAsia="仿宋" w:cs="仿宋"/>
          <w:kern w:val="0"/>
          <w:sz w:val="24"/>
        </w:rPr>
      </w:pPr>
      <w:r>
        <w:rPr>
          <w:rFonts w:hint="eastAsia" w:ascii="仿宋" w:hAnsi="仿宋" w:eastAsia="仿宋" w:cs="仿宋"/>
          <w:kern w:val="0"/>
          <w:sz w:val="24"/>
          <w:lang w:val="en-US" w:eastAsia="zh-CN"/>
        </w:rPr>
        <w:t>10.1</w:t>
      </w:r>
      <w:r>
        <w:rPr>
          <w:rFonts w:hint="eastAsia" w:ascii="仿宋" w:hAnsi="仿宋" w:eastAsia="仿宋" w:cs="仿宋"/>
          <w:kern w:val="0"/>
          <w:sz w:val="24"/>
        </w:rPr>
        <w:t>投标人必须根据本次招标文件所制定的目标和范围，提出相应的售后服务方案。</w:t>
      </w:r>
    </w:p>
    <w:p>
      <w:pPr>
        <w:pStyle w:val="7"/>
        <w:numPr>
          <w:ilvl w:val="0"/>
          <w:numId w:val="0"/>
        </w:numPr>
        <w:spacing w:line="360" w:lineRule="auto"/>
        <w:ind w:left="397" w:leftChars="0"/>
        <w:rPr>
          <w:rFonts w:ascii="仿宋" w:hAnsi="仿宋" w:eastAsia="仿宋" w:cs="仿宋"/>
          <w:kern w:val="0"/>
          <w:sz w:val="24"/>
        </w:rPr>
      </w:pPr>
      <w:r>
        <w:rPr>
          <w:rFonts w:hint="eastAsia" w:ascii="仿宋" w:hAnsi="仿宋" w:eastAsia="仿宋" w:cs="仿宋"/>
          <w:kern w:val="0"/>
          <w:sz w:val="24"/>
          <w:lang w:val="en-US" w:eastAsia="zh-CN"/>
        </w:rPr>
        <w:t>10.2</w:t>
      </w:r>
      <w:r>
        <w:rPr>
          <w:rFonts w:hint="eastAsia" w:ascii="仿宋" w:hAnsi="仿宋" w:eastAsia="仿宋" w:cs="仿宋"/>
          <w:kern w:val="0"/>
          <w:sz w:val="24"/>
        </w:rPr>
        <w:t>提供7*24小时日常服务，通过提供邮件、电话、QQ、VPN远程连接等技术支持方式，以解决日常系统出现的问题咨询和故障处理。当甲方出现紧急故障情况时，立即向投标方电话报修，要求投标方10分钟内响应，积极配合诊断并进行处理。</w:t>
      </w:r>
    </w:p>
    <w:p>
      <w:pPr>
        <w:pStyle w:val="7"/>
        <w:numPr>
          <w:ilvl w:val="0"/>
          <w:numId w:val="0"/>
        </w:numPr>
        <w:spacing w:line="360" w:lineRule="auto"/>
        <w:ind w:left="420" w:leftChars="0"/>
        <w:rPr>
          <w:rFonts w:ascii="仿宋" w:hAnsi="仿宋" w:eastAsia="仿宋" w:cs="仿宋"/>
          <w:kern w:val="0"/>
          <w:sz w:val="24"/>
        </w:rPr>
      </w:pPr>
      <w:r>
        <w:rPr>
          <w:rFonts w:hint="eastAsia" w:ascii="仿宋" w:hAnsi="仿宋" w:eastAsia="仿宋" w:cs="仿宋"/>
          <w:kern w:val="0"/>
          <w:sz w:val="24"/>
          <w:lang w:val="en-US" w:eastAsia="zh-CN"/>
        </w:rPr>
        <w:t>10.3</w:t>
      </w:r>
      <w:r>
        <w:rPr>
          <w:rFonts w:hint="eastAsia" w:ascii="仿宋" w:hAnsi="仿宋" w:eastAsia="仿宋" w:cs="仿宋"/>
          <w:kern w:val="0"/>
          <w:sz w:val="24"/>
        </w:rPr>
        <w:t>要求针对本项目成立软件开发实施项目组，明确项目经理及其他具体人员组成和分工。项目经理负责定期每月向甲方提交工作计划月报以及每周提交工作周报总结，监管项目按进度和计划有效开展。</w:t>
      </w:r>
    </w:p>
    <w:p>
      <w:pPr>
        <w:pStyle w:val="7"/>
        <w:numPr>
          <w:ilvl w:val="0"/>
          <w:numId w:val="0"/>
        </w:numPr>
        <w:spacing w:line="360" w:lineRule="auto"/>
        <w:ind w:left="420" w:leftChars="0"/>
        <w:rPr>
          <w:rFonts w:ascii="仿宋" w:hAnsi="仿宋" w:eastAsia="仿宋" w:cs="仿宋"/>
          <w:kern w:val="0"/>
          <w:sz w:val="24"/>
        </w:rPr>
      </w:pPr>
      <w:r>
        <w:rPr>
          <w:rFonts w:hint="eastAsia" w:ascii="仿宋" w:hAnsi="仿宋" w:eastAsia="仿宋" w:cs="仿宋"/>
          <w:kern w:val="0"/>
          <w:sz w:val="24"/>
          <w:lang w:val="en-US" w:eastAsia="zh-CN"/>
        </w:rPr>
        <w:t>10.4</w:t>
      </w:r>
      <w:r>
        <w:rPr>
          <w:rFonts w:hint="eastAsia" w:ascii="仿宋" w:hAnsi="仿宋" w:eastAsia="仿宋" w:cs="仿宋"/>
          <w:kern w:val="0"/>
          <w:sz w:val="24"/>
        </w:rPr>
        <w:t>在本合同项目实施及维保期间内，中标方对合同范围内的产品免费提供更新、升级服务。</w:t>
      </w:r>
    </w:p>
    <w:p>
      <w:pPr>
        <w:pStyle w:val="7"/>
        <w:numPr>
          <w:ilvl w:val="0"/>
          <w:numId w:val="0"/>
        </w:numPr>
        <w:spacing w:line="360" w:lineRule="auto"/>
        <w:ind w:left="420" w:leftChars="0"/>
        <w:rPr>
          <w:rFonts w:ascii="仿宋" w:hAnsi="仿宋" w:eastAsia="仿宋" w:cs="仿宋"/>
          <w:kern w:val="0"/>
          <w:sz w:val="24"/>
        </w:rPr>
      </w:pPr>
      <w:r>
        <w:rPr>
          <w:rFonts w:hint="eastAsia" w:ascii="仿宋" w:hAnsi="仿宋" w:eastAsia="仿宋" w:cs="仿宋"/>
          <w:kern w:val="0"/>
          <w:sz w:val="24"/>
          <w:lang w:val="en-US" w:eastAsia="zh-CN"/>
        </w:rPr>
        <w:t>10.5</w:t>
      </w:r>
      <w:r>
        <w:rPr>
          <w:rFonts w:hint="eastAsia" w:ascii="仿宋" w:hAnsi="仿宋" w:eastAsia="仿宋" w:cs="仿宋"/>
          <w:kern w:val="0"/>
          <w:sz w:val="24"/>
        </w:rPr>
        <w:t>免费质保期：自项目验收之日起，免费原厂质保服务至少为期1年；（具体质保年限根据中标人响应的投标文件为准）。</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11</w:t>
      </w:r>
      <w:r>
        <w:rPr>
          <w:rFonts w:hint="eastAsia" w:ascii="仿宋" w:hAnsi="仿宋" w:eastAsia="仿宋" w:cs="仿宋"/>
          <w:kern w:val="0"/>
          <w:sz w:val="24"/>
        </w:rPr>
        <w:t>、项目验收要求:</w:t>
      </w:r>
    </w:p>
    <w:p>
      <w:pPr>
        <w:pStyle w:val="7"/>
        <w:spacing w:line="360" w:lineRule="auto"/>
        <w:ind w:firstLine="480"/>
        <w:rPr>
          <w:rFonts w:ascii="仿宋" w:hAnsi="仿宋" w:eastAsia="仿宋" w:cs="仿宋"/>
          <w:kern w:val="0"/>
          <w:sz w:val="24"/>
        </w:rPr>
      </w:pPr>
      <w:r>
        <w:rPr>
          <w:rFonts w:hint="eastAsia" w:ascii="仿宋" w:hAnsi="仿宋" w:eastAsia="仿宋" w:cs="仿宋"/>
          <w:kern w:val="0"/>
          <w:sz w:val="24"/>
        </w:rPr>
        <w:t>项目的工作内容及成果文档的提交应覆盖以下内容，电子文档是成果不可分割的部分。</w:t>
      </w:r>
    </w:p>
    <w:p>
      <w:pPr>
        <w:pStyle w:val="7"/>
        <w:spacing w:line="360" w:lineRule="auto"/>
        <w:ind w:firstLine="480"/>
        <w:rPr>
          <w:rFonts w:ascii="仿宋" w:hAnsi="仿宋" w:eastAsia="仿宋" w:cs="仿宋"/>
          <w:kern w:val="0"/>
          <w:sz w:val="24"/>
        </w:rPr>
      </w:pPr>
      <w:r>
        <w:rPr>
          <w:rFonts w:hint="eastAsia" w:ascii="仿宋" w:hAnsi="仿宋" w:eastAsia="仿宋" w:cs="仿宋"/>
          <w:kern w:val="0"/>
          <w:sz w:val="24"/>
        </w:rPr>
        <w:t>(1)、系统实施确认书；</w:t>
      </w:r>
    </w:p>
    <w:p>
      <w:pPr>
        <w:pStyle w:val="7"/>
        <w:spacing w:line="360" w:lineRule="auto"/>
        <w:ind w:firstLine="480"/>
        <w:rPr>
          <w:rFonts w:ascii="仿宋" w:hAnsi="仿宋" w:eastAsia="仿宋" w:cs="仿宋"/>
          <w:kern w:val="0"/>
          <w:sz w:val="24"/>
        </w:rPr>
      </w:pPr>
      <w:r>
        <w:rPr>
          <w:rFonts w:hint="eastAsia" w:ascii="仿宋" w:hAnsi="仿宋" w:eastAsia="仿宋" w:cs="仿宋"/>
          <w:kern w:val="0"/>
          <w:sz w:val="24"/>
        </w:rPr>
        <w:t>(2)、设备培训资料；</w:t>
      </w:r>
    </w:p>
    <w:p>
      <w:pPr>
        <w:pStyle w:val="7"/>
        <w:spacing w:line="360" w:lineRule="auto"/>
        <w:ind w:firstLine="480"/>
        <w:rPr>
          <w:rFonts w:ascii="仿宋" w:hAnsi="仿宋" w:eastAsia="仿宋" w:cs="仿宋"/>
          <w:kern w:val="0"/>
          <w:sz w:val="24"/>
        </w:rPr>
      </w:pPr>
      <w:r>
        <w:rPr>
          <w:rFonts w:hint="eastAsia" w:ascii="仿宋" w:hAnsi="仿宋" w:eastAsia="仿宋" w:cs="仿宋"/>
          <w:kern w:val="0"/>
          <w:sz w:val="24"/>
        </w:rPr>
        <w:t>(3)、设备安装维护手册；</w:t>
      </w:r>
    </w:p>
    <w:p>
      <w:pPr>
        <w:pStyle w:val="7"/>
        <w:spacing w:line="360" w:lineRule="auto"/>
        <w:ind w:firstLine="480"/>
        <w:rPr>
          <w:rFonts w:ascii="仿宋" w:hAnsi="仿宋" w:eastAsia="仿宋" w:cs="仿宋"/>
          <w:kern w:val="0"/>
          <w:sz w:val="24"/>
        </w:rPr>
      </w:pPr>
      <w:r>
        <w:rPr>
          <w:rFonts w:hint="eastAsia" w:ascii="仿宋" w:hAnsi="仿宋" w:eastAsia="仿宋" w:cs="仿宋"/>
          <w:kern w:val="0"/>
          <w:sz w:val="24"/>
        </w:rPr>
        <w:t>(4)、使用操作手册；</w:t>
      </w:r>
    </w:p>
    <w:p>
      <w:pPr>
        <w:pStyle w:val="7"/>
        <w:spacing w:line="360" w:lineRule="auto"/>
        <w:ind w:firstLine="480"/>
        <w:rPr>
          <w:rFonts w:ascii="仿宋" w:hAnsi="仿宋" w:eastAsia="仿宋" w:cs="仿宋"/>
          <w:kern w:val="0"/>
          <w:sz w:val="24"/>
        </w:rPr>
      </w:pPr>
      <w:r>
        <w:rPr>
          <w:rFonts w:hint="eastAsia" w:ascii="仿宋" w:hAnsi="仿宋" w:eastAsia="仿宋" w:cs="仿宋"/>
          <w:kern w:val="0"/>
          <w:sz w:val="24"/>
        </w:rPr>
        <w:t>(5)、项目验收报告。</w:t>
      </w:r>
    </w:p>
    <w:p>
      <w:pPr>
        <w:pStyle w:val="7"/>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12</w:t>
      </w:r>
      <w:r>
        <w:rPr>
          <w:rFonts w:hint="eastAsia" w:ascii="仿宋" w:hAnsi="仿宋" w:eastAsia="仿宋" w:cs="仿宋"/>
          <w:kern w:val="0"/>
          <w:sz w:val="24"/>
        </w:rPr>
        <w:t>、付款方式：</w:t>
      </w:r>
    </w:p>
    <w:p>
      <w:pPr>
        <w:pStyle w:val="7"/>
        <w:spacing w:line="360" w:lineRule="auto"/>
        <w:ind w:firstLineChars="0"/>
        <w:rPr>
          <w:rFonts w:ascii="仿宋" w:hAnsi="仿宋" w:eastAsia="仿宋" w:cs="仿宋"/>
          <w:kern w:val="0"/>
          <w:sz w:val="24"/>
          <w:lang w:val="zh-CN"/>
        </w:rPr>
      </w:pPr>
      <w:r>
        <w:rPr>
          <w:rFonts w:hint="eastAsia" w:ascii="仿宋" w:hAnsi="仿宋" w:eastAsia="仿宋" w:cs="仿宋"/>
          <w:kern w:val="0"/>
          <w:sz w:val="24"/>
          <w:lang w:val="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2"/>
        <w:numPr>
          <w:ilvl w:val="0"/>
          <w:numId w:val="0"/>
        </w:numPr>
        <w:rPr>
          <w:rFonts w:hint="eastAsia"/>
        </w:rPr>
      </w:pPr>
    </w:p>
    <w:bookmarkEnd w:id="7"/>
    <w:p>
      <w:pPr>
        <w:pStyle w:val="25"/>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第四部分  政府采购合同参考范本</w:t>
      </w:r>
    </w:p>
    <w:p>
      <w:pPr>
        <w:rPr>
          <w:rFonts w:hint="eastAsia" w:ascii="仿宋" w:hAnsi="仿宋" w:eastAsia="仿宋" w:cs="仿宋"/>
          <w:color w:val="auto"/>
          <w:sz w:val="24"/>
        </w:rPr>
      </w:pP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（货物类）</w:t>
      </w:r>
    </w:p>
    <w:p>
      <w:pPr>
        <w:pStyle w:val="282"/>
        <w:rPr>
          <w:rFonts w:hint="eastAsia" w:ascii="仿宋" w:hAnsi="仿宋" w:eastAsia="仿宋" w:cs="仿宋"/>
          <w:color w:val="auto"/>
          <w:szCs w:val="24"/>
        </w:rPr>
      </w:pPr>
    </w:p>
    <w:p>
      <w:pPr>
        <w:pStyle w:val="282"/>
        <w:rPr>
          <w:rFonts w:hint="eastAsia" w:ascii="仿宋" w:hAnsi="仿宋" w:eastAsia="仿宋" w:cs="仿宋"/>
          <w:color w:val="auto"/>
          <w:szCs w:val="24"/>
        </w:rPr>
      </w:pPr>
    </w:p>
    <w:p>
      <w:pPr>
        <w:pStyle w:val="282"/>
        <w:jc w:val="center"/>
        <w:rPr>
          <w:rFonts w:hint="eastAsia" w:ascii="仿宋" w:hAnsi="仿宋" w:eastAsia="仿宋" w:cs="仿宋"/>
          <w:color w:val="auto"/>
          <w:szCs w:val="24"/>
        </w:rPr>
      </w:pPr>
    </w:p>
    <w:p>
      <w:pPr>
        <w:pStyle w:val="282"/>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pPr>
        <w:pStyle w:val="282"/>
        <w:rPr>
          <w:rFonts w:hint="eastAsia" w:ascii="仿宋" w:hAnsi="仿宋" w:eastAsia="仿宋" w:cs="仿宋"/>
          <w:color w:val="auto"/>
          <w:szCs w:val="24"/>
        </w:rPr>
      </w:pPr>
    </w:p>
    <w:p>
      <w:pPr>
        <w:pStyle w:val="282"/>
        <w:rPr>
          <w:rFonts w:hint="eastAsia" w:ascii="仿宋" w:hAnsi="仿宋" w:eastAsia="仿宋" w:cs="仿宋"/>
          <w:color w:val="auto"/>
          <w:szCs w:val="24"/>
        </w:rPr>
      </w:pP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281"/>
        <w:spacing w:before="120" w:line="22" w:lineRule="atLeast"/>
        <w:rPr>
          <w:rFonts w:hint="eastAsia" w:ascii="仿宋" w:hAnsi="仿宋" w:eastAsia="仿宋" w:cs="仿宋"/>
          <w:color w:val="auto"/>
          <w:szCs w:val="24"/>
        </w:rPr>
      </w:pPr>
    </w:p>
    <w:p>
      <w:pPr>
        <w:pStyle w:val="281"/>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footerReference r:id="rId8" w:type="first"/>
          <w:headerReference r:id="rId6" w:type="default"/>
          <w:footerReference r:id="rId7" w:type="default"/>
          <w:pgSz w:w="11907" w:h="16840"/>
          <w:pgMar w:top="1474" w:right="1814" w:bottom="1474" w:left="1814" w:header="851" w:footer="851" w:gutter="0"/>
          <w:pgNumType w:fmt="decimal" w:start="2"/>
          <w:cols w:space="720" w:num="1"/>
          <w:titlePg/>
          <w:docGrid w:linePitch="286" w:charSpace="0"/>
        </w:sect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（同前页项目名称）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（中标供应商名称）</w:t>
      </w:r>
      <w:r>
        <w:rPr>
          <w:rFonts w:hint="eastAsia" w:ascii="仿宋" w:hAnsi="仿宋" w:eastAsia="仿宋" w:cs="仿宋"/>
          <w:color w:val="auto"/>
          <w:sz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b/>
          <w:color w:val="auto"/>
          <w:sz w:val="24"/>
        </w:rPr>
      </w:pPr>
      <w:bookmarkStart w:id="14" w:name="_Toc24059"/>
      <w:bookmarkStart w:id="15" w:name="_Toc2232"/>
      <w:bookmarkStart w:id="16" w:name="_Toc3029"/>
      <w:r>
        <w:rPr>
          <w:rFonts w:hint="eastAsia" w:ascii="仿宋" w:hAnsi="仿宋" w:eastAsia="仿宋" w:cs="仿宋"/>
          <w:b/>
          <w:color w:val="auto"/>
          <w:sz w:val="24"/>
        </w:rPr>
        <w:t>1.1 合同组成部分</w:t>
      </w:r>
      <w:bookmarkEnd w:id="14"/>
      <w:bookmarkEnd w:id="15"/>
      <w:bookmarkEnd w:id="1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招标文件（含澄清或者修改文件）；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17" w:name="_Toc21295"/>
      <w:bookmarkStart w:id="18" w:name="_Toc27126"/>
      <w:bookmarkStart w:id="19" w:name="_Toc24300"/>
      <w:r>
        <w:rPr>
          <w:rFonts w:hint="eastAsia" w:ascii="仿宋" w:hAnsi="仿宋" w:eastAsia="仿宋" w:cs="仿宋"/>
          <w:b/>
          <w:color w:val="auto"/>
          <w:sz w:val="24"/>
        </w:rPr>
        <w:t>1.2 货物</w:t>
      </w:r>
      <w:bookmarkEnd w:id="17"/>
      <w:bookmarkEnd w:id="18"/>
      <w:bookmarkEnd w:id="19"/>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货物名称：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0" w:name="_Toc21551"/>
      <w:bookmarkStart w:id="21" w:name="_Toc21631"/>
      <w:bookmarkStart w:id="22" w:name="_Toc23292"/>
      <w:r>
        <w:rPr>
          <w:rFonts w:hint="eastAsia" w:ascii="仿宋" w:hAnsi="仿宋" w:eastAsia="仿宋" w:cs="仿宋"/>
          <w:b/>
          <w:color w:val="auto"/>
          <w:sz w:val="24"/>
        </w:rPr>
        <w:t>1.3 价款</w:t>
      </w:r>
      <w:bookmarkEnd w:id="20"/>
      <w:bookmarkEnd w:id="21"/>
      <w:bookmarkEnd w:id="2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7"/>
              <w:spacing w:line="560" w:lineRule="exact"/>
              <w:ind w:firstLine="200"/>
              <w:jc w:val="center"/>
              <w:rPr>
                <w:rFonts w:hint="eastAsia" w:ascii="仿宋" w:hAnsi="仿宋" w:eastAsia="仿宋" w:cs="仿宋"/>
                <w:color w:val="auto"/>
                <w:sz w:val="24"/>
                <w:szCs w:val="24"/>
              </w:rPr>
            </w:pPr>
          </w:p>
        </w:tc>
      </w:tr>
    </w:tbl>
    <w:p>
      <w:pPr>
        <w:spacing w:line="440" w:lineRule="exact"/>
        <w:ind w:firstLine="482" w:firstLineChars="200"/>
        <w:outlineLvl w:val="0"/>
        <w:rPr>
          <w:rFonts w:hint="eastAsia" w:ascii="仿宋" w:hAnsi="仿宋" w:eastAsia="仿宋" w:cs="仿宋"/>
          <w:b/>
          <w:color w:val="auto"/>
          <w:sz w:val="24"/>
        </w:rPr>
      </w:pPr>
      <w:bookmarkStart w:id="23" w:name="_Toc22618"/>
      <w:bookmarkStart w:id="24" w:name="_Toc10340"/>
      <w:bookmarkStart w:id="25" w:name="_Toc1814"/>
      <w:r>
        <w:rPr>
          <w:rFonts w:hint="eastAsia" w:ascii="仿宋" w:hAnsi="仿宋" w:eastAsia="仿宋" w:cs="仿宋"/>
          <w:b/>
          <w:color w:val="auto"/>
          <w:sz w:val="24"/>
        </w:rPr>
        <w:t>1.4 付款</w:t>
      </w:r>
      <w:bookmarkEnd w:id="23"/>
      <w:bookmarkEnd w:id="24"/>
      <w:bookmarkEnd w:id="25"/>
      <w:r>
        <w:rPr>
          <w:rFonts w:hint="eastAsia" w:ascii="仿宋" w:hAnsi="仿宋" w:eastAsia="仿宋" w:cs="仿宋"/>
          <w:b/>
          <w:color w:val="auto"/>
          <w:sz w:val="24"/>
        </w:rPr>
        <w:t>方式、时间和条件</w:t>
      </w:r>
    </w:p>
    <w:p>
      <w:pPr>
        <w:pStyle w:val="283"/>
        <w:spacing w:before="0" w:beforeAutospacing="0" w:after="0" w:afterAutospacing="0" w:line="440" w:lineRule="exact"/>
        <w:ind w:firstLine="480"/>
        <w:rPr>
          <w:rFonts w:hint="eastAsia" w:ascii="仿宋" w:hAnsi="仿宋" w:eastAsia="仿宋" w:cs="仿宋"/>
          <w:color w:val="auto"/>
        </w:rPr>
      </w:pPr>
      <w:r>
        <w:rPr>
          <w:rFonts w:hint="eastAsia" w:ascii="仿宋" w:hAnsi="仿宋" w:eastAsia="仿宋" w:cs="仿宋"/>
          <w:color w:val="auto"/>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hint="eastAsia" w:ascii="仿宋" w:hAnsi="仿宋" w:eastAsia="仿宋" w:cs="仿宋"/>
          <w:b/>
          <w:color w:val="auto"/>
          <w:sz w:val="24"/>
        </w:rPr>
      </w:pPr>
      <w:bookmarkStart w:id="26" w:name="_Toc19304"/>
      <w:bookmarkStart w:id="27" w:name="_Toc2846"/>
      <w:bookmarkStart w:id="28" w:name="_Toc32071"/>
      <w:r>
        <w:rPr>
          <w:rFonts w:hint="eastAsia" w:ascii="仿宋" w:hAnsi="仿宋" w:eastAsia="仿宋" w:cs="仿宋"/>
          <w:b/>
          <w:color w:val="auto"/>
          <w:sz w:val="24"/>
        </w:rPr>
        <w:t>1.5 货物交付期限、地点和方式</w:t>
      </w:r>
      <w:bookmarkEnd w:id="26"/>
      <w:bookmarkEnd w:id="27"/>
      <w:bookmarkEnd w:id="28"/>
    </w:p>
    <w:p>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1.5.1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9" w:name="_Toc21423"/>
      <w:bookmarkStart w:id="30" w:name="_Toc27250"/>
      <w:bookmarkStart w:id="31" w:name="_Toc19554"/>
      <w:r>
        <w:rPr>
          <w:rFonts w:hint="eastAsia" w:ascii="仿宋" w:hAnsi="仿宋" w:eastAsia="仿宋" w:cs="仿宋"/>
          <w:b/>
          <w:color w:val="auto"/>
          <w:sz w:val="24"/>
        </w:rPr>
        <w:t>1.6 违约责任</w:t>
      </w:r>
      <w:bookmarkEnd w:id="29"/>
      <w:bookmarkEnd w:id="30"/>
      <w:bookmarkEnd w:id="3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1.6.7违约责任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hint="eastAsia" w:ascii="仿宋" w:hAnsi="仿宋" w:eastAsia="仿宋" w:cs="仿宋"/>
          <w:b/>
          <w:color w:val="auto"/>
          <w:sz w:val="24"/>
        </w:rPr>
      </w:pPr>
      <w:bookmarkStart w:id="32" w:name="_Toc15583"/>
      <w:bookmarkStart w:id="33" w:name="_Toc28375"/>
      <w:bookmarkStart w:id="34" w:name="_Toc16021"/>
      <w:r>
        <w:rPr>
          <w:rFonts w:hint="eastAsia" w:ascii="仿宋" w:hAnsi="仿宋" w:eastAsia="仿宋" w:cs="仿宋"/>
          <w:b/>
          <w:color w:val="auto"/>
          <w:sz w:val="24"/>
        </w:rPr>
        <w:t>1.7 合同争议的解决</w:t>
      </w:r>
      <w:bookmarkEnd w:id="32"/>
      <w:bookmarkEnd w:id="33"/>
      <w:bookmarkEnd w:id="34"/>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1.7.1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1.7.2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35" w:name="_Toc15322"/>
      <w:bookmarkStart w:id="36" w:name="_Toc11173"/>
      <w:bookmarkStart w:id="37" w:name="_Toc7245"/>
      <w:r>
        <w:rPr>
          <w:rFonts w:hint="eastAsia" w:ascii="仿宋" w:hAnsi="仿宋" w:eastAsia="仿宋" w:cs="仿宋"/>
          <w:b/>
          <w:color w:val="auto"/>
          <w:sz w:val="24"/>
        </w:rPr>
        <w:t>1.8 合同生效</w:t>
      </w:r>
      <w:bookmarkEnd w:id="35"/>
      <w:bookmarkEnd w:id="36"/>
      <w:bookmarkEnd w:id="37"/>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24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24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spacing w:line="560" w:lineRule="exact"/>
        <w:jc w:val="left"/>
        <w:rPr>
          <w:rFonts w:hint="eastAsia" w:ascii="仿宋" w:hAnsi="仿宋" w:eastAsia="仿宋" w:cs="仿宋"/>
          <w:b/>
          <w:color w:val="auto"/>
          <w:sz w:val="24"/>
        </w:rPr>
      </w:pPr>
    </w:p>
    <w:p>
      <w:pPr>
        <w:pStyle w:val="282"/>
        <w:pageBreakBefore/>
        <w:spacing w:line="560" w:lineRule="exact"/>
        <w:ind w:firstLine="723"/>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合同一般条款</w:t>
      </w:r>
    </w:p>
    <w:p>
      <w:pPr>
        <w:spacing w:line="560" w:lineRule="exact"/>
        <w:ind w:firstLine="482" w:firstLineChars="200"/>
        <w:outlineLvl w:val="0"/>
        <w:rPr>
          <w:rFonts w:hint="eastAsia" w:ascii="仿宋" w:hAnsi="仿宋" w:eastAsia="仿宋" w:cs="仿宋"/>
          <w:b/>
          <w:color w:val="auto"/>
          <w:sz w:val="24"/>
        </w:rPr>
      </w:pPr>
      <w:bookmarkStart w:id="38" w:name="_Ref467378463"/>
      <w:bookmarkStart w:id="39" w:name="_Toc279701240"/>
      <w:bookmarkStart w:id="40" w:name="_Ref467378404"/>
      <w:bookmarkStart w:id="41" w:name="_Ref467379101"/>
      <w:bookmarkStart w:id="42" w:name="_Toc19614"/>
      <w:bookmarkStart w:id="43" w:name="_Ref467379205"/>
      <w:bookmarkStart w:id="44" w:name="_Toc16917"/>
      <w:bookmarkStart w:id="45" w:name="_Ref467379109"/>
      <w:bookmarkStart w:id="46" w:name="_Toc487900349"/>
      <w:bookmarkStart w:id="47" w:name="_Ref467379225"/>
      <w:bookmarkStart w:id="48" w:name="_Ref467379195"/>
      <w:bookmarkStart w:id="49" w:name="_Ref467379094"/>
      <w:bookmarkStart w:id="50" w:name="_Ref467378499"/>
      <w:bookmarkStart w:id="51" w:name="_Ref467379214"/>
      <w:bookmarkStart w:id="52" w:name="_Toc28763"/>
      <w:bookmarkStart w:id="53" w:name="_Toc259093669"/>
      <w:r>
        <w:rPr>
          <w:rFonts w:hint="eastAsia" w:ascii="仿宋" w:hAnsi="仿宋" w:eastAsia="仿宋" w:cs="仿宋"/>
          <w:b/>
          <w:color w:val="auto"/>
          <w:sz w:val="24"/>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rPr>
      </w:pPr>
      <w:bookmarkStart w:id="54" w:name="_Ref467378840"/>
      <w:r>
        <w:rPr>
          <w:rFonts w:hint="eastAsia" w:ascii="仿宋" w:hAnsi="仿宋" w:eastAsia="仿宋" w:cs="仿宋"/>
          <w:color w:val="auto"/>
          <w:sz w:val="24"/>
        </w:rPr>
        <w:t>2.1.4 “甲方”系指与中标供应商签署合同的采购人</w:t>
      </w:r>
      <w:bookmarkEnd w:id="54"/>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55" w:name="_Ref467379400"/>
      <w:r>
        <w:rPr>
          <w:rFonts w:hint="eastAsia" w:ascii="仿宋" w:hAnsi="仿宋" w:eastAsia="仿宋" w:cs="仿宋"/>
          <w:color w:val="auto"/>
          <w:sz w:val="24"/>
        </w:rPr>
        <w:t>2.1.5 “乙方”系指根据合同约定交付货物的中标供应商</w:t>
      </w:r>
      <w:bookmarkEnd w:id="55"/>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56" w:name="_Ref467379436"/>
      <w:r>
        <w:rPr>
          <w:rFonts w:hint="eastAsia" w:ascii="仿宋" w:hAnsi="仿宋" w:eastAsia="仿宋" w:cs="仿宋"/>
          <w:color w:val="auto"/>
          <w:sz w:val="24"/>
        </w:rPr>
        <w:t>2.1.6 “现场”系指合同约定货物将要运至或者安装的地点。</w:t>
      </w:r>
      <w:bookmarkEnd w:id="56"/>
    </w:p>
    <w:p>
      <w:pPr>
        <w:spacing w:line="560" w:lineRule="exact"/>
        <w:ind w:firstLine="482" w:firstLineChars="200"/>
        <w:outlineLvl w:val="0"/>
        <w:rPr>
          <w:rFonts w:hint="eastAsia" w:ascii="仿宋" w:hAnsi="仿宋" w:eastAsia="仿宋" w:cs="仿宋"/>
          <w:b/>
          <w:color w:val="auto"/>
          <w:sz w:val="24"/>
        </w:rPr>
      </w:pPr>
      <w:bookmarkStart w:id="57" w:name="_Toc32504"/>
      <w:bookmarkStart w:id="58" w:name="_Toc259093670"/>
      <w:bookmarkStart w:id="59" w:name="_Toc13336"/>
      <w:bookmarkStart w:id="60" w:name="_Toc27635"/>
      <w:bookmarkStart w:id="61" w:name="_Toc487900350"/>
      <w:bookmarkStart w:id="62" w:name="_Toc279701241"/>
      <w:r>
        <w:rPr>
          <w:rFonts w:hint="eastAsia" w:ascii="仿宋" w:hAnsi="仿宋" w:eastAsia="仿宋" w:cs="仿宋"/>
          <w:b/>
          <w:color w:val="auto"/>
          <w:sz w:val="24"/>
        </w:rPr>
        <w:t>2.2 技术规范</w:t>
      </w:r>
      <w:bookmarkEnd w:id="57"/>
      <w:bookmarkEnd w:id="58"/>
      <w:bookmarkEnd w:id="59"/>
      <w:bookmarkEnd w:id="60"/>
      <w:bookmarkEnd w:id="61"/>
      <w:bookmarkEnd w:id="6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63" w:name="_Toc279701242"/>
      <w:bookmarkStart w:id="64" w:name="_Toc31634"/>
      <w:bookmarkStart w:id="65" w:name="_Toc487900351"/>
      <w:bookmarkStart w:id="66" w:name="_Toc27853"/>
      <w:bookmarkStart w:id="67" w:name="_Toc9829"/>
      <w:bookmarkStart w:id="68" w:name="_Toc259093671"/>
      <w:r>
        <w:rPr>
          <w:rFonts w:hint="eastAsia" w:ascii="仿宋" w:hAnsi="仿宋" w:eastAsia="仿宋" w:cs="仿宋"/>
          <w:b/>
          <w:color w:val="auto"/>
          <w:sz w:val="24"/>
        </w:rPr>
        <w:t>2.3 知识产权</w:t>
      </w:r>
      <w:bookmarkEnd w:id="63"/>
      <w:bookmarkEnd w:id="64"/>
      <w:bookmarkEnd w:id="65"/>
      <w:bookmarkEnd w:id="66"/>
      <w:bookmarkEnd w:id="67"/>
      <w:bookmarkEnd w:id="6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69" w:name="_Toc11932"/>
      <w:bookmarkStart w:id="70" w:name="_Toc4194"/>
      <w:bookmarkStart w:id="71" w:name="_Toc29149"/>
      <w:r>
        <w:rPr>
          <w:rFonts w:hint="eastAsia" w:ascii="仿宋" w:hAnsi="仿宋" w:eastAsia="仿宋" w:cs="仿宋"/>
          <w:b/>
          <w:color w:val="auto"/>
          <w:sz w:val="24"/>
        </w:rPr>
        <w:t>2.4 包装和装运</w:t>
      </w:r>
      <w:bookmarkEnd w:id="69"/>
      <w:bookmarkEnd w:id="70"/>
      <w:bookmarkEnd w:id="7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2" w:name="_Ref467378541"/>
      <w:bookmarkStart w:id="73" w:name="_Toc259093674"/>
      <w:bookmarkStart w:id="74" w:name="_Ref467378591"/>
      <w:bookmarkStart w:id="75" w:name="_Toc487900354"/>
      <w:bookmarkStart w:id="76" w:name="_Toc279701245"/>
      <w:bookmarkStart w:id="77" w:name="_Ref467379536"/>
      <w:bookmarkStart w:id="78" w:name="_Ref467379542"/>
      <w:bookmarkStart w:id="79" w:name="_Ref467379527"/>
      <w:bookmarkStart w:id="80" w:name="_Toc30272"/>
      <w:bookmarkStart w:id="81" w:name="_Toc26182"/>
      <w:bookmarkStart w:id="82" w:name="_Toc19074"/>
      <w:r>
        <w:rPr>
          <w:rFonts w:hint="eastAsia" w:ascii="仿宋" w:hAnsi="仿宋" w:eastAsia="仿宋" w:cs="仿宋"/>
          <w:b/>
          <w:color w:val="auto"/>
          <w:sz w:val="24"/>
        </w:rPr>
        <w:t>2.</w:t>
      </w:r>
      <w:bookmarkEnd w:id="72"/>
      <w:bookmarkEnd w:id="73"/>
      <w:bookmarkEnd w:id="74"/>
      <w:bookmarkEnd w:id="75"/>
      <w:bookmarkEnd w:id="76"/>
      <w:bookmarkEnd w:id="77"/>
      <w:bookmarkEnd w:id="78"/>
      <w:bookmarkEnd w:id="79"/>
      <w:r>
        <w:rPr>
          <w:rFonts w:hint="eastAsia" w:ascii="仿宋" w:hAnsi="仿宋" w:eastAsia="仿宋" w:cs="仿宋"/>
          <w:b/>
          <w:color w:val="auto"/>
          <w:sz w:val="24"/>
        </w:rPr>
        <w:t>5 履约检查和问题反馈</w:t>
      </w:r>
      <w:bookmarkEnd w:id="80"/>
      <w:bookmarkEnd w:id="81"/>
      <w:bookmarkEnd w:id="82"/>
    </w:p>
    <w:p>
      <w:pPr>
        <w:spacing w:line="560" w:lineRule="exact"/>
        <w:ind w:firstLine="480" w:firstLineChars="200"/>
        <w:rPr>
          <w:rFonts w:hint="eastAsia" w:ascii="仿宋" w:hAnsi="仿宋" w:eastAsia="仿宋" w:cs="仿宋"/>
          <w:color w:val="auto"/>
          <w:sz w:val="24"/>
        </w:rPr>
      </w:pPr>
      <w:bookmarkStart w:id="83" w:name="_Ref467379657"/>
      <w:r>
        <w:rPr>
          <w:rFonts w:hint="eastAsia" w:ascii="仿宋" w:hAnsi="仿宋" w:eastAsia="仿宋" w:cs="仿宋"/>
          <w:color w:val="auto"/>
          <w:sz w:val="24"/>
        </w:rPr>
        <w:t>2.5.1</w:t>
      </w:r>
      <w:bookmarkEnd w:id="83"/>
      <w:bookmarkStart w:id="84" w:name="_Toc186431854"/>
      <w:bookmarkStart w:id="85" w:name="_Ref467379807"/>
      <w:bookmarkStart w:id="86" w:name="_Toc259093676"/>
      <w:bookmarkStart w:id="87" w:name="_Toc487900357"/>
      <w:bookmarkStart w:id="88" w:name="_Ref467379793"/>
      <w:bookmarkStart w:id="89" w:name="_Toc279701247"/>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4"/>
      <w:bookmarkStart w:id="90" w:name="_Toc186431855"/>
      <w:r>
        <w:rPr>
          <w:rFonts w:hint="eastAsia" w:ascii="仿宋" w:hAnsi="仿宋" w:eastAsia="仿宋" w:cs="仿宋"/>
          <w:color w:val="auto"/>
          <w:sz w:val="24"/>
        </w:rPr>
        <w:t>。</w:t>
      </w:r>
    </w:p>
    <w:bookmarkEnd w:id="85"/>
    <w:bookmarkEnd w:id="86"/>
    <w:bookmarkEnd w:id="87"/>
    <w:bookmarkEnd w:id="88"/>
    <w:bookmarkEnd w:id="89"/>
    <w:bookmarkEnd w:id="90"/>
    <w:p>
      <w:pPr>
        <w:spacing w:line="560" w:lineRule="exact"/>
        <w:ind w:firstLine="482" w:firstLineChars="200"/>
        <w:outlineLvl w:val="0"/>
        <w:rPr>
          <w:rFonts w:hint="eastAsia" w:ascii="仿宋" w:hAnsi="仿宋" w:eastAsia="仿宋" w:cs="仿宋"/>
          <w:b/>
          <w:color w:val="auto"/>
          <w:sz w:val="24"/>
        </w:rPr>
      </w:pPr>
      <w:bookmarkStart w:id="91" w:name="_Toc279701248"/>
      <w:bookmarkStart w:id="92" w:name="_Ref467379923"/>
      <w:bookmarkStart w:id="93" w:name="_Toc487900358"/>
      <w:bookmarkStart w:id="94" w:name="_Ref467379852"/>
      <w:bookmarkStart w:id="95" w:name="_Toc259093677"/>
      <w:bookmarkStart w:id="96" w:name="_Ref467379863"/>
      <w:bookmarkStart w:id="97" w:name="_Toc16110"/>
      <w:bookmarkStart w:id="98" w:name="_Toc3225"/>
      <w:bookmarkStart w:id="99" w:name="_Toc774"/>
      <w:r>
        <w:rPr>
          <w:rFonts w:hint="eastAsia" w:ascii="仿宋" w:hAnsi="仿宋" w:eastAsia="仿宋" w:cs="仿宋"/>
          <w:b/>
          <w:color w:val="auto"/>
          <w:sz w:val="24"/>
        </w:rPr>
        <w:t>2.6 技术资料</w:t>
      </w:r>
      <w:bookmarkEnd w:id="91"/>
      <w:bookmarkEnd w:id="92"/>
      <w:bookmarkEnd w:id="93"/>
      <w:bookmarkEnd w:id="94"/>
      <w:bookmarkEnd w:id="95"/>
      <w:bookmarkEnd w:id="96"/>
      <w:r>
        <w:rPr>
          <w:rFonts w:hint="eastAsia" w:ascii="仿宋" w:hAnsi="仿宋" w:eastAsia="仿宋" w:cs="仿宋"/>
          <w:b/>
          <w:color w:val="auto"/>
          <w:sz w:val="24"/>
        </w:rPr>
        <w:t>和保密义务</w:t>
      </w:r>
      <w:bookmarkEnd w:id="97"/>
      <w:bookmarkEnd w:id="98"/>
      <w:bookmarkEnd w:id="9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100" w:name="_Toc7860"/>
      <w:r>
        <w:rPr>
          <w:rFonts w:hint="eastAsia" w:ascii="仿宋" w:hAnsi="仿宋" w:eastAsia="仿宋" w:cs="仿宋"/>
          <w:b/>
          <w:color w:val="auto"/>
          <w:sz w:val="24"/>
        </w:rPr>
        <w:t>2.7 质量保证</w:t>
      </w:r>
      <w:bookmarkEnd w:id="10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101" w:name="_Toc17244"/>
      <w:bookmarkStart w:id="102" w:name="_Toc259093681"/>
      <w:bookmarkStart w:id="103" w:name="_Toc279701252"/>
      <w:bookmarkStart w:id="104" w:name="_Toc487900362"/>
      <w:r>
        <w:rPr>
          <w:rFonts w:hint="eastAsia" w:ascii="仿宋" w:hAnsi="仿宋" w:eastAsia="仿宋" w:cs="仿宋"/>
          <w:b/>
          <w:color w:val="auto"/>
          <w:sz w:val="24"/>
        </w:rPr>
        <w:t>2.8 货物的风险负担</w:t>
      </w:r>
      <w:bookmarkEnd w:id="101"/>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105" w:name="_Toc14055"/>
      <w:r>
        <w:rPr>
          <w:rFonts w:hint="eastAsia" w:ascii="仿宋" w:hAnsi="仿宋" w:eastAsia="仿宋" w:cs="仿宋"/>
          <w:b/>
          <w:color w:val="auto"/>
          <w:sz w:val="24"/>
        </w:rPr>
        <w:t>2.9 延迟交货</w:t>
      </w:r>
      <w:bookmarkEnd w:id="102"/>
      <w:bookmarkEnd w:id="103"/>
      <w:bookmarkEnd w:id="104"/>
      <w:bookmarkEnd w:id="10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rPr>
      </w:pPr>
      <w:bookmarkStart w:id="106" w:name="_Toc7502"/>
      <w:bookmarkStart w:id="107" w:name="_Toc487900364"/>
      <w:bookmarkStart w:id="108" w:name="_Toc259093683"/>
      <w:bookmarkStart w:id="109" w:name="_Ref467378121"/>
      <w:bookmarkStart w:id="110" w:name="_Toc279701254"/>
      <w:r>
        <w:rPr>
          <w:rFonts w:hint="eastAsia" w:ascii="仿宋" w:hAnsi="仿宋" w:eastAsia="仿宋" w:cs="仿宋"/>
          <w:b/>
          <w:color w:val="auto"/>
          <w:sz w:val="24"/>
        </w:rPr>
        <w:t>2.10 合同变更</w:t>
      </w:r>
      <w:bookmarkEnd w:id="10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11" w:name="_Toc259093688"/>
      <w:bookmarkStart w:id="112" w:name="_Toc487900369"/>
      <w:bookmarkStart w:id="113" w:name="_Toc279701259"/>
    </w:p>
    <w:p>
      <w:pPr>
        <w:spacing w:line="560" w:lineRule="exact"/>
        <w:ind w:firstLine="482" w:firstLineChars="200"/>
        <w:outlineLvl w:val="0"/>
        <w:rPr>
          <w:rFonts w:hint="eastAsia" w:ascii="仿宋" w:hAnsi="仿宋" w:eastAsia="仿宋" w:cs="仿宋"/>
          <w:b/>
          <w:color w:val="auto"/>
          <w:sz w:val="24"/>
        </w:rPr>
      </w:pPr>
      <w:bookmarkStart w:id="114" w:name="_Toc22955"/>
      <w:bookmarkStart w:id="115" w:name="_Toc15237"/>
      <w:bookmarkStart w:id="116" w:name="_Toc10366"/>
      <w:r>
        <w:rPr>
          <w:rFonts w:hint="eastAsia" w:ascii="仿宋" w:hAnsi="仿宋" w:eastAsia="仿宋" w:cs="仿宋"/>
          <w:b/>
          <w:color w:val="auto"/>
          <w:sz w:val="24"/>
        </w:rPr>
        <w:t>2.11 合同转让</w:t>
      </w:r>
      <w:bookmarkEnd w:id="111"/>
      <w:bookmarkEnd w:id="112"/>
      <w:bookmarkEnd w:id="113"/>
      <w:r>
        <w:rPr>
          <w:rFonts w:hint="eastAsia" w:ascii="仿宋" w:hAnsi="仿宋" w:eastAsia="仿宋" w:cs="仿宋"/>
          <w:b/>
          <w:color w:val="auto"/>
          <w:sz w:val="24"/>
        </w:rPr>
        <w:t>和分包</w:t>
      </w:r>
      <w:bookmarkEnd w:id="114"/>
      <w:bookmarkEnd w:id="115"/>
      <w:bookmarkEnd w:id="116"/>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117" w:name="_Toc14066"/>
      <w:bookmarkStart w:id="118" w:name="_Toc13566"/>
      <w:bookmarkStart w:id="119" w:name="_Toc16508"/>
      <w:r>
        <w:rPr>
          <w:rFonts w:hint="eastAsia" w:ascii="仿宋" w:hAnsi="仿宋" w:eastAsia="仿宋" w:cs="仿宋"/>
          <w:b/>
          <w:color w:val="auto"/>
          <w:sz w:val="24"/>
        </w:rPr>
        <w:t>2.12 不可抗力</w:t>
      </w:r>
      <w:bookmarkEnd w:id="117"/>
      <w:bookmarkEnd w:id="118"/>
      <w:bookmarkEnd w:id="11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20" w:name="_Toc279701255"/>
      <w:bookmarkStart w:id="121" w:name="_Toc487900365"/>
      <w:bookmarkStart w:id="122" w:name="_Toc689"/>
      <w:bookmarkStart w:id="123" w:name="_Toc6969"/>
      <w:bookmarkStart w:id="124" w:name="_Toc30676"/>
      <w:bookmarkStart w:id="125" w:name="_Toc259093684"/>
      <w:r>
        <w:rPr>
          <w:rFonts w:hint="eastAsia" w:ascii="仿宋" w:hAnsi="仿宋" w:eastAsia="仿宋" w:cs="仿宋"/>
          <w:b/>
          <w:color w:val="auto"/>
          <w:sz w:val="24"/>
        </w:rPr>
        <w:t>2.13 税费</w:t>
      </w:r>
      <w:bookmarkEnd w:id="120"/>
      <w:bookmarkEnd w:id="121"/>
      <w:bookmarkEnd w:id="122"/>
      <w:bookmarkEnd w:id="123"/>
      <w:bookmarkEnd w:id="124"/>
      <w:bookmarkEnd w:id="12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26" w:name="_Toc487900368"/>
      <w:bookmarkStart w:id="127" w:name="_Toc16959"/>
      <w:bookmarkStart w:id="128" w:name="_Toc279701258"/>
      <w:bookmarkStart w:id="129" w:name="_Toc7102"/>
      <w:bookmarkStart w:id="130" w:name="_Toc8298"/>
      <w:bookmarkStart w:id="131" w:name="_Toc259093687"/>
      <w:r>
        <w:rPr>
          <w:rFonts w:hint="eastAsia" w:ascii="仿宋" w:hAnsi="仿宋" w:eastAsia="仿宋" w:cs="仿宋"/>
          <w:b/>
          <w:color w:val="auto"/>
          <w:sz w:val="24"/>
        </w:rPr>
        <w:t>2.14乙方破产</w:t>
      </w:r>
      <w:bookmarkEnd w:id="126"/>
      <w:bookmarkEnd w:id="127"/>
      <w:bookmarkEnd w:id="128"/>
      <w:bookmarkEnd w:id="129"/>
      <w:bookmarkEnd w:id="130"/>
      <w:bookmarkEnd w:id="13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32" w:name="_Toc29333"/>
      <w:bookmarkStart w:id="133" w:name="_Toc6134"/>
      <w:bookmarkStart w:id="134" w:name="_Toc15387"/>
      <w:r>
        <w:rPr>
          <w:rFonts w:hint="eastAsia" w:ascii="仿宋" w:hAnsi="仿宋" w:eastAsia="仿宋" w:cs="仿宋"/>
          <w:b/>
          <w:color w:val="auto"/>
          <w:sz w:val="24"/>
        </w:rPr>
        <w:t>2.15 合同中止、终止</w:t>
      </w:r>
      <w:bookmarkEnd w:id="132"/>
      <w:bookmarkEnd w:id="133"/>
      <w:bookmarkEnd w:id="13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35" w:name="_Toc1125"/>
      <w:bookmarkStart w:id="136" w:name="_Toc6596"/>
      <w:bookmarkStart w:id="137" w:name="_Toc14563"/>
      <w:r>
        <w:rPr>
          <w:rFonts w:hint="eastAsia" w:ascii="仿宋" w:hAnsi="仿宋" w:eastAsia="仿宋" w:cs="仿宋"/>
          <w:b/>
          <w:color w:val="auto"/>
          <w:sz w:val="24"/>
        </w:rPr>
        <w:t>2.16检验和验收</w:t>
      </w:r>
      <w:bookmarkEnd w:id="135"/>
      <w:bookmarkEnd w:id="136"/>
      <w:bookmarkEnd w:id="137"/>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7"/>
    <w:bookmarkEnd w:id="108"/>
    <w:bookmarkEnd w:id="109"/>
    <w:bookmarkEnd w:id="110"/>
    <w:p>
      <w:pPr>
        <w:spacing w:line="560" w:lineRule="exact"/>
        <w:ind w:firstLine="482" w:firstLineChars="200"/>
        <w:outlineLvl w:val="0"/>
        <w:rPr>
          <w:rFonts w:hint="eastAsia" w:ascii="仿宋" w:hAnsi="仿宋" w:eastAsia="仿宋" w:cs="仿宋"/>
          <w:b/>
          <w:color w:val="auto"/>
          <w:sz w:val="24"/>
        </w:rPr>
      </w:pPr>
      <w:bookmarkStart w:id="138" w:name="_Toc259093690"/>
      <w:bookmarkStart w:id="139" w:name="_Toc279701261"/>
      <w:bookmarkStart w:id="140" w:name="_Toc487900371"/>
      <w:bookmarkStart w:id="141" w:name="_Toc25182"/>
      <w:bookmarkStart w:id="142" w:name="_Toc11284"/>
      <w:bookmarkStart w:id="143" w:name="_Toc19604"/>
      <w:r>
        <w:rPr>
          <w:rFonts w:hint="eastAsia" w:ascii="仿宋" w:hAnsi="仿宋" w:eastAsia="仿宋" w:cs="仿宋"/>
          <w:b/>
          <w:color w:val="auto"/>
          <w:sz w:val="24"/>
        </w:rPr>
        <w:t>2.17 通知</w:t>
      </w:r>
      <w:bookmarkEnd w:id="138"/>
      <w:bookmarkEnd w:id="139"/>
      <w:bookmarkEnd w:id="140"/>
      <w:r>
        <w:rPr>
          <w:rFonts w:hint="eastAsia" w:ascii="仿宋" w:hAnsi="仿宋" w:eastAsia="仿宋" w:cs="仿宋"/>
          <w:b/>
          <w:color w:val="auto"/>
          <w:sz w:val="24"/>
        </w:rPr>
        <w:t>和送达</w:t>
      </w:r>
      <w:bookmarkEnd w:id="141"/>
      <w:bookmarkEnd w:id="142"/>
      <w:bookmarkEnd w:id="143"/>
    </w:p>
    <w:p>
      <w:pPr>
        <w:spacing w:line="560" w:lineRule="exact"/>
        <w:ind w:firstLine="480" w:firstLineChars="200"/>
        <w:rPr>
          <w:rFonts w:hint="eastAsia" w:ascii="仿宋" w:hAnsi="仿宋" w:eastAsia="仿宋" w:cs="仿宋"/>
          <w:color w:val="auto"/>
          <w:sz w:val="24"/>
        </w:rPr>
      </w:pPr>
      <w:bookmarkStart w:id="144" w:name="_Toc6698"/>
      <w:bookmarkStart w:id="145" w:name="_Toc3135"/>
      <w:bookmarkStart w:id="146" w:name="_Toc279701262"/>
      <w:bookmarkStart w:id="147" w:name="_Toc259093691"/>
      <w:bookmarkStart w:id="148" w:name="_Toc487900372"/>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 xml:space="preserve">   </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hint="eastAsia" w:ascii="仿宋" w:hAnsi="仿宋" w:eastAsia="仿宋" w:cs="仿宋"/>
          <w:color w:val="auto"/>
          <w:sz w:val="24"/>
        </w:rPr>
      </w:pPr>
      <w:bookmarkStart w:id="149" w:name="_Toc23294"/>
      <w:bookmarkStart w:id="150"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hint="eastAsia" w:ascii="仿宋" w:hAnsi="仿宋" w:eastAsia="仿宋" w:cs="仿宋"/>
          <w:b/>
          <w:color w:val="auto"/>
          <w:sz w:val="24"/>
        </w:rPr>
      </w:pPr>
      <w:bookmarkStart w:id="151" w:name="_Toc18540"/>
      <w:bookmarkStart w:id="152" w:name="_Toc30599"/>
      <w:bookmarkStart w:id="153" w:name="_Toc4355"/>
      <w:r>
        <w:rPr>
          <w:rFonts w:hint="eastAsia" w:ascii="仿宋" w:hAnsi="仿宋" w:eastAsia="仿宋" w:cs="仿宋"/>
          <w:b/>
          <w:color w:val="auto"/>
          <w:sz w:val="24"/>
        </w:rPr>
        <w:t>2.18 计量单位</w:t>
      </w:r>
      <w:bookmarkEnd w:id="146"/>
      <w:bookmarkEnd w:id="147"/>
      <w:bookmarkEnd w:id="148"/>
      <w:bookmarkEnd w:id="151"/>
      <w:bookmarkEnd w:id="152"/>
      <w:bookmarkEnd w:id="15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54" w:name="_Toc10330"/>
      <w:bookmarkStart w:id="155" w:name="_Toc12773"/>
      <w:bookmarkStart w:id="156" w:name="_Toc487900373"/>
      <w:bookmarkStart w:id="157" w:name="_Toc259093692"/>
      <w:bookmarkStart w:id="158" w:name="_Toc279701263"/>
      <w:bookmarkStart w:id="159" w:name="_Toc18567"/>
      <w:r>
        <w:rPr>
          <w:rFonts w:hint="eastAsia" w:ascii="仿宋" w:hAnsi="仿宋" w:eastAsia="仿宋" w:cs="仿宋"/>
          <w:b/>
          <w:color w:val="auto"/>
          <w:sz w:val="24"/>
        </w:rPr>
        <w:t>2.19 合同使用的文字和适用的法律</w:t>
      </w:r>
      <w:bookmarkEnd w:id="154"/>
      <w:bookmarkEnd w:id="155"/>
      <w:bookmarkEnd w:id="156"/>
      <w:bookmarkEnd w:id="157"/>
      <w:bookmarkEnd w:id="158"/>
      <w:bookmarkEnd w:id="15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60" w:name="_Toc3148"/>
      <w:bookmarkStart w:id="161" w:name="_Toc12004"/>
      <w:bookmarkStart w:id="162" w:name="_Toc279701264"/>
      <w:bookmarkStart w:id="163" w:name="_Toc259093693"/>
      <w:bookmarkStart w:id="164" w:name="_Toc16673"/>
      <w:bookmarkStart w:id="165" w:name="_Toc487900374"/>
      <w:r>
        <w:rPr>
          <w:rFonts w:hint="eastAsia" w:ascii="仿宋" w:hAnsi="仿宋" w:eastAsia="仿宋" w:cs="仿宋"/>
          <w:b/>
          <w:color w:val="auto"/>
          <w:sz w:val="24"/>
        </w:rPr>
        <w:t>2.20 履约保证金</w:t>
      </w:r>
      <w:bookmarkEnd w:id="160"/>
      <w:bookmarkEnd w:id="161"/>
      <w:bookmarkEnd w:id="162"/>
      <w:bookmarkEnd w:id="163"/>
      <w:bookmarkEnd w:id="164"/>
    </w:p>
    <w:p>
      <w:pPr>
        <w:pStyle w:val="283"/>
        <w:spacing w:before="0" w:beforeAutospacing="0" w:after="0" w:afterAutospacing="0" w:line="360" w:lineRule="auto"/>
        <w:ind w:firstLine="420"/>
        <w:rPr>
          <w:rFonts w:hint="eastAsia" w:ascii="仿宋" w:hAnsi="仿宋" w:eastAsia="仿宋" w:cs="仿宋"/>
          <w:color w:val="auto"/>
        </w:rPr>
      </w:pPr>
      <w:r>
        <w:rPr>
          <w:rFonts w:hint="eastAsia" w:ascii="仿宋" w:hAnsi="仿宋" w:eastAsia="仿宋" w:cs="仿宋"/>
          <w:color w:val="auto"/>
        </w:rPr>
        <w:t>2.20.1 采购文件要求乙方提交履约保证金的，乙方应按</w:t>
      </w:r>
      <w:r>
        <w:rPr>
          <w:rFonts w:hint="eastAsia" w:ascii="仿宋" w:hAnsi="仿宋" w:eastAsia="仿宋" w:cs="仿宋"/>
          <w:b/>
          <w:i/>
          <w:color w:val="auto"/>
          <w:u w:val="single"/>
        </w:rPr>
        <w:t>合同专用条款</w:t>
      </w:r>
      <w:r>
        <w:rPr>
          <w:rFonts w:hint="eastAsia" w:ascii="仿宋" w:hAnsi="仿宋" w:eastAsia="仿宋" w:cs="仿宋"/>
          <w:color w:val="auto"/>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%计算，最高限额为本合同履约保证金的</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65"/>
    <w:p>
      <w:pPr>
        <w:spacing w:line="560" w:lineRule="exact"/>
        <w:ind w:firstLine="482" w:firstLineChars="200"/>
        <w:outlineLvl w:val="0"/>
        <w:rPr>
          <w:rFonts w:hint="eastAsia" w:ascii="仿宋" w:hAnsi="仿宋" w:eastAsia="仿宋" w:cs="仿宋"/>
          <w:b/>
          <w:color w:val="auto"/>
          <w:sz w:val="24"/>
        </w:rPr>
      </w:pPr>
      <w:bookmarkStart w:id="166" w:name="_Toc19890"/>
      <w:bookmarkStart w:id="167" w:name="_Toc6885"/>
      <w:bookmarkStart w:id="168" w:name="_Toc14001"/>
      <w:r>
        <w:rPr>
          <w:rFonts w:hint="eastAsia" w:ascii="仿宋" w:hAnsi="仿宋" w:eastAsia="仿宋" w:cs="仿宋"/>
          <w:b/>
          <w:color w:val="auto"/>
          <w:sz w:val="24"/>
        </w:rPr>
        <w:t>2.22合同份数</w:t>
      </w:r>
      <w:bookmarkEnd w:id="166"/>
      <w:bookmarkEnd w:id="167"/>
      <w:bookmarkEnd w:id="16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rPr>
        <w:t>2.23</w:t>
      </w:r>
      <w:r>
        <w:rPr>
          <w:rFonts w:hint="eastAsia" w:ascii="仿宋" w:hAnsi="仿宋" w:eastAsia="仿宋" w:cs="仿宋"/>
          <w:color w:val="auto"/>
          <w:sz w:val="24"/>
          <w:szCs w:val="24"/>
        </w:rPr>
        <w:t xml:space="preserve">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spacing w:line="560" w:lineRule="exact"/>
        <w:ind w:firstLine="480" w:firstLineChars="200"/>
        <w:rPr>
          <w:rFonts w:hint="eastAsia" w:ascii="仿宋" w:hAnsi="仿宋" w:eastAsia="仿宋" w:cs="仿宋"/>
          <w:color w:val="auto"/>
          <w:sz w:val="24"/>
        </w:rPr>
      </w:pPr>
    </w:p>
    <w:p>
      <w:pPr>
        <w:pStyle w:val="282"/>
        <w:spacing w:line="560" w:lineRule="exact"/>
        <w:jc w:val="center"/>
        <w:rPr>
          <w:rFonts w:hint="eastAsia" w:ascii="仿宋" w:hAnsi="仿宋" w:eastAsia="仿宋" w:cs="仿宋"/>
          <w:b/>
          <w:color w:val="auto"/>
          <w:szCs w:val="24"/>
        </w:rPr>
      </w:pPr>
      <w:r>
        <w:rPr>
          <w:rFonts w:hint="eastAsia" w:ascii="仿宋" w:hAnsi="仿宋" w:eastAsia="仿宋" w:cs="仿宋"/>
          <w:color w:val="auto"/>
          <w:kern w:val="0"/>
          <w:szCs w:val="24"/>
        </w:rPr>
        <w:br w:type="page"/>
      </w:r>
      <w:bookmarkStart w:id="169" w:name="_Toc331685784"/>
      <w:r>
        <w:rPr>
          <w:rFonts w:hint="eastAsia" w:ascii="仿宋" w:hAnsi="仿宋" w:eastAsia="仿宋" w:cs="仿宋"/>
          <w:b/>
          <w:color w:val="auto"/>
          <w:szCs w:val="24"/>
        </w:rPr>
        <w:t xml:space="preserve"> </w:t>
      </w:r>
      <w:bookmarkEnd w:id="169"/>
      <w:r>
        <w:rPr>
          <w:rFonts w:hint="eastAsia" w:ascii="仿宋" w:hAnsi="仿宋" w:eastAsia="仿宋" w:cs="仿宋"/>
          <w:b/>
          <w:color w:val="auto"/>
          <w:szCs w:val="24"/>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275"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2.20.2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 xml:space="preserve">2.22 </w:t>
            </w:r>
          </w:p>
        </w:tc>
        <w:tc>
          <w:tcPr>
            <w:tcW w:w="8275" w:type="dxa"/>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（注：在正式签约时，根据上述精神应拟就更为详尽的合同书）</w:t>
      </w:r>
    </w:p>
    <w:p>
      <w:pPr>
        <w:pStyle w:val="25"/>
        <w:pageBreakBefore/>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widowControl/>
        <w:snapToGrid w:val="0"/>
        <w:spacing w:line="480" w:lineRule="exact"/>
        <w:rPr>
          <w:rFonts w:hint="eastAsia" w:ascii="仿宋" w:hAnsi="仿宋" w:eastAsia="仿宋" w:cs="仿宋"/>
          <w:color w:val="000000"/>
          <w:kern w:val="0"/>
          <w:sz w:val="24"/>
          <w:highlight w:val="none"/>
        </w:rPr>
      </w:pPr>
      <w:r>
        <w:rPr>
          <w:rFonts w:hint="eastAsia" w:ascii="仿宋" w:hAnsi="仿宋" w:eastAsia="仿宋" w:cs="仿宋"/>
          <w:b/>
          <w:sz w:val="24"/>
        </w:rPr>
        <w:t>2.评分标准：</w:t>
      </w:r>
      <w:bookmarkEnd w:id="8"/>
      <w:bookmarkEnd w:id="9"/>
      <w:bookmarkEnd w:id="10"/>
      <w:bookmarkEnd w:id="11"/>
      <w:r>
        <w:rPr>
          <w:rFonts w:hint="eastAsia" w:ascii="仿宋" w:hAnsi="仿宋" w:eastAsia="仿宋" w:cs="仿宋"/>
          <w:sz w:val="24"/>
          <w:highlight w:val="none"/>
        </w:rPr>
        <w:t>总分100分，其中标商务技术分</w:t>
      </w:r>
      <w:r>
        <w:rPr>
          <w:rFonts w:hint="eastAsia" w:ascii="仿宋" w:hAnsi="仿宋" w:eastAsia="仿宋" w:cs="仿宋"/>
          <w:sz w:val="24"/>
          <w:highlight w:val="none"/>
          <w:u w:val="none"/>
          <w:lang w:val="en-US" w:eastAsia="zh-CN"/>
        </w:rPr>
        <w:t>70</w:t>
      </w:r>
      <w:r>
        <w:rPr>
          <w:rFonts w:hint="eastAsia" w:ascii="仿宋" w:hAnsi="仿宋" w:eastAsia="仿宋" w:cs="仿宋"/>
          <w:sz w:val="24"/>
          <w:highlight w:val="none"/>
          <w:u w:val="none"/>
        </w:rPr>
        <w:t>分，价格分</w:t>
      </w:r>
      <w:r>
        <w:rPr>
          <w:rFonts w:hint="eastAsia" w:ascii="仿宋" w:hAnsi="仿宋" w:eastAsia="仿宋" w:cs="仿宋"/>
          <w:sz w:val="24"/>
          <w:highlight w:val="none"/>
          <w:u w:val="none"/>
          <w:lang w:val="en-US" w:eastAsia="zh-CN"/>
        </w:rPr>
        <w:t>30</w:t>
      </w:r>
      <w:r>
        <w:rPr>
          <w:rFonts w:hint="eastAsia" w:ascii="仿宋" w:hAnsi="仿宋" w:eastAsia="仿宋" w:cs="仿宋"/>
          <w:sz w:val="24"/>
          <w:highlight w:val="none"/>
          <w:u w:val="none"/>
        </w:rPr>
        <w:t>分</w:t>
      </w:r>
      <w:r>
        <w:rPr>
          <w:rFonts w:hint="eastAsia" w:ascii="仿宋" w:hAnsi="仿宋" w:eastAsia="仿宋" w:cs="仿宋"/>
          <w:sz w:val="24"/>
          <w:highlight w:val="none"/>
        </w:rPr>
        <w:t>。下述所列为评分依据，分值如下（计算分值时，按其算术平均值保留小数2位）。</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2.1标项一：绍兴市人民医院基于放射的AI人工智能建设项目</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2.1.1商务技术分（</w:t>
      </w:r>
      <w:r>
        <w:rPr>
          <w:rFonts w:hint="eastAsia" w:ascii="仿宋" w:hAnsi="仿宋" w:eastAsia="仿宋" w:cs="仿宋"/>
          <w:b/>
          <w:bCs/>
          <w:iCs/>
          <w:color w:val="auto"/>
          <w:sz w:val="24"/>
          <w:lang w:val="en-US" w:eastAsia="zh-CN"/>
        </w:rPr>
        <w:t>7</w:t>
      </w:r>
      <w:r>
        <w:rPr>
          <w:rFonts w:hint="eastAsia" w:ascii="仿宋" w:hAnsi="仿宋" w:eastAsia="仿宋" w:cs="仿宋"/>
          <w:b/>
          <w:bCs/>
          <w:iCs/>
          <w:color w:val="auto"/>
          <w:sz w:val="24"/>
        </w:rPr>
        <w:t>0分）</w:t>
      </w:r>
    </w:p>
    <w:tbl>
      <w:tblPr>
        <w:tblStyle w:val="44"/>
        <w:tblpPr w:leftFromText="180" w:rightFromText="180" w:vertAnchor="text" w:horzAnchor="page" w:tblpX="1931" w:tblpY="53"/>
        <w:tblOverlap w:val="never"/>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9"/>
        <w:gridCol w:w="1209"/>
        <w:gridCol w:w="5711"/>
        <w:gridCol w:w="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8" w:type="pct"/>
            <w:vAlign w:val="center"/>
          </w:tcPr>
          <w:p>
            <w:pPr>
              <w:pStyle w:val="22"/>
              <w:spacing w:line="360" w:lineRule="auto"/>
              <w:ind w:left="0" w:leftChars="0" w:firstLine="0" w:firstLineChars="0"/>
              <w:rPr>
                <w:rFonts w:ascii="仿宋" w:hAnsi="仿宋" w:eastAsia="仿宋" w:cs="仿宋"/>
                <w:kern w:val="0"/>
              </w:rPr>
            </w:pPr>
            <w:r>
              <w:rPr>
                <w:rFonts w:hint="eastAsia" w:ascii="仿宋" w:hAnsi="仿宋" w:eastAsia="仿宋" w:cs="仿宋"/>
                <w:kern w:val="0"/>
              </w:rPr>
              <w:t>评分内容</w:t>
            </w:r>
          </w:p>
        </w:tc>
        <w:tc>
          <w:tcPr>
            <w:tcW w:w="3727" w:type="pct"/>
            <w:gridSpan w:val="2"/>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评审细则</w:t>
            </w:r>
          </w:p>
        </w:tc>
        <w:tc>
          <w:tcPr>
            <w:tcW w:w="463"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8"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1.基本</w:t>
            </w:r>
          </w:p>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技术分</w:t>
            </w:r>
          </w:p>
          <w:p>
            <w:pPr>
              <w:widowControl/>
              <w:spacing w:line="360" w:lineRule="auto"/>
              <w:jc w:val="center"/>
              <w:rPr>
                <w:rFonts w:ascii="仿宋" w:hAnsi="仿宋" w:eastAsia="仿宋" w:cs="仿宋"/>
                <w:kern w:val="0"/>
                <w:sz w:val="24"/>
              </w:rPr>
            </w:pPr>
          </w:p>
        </w:tc>
        <w:tc>
          <w:tcPr>
            <w:tcW w:w="3727" w:type="pct"/>
            <w:gridSpan w:val="2"/>
            <w:vAlign w:val="center"/>
          </w:tcPr>
          <w:p>
            <w:pPr>
              <w:widowControl/>
              <w:spacing w:line="360" w:lineRule="auto"/>
              <w:rPr>
                <w:rFonts w:ascii="仿宋" w:hAnsi="仿宋" w:eastAsia="仿宋" w:cs="仿宋"/>
                <w:kern w:val="0"/>
                <w:sz w:val="24"/>
              </w:rPr>
            </w:pPr>
            <w:r>
              <w:rPr>
                <w:rFonts w:hint="eastAsia" w:ascii="仿宋" w:hAnsi="仿宋" w:eastAsia="仿宋" w:cs="仿宋"/>
                <w:kern w:val="0"/>
                <w:sz w:val="24"/>
              </w:rPr>
              <w:t>完全满足招标文件技术参数配置要求的得</w:t>
            </w:r>
            <w:r>
              <w:rPr>
                <w:rFonts w:hint="eastAsia" w:ascii="仿宋" w:hAnsi="仿宋" w:eastAsia="仿宋" w:cs="仿宋"/>
                <w:kern w:val="0"/>
                <w:sz w:val="24"/>
                <w:lang w:val="en-US" w:eastAsia="zh-CN"/>
              </w:rPr>
              <w:t>17</w:t>
            </w:r>
            <w:r>
              <w:rPr>
                <w:rFonts w:hint="eastAsia" w:ascii="仿宋" w:hAnsi="仿宋" w:eastAsia="仿宋" w:cs="仿宋"/>
                <w:kern w:val="0"/>
                <w:sz w:val="24"/>
              </w:rPr>
              <w:t>分，带▲的重要指标，每有一项负偏离扣3分，其他一般指标每有一项负偏离扣1分，扣完为止。含★为必须项,如有负偏离,作无效投标处理。非量化类的，若是功能一样，表述方式不一样则为符合，量化类的由评委视情况讨论决定。</w:t>
            </w:r>
          </w:p>
        </w:tc>
        <w:tc>
          <w:tcPr>
            <w:tcW w:w="463" w:type="pct"/>
            <w:vAlign w:val="center"/>
          </w:tcPr>
          <w:p>
            <w:pPr>
              <w:widowControl/>
              <w:spacing w:line="360" w:lineRule="auto"/>
              <w:jc w:val="center"/>
              <w:rPr>
                <w:rFonts w:hint="eastAsia" w:ascii="仿宋" w:hAnsi="仿宋" w:eastAsia="仿宋" w:cs="仿宋"/>
                <w:kern w:val="0"/>
                <w:sz w:val="24"/>
                <w:lang w:eastAsia="zh-CN"/>
              </w:rPr>
            </w:pPr>
            <w:r>
              <w:rPr>
                <w:rFonts w:ascii="仿宋" w:hAnsi="仿宋" w:eastAsia="仿宋" w:cs="仿宋"/>
                <w:kern w:val="0"/>
                <w:sz w:val="24"/>
              </w:rPr>
              <w:t>1</w:t>
            </w:r>
            <w:r>
              <w:rPr>
                <w:rFonts w:hint="eastAsia" w:ascii="仿宋" w:hAnsi="仿宋" w:eastAsia="仿宋" w:cs="仿宋"/>
                <w:kern w:val="0"/>
                <w:sz w:val="24"/>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808" w:type="pct"/>
            <w:vMerge w:val="restart"/>
            <w:vAlign w:val="center"/>
          </w:tcPr>
          <w:p>
            <w:pPr>
              <w:widowControl/>
              <w:spacing w:line="360" w:lineRule="auto"/>
              <w:jc w:val="center"/>
              <w:rPr>
                <w:rFonts w:ascii="仿宋" w:hAnsi="仿宋" w:eastAsia="仿宋" w:cs="仿宋"/>
                <w:kern w:val="0"/>
                <w:sz w:val="24"/>
              </w:rPr>
            </w:pPr>
          </w:p>
          <w:p>
            <w:pPr>
              <w:widowControl/>
              <w:spacing w:line="360" w:lineRule="auto"/>
              <w:jc w:val="center"/>
              <w:rPr>
                <w:rFonts w:ascii="仿宋" w:hAnsi="仿宋" w:eastAsia="仿宋" w:cs="仿宋"/>
                <w:kern w:val="0"/>
                <w:sz w:val="24"/>
              </w:rPr>
            </w:pPr>
          </w:p>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2.企业资质认证</w:t>
            </w:r>
          </w:p>
        </w:tc>
        <w:tc>
          <w:tcPr>
            <w:tcW w:w="3727" w:type="pct"/>
            <w:gridSpan w:val="2"/>
            <w:tcBorders>
              <w:top w:val="single" w:color="auto" w:sz="4" w:space="0"/>
            </w:tcBorders>
            <w:vAlign w:val="center"/>
          </w:tcPr>
          <w:p>
            <w:pPr>
              <w:rPr>
                <w:rFonts w:ascii="仿宋_GB2312" w:hAnsi="宋体" w:eastAsia="仿宋_GB2312"/>
                <w:sz w:val="24"/>
              </w:rPr>
            </w:pPr>
            <w:r>
              <w:rPr>
                <w:rFonts w:hint="eastAsia" w:ascii="仿宋_GB2312" w:hAnsi="宋体" w:eastAsia="仿宋_GB2312"/>
                <w:sz w:val="24"/>
              </w:rPr>
              <w:t>1，所投产品生产企业具备企业信用等级证书（ AAA级 ) 认证 ，并提供证书复印件； （提供得1分，不提供不得分）</w:t>
            </w:r>
          </w:p>
          <w:p>
            <w:pPr>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w:t>
            </w:r>
            <w:r>
              <w:rPr>
                <w:rFonts w:ascii="仿宋_GB2312" w:hAnsi="宋体" w:eastAsia="仿宋_GB2312"/>
                <w:sz w:val="24"/>
              </w:rPr>
              <w:t>所投产品生产企业具</w:t>
            </w:r>
            <w:r>
              <w:rPr>
                <w:rFonts w:hint="eastAsia" w:ascii="仿宋_GB2312" w:hAnsi="宋体" w:eastAsia="仿宋_GB2312"/>
                <w:sz w:val="24"/>
              </w:rPr>
              <w:t>备</w:t>
            </w:r>
            <w:r>
              <w:rPr>
                <w:rFonts w:ascii="仿宋_GB2312" w:hAnsi="宋体" w:eastAsia="仿宋_GB2312"/>
                <w:sz w:val="24"/>
              </w:rPr>
              <w:t>公安部信息系统安全等级保护备案证明三级</w:t>
            </w:r>
            <w:r>
              <w:rPr>
                <w:rFonts w:hint="eastAsia" w:ascii="仿宋_GB2312" w:hAnsi="宋体" w:eastAsia="仿宋_GB2312"/>
                <w:sz w:val="24"/>
              </w:rPr>
              <w:t>及以上</w:t>
            </w:r>
            <w:r>
              <w:rPr>
                <w:rFonts w:ascii="仿宋_GB2312" w:hAnsi="宋体" w:eastAsia="仿宋_GB2312"/>
                <w:sz w:val="24"/>
              </w:rPr>
              <w:t>认证 ，</w:t>
            </w:r>
            <w:r>
              <w:rPr>
                <w:rFonts w:hint="eastAsia" w:ascii="仿宋_GB2312" w:hAnsi="宋体" w:eastAsia="仿宋_GB2312"/>
                <w:sz w:val="24"/>
              </w:rPr>
              <w:t>并</w:t>
            </w:r>
            <w:r>
              <w:rPr>
                <w:rFonts w:ascii="仿宋_GB2312" w:hAnsi="宋体" w:eastAsia="仿宋_GB2312"/>
                <w:sz w:val="24"/>
              </w:rPr>
              <w:t xml:space="preserve">提供证书复印件； </w:t>
            </w:r>
            <w:r>
              <w:rPr>
                <w:rFonts w:hint="eastAsia" w:ascii="仿宋_GB2312" w:hAnsi="宋体" w:eastAsia="仿宋_GB2312"/>
                <w:sz w:val="24"/>
              </w:rPr>
              <w:t>（提供得1分，不提供不得分）</w:t>
            </w:r>
          </w:p>
          <w:p>
            <w:pPr>
              <w:rPr>
                <w:rFonts w:ascii="仿宋_GB2312" w:hAnsi="宋体" w:eastAsia="仿宋_GB2312"/>
                <w:sz w:val="24"/>
              </w:rPr>
            </w:pPr>
            <w:r>
              <w:rPr>
                <w:rFonts w:ascii="仿宋_GB2312" w:hAnsi="宋体" w:eastAsia="仿宋_GB2312"/>
                <w:sz w:val="24"/>
              </w:rPr>
              <w:t>3</w:t>
            </w:r>
            <w:r>
              <w:rPr>
                <w:rFonts w:hint="eastAsia" w:ascii="仿宋_GB2312" w:hAnsi="宋体" w:eastAsia="仿宋_GB2312"/>
                <w:sz w:val="24"/>
              </w:rPr>
              <w:t>，</w:t>
            </w:r>
            <w:r>
              <w:rPr>
                <w:rFonts w:ascii="仿宋_GB2312" w:hAnsi="宋体" w:eastAsia="仿宋_GB2312"/>
                <w:sz w:val="24"/>
              </w:rPr>
              <w:t>所投产品生产企业具</w:t>
            </w:r>
            <w:r>
              <w:rPr>
                <w:rFonts w:hint="eastAsia" w:ascii="仿宋_GB2312" w:hAnsi="宋体" w:eastAsia="仿宋_GB2312"/>
                <w:sz w:val="24"/>
              </w:rPr>
              <w:t>备</w:t>
            </w:r>
            <w:r>
              <w:rPr>
                <w:rFonts w:ascii="仿宋_GB2312" w:hAnsi="宋体" w:eastAsia="仿宋_GB2312"/>
                <w:sz w:val="24"/>
              </w:rPr>
              <w:t>CMMI（</w:t>
            </w:r>
            <w:r>
              <w:rPr>
                <w:rFonts w:hint="eastAsia" w:ascii="仿宋_GB2312" w:hAnsi="宋体" w:eastAsia="仿宋_GB2312"/>
                <w:sz w:val="24"/>
              </w:rPr>
              <w:t>软件能力成熟度集成认证</w:t>
            </w:r>
            <w:r>
              <w:rPr>
                <w:rFonts w:ascii="仿宋_GB2312" w:hAnsi="宋体" w:eastAsia="仿宋_GB2312"/>
                <w:sz w:val="24"/>
              </w:rPr>
              <w:t>）3级</w:t>
            </w:r>
            <w:r>
              <w:rPr>
                <w:rFonts w:hint="eastAsia" w:ascii="仿宋_GB2312" w:hAnsi="宋体" w:eastAsia="仿宋_GB2312"/>
                <w:sz w:val="24"/>
              </w:rPr>
              <w:t>及以上</w:t>
            </w:r>
            <w:r>
              <w:rPr>
                <w:rFonts w:ascii="仿宋_GB2312" w:hAnsi="宋体" w:eastAsia="仿宋_GB2312"/>
                <w:sz w:val="24"/>
              </w:rPr>
              <w:t>认证 ，</w:t>
            </w:r>
            <w:r>
              <w:rPr>
                <w:rFonts w:hint="eastAsia" w:ascii="仿宋_GB2312" w:hAnsi="宋体" w:eastAsia="仿宋_GB2312"/>
                <w:sz w:val="24"/>
              </w:rPr>
              <w:t>并</w:t>
            </w:r>
            <w:r>
              <w:rPr>
                <w:rFonts w:ascii="仿宋_GB2312" w:hAnsi="宋体" w:eastAsia="仿宋_GB2312"/>
                <w:sz w:val="24"/>
              </w:rPr>
              <w:t>提供证书复印件；</w:t>
            </w:r>
            <w:r>
              <w:rPr>
                <w:rFonts w:hint="eastAsia" w:ascii="仿宋_GB2312" w:hAnsi="宋体" w:eastAsia="仿宋_GB2312"/>
                <w:sz w:val="24"/>
              </w:rPr>
              <w:t>（提供得1分，不提供不得分）</w:t>
            </w:r>
            <w:r>
              <w:rPr>
                <w:rFonts w:ascii="仿宋_GB2312" w:hAnsi="宋体" w:eastAsia="仿宋_GB2312"/>
                <w:sz w:val="24"/>
              </w:rPr>
              <w:t xml:space="preserve"> </w:t>
            </w:r>
          </w:p>
          <w:p>
            <w:pPr>
              <w:rPr>
                <w:rFonts w:ascii="仿宋_GB2312" w:hAnsi="宋体" w:eastAsia="仿宋_GB2312"/>
                <w:sz w:val="24"/>
              </w:rPr>
            </w:pP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所投产品生产企业具</w:t>
            </w:r>
            <w:r>
              <w:rPr>
                <w:rFonts w:hint="eastAsia" w:ascii="仿宋_GB2312" w:hAnsi="宋体" w:eastAsia="仿宋_GB2312"/>
                <w:sz w:val="24"/>
              </w:rPr>
              <w:t>备</w:t>
            </w:r>
            <w:r>
              <w:rPr>
                <w:rFonts w:ascii="仿宋_GB2312" w:hAnsi="宋体" w:eastAsia="仿宋_GB2312"/>
                <w:sz w:val="24"/>
              </w:rPr>
              <w:t>IS020000信息技术服务管理体系认证 ，</w:t>
            </w:r>
            <w:r>
              <w:rPr>
                <w:rFonts w:hint="eastAsia" w:ascii="仿宋_GB2312" w:hAnsi="宋体" w:eastAsia="仿宋_GB2312"/>
                <w:sz w:val="24"/>
              </w:rPr>
              <w:t>并</w:t>
            </w:r>
            <w:r>
              <w:rPr>
                <w:rFonts w:ascii="仿宋_GB2312" w:hAnsi="宋体" w:eastAsia="仿宋_GB2312"/>
                <w:sz w:val="24"/>
              </w:rPr>
              <w:t>提供证书复印件</w:t>
            </w:r>
            <w:r>
              <w:rPr>
                <w:rFonts w:hint="eastAsia" w:ascii="仿宋_GB2312" w:hAnsi="宋体" w:eastAsia="仿宋_GB2312"/>
                <w:sz w:val="24"/>
              </w:rPr>
              <w:t>。（提供得1分，不提供不得分）</w:t>
            </w:r>
          </w:p>
          <w:p>
            <w:pPr>
              <w:rPr>
                <w:rFonts w:ascii="仿宋_GB2312" w:hAnsi="宋体" w:eastAsia="仿宋_GB2312"/>
                <w:sz w:val="24"/>
              </w:rPr>
            </w:pPr>
            <w:r>
              <w:rPr>
                <w:rFonts w:ascii="仿宋_GB2312" w:hAnsi="宋体" w:eastAsia="仿宋_GB2312"/>
                <w:sz w:val="24"/>
              </w:rPr>
              <w:t>5</w:t>
            </w:r>
            <w:r>
              <w:rPr>
                <w:rFonts w:hint="eastAsia" w:ascii="仿宋_GB2312" w:hAnsi="宋体" w:eastAsia="仿宋_GB2312"/>
                <w:sz w:val="24"/>
              </w:rPr>
              <w:t>，</w:t>
            </w:r>
            <w:r>
              <w:rPr>
                <w:rFonts w:ascii="仿宋_GB2312" w:hAnsi="宋体" w:eastAsia="仿宋_GB2312"/>
                <w:sz w:val="24"/>
              </w:rPr>
              <w:t>所投产品生产企业具</w:t>
            </w:r>
            <w:r>
              <w:rPr>
                <w:rFonts w:hint="eastAsia" w:ascii="仿宋_GB2312" w:hAnsi="宋体" w:eastAsia="仿宋_GB2312"/>
                <w:sz w:val="24"/>
              </w:rPr>
              <w:t>备</w:t>
            </w:r>
            <w:r>
              <w:rPr>
                <w:rFonts w:ascii="仿宋_GB2312" w:hAnsi="宋体" w:eastAsia="仿宋_GB2312"/>
                <w:sz w:val="24"/>
              </w:rPr>
              <w:t>ISO9001质量管理体系认证 ，</w:t>
            </w:r>
            <w:r>
              <w:rPr>
                <w:rFonts w:hint="eastAsia" w:ascii="仿宋_GB2312" w:hAnsi="宋体" w:eastAsia="仿宋_GB2312"/>
                <w:sz w:val="24"/>
              </w:rPr>
              <w:t>并</w:t>
            </w:r>
            <w:r>
              <w:rPr>
                <w:rFonts w:ascii="仿宋_GB2312" w:hAnsi="宋体" w:eastAsia="仿宋_GB2312"/>
                <w:sz w:val="24"/>
              </w:rPr>
              <w:t>提供证书复印件</w:t>
            </w:r>
            <w:r>
              <w:rPr>
                <w:rFonts w:hint="eastAsia" w:ascii="仿宋_GB2312" w:hAnsi="宋体" w:eastAsia="仿宋_GB2312"/>
                <w:sz w:val="24"/>
              </w:rPr>
              <w:t>。（提供得1分，不提供不得分）</w:t>
            </w:r>
          </w:p>
          <w:p>
            <w:pPr>
              <w:rPr>
                <w:rFonts w:ascii="仿宋_GB2312" w:hAnsi="宋体" w:eastAsia="仿宋_GB2312"/>
                <w:sz w:val="24"/>
              </w:rPr>
            </w:pP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所投产品生产企业具</w:t>
            </w:r>
            <w:r>
              <w:rPr>
                <w:rFonts w:hint="eastAsia" w:ascii="仿宋_GB2312" w:hAnsi="宋体" w:eastAsia="仿宋_GB2312"/>
                <w:sz w:val="24"/>
              </w:rPr>
              <w:t>备</w:t>
            </w:r>
            <w:r>
              <w:rPr>
                <w:rFonts w:ascii="仿宋_GB2312" w:hAnsi="宋体" w:eastAsia="仿宋_GB2312"/>
                <w:sz w:val="24"/>
              </w:rPr>
              <w:t>ISO27001</w:t>
            </w:r>
            <w:r>
              <w:rPr>
                <w:rFonts w:hint="eastAsia" w:ascii="仿宋_GB2312" w:hAnsi="宋体" w:eastAsia="仿宋_GB2312"/>
                <w:sz w:val="24"/>
              </w:rPr>
              <w:t>信息安全管理体系</w:t>
            </w:r>
            <w:r>
              <w:rPr>
                <w:rFonts w:ascii="仿宋_GB2312" w:hAnsi="宋体" w:eastAsia="仿宋_GB2312"/>
                <w:sz w:val="24"/>
              </w:rPr>
              <w:t>认证 ，</w:t>
            </w:r>
            <w:r>
              <w:rPr>
                <w:rFonts w:hint="eastAsia" w:ascii="仿宋_GB2312" w:hAnsi="宋体" w:eastAsia="仿宋_GB2312"/>
                <w:sz w:val="24"/>
              </w:rPr>
              <w:t>并</w:t>
            </w:r>
            <w:r>
              <w:rPr>
                <w:rFonts w:ascii="仿宋_GB2312" w:hAnsi="宋体" w:eastAsia="仿宋_GB2312"/>
                <w:sz w:val="24"/>
              </w:rPr>
              <w:t>提供证书复印件</w:t>
            </w:r>
            <w:r>
              <w:rPr>
                <w:rFonts w:hint="eastAsia" w:ascii="仿宋_GB2312" w:hAnsi="宋体" w:eastAsia="仿宋_GB2312"/>
                <w:sz w:val="24"/>
              </w:rPr>
              <w:t>。（提供得1分，不提供不得分）</w:t>
            </w:r>
          </w:p>
          <w:p>
            <w:pPr>
              <w:rPr>
                <w:rFonts w:ascii="仿宋_GB2312" w:hAnsi="宋体" w:eastAsia="仿宋_GB2312"/>
                <w:sz w:val="24"/>
              </w:rPr>
            </w:pPr>
            <w:r>
              <w:rPr>
                <w:rFonts w:ascii="仿宋_GB2312" w:hAnsi="宋体" w:eastAsia="仿宋_GB2312"/>
                <w:sz w:val="24"/>
              </w:rPr>
              <w:t>7</w:t>
            </w:r>
            <w:r>
              <w:rPr>
                <w:rFonts w:hint="eastAsia" w:ascii="仿宋_GB2312" w:hAnsi="宋体" w:eastAsia="仿宋_GB2312"/>
                <w:sz w:val="24"/>
              </w:rPr>
              <w:t>，</w:t>
            </w:r>
            <w:r>
              <w:rPr>
                <w:rFonts w:ascii="仿宋_GB2312" w:hAnsi="宋体" w:eastAsia="仿宋_GB2312"/>
                <w:sz w:val="24"/>
              </w:rPr>
              <w:t>所投产品生产企业具</w:t>
            </w:r>
            <w:r>
              <w:rPr>
                <w:rFonts w:hint="eastAsia" w:ascii="仿宋_GB2312" w:hAnsi="宋体" w:eastAsia="仿宋_GB2312"/>
                <w:sz w:val="24"/>
              </w:rPr>
              <w:t>备</w:t>
            </w:r>
            <w:r>
              <w:rPr>
                <w:rFonts w:ascii="仿宋_GB2312" w:hAnsi="宋体" w:eastAsia="仿宋_GB2312"/>
                <w:sz w:val="24"/>
              </w:rPr>
              <w:t>ISO45001</w:t>
            </w:r>
            <w:r>
              <w:rPr>
                <w:rFonts w:hint="eastAsia" w:ascii="仿宋_GB2312" w:hAnsi="宋体" w:eastAsia="仿宋_GB2312"/>
                <w:sz w:val="24"/>
              </w:rPr>
              <w:t>中国职业健康安全管理体系</w:t>
            </w:r>
            <w:r>
              <w:rPr>
                <w:rFonts w:ascii="仿宋_GB2312" w:hAnsi="宋体" w:eastAsia="仿宋_GB2312"/>
                <w:sz w:val="24"/>
              </w:rPr>
              <w:t>认证 ，</w:t>
            </w:r>
            <w:r>
              <w:rPr>
                <w:rFonts w:hint="eastAsia" w:ascii="仿宋_GB2312" w:hAnsi="宋体" w:eastAsia="仿宋_GB2312"/>
                <w:sz w:val="24"/>
              </w:rPr>
              <w:t>并</w:t>
            </w:r>
            <w:r>
              <w:rPr>
                <w:rFonts w:ascii="仿宋_GB2312" w:hAnsi="宋体" w:eastAsia="仿宋_GB2312"/>
                <w:sz w:val="24"/>
              </w:rPr>
              <w:t>提供证书复印件</w:t>
            </w:r>
            <w:r>
              <w:rPr>
                <w:rFonts w:hint="eastAsia" w:ascii="仿宋_GB2312" w:hAnsi="宋体" w:eastAsia="仿宋_GB2312"/>
                <w:sz w:val="24"/>
              </w:rPr>
              <w:t>。（提供得1分，不提供不得分）</w:t>
            </w:r>
          </w:p>
          <w:p/>
          <w:p>
            <w:pPr>
              <w:widowControl/>
              <w:spacing w:line="360" w:lineRule="auto"/>
              <w:rPr>
                <w:rFonts w:ascii="仿宋" w:hAnsi="仿宋" w:eastAsia="仿宋_GB2312" w:cs="仿宋"/>
                <w:kern w:val="0"/>
                <w:sz w:val="24"/>
              </w:rPr>
            </w:pPr>
            <w:r>
              <w:rPr>
                <w:rFonts w:hint="eastAsia" w:ascii="仿宋_GB2312" w:hAnsi="宋体" w:eastAsia="仿宋_GB2312" w:cs="宋体"/>
                <w:sz w:val="24"/>
                <w:lang w:val="en-US" w:eastAsia="zh-CN"/>
              </w:rPr>
              <w:t>8</w:t>
            </w:r>
            <w:r>
              <w:rPr>
                <w:rFonts w:ascii="仿宋_GB2312" w:hAnsi="宋体" w:eastAsia="仿宋_GB2312" w:cs="宋体"/>
                <w:sz w:val="24"/>
              </w:rPr>
              <w:t>.提供与</w:t>
            </w:r>
            <w:r>
              <w:rPr>
                <w:rFonts w:hint="eastAsia" w:ascii="仿宋_GB2312" w:hAnsi="宋体" w:eastAsia="仿宋_GB2312" w:cs="宋体"/>
                <w:sz w:val="24"/>
              </w:rPr>
              <w:t>科研平台、冠脉</w:t>
            </w:r>
            <w:r>
              <w:rPr>
                <w:rFonts w:ascii="仿宋_GB2312" w:hAnsi="宋体" w:eastAsia="仿宋_GB2312" w:cs="宋体"/>
                <w:sz w:val="24"/>
              </w:rPr>
              <w:t>CTA辅助诊断系统</w:t>
            </w:r>
            <w:r>
              <w:rPr>
                <w:rFonts w:hint="eastAsia" w:ascii="仿宋_GB2312" w:hAnsi="宋体" w:eastAsia="仿宋_GB2312" w:cs="宋体"/>
                <w:sz w:val="24"/>
              </w:rPr>
              <w:t>、</w:t>
            </w:r>
            <w:r>
              <w:rPr>
                <w:rFonts w:ascii="仿宋_GB2312" w:hAnsi="宋体" w:eastAsia="仿宋_GB2312" w:cs="宋体"/>
                <w:sz w:val="24"/>
              </w:rPr>
              <w:t>CT-FFR相关的产品软著作权证书，（每有一个得1分，最高得3分）</w:t>
            </w:r>
          </w:p>
        </w:tc>
        <w:tc>
          <w:tcPr>
            <w:tcW w:w="463" w:type="pct"/>
            <w:tcBorders>
              <w:top w:val="single" w:color="auto" w:sz="4" w:space="0"/>
            </w:tcBorders>
            <w:vAlign w:val="center"/>
          </w:tcPr>
          <w:p>
            <w:pPr>
              <w:widowControl/>
              <w:spacing w:line="360" w:lineRule="auto"/>
              <w:jc w:val="center"/>
            </w:pPr>
          </w:p>
          <w:p>
            <w:pPr>
              <w:widowControl/>
              <w:spacing w:line="360" w:lineRule="auto"/>
              <w:jc w:val="center"/>
            </w:pPr>
          </w:p>
          <w:p>
            <w:pPr>
              <w:widowControl/>
              <w:spacing w:line="360" w:lineRule="auto"/>
              <w:jc w:val="center"/>
            </w:pPr>
          </w:p>
          <w:p>
            <w:pPr>
              <w:widowControl/>
              <w:spacing w:line="360" w:lineRule="auto"/>
              <w:jc w:val="center"/>
            </w:pPr>
          </w:p>
          <w:p>
            <w:pPr>
              <w:widowControl/>
              <w:spacing w:line="360" w:lineRule="auto"/>
              <w:jc w:val="center"/>
              <w:rPr>
                <w:rFonts w:hint="eastAsia" w:eastAsia="宋体"/>
                <w:lang w:eastAsia="zh-CN"/>
              </w:rPr>
            </w:pPr>
            <w:r>
              <w:t>1</w:t>
            </w:r>
            <w:r>
              <w:rPr>
                <w:rFonts w:hint="eastAsia"/>
                <w:lang w:val="en-US" w:eastAsia="zh-CN"/>
              </w:rPr>
              <w:t>0</w:t>
            </w:r>
          </w:p>
          <w:p>
            <w:pPr>
              <w:pStyle w:val="43"/>
              <w:ind w:firstLine="48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8" w:type="pct"/>
            <w:vMerge w:val="continue"/>
            <w:tcBorders>
              <w:bottom w:val="single" w:color="auto" w:sz="4" w:space="0"/>
            </w:tcBorders>
            <w:vAlign w:val="center"/>
          </w:tcPr>
          <w:p>
            <w:pPr>
              <w:widowControl/>
              <w:spacing w:line="360" w:lineRule="auto"/>
              <w:rPr>
                <w:rFonts w:ascii="仿宋" w:hAnsi="仿宋" w:eastAsia="仿宋" w:cs="仿宋"/>
                <w:kern w:val="0"/>
                <w:sz w:val="24"/>
              </w:rPr>
            </w:pPr>
          </w:p>
        </w:tc>
        <w:tc>
          <w:tcPr>
            <w:tcW w:w="3727" w:type="pct"/>
            <w:gridSpan w:val="2"/>
            <w:tcBorders>
              <w:top w:val="single" w:color="auto" w:sz="4" w:space="0"/>
              <w:bottom w:val="single" w:color="auto" w:sz="4" w:space="0"/>
            </w:tcBorders>
            <w:vAlign w:val="center"/>
          </w:tcPr>
          <w:p>
            <w:pPr>
              <w:widowControl/>
              <w:spacing w:line="360" w:lineRule="auto"/>
              <w:rPr>
                <w:rFonts w:ascii="仿宋" w:hAnsi="仿宋" w:eastAsia="仿宋" w:cs="仿宋"/>
                <w:kern w:val="0"/>
                <w:sz w:val="24"/>
              </w:rPr>
            </w:pPr>
            <w:r>
              <w:rPr>
                <w:rFonts w:hint="eastAsia" w:ascii="仿宋_GB2312" w:hAnsi="宋体" w:eastAsia="仿宋_GB2312"/>
                <w:sz w:val="24"/>
              </w:rPr>
              <w:t>提供202</w:t>
            </w:r>
            <w:r>
              <w:rPr>
                <w:rFonts w:hint="eastAsia" w:ascii="仿宋_GB2312" w:hAnsi="宋体" w:eastAsia="仿宋_GB2312"/>
                <w:sz w:val="24"/>
                <w:lang w:val="en-US" w:eastAsia="zh-CN"/>
              </w:rPr>
              <w:t>0</w:t>
            </w:r>
            <w:r>
              <w:rPr>
                <w:rFonts w:hint="eastAsia" w:ascii="仿宋_GB2312" w:hAnsi="宋体" w:eastAsia="仿宋_GB2312"/>
                <w:sz w:val="24"/>
              </w:rPr>
              <w:t>年1月1日以来所投产品与医院签署的同类项目成功案例（案例至少包含所投产品中</w:t>
            </w:r>
            <w:r>
              <w:rPr>
                <w:rFonts w:ascii="仿宋_GB2312" w:hAnsi="宋体" w:eastAsia="仿宋_GB2312"/>
                <w:sz w:val="24"/>
              </w:rPr>
              <w:t>1</w:t>
            </w:r>
            <w:r>
              <w:rPr>
                <w:rFonts w:hint="eastAsia" w:ascii="仿宋_GB2312" w:hAnsi="宋体" w:eastAsia="仿宋_GB2312"/>
                <w:sz w:val="24"/>
              </w:rPr>
              <w:t>个模块），每一例业绩得</w:t>
            </w:r>
            <w:r>
              <w:rPr>
                <w:rFonts w:ascii="仿宋_GB2312" w:hAnsi="宋体" w:eastAsia="仿宋_GB2312"/>
                <w:sz w:val="24"/>
              </w:rPr>
              <w:t>1</w:t>
            </w:r>
            <w:r>
              <w:rPr>
                <w:rFonts w:hint="eastAsia" w:ascii="仿宋_GB2312" w:hAnsi="宋体" w:eastAsia="仿宋_GB2312"/>
                <w:sz w:val="24"/>
              </w:rPr>
              <w:t>分，投标文件提供清晰的合同复印件。本项最高得</w:t>
            </w:r>
            <w:r>
              <w:rPr>
                <w:rFonts w:ascii="仿宋_GB2312" w:hAnsi="宋体" w:eastAsia="仿宋_GB2312"/>
                <w:sz w:val="24"/>
              </w:rPr>
              <w:t>3</w:t>
            </w:r>
            <w:r>
              <w:rPr>
                <w:rFonts w:hint="eastAsia" w:ascii="仿宋_GB2312" w:hAnsi="宋体" w:eastAsia="仿宋_GB2312"/>
                <w:sz w:val="24"/>
              </w:rPr>
              <w:t>分。</w:t>
            </w:r>
          </w:p>
        </w:tc>
        <w:tc>
          <w:tcPr>
            <w:tcW w:w="463" w:type="pct"/>
            <w:tcBorders>
              <w:top w:val="single" w:color="auto" w:sz="4" w:space="0"/>
            </w:tcBorders>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8" w:type="pct"/>
            <w:vMerge w:val="restar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3.技术方案</w:t>
            </w:r>
          </w:p>
        </w:tc>
        <w:tc>
          <w:tcPr>
            <w:tcW w:w="651" w:type="pct"/>
            <w:vAlign w:val="center"/>
          </w:tcPr>
          <w:p>
            <w:pPr>
              <w:widowControl/>
              <w:spacing w:line="360" w:lineRule="auto"/>
              <w:rPr>
                <w:rFonts w:ascii="仿宋" w:hAnsi="仿宋" w:eastAsia="仿宋" w:cs="仿宋"/>
                <w:kern w:val="0"/>
                <w:sz w:val="24"/>
              </w:rPr>
            </w:pPr>
            <w:r>
              <w:rPr>
                <w:rFonts w:hint="eastAsia" w:ascii="仿宋" w:hAnsi="仿宋" w:eastAsia="仿宋" w:cs="仿宋"/>
                <w:kern w:val="0"/>
                <w:sz w:val="24"/>
              </w:rPr>
              <w:t>3.1系统演示</w:t>
            </w:r>
          </w:p>
        </w:tc>
        <w:tc>
          <w:tcPr>
            <w:tcW w:w="3076" w:type="pct"/>
            <w:vAlign w:val="center"/>
          </w:tcPr>
          <w:p>
            <w:pPr>
              <w:rPr>
                <w:rFonts w:ascii="仿宋_GB2312" w:hAnsi="宋体" w:eastAsia="仿宋_GB2312"/>
                <w:sz w:val="24"/>
                <w:szCs w:val="20"/>
              </w:rPr>
            </w:pPr>
            <w:r>
              <w:rPr>
                <w:rFonts w:hint="eastAsia" w:ascii="仿宋_GB2312" w:hAnsi="宋体" w:eastAsia="仿宋_GB2312"/>
                <w:sz w:val="24"/>
                <w:szCs w:val="20"/>
              </w:rPr>
              <w:t>演示(讲解)：在评标时安排每个投标人进行演示，演示后按要求解答评标委员会的提问。</w:t>
            </w:r>
          </w:p>
          <w:p>
            <w:pPr>
              <w:rPr>
                <w:rFonts w:ascii="仿宋_GB2312" w:hAnsi="宋体" w:eastAsia="仿宋_GB2312"/>
                <w:sz w:val="24"/>
                <w:szCs w:val="20"/>
              </w:rPr>
            </w:pPr>
            <w:r>
              <w:rPr>
                <w:rFonts w:hint="eastAsia" w:ascii="仿宋_GB2312" w:hAnsi="宋体" w:eastAsia="仿宋_GB2312"/>
                <w:sz w:val="24"/>
                <w:szCs w:val="20"/>
              </w:rPr>
              <w:t>演示设备：演示所需设备由投标人自行准备。</w:t>
            </w:r>
          </w:p>
          <w:p>
            <w:pPr>
              <w:rPr>
                <w:rFonts w:hint="eastAsia" w:ascii="仿宋_GB2312" w:hAnsi="宋体" w:eastAsia="仿宋_GB2312"/>
                <w:sz w:val="24"/>
                <w:szCs w:val="20"/>
              </w:rPr>
            </w:pPr>
            <w:r>
              <w:rPr>
                <w:rFonts w:hint="eastAsia" w:ascii="仿宋_GB2312" w:hAnsi="宋体" w:eastAsia="仿宋_GB2312"/>
                <w:sz w:val="24"/>
                <w:szCs w:val="20"/>
              </w:rPr>
              <w:t>演示时间：每个投标人演示开始前的调试准备时间不超过15分钟，演示时间不超过15分钟，不包含评委提问解答时间。</w:t>
            </w:r>
          </w:p>
          <w:p>
            <w:pPr>
              <w:pStyle w:val="33"/>
              <w:ind w:left="0" w:firstLine="0" w:firstLineChars="0"/>
              <w:rPr>
                <w:rFonts w:ascii="仿宋_GB2312" w:hAnsi="宋体" w:eastAsia="仿宋_GB2312"/>
                <w:sz w:val="24"/>
              </w:rPr>
            </w:pPr>
            <w:r>
              <w:rPr>
                <w:rFonts w:ascii="仿宋_GB2312" w:hAnsi="宋体" w:eastAsia="仿宋_GB2312"/>
                <w:sz w:val="24"/>
                <w:szCs w:val="24"/>
              </w:rPr>
              <w:t>1</w:t>
            </w:r>
            <w:r>
              <w:rPr>
                <w:rFonts w:hint="eastAsia" w:ascii="仿宋_GB2312" w:hAnsi="宋体" w:eastAsia="仿宋_GB2312"/>
                <w:sz w:val="24"/>
                <w:szCs w:val="24"/>
              </w:rPr>
              <w:t>.</w:t>
            </w:r>
            <w:r>
              <w:rPr>
                <w:rFonts w:hint="eastAsia"/>
              </w:rPr>
              <w:t xml:space="preserve"> </w:t>
            </w:r>
            <w:r>
              <w:rPr>
                <w:rFonts w:hint="eastAsia" w:ascii="仿宋_GB2312" w:hAnsi="宋体" w:eastAsia="仿宋_GB2312"/>
                <w:sz w:val="24"/>
                <w:szCs w:val="24"/>
              </w:rPr>
              <w:t>数据标注:</w:t>
            </w:r>
            <w:r>
              <w:rPr>
                <w:rFonts w:ascii="仿宋_GB2312" w:hAnsi="宋体" w:eastAsia="仿宋_GB2312"/>
                <w:sz w:val="24"/>
              </w:rPr>
              <w:fldChar w:fldCharType="begin"/>
            </w:r>
            <w:r>
              <w:rPr>
                <w:rFonts w:ascii="仿宋_GB2312" w:hAnsi="宋体" w:eastAsia="仿宋_GB2312"/>
                <w:sz w:val="24"/>
              </w:rPr>
              <w:instrText xml:space="preserve"> </w:instrText>
            </w:r>
            <w:r>
              <w:rPr>
                <w:rFonts w:hint="eastAsia" w:ascii="仿宋_GB2312" w:hAnsi="宋体" w:eastAsia="仿宋_GB2312"/>
                <w:sz w:val="24"/>
              </w:rPr>
              <w:instrText xml:space="preserve">= 1 \* GB3</w:instrText>
            </w:r>
            <w:r>
              <w:rPr>
                <w:rFonts w:ascii="仿宋_GB2312" w:hAnsi="宋体" w:eastAsia="仿宋_GB2312"/>
                <w:sz w:val="24"/>
              </w:rPr>
              <w:instrText xml:space="preserve"> </w:instrText>
            </w:r>
            <w:r>
              <w:rPr>
                <w:rFonts w:ascii="仿宋_GB2312" w:hAnsi="宋体" w:eastAsia="仿宋_GB2312"/>
                <w:sz w:val="24"/>
              </w:rPr>
              <w:fldChar w:fldCharType="separate"/>
            </w:r>
            <w:r>
              <w:rPr>
                <w:rFonts w:hint="eastAsia" w:ascii="仿宋_GB2312" w:hAnsi="宋体" w:eastAsia="仿宋_GB2312"/>
                <w:sz w:val="24"/>
              </w:rPr>
              <w:t>①</w:t>
            </w:r>
            <w:r>
              <w:rPr>
                <w:rFonts w:ascii="仿宋_GB2312" w:hAnsi="宋体" w:eastAsia="仿宋_GB2312"/>
                <w:sz w:val="24"/>
              </w:rPr>
              <w:fldChar w:fldCharType="end"/>
            </w:r>
            <w:r>
              <w:rPr>
                <w:rFonts w:hint="eastAsia" w:ascii="仿宋_GB2312" w:hAnsi="宋体" w:eastAsia="仿宋_GB2312"/>
                <w:sz w:val="24"/>
              </w:rPr>
              <w:t>支持针对一个影像检查数据同时管理多种标注分类的功能</w:t>
            </w:r>
            <w:r>
              <w:rPr>
                <w:rFonts w:ascii="仿宋_GB2312" w:hAnsi="宋体" w:eastAsia="仿宋_GB2312"/>
                <w:sz w:val="24"/>
                <w:szCs w:val="24"/>
              </w:rPr>
              <w:fldChar w:fldCharType="begin"/>
            </w:r>
            <w:r>
              <w:rPr>
                <w:rFonts w:ascii="仿宋_GB2312" w:hAnsi="宋体" w:eastAsia="仿宋_GB2312"/>
                <w:sz w:val="24"/>
                <w:szCs w:val="24"/>
              </w:rPr>
              <w:instrText xml:space="preserve"> </w:instrText>
            </w:r>
            <w:r>
              <w:rPr>
                <w:rFonts w:hint="eastAsia" w:ascii="仿宋_GB2312" w:hAnsi="宋体" w:eastAsia="仿宋_GB2312"/>
                <w:sz w:val="24"/>
                <w:szCs w:val="24"/>
              </w:rPr>
              <w:instrText xml:space="preserve">= 2 \* GB3</w:instrText>
            </w:r>
            <w:r>
              <w:rPr>
                <w:rFonts w:ascii="仿宋_GB2312" w:hAnsi="宋体" w:eastAsia="仿宋_GB2312"/>
                <w:sz w:val="24"/>
                <w:szCs w:val="24"/>
              </w:rPr>
              <w:instrText xml:space="preserve"> </w:instrText>
            </w:r>
            <w:r>
              <w:rPr>
                <w:rFonts w:ascii="仿宋_GB2312" w:hAnsi="宋体" w:eastAsia="仿宋_GB2312"/>
                <w:sz w:val="24"/>
                <w:szCs w:val="24"/>
              </w:rPr>
              <w:fldChar w:fldCharType="separate"/>
            </w:r>
            <w:r>
              <w:rPr>
                <w:rFonts w:hint="eastAsia" w:ascii="仿宋_GB2312" w:hAnsi="宋体" w:eastAsia="仿宋_GB2312"/>
                <w:sz w:val="24"/>
                <w:szCs w:val="24"/>
              </w:rPr>
              <w:t>②</w:t>
            </w:r>
            <w:r>
              <w:rPr>
                <w:rFonts w:ascii="仿宋_GB2312" w:hAnsi="宋体" w:eastAsia="仿宋_GB2312"/>
                <w:sz w:val="24"/>
                <w:szCs w:val="24"/>
              </w:rPr>
              <w:fldChar w:fldCharType="end"/>
            </w:r>
            <w:r>
              <w:rPr>
                <w:rFonts w:hint="eastAsia" w:ascii="仿宋_GB2312" w:hAnsi="宋体" w:eastAsia="仿宋_GB2312"/>
                <w:sz w:val="24"/>
              </w:rPr>
              <w:t>针对多序列数据，支持标记和修改序列类型标签，根据演示效果进行评分，优得4</w:t>
            </w:r>
            <w:r>
              <w:rPr>
                <w:rFonts w:ascii="仿宋_GB2312" w:hAnsi="宋体" w:eastAsia="仿宋_GB2312"/>
                <w:sz w:val="24"/>
              </w:rPr>
              <w:t>-3.1</w:t>
            </w:r>
            <w:r>
              <w:rPr>
                <w:rFonts w:hint="eastAsia" w:ascii="仿宋_GB2312" w:hAnsi="宋体" w:eastAsia="仿宋_GB2312"/>
                <w:sz w:val="24"/>
              </w:rPr>
              <w:t>分，一般得</w:t>
            </w:r>
            <w:r>
              <w:rPr>
                <w:rFonts w:ascii="仿宋_GB2312" w:hAnsi="宋体" w:eastAsia="仿宋_GB2312"/>
                <w:sz w:val="24"/>
              </w:rPr>
              <w:t>3-2.1</w:t>
            </w:r>
            <w:r>
              <w:rPr>
                <w:rFonts w:hint="eastAsia" w:ascii="仿宋_GB2312" w:hAnsi="宋体" w:eastAsia="仿宋_GB2312"/>
                <w:sz w:val="24"/>
              </w:rPr>
              <w:t>分，差得</w:t>
            </w:r>
            <w:r>
              <w:rPr>
                <w:rFonts w:ascii="仿宋_GB2312" w:hAnsi="宋体" w:eastAsia="仿宋_GB2312"/>
                <w:sz w:val="24"/>
              </w:rPr>
              <w:t>2-</w:t>
            </w:r>
            <w:r>
              <w:rPr>
                <w:rFonts w:hint="eastAsia" w:ascii="仿宋_GB2312" w:hAnsi="宋体" w:eastAsia="仿宋_GB2312"/>
                <w:sz w:val="24"/>
              </w:rPr>
              <w:t>0</w:t>
            </w:r>
            <w:r>
              <w:rPr>
                <w:rFonts w:ascii="仿宋_GB2312" w:hAnsi="宋体" w:eastAsia="仿宋_GB2312"/>
                <w:sz w:val="24"/>
              </w:rPr>
              <w:t>.1</w:t>
            </w:r>
            <w:r>
              <w:rPr>
                <w:rFonts w:hint="eastAsia" w:ascii="仿宋_GB2312" w:hAnsi="宋体" w:eastAsia="仿宋_GB2312"/>
                <w:sz w:val="24"/>
              </w:rPr>
              <w:t>分，不提供得0分。</w:t>
            </w:r>
          </w:p>
          <w:p>
            <w:pPr>
              <w:pStyle w:val="33"/>
              <w:ind w:left="0" w:firstLine="0" w:firstLineChars="0"/>
              <w:rPr>
                <w:rFonts w:ascii="仿宋_GB2312" w:hAnsi="宋体" w:eastAsia="仿宋_GB2312"/>
                <w:sz w:val="24"/>
              </w:rPr>
            </w:pPr>
            <w:r>
              <w:rPr>
                <w:rFonts w:ascii="仿宋_GB2312" w:hAnsi="宋体" w:eastAsia="仿宋_GB2312"/>
                <w:sz w:val="24"/>
              </w:rPr>
              <w:t>2.</w:t>
            </w:r>
            <w:r>
              <w:rPr>
                <w:rFonts w:hint="eastAsia"/>
              </w:rPr>
              <w:t xml:space="preserve"> </w:t>
            </w:r>
            <w:r>
              <w:rPr>
                <w:rFonts w:hint="eastAsia" w:ascii="仿宋_GB2312" w:hAnsi="宋体" w:eastAsia="仿宋_GB2312"/>
                <w:sz w:val="24"/>
              </w:rPr>
              <w:t>影像组学特征提取:</w:t>
            </w:r>
            <w:r>
              <w:rPr>
                <w:rFonts w:ascii="仿宋_GB2312" w:hAnsi="宋体" w:eastAsia="仿宋_GB2312"/>
                <w:sz w:val="24"/>
              </w:rPr>
              <w:fldChar w:fldCharType="begin"/>
            </w:r>
            <w:r>
              <w:rPr>
                <w:rFonts w:ascii="仿宋_GB2312" w:hAnsi="宋体" w:eastAsia="仿宋_GB2312"/>
                <w:sz w:val="24"/>
              </w:rPr>
              <w:instrText xml:space="preserve"> </w:instrText>
            </w:r>
            <w:r>
              <w:rPr>
                <w:rFonts w:hint="eastAsia" w:ascii="仿宋_GB2312" w:hAnsi="宋体" w:eastAsia="仿宋_GB2312"/>
                <w:sz w:val="24"/>
              </w:rPr>
              <w:instrText xml:space="preserve">= 1 \* GB3</w:instrText>
            </w:r>
            <w:r>
              <w:rPr>
                <w:rFonts w:ascii="仿宋_GB2312" w:hAnsi="宋体" w:eastAsia="仿宋_GB2312"/>
                <w:sz w:val="24"/>
              </w:rPr>
              <w:instrText xml:space="preserve"> </w:instrText>
            </w:r>
            <w:r>
              <w:rPr>
                <w:rFonts w:ascii="仿宋_GB2312" w:hAnsi="宋体" w:eastAsia="仿宋_GB2312"/>
                <w:sz w:val="24"/>
              </w:rPr>
              <w:fldChar w:fldCharType="separate"/>
            </w:r>
            <w:r>
              <w:rPr>
                <w:rFonts w:hint="eastAsia" w:ascii="仿宋_GB2312" w:hAnsi="宋体" w:eastAsia="仿宋_GB2312"/>
                <w:sz w:val="24"/>
              </w:rPr>
              <w:t>①</w:t>
            </w:r>
            <w:r>
              <w:rPr>
                <w:rFonts w:ascii="仿宋_GB2312" w:hAnsi="宋体" w:eastAsia="仿宋_GB2312"/>
                <w:sz w:val="24"/>
              </w:rPr>
              <w:fldChar w:fldCharType="end"/>
            </w:r>
            <w:r>
              <w:rPr>
                <w:rFonts w:hint="eastAsia" w:ascii="仿宋_GB2312" w:hAnsi="宋体" w:eastAsia="仿宋_GB2312"/>
                <w:sz w:val="24"/>
              </w:rPr>
              <w:t>支持</w:t>
            </w:r>
            <w:r>
              <w:rPr>
                <w:rFonts w:ascii="仿宋_GB2312" w:hAnsi="宋体" w:eastAsia="仿宋_GB2312"/>
                <w:sz w:val="24"/>
              </w:rPr>
              <w:t>1500+种组学特征提取</w:t>
            </w:r>
            <w:r>
              <w:rPr>
                <w:rFonts w:ascii="仿宋_GB2312" w:hAnsi="宋体" w:eastAsia="仿宋_GB2312"/>
                <w:sz w:val="24"/>
                <w:szCs w:val="24"/>
              </w:rPr>
              <w:fldChar w:fldCharType="begin"/>
            </w:r>
            <w:r>
              <w:rPr>
                <w:rFonts w:ascii="仿宋_GB2312" w:hAnsi="宋体" w:eastAsia="仿宋_GB2312"/>
                <w:sz w:val="24"/>
                <w:szCs w:val="24"/>
              </w:rPr>
              <w:instrText xml:space="preserve"> </w:instrText>
            </w:r>
            <w:r>
              <w:rPr>
                <w:rFonts w:hint="eastAsia" w:ascii="仿宋_GB2312" w:hAnsi="宋体" w:eastAsia="仿宋_GB2312"/>
                <w:sz w:val="24"/>
                <w:szCs w:val="24"/>
              </w:rPr>
              <w:instrText xml:space="preserve">= 2 \* GB3</w:instrText>
            </w:r>
            <w:r>
              <w:rPr>
                <w:rFonts w:ascii="仿宋_GB2312" w:hAnsi="宋体" w:eastAsia="仿宋_GB2312"/>
                <w:sz w:val="24"/>
                <w:szCs w:val="24"/>
              </w:rPr>
              <w:instrText xml:space="preserve"> </w:instrText>
            </w:r>
            <w:r>
              <w:rPr>
                <w:rFonts w:ascii="仿宋_GB2312" w:hAnsi="宋体" w:eastAsia="仿宋_GB2312"/>
                <w:sz w:val="24"/>
                <w:szCs w:val="24"/>
              </w:rPr>
              <w:fldChar w:fldCharType="separate"/>
            </w:r>
            <w:r>
              <w:rPr>
                <w:rFonts w:hint="eastAsia" w:ascii="仿宋_GB2312" w:hAnsi="宋体" w:eastAsia="仿宋_GB2312"/>
                <w:sz w:val="24"/>
                <w:szCs w:val="24"/>
              </w:rPr>
              <w:t>②</w:t>
            </w:r>
            <w:r>
              <w:rPr>
                <w:rFonts w:ascii="仿宋_GB2312" w:hAnsi="宋体" w:eastAsia="仿宋_GB2312"/>
                <w:sz w:val="24"/>
                <w:szCs w:val="24"/>
              </w:rPr>
              <w:fldChar w:fldCharType="end"/>
            </w:r>
            <w:r>
              <w:rPr>
                <w:rFonts w:hint="eastAsia" w:ascii="仿宋_GB2312" w:hAnsi="宋体" w:eastAsia="仿宋_GB2312"/>
                <w:sz w:val="24"/>
              </w:rPr>
              <w:t>支持自动生成并保存组学特征数据集</w:t>
            </w:r>
            <w:r>
              <w:rPr>
                <w:rFonts w:hint="eastAsia" w:ascii="仿宋_GB2312" w:hAnsi="宋体" w:eastAsia="仿宋_GB2312"/>
                <w:sz w:val="24"/>
                <w:szCs w:val="24"/>
              </w:rPr>
              <w:t>，</w:t>
            </w:r>
            <w:r>
              <w:rPr>
                <w:rFonts w:hint="eastAsia" w:ascii="仿宋_GB2312" w:hAnsi="宋体" w:eastAsia="仿宋_GB2312"/>
                <w:sz w:val="24"/>
              </w:rPr>
              <w:t>根据演示效果进行评分，优得4</w:t>
            </w:r>
            <w:r>
              <w:rPr>
                <w:rFonts w:ascii="仿宋_GB2312" w:hAnsi="宋体" w:eastAsia="仿宋_GB2312"/>
                <w:sz w:val="24"/>
              </w:rPr>
              <w:t>-3.1</w:t>
            </w:r>
            <w:r>
              <w:rPr>
                <w:rFonts w:hint="eastAsia" w:ascii="仿宋_GB2312" w:hAnsi="宋体" w:eastAsia="仿宋_GB2312"/>
                <w:sz w:val="24"/>
              </w:rPr>
              <w:t>分，一般得</w:t>
            </w:r>
            <w:r>
              <w:rPr>
                <w:rFonts w:ascii="仿宋_GB2312" w:hAnsi="宋体" w:eastAsia="仿宋_GB2312"/>
                <w:sz w:val="24"/>
              </w:rPr>
              <w:t>3-2.1</w:t>
            </w:r>
            <w:r>
              <w:rPr>
                <w:rFonts w:hint="eastAsia" w:ascii="仿宋_GB2312" w:hAnsi="宋体" w:eastAsia="仿宋_GB2312"/>
                <w:sz w:val="24"/>
              </w:rPr>
              <w:t>分，差得</w:t>
            </w:r>
            <w:r>
              <w:rPr>
                <w:rFonts w:ascii="仿宋_GB2312" w:hAnsi="宋体" w:eastAsia="仿宋_GB2312"/>
                <w:sz w:val="24"/>
              </w:rPr>
              <w:t>2-</w:t>
            </w:r>
            <w:r>
              <w:rPr>
                <w:rFonts w:hint="eastAsia" w:ascii="仿宋_GB2312" w:hAnsi="宋体" w:eastAsia="仿宋_GB2312"/>
                <w:sz w:val="24"/>
              </w:rPr>
              <w:t>0</w:t>
            </w:r>
            <w:r>
              <w:rPr>
                <w:rFonts w:ascii="仿宋_GB2312" w:hAnsi="宋体" w:eastAsia="仿宋_GB2312"/>
                <w:sz w:val="24"/>
              </w:rPr>
              <w:t>.1</w:t>
            </w:r>
            <w:r>
              <w:rPr>
                <w:rFonts w:hint="eastAsia" w:ascii="仿宋_GB2312" w:hAnsi="宋体" w:eastAsia="仿宋_GB2312"/>
                <w:sz w:val="24"/>
              </w:rPr>
              <w:t>分，不提供得0分。</w:t>
            </w:r>
          </w:p>
          <w:p>
            <w:pPr>
              <w:pStyle w:val="33"/>
              <w:ind w:left="0" w:firstLine="0" w:firstLineChars="0"/>
              <w:rPr>
                <w:rFonts w:ascii="仿宋_GB2312" w:hAnsi="宋体" w:eastAsia="仿宋_GB2312"/>
                <w:sz w:val="24"/>
              </w:rPr>
            </w:pPr>
            <w:r>
              <w:rPr>
                <w:rFonts w:ascii="仿宋_GB2312" w:hAnsi="宋体" w:eastAsia="仿宋_GB2312"/>
                <w:sz w:val="24"/>
              </w:rPr>
              <w:t>3.</w:t>
            </w:r>
            <w:r>
              <w:rPr>
                <w:rFonts w:hint="eastAsia"/>
              </w:rPr>
              <w:t xml:space="preserve"> </w:t>
            </w:r>
            <w:r>
              <w:rPr>
                <w:rFonts w:hint="eastAsia" w:ascii="仿宋_GB2312" w:hAnsi="宋体" w:eastAsia="仿宋_GB2312"/>
                <w:sz w:val="24"/>
              </w:rPr>
              <w:t>分析建模中心:</w:t>
            </w:r>
            <w:r>
              <w:rPr>
                <w:rFonts w:ascii="仿宋_GB2312" w:hAnsi="宋体" w:eastAsia="仿宋_GB2312"/>
                <w:sz w:val="24"/>
              </w:rPr>
              <w:t xml:space="preserve"> </w:t>
            </w:r>
            <w:r>
              <w:rPr>
                <w:rFonts w:ascii="仿宋_GB2312" w:hAnsi="宋体" w:eastAsia="仿宋_GB2312"/>
                <w:sz w:val="24"/>
              </w:rPr>
              <w:fldChar w:fldCharType="begin"/>
            </w:r>
            <w:r>
              <w:rPr>
                <w:rFonts w:ascii="仿宋_GB2312" w:hAnsi="宋体" w:eastAsia="仿宋_GB2312"/>
                <w:sz w:val="24"/>
              </w:rPr>
              <w:instrText xml:space="preserve"> </w:instrText>
            </w:r>
            <w:r>
              <w:rPr>
                <w:rFonts w:hint="eastAsia" w:ascii="仿宋_GB2312" w:hAnsi="宋体" w:eastAsia="仿宋_GB2312"/>
                <w:sz w:val="24"/>
              </w:rPr>
              <w:instrText xml:space="preserve">= 1 \* GB3</w:instrText>
            </w:r>
            <w:r>
              <w:rPr>
                <w:rFonts w:ascii="仿宋_GB2312" w:hAnsi="宋体" w:eastAsia="仿宋_GB2312"/>
                <w:sz w:val="24"/>
              </w:rPr>
              <w:instrText xml:space="preserve"> </w:instrText>
            </w:r>
            <w:r>
              <w:rPr>
                <w:rFonts w:ascii="仿宋_GB2312" w:hAnsi="宋体" w:eastAsia="仿宋_GB2312"/>
                <w:sz w:val="24"/>
              </w:rPr>
              <w:fldChar w:fldCharType="separate"/>
            </w:r>
            <w:r>
              <w:rPr>
                <w:rFonts w:hint="eastAsia" w:ascii="仿宋_GB2312" w:hAnsi="宋体" w:eastAsia="仿宋_GB2312"/>
                <w:sz w:val="24"/>
              </w:rPr>
              <w:t>①</w:t>
            </w:r>
            <w:r>
              <w:rPr>
                <w:rFonts w:ascii="仿宋_GB2312" w:hAnsi="宋体" w:eastAsia="仿宋_GB2312"/>
                <w:sz w:val="24"/>
              </w:rPr>
              <w:fldChar w:fldCharType="end"/>
            </w:r>
            <w:r>
              <w:rPr>
                <w:rFonts w:hint="eastAsia" w:ascii="仿宋_GB2312" w:hAnsi="宋体" w:eastAsia="仿宋_GB2312"/>
                <w:sz w:val="24"/>
              </w:rPr>
              <w:t>支持不同分析任务的管理，包括机器学习和深度学习任务。</w:t>
            </w:r>
            <w:r>
              <w:rPr>
                <w:rFonts w:ascii="仿宋_GB2312" w:hAnsi="宋体" w:eastAsia="仿宋_GB2312"/>
                <w:sz w:val="24"/>
                <w:szCs w:val="24"/>
              </w:rPr>
              <w:fldChar w:fldCharType="begin"/>
            </w:r>
            <w:r>
              <w:rPr>
                <w:rFonts w:ascii="仿宋_GB2312" w:hAnsi="宋体" w:eastAsia="仿宋_GB2312"/>
                <w:sz w:val="24"/>
                <w:szCs w:val="24"/>
              </w:rPr>
              <w:instrText xml:space="preserve"> </w:instrText>
            </w:r>
            <w:r>
              <w:rPr>
                <w:rFonts w:hint="eastAsia" w:ascii="仿宋_GB2312" w:hAnsi="宋体" w:eastAsia="仿宋_GB2312"/>
                <w:sz w:val="24"/>
                <w:szCs w:val="24"/>
              </w:rPr>
              <w:instrText xml:space="preserve">= 2 \* GB3</w:instrText>
            </w:r>
            <w:r>
              <w:rPr>
                <w:rFonts w:ascii="仿宋_GB2312" w:hAnsi="宋体" w:eastAsia="仿宋_GB2312"/>
                <w:sz w:val="24"/>
                <w:szCs w:val="24"/>
              </w:rPr>
              <w:instrText xml:space="preserve"> </w:instrText>
            </w:r>
            <w:r>
              <w:rPr>
                <w:rFonts w:ascii="仿宋_GB2312" w:hAnsi="宋体" w:eastAsia="仿宋_GB2312"/>
                <w:sz w:val="24"/>
                <w:szCs w:val="24"/>
              </w:rPr>
              <w:fldChar w:fldCharType="separate"/>
            </w:r>
            <w:r>
              <w:rPr>
                <w:rFonts w:hint="eastAsia" w:ascii="仿宋_GB2312" w:hAnsi="宋体" w:eastAsia="仿宋_GB2312"/>
                <w:sz w:val="24"/>
                <w:szCs w:val="24"/>
              </w:rPr>
              <w:t>②</w:t>
            </w:r>
            <w:r>
              <w:rPr>
                <w:rFonts w:ascii="仿宋_GB2312" w:hAnsi="宋体" w:eastAsia="仿宋_GB2312"/>
                <w:sz w:val="24"/>
                <w:szCs w:val="24"/>
              </w:rPr>
              <w:fldChar w:fldCharType="end"/>
            </w:r>
            <w:r>
              <w:rPr>
                <w:rFonts w:hint="eastAsia" w:ascii="仿宋_GB2312" w:hAnsi="宋体" w:eastAsia="仿宋_GB2312"/>
                <w:sz w:val="24"/>
              </w:rPr>
              <w:t>支持临床和组学特征的数据质量评估，包括数据类型的选择以及缺失值处理，根据演示效果进行评分，优得4</w:t>
            </w:r>
            <w:r>
              <w:rPr>
                <w:rFonts w:ascii="仿宋_GB2312" w:hAnsi="宋体" w:eastAsia="仿宋_GB2312"/>
                <w:sz w:val="24"/>
              </w:rPr>
              <w:t>-3.1</w:t>
            </w:r>
            <w:r>
              <w:rPr>
                <w:rFonts w:hint="eastAsia" w:ascii="仿宋_GB2312" w:hAnsi="宋体" w:eastAsia="仿宋_GB2312"/>
                <w:sz w:val="24"/>
              </w:rPr>
              <w:t>分，一般得</w:t>
            </w:r>
            <w:r>
              <w:rPr>
                <w:rFonts w:ascii="仿宋_GB2312" w:hAnsi="宋体" w:eastAsia="仿宋_GB2312"/>
                <w:sz w:val="24"/>
              </w:rPr>
              <w:t>3-2.1</w:t>
            </w:r>
            <w:r>
              <w:rPr>
                <w:rFonts w:hint="eastAsia" w:ascii="仿宋_GB2312" w:hAnsi="宋体" w:eastAsia="仿宋_GB2312"/>
                <w:sz w:val="24"/>
              </w:rPr>
              <w:t>分，差得</w:t>
            </w:r>
            <w:r>
              <w:rPr>
                <w:rFonts w:ascii="仿宋_GB2312" w:hAnsi="宋体" w:eastAsia="仿宋_GB2312"/>
                <w:sz w:val="24"/>
              </w:rPr>
              <w:t>2-0.1</w:t>
            </w:r>
            <w:r>
              <w:rPr>
                <w:rFonts w:hint="eastAsia" w:ascii="仿宋_GB2312" w:hAnsi="宋体" w:eastAsia="仿宋_GB2312"/>
                <w:sz w:val="24"/>
              </w:rPr>
              <w:t>分，不提供得0分。</w:t>
            </w:r>
          </w:p>
          <w:p>
            <w:pPr>
              <w:pStyle w:val="33"/>
              <w:ind w:left="0" w:firstLine="0" w:firstLineChars="0"/>
              <w:rPr>
                <w:rFonts w:ascii="仿宋_GB2312" w:hAnsi="宋体" w:eastAsia="仿宋_GB2312"/>
                <w:sz w:val="24"/>
              </w:rPr>
            </w:pPr>
            <w:r>
              <w:rPr>
                <w:rFonts w:hint="eastAsia" w:ascii="仿宋_GB2312" w:hAnsi="宋体" w:eastAsia="仿宋_GB2312"/>
                <w:sz w:val="24"/>
              </w:rPr>
              <w:t>4.冠脉</w:t>
            </w:r>
            <w:r>
              <w:rPr>
                <w:rFonts w:ascii="仿宋_GB2312" w:hAnsi="宋体" w:eastAsia="仿宋_GB2312"/>
                <w:sz w:val="24"/>
              </w:rPr>
              <w:t>CTA辅助诊断系统</w:t>
            </w:r>
            <w:r>
              <w:rPr>
                <w:rFonts w:hint="eastAsia" w:ascii="仿宋_GB2312" w:hAnsi="宋体" w:eastAsia="仿宋_GB2312"/>
                <w:sz w:val="24"/>
              </w:rPr>
              <w:t>:支持自动识别所有斑块的类型、位置、长度、体积、最小管腔面积和最狭窄程度以及不同成分的体积和占比, 根据演示效果进行评分，优得4</w:t>
            </w:r>
            <w:r>
              <w:rPr>
                <w:rFonts w:ascii="仿宋_GB2312" w:hAnsi="宋体" w:eastAsia="仿宋_GB2312"/>
                <w:sz w:val="24"/>
              </w:rPr>
              <w:t>-3.1</w:t>
            </w:r>
            <w:r>
              <w:rPr>
                <w:rFonts w:hint="eastAsia" w:ascii="仿宋_GB2312" w:hAnsi="宋体" w:eastAsia="仿宋_GB2312"/>
                <w:sz w:val="24"/>
              </w:rPr>
              <w:t>分，一般得</w:t>
            </w:r>
            <w:r>
              <w:rPr>
                <w:rFonts w:ascii="仿宋_GB2312" w:hAnsi="宋体" w:eastAsia="仿宋_GB2312"/>
                <w:sz w:val="24"/>
              </w:rPr>
              <w:t>3-2.1</w:t>
            </w:r>
            <w:r>
              <w:rPr>
                <w:rFonts w:hint="eastAsia" w:ascii="仿宋_GB2312" w:hAnsi="宋体" w:eastAsia="仿宋_GB2312"/>
                <w:sz w:val="24"/>
              </w:rPr>
              <w:t>分，差得</w:t>
            </w:r>
            <w:r>
              <w:rPr>
                <w:rFonts w:ascii="仿宋_GB2312" w:hAnsi="宋体" w:eastAsia="仿宋_GB2312"/>
                <w:sz w:val="24"/>
              </w:rPr>
              <w:t>2-</w:t>
            </w:r>
            <w:r>
              <w:rPr>
                <w:rFonts w:hint="eastAsia" w:ascii="仿宋_GB2312" w:hAnsi="宋体" w:eastAsia="仿宋_GB2312"/>
                <w:sz w:val="24"/>
              </w:rPr>
              <w:t>0</w:t>
            </w:r>
            <w:r>
              <w:rPr>
                <w:rFonts w:ascii="仿宋_GB2312" w:hAnsi="宋体" w:eastAsia="仿宋_GB2312"/>
                <w:sz w:val="24"/>
              </w:rPr>
              <w:t>.1</w:t>
            </w:r>
            <w:r>
              <w:rPr>
                <w:rFonts w:hint="eastAsia" w:ascii="仿宋_GB2312" w:hAnsi="宋体" w:eastAsia="仿宋_GB2312"/>
                <w:sz w:val="24"/>
              </w:rPr>
              <w:t>分，不提供得0分。</w:t>
            </w:r>
          </w:p>
          <w:p>
            <w:pPr>
              <w:widowControl/>
              <w:rPr>
                <w:rFonts w:ascii="仿宋" w:hAnsi="仿宋" w:eastAsia="仿宋_GB2312" w:cs="仿宋"/>
                <w:kern w:val="0"/>
                <w:sz w:val="24"/>
              </w:rPr>
            </w:pPr>
            <w:r>
              <w:rPr>
                <w:rFonts w:hint="eastAsia" w:ascii="仿宋_GB2312" w:hAnsi="宋体" w:eastAsia="仿宋_GB2312"/>
                <w:sz w:val="24"/>
              </w:rPr>
              <w:t>5.</w:t>
            </w:r>
            <w:r>
              <w:rPr>
                <w:rFonts w:ascii="仿宋_GB2312" w:hAnsi="宋体" w:eastAsia="仿宋_GB2312"/>
                <w:sz w:val="24"/>
              </w:rPr>
              <w:t xml:space="preserve"> C</w:t>
            </w:r>
            <w:r>
              <w:rPr>
                <w:rFonts w:ascii="仿宋_GB2312" w:hAnsi="宋体" w:eastAsia="仿宋_GB2312"/>
                <w:sz w:val="24"/>
                <w:szCs w:val="20"/>
              </w:rPr>
              <w:t>T-FFR:</w:t>
            </w:r>
            <w:r>
              <w:rPr>
                <w:rFonts w:hint="eastAsia" w:ascii="仿宋_GB2312" w:hAnsi="宋体" w:eastAsia="仿宋_GB2312"/>
                <w:sz w:val="24"/>
                <w:szCs w:val="20"/>
              </w:rPr>
              <w:t>自动定位罪犯血管, 轴位图，</w:t>
            </w:r>
            <w:r>
              <w:rPr>
                <w:rFonts w:ascii="仿宋_GB2312" w:hAnsi="宋体" w:eastAsia="仿宋_GB2312"/>
                <w:sz w:val="24"/>
                <w:szCs w:val="20"/>
              </w:rPr>
              <w:t>CPR，探针，曲线窗口联动</w:t>
            </w:r>
            <w:r>
              <w:rPr>
                <w:rFonts w:hint="eastAsia" w:ascii="仿宋_GB2312" w:hAnsi="宋体" w:eastAsia="仿宋_GB2312"/>
                <w:sz w:val="24"/>
                <w:szCs w:val="20"/>
              </w:rPr>
              <w:t>查看, 根据演示效果进行评分，优得4</w:t>
            </w:r>
            <w:r>
              <w:rPr>
                <w:rFonts w:ascii="仿宋_GB2312" w:hAnsi="宋体" w:eastAsia="仿宋_GB2312"/>
                <w:sz w:val="24"/>
                <w:szCs w:val="20"/>
              </w:rPr>
              <w:t>-3.1</w:t>
            </w:r>
            <w:r>
              <w:rPr>
                <w:rFonts w:hint="eastAsia" w:ascii="仿宋_GB2312" w:hAnsi="宋体" w:eastAsia="仿宋_GB2312"/>
                <w:sz w:val="24"/>
                <w:szCs w:val="20"/>
              </w:rPr>
              <w:t>分，一般得</w:t>
            </w:r>
            <w:r>
              <w:rPr>
                <w:rFonts w:ascii="仿宋_GB2312" w:hAnsi="宋体" w:eastAsia="仿宋_GB2312"/>
                <w:sz w:val="24"/>
                <w:szCs w:val="20"/>
              </w:rPr>
              <w:t>3-2.1</w:t>
            </w:r>
            <w:r>
              <w:rPr>
                <w:rFonts w:hint="eastAsia" w:ascii="仿宋_GB2312" w:hAnsi="宋体" w:eastAsia="仿宋_GB2312"/>
                <w:sz w:val="24"/>
                <w:szCs w:val="20"/>
              </w:rPr>
              <w:t>分，差得</w:t>
            </w:r>
            <w:r>
              <w:rPr>
                <w:rFonts w:ascii="仿宋_GB2312" w:hAnsi="宋体" w:eastAsia="仿宋_GB2312"/>
                <w:sz w:val="24"/>
                <w:szCs w:val="20"/>
              </w:rPr>
              <w:t>2-</w:t>
            </w:r>
            <w:r>
              <w:rPr>
                <w:rFonts w:hint="eastAsia" w:ascii="仿宋_GB2312" w:hAnsi="宋体" w:eastAsia="仿宋_GB2312"/>
                <w:sz w:val="24"/>
                <w:szCs w:val="20"/>
              </w:rPr>
              <w:t>0</w:t>
            </w:r>
            <w:r>
              <w:rPr>
                <w:rFonts w:ascii="仿宋_GB2312" w:hAnsi="宋体" w:eastAsia="仿宋_GB2312"/>
                <w:sz w:val="24"/>
                <w:szCs w:val="20"/>
              </w:rPr>
              <w:t>.1</w:t>
            </w:r>
            <w:r>
              <w:rPr>
                <w:rFonts w:hint="eastAsia" w:ascii="仿宋_GB2312" w:hAnsi="宋体" w:eastAsia="仿宋_GB2312"/>
                <w:sz w:val="24"/>
                <w:szCs w:val="20"/>
              </w:rPr>
              <w:t>分，不提供得0分。</w:t>
            </w:r>
          </w:p>
        </w:tc>
        <w:tc>
          <w:tcPr>
            <w:tcW w:w="463" w:type="pct"/>
            <w:vAlign w:val="center"/>
          </w:tcPr>
          <w:p>
            <w:pPr>
              <w:widowControl/>
              <w:spacing w:line="360" w:lineRule="auto"/>
              <w:rPr>
                <w:rFonts w:ascii="仿宋" w:hAnsi="仿宋" w:eastAsia="仿宋" w:cs="仿宋"/>
                <w:kern w:val="0"/>
                <w:sz w:val="24"/>
              </w:rPr>
            </w:pPr>
          </w:p>
          <w:p>
            <w:pPr>
              <w:widowControl/>
              <w:spacing w:line="360" w:lineRule="auto"/>
              <w:jc w:val="center"/>
              <w:rPr>
                <w:rFonts w:ascii="仿宋" w:hAnsi="仿宋" w:eastAsia="仿宋" w:cs="仿宋"/>
                <w:kern w:val="0"/>
                <w:sz w:val="24"/>
              </w:rPr>
            </w:pPr>
            <w:r>
              <w:rPr>
                <w:rFonts w:ascii="仿宋" w:hAnsi="仿宋" w:eastAsia="仿宋" w:cs="仿宋"/>
                <w:kern w:val="0"/>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8" w:type="pct"/>
            <w:vMerge w:val="continue"/>
            <w:vAlign w:val="center"/>
          </w:tcPr>
          <w:p>
            <w:pPr>
              <w:widowControl/>
              <w:spacing w:line="360" w:lineRule="auto"/>
              <w:rPr>
                <w:rFonts w:ascii="仿宋" w:hAnsi="仿宋" w:eastAsia="仿宋" w:cs="仿宋"/>
                <w:kern w:val="0"/>
                <w:sz w:val="24"/>
              </w:rPr>
            </w:pPr>
          </w:p>
        </w:tc>
        <w:tc>
          <w:tcPr>
            <w:tcW w:w="651"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3.2总体设计方案</w:t>
            </w:r>
          </w:p>
        </w:tc>
        <w:tc>
          <w:tcPr>
            <w:tcW w:w="3076" w:type="pct"/>
            <w:tcBorders>
              <w:top w:val="single" w:color="auto" w:sz="4" w:space="0"/>
            </w:tcBorders>
            <w:vAlign w:val="center"/>
          </w:tcPr>
          <w:p>
            <w:pPr>
              <w:widowControl/>
              <w:spacing w:line="360" w:lineRule="auto"/>
              <w:rPr>
                <w:rFonts w:ascii="仿宋" w:hAnsi="仿宋" w:eastAsia="仿宋" w:cs="仿宋"/>
                <w:kern w:val="0"/>
                <w:sz w:val="24"/>
              </w:rPr>
            </w:pPr>
            <w:r>
              <w:rPr>
                <w:rFonts w:hint="eastAsia" w:ascii="仿宋" w:hAnsi="仿宋" w:eastAsia="仿宋" w:cs="仿宋"/>
                <w:kern w:val="0"/>
                <w:sz w:val="24"/>
              </w:rPr>
              <w:t>按其针对项目实际情况提供的项目质量保障控制原则、质量检查流程，操作切实可行性进行打分，优于项目需求的得</w:t>
            </w:r>
            <w:r>
              <w:rPr>
                <w:rFonts w:ascii="仿宋" w:hAnsi="仿宋" w:eastAsia="仿宋" w:cs="仿宋"/>
                <w:kern w:val="0"/>
                <w:sz w:val="24"/>
              </w:rPr>
              <w:t>3</w:t>
            </w:r>
            <w:r>
              <w:rPr>
                <w:rFonts w:hint="eastAsia" w:ascii="仿宋" w:hAnsi="仿宋" w:eastAsia="仿宋" w:cs="仿宋"/>
                <w:kern w:val="0"/>
                <w:sz w:val="24"/>
              </w:rPr>
              <w:t>.0-</w:t>
            </w:r>
            <w:r>
              <w:rPr>
                <w:rFonts w:ascii="仿宋" w:hAnsi="仿宋" w:eastAsia="仿宋" w:cs="仿宋"/>
                <w:kern w:val="0"/>
                <w:sz w:val="24"/>
              </w:rPr>
              <w:t>2</w:t>
            </w:r>
            <w:r>
              <w:rPr>
                <w:rFonts w:hint="eastAsia" w:ascii="仿宋" w:hAnsi="仿宋" w:eastAsia="仿宋" w:cs="仿宋"/>
                <w:kern w:val="0"/>
                <w:sz w:val="24"/>
              </w:rPr>
              <w:t>.1分，符合项目需求的得</w:t>
            </w:r>
            <w:r>
              <w:rPr>
                <w:rFonts w:ascii="仿宋" w:hAnsi="仿宋" w:eastAsia="仿宋" w:cs="仿宋"/>
                <w:kern w:val="0"/>
                <w:sz w:val="24"/>
              </w:rPr>
              <w:t>2</w:t>
            </w:r>
            <w:r>
              <w:rPr>
                <w:rFonts w:hint="eastAsia" w:ascii="仿宋" w:hAnsi="仿宋" w:eastAsia="仿宋" w:cs="仿宋"/>
                <w:kern w:val="0"/>
                <w:sz w:val="24"/>
              </w:rPr>
              <w:t>.0-1.1分，部分符合项目需求的得1-0.1分，不符合或不提供不得分。</w:t>
            </w:r>
          </w:p>
        </w:tc>
        <w:tc>
          <w:tcPr>
            <w:tcW w:w="463" w:type="pct"/>
            <w:tcBorders>
              <w:top w:val="single" w:color="auto" w:sz="4" w:space="0"/>
            </w:tcBorders>
            <w:vAlign w:val="center"/>
          </w:tcPr>
          <w:p>
            <w:pPr>
              <w:widowControl/>
              <w:spacing w:line="360" w:lineRule="auto"/>
              <w:jc w:val="center"/>
              <w:rPr>
                <w:rFonts w:ascii="仿宋" w:hAnsi="仿宋" w:eastAsia="仿宋" w:cs="仿宋"/>
                <w:kern w:val="0"/>
                <w:sz w:val="24"/>
              </w:rPr>
            </w:pPr>
            <w:r>
              <w:rPr>
                <w:rFonts w:ascii="仿宋" w:hAnsi="仿宋" w:eastAsia="仿宋" w:cs="仿宋"/>
                <w:kern w:val="0"/>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8" w:type="pct"/>
            <w:vMerge w:val="continue"/>
            <w:vAlign w:val="center"/>
          </w:tcPr>
          <w:p>
            <w:pPr>
              <w:widowControl/>
              <w:spacing w:line="360" w:lineRule="auto"/>
              <w:rPr>
                <w:rFonts w:ascii="仿宋" w:hAnsi="仿宋" w:eastAsia="仿宋" w:cs="仿宋"/>
                <w:kern w:val="0"/>
                <w:sz w:val="24"/>
              </w:rPr>
            </w:pPr>
          </w:p>
        </w:tc>
        <w:tc>
          <w:tcPr>
            <w:tcW w:w="651" w:type="pct"/>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3.3项目实施</w:t>
            </w:r>
          </w:p>
          <w:p>
            <w:pPr>
              <w:widowControl/>
              <w:spacing w:line="360" w:lineRule="auto"/>
              <w:jc w:val="center"/>
              <w:rPr>
                <w:rFonts w:ascii="仿宋" w:hAnsi="仿宋" w:eastAsia="仿宋" w:cs="仿宋"/>
                <w:color w:val="FF0000"/>
                <w:kern w:val="0"/>
                <w:sz w:val="24"/>
              </w:rPr>
            </w:pPr>
            <w:r>
              <w:rPr>
                <w:rFonts w:hint="eastAsia" w:ascii="仿宋" w:hAnsi="仿宋" w:eastAsia="仿宋" w:cs="仿宋"/>
                <w:color w:val="auto"/>
                <w:kern w:val="0"/>
                <w:sz w:val="24"/>
              </w:rPr>
              <w:t>方案</w:t>
            </w:r>
          </w:p>
        </w:tc>
        <w:tc>
          <w:tcPr>
            <w:tcW w:w="3076" w:type="pct"/>
            <w:tcBorders>
              <w:top w:val="single" w:color="auto" w:sz="4" w:space="0"/>
            </w:tcBorders>
            <w:vAlign w:val="center"/>
          </w:tcPr>
          <w:p>
            <w:pPr>
              <w:widowControl/>
              <w:spacing w:line="360" w:lineRule="auto"/>
              <w:rPr>
                <w:rFonts w:ascii="仿宋" w:hAnsi="仿宋" w:eastAsia="仿宋" w:cs="仿宋"/>
                <w:color w:val="FF0000"/>
                <w:kern w:val="0"/>
                <w:sz w:val="24"/>
              </w:rPr>
            </w:pPr>
            <w:r>
              <w:rPr>
                <w:rFonts w:hint="eastAsia" w:ascii="仿宋_GB2312" w:hAnsi="Arial Unicode MS" w:eastAsia="仿宋_GB2312" w:cs="Arial Unicode MS"/>
                <w:kern w:val="0"/>
                <w:sz w:val="24"/>
              </w:rPr>
              <w:t>根据投标人提供的针对本项目的工期响应、技术服务、技术支持以及对本项目人员配置、</w:t>
            </w:r>
            <w:r>
              <w:rPr>
                <w:rFonts w:hint="eastAsia" w:ascii="仿宋_GB2312" w:hAnsi="Arial Unicode MS" w:eastAsia="仿宋_GB2312" w:cs="Arial Unicode MS"/>
                <w:sz w:val="24"/>
              </w:rPr>
              <w:t>验收可操作性与</w:t>
            </w:r>
            <w:r>
              <w:rPr>
                <w:rFonts w:hint="eastAsia" w:ascii="仿宋_GB2312" w:hAnsi="Arial Unicode MS" w:eastAsia="仿宋_GB2312" w:cs="Arial Unicode MS"/>
                <w:kern w:val="0"/>
                <w:sz w:val="24"/>
              </w:rPr>
              <w:t>相关承诺等方面进行打分，优于项目需求的得</w:t>
            </w:r>
            <w:r>
              <w:rPr>
                <w:rFonts w:hint="eastAsia" w:ascii="仿宋_GB2312" w:hAnsi="Arial Unicode MS" w:eastAsia="仿宋_GB2312" w:cs="Arial Unicode MS"/>
                <w:kern w:val="0"/>
                <w:sz w:val="24"/>
                <w:lang w:val="en-US" w:eastAsia="zh-CN"/>
              </w:rPr>
              <w:t>4</w:t>
            </w:r>
            <w:r>
              <w:rPr>
                <w:rFonts w:hint="eastAsia" w:ascii="仿宋_GB2312" w:hAnsi="Arial Unicode MS" w:eastAsia="仿宋_GB2312" w:cs="Arial Unicode MS"/>
                <w:kern w:val="0"/>
                <w:sz w:val="24"/>
              </w:rPr>
              <w:t>-</w:t>
            </w:r>
            <w:r>
              <w:rPr>
                <w:rFonts w:hint="eastAsia" w:ascii="仿宋_GB2312" w:hAnsi="Arial Unicode MS" w:eastAsia="仿宋_GB2312" w:cs="Arial Unicode MS"/>
                <w:kern w:val="0"/>
                <w:sz w:val="24"/>
                <w:lang w:val="en-US" w:eastAsia="zh-CN"/>
              </w:rPr>
              <w:t>3</w:t>
            </w:r>
            <w:r>
              <w:rPr>
                <w:rFonts w:hint="eastAsia" w:ascii="仿宋_GB2312" w:hAnsi="Arial Unicode MS" w:eastAsia="仿宋_GB2312" w:cs="Arial Unicode MS"/>
                <w:kern w:val="0"/>
                <w:sz w:val="24"/>
              </w:rPr>
              <w:t>.1分，符合项目需求的得</w:t>
            </w:r>
            <w:r>
              <w:rPr>
                <w:rFonts w:hint="eastAsia" w:ascii="仿宋_GB2312" w:hAnsi="Arial Unicode MS" w:eastAsia="仿宋_GB2312" w:cs="Arial Unicode MS"/>
                <w:kern w:val="0"/>
                <w:sz w:val="24"/>
                <w:lang w:val="en-US" w:eastAsia="zh-CN"/>
              </w:rPr>
              <w:t>3</w:t>
            </w:r>
            <w:r>
              <w:rPr>
                <w:rFonts w:hint="eastAsia" w:ascii="仿宋_GB2312" w:hAnsi="Arial Unicode MS" w:eastAsia="仿宋_GB2312" w:cs="Arial Unicode MS"/>
                <w:kern w:val="0"/>
                <w:sz w:val="24"/>
              </w:rPr>
              <w:t>-1.1分，部分符合项目需求的得1-0.1分，不符合或不提供的不得分。</w:t>
            </w:r>
          </w:p>
        </w:tc>
        <w:tc>
          <w:tcPr>
            <w:tcW w:w="463" w:type="pct"/>
            <w:tcBorders>
              <w:top w:val="single" w:color="auto" w:sz="4" w:space="0"/>
            </w:tcBorders>
            <w:vAlign w:val="center"/>
          </w:tcPr>
          <w:p>
            <w:pPr>
              <w:widowControl/>
              <w:spacing w:line="360" w:lineRule="auto"/>
              <w:jc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8" w:type="pct"/>
            <w:vMerge w:val="continue"/>
            <w:vAlign w:val="center"/>
          </w:tcPr>
          <w:p>
            <w:pPr>
              <w:widowControl/>
              <w:spacing w:line="360" w:lineRule="auto"/>
              <w:rPr>
                <w:rFonts w:ascii="仿宋" w:hAnsi="仿宋" w:eastAsia="仿宋" w:cs="仿宋"/>
                <w:kern w:val="0"/>
                <w:sz w:val="24"/>
              </w:rPr>
            </w:pPr>
          </w:p>
        </w:tc>
        <w:tc>
          <w:tcPr>
            <w:tcW w:w="651" w:type="pct"/>
            <w:vAlign w:val="center"/>
          </w:tcPr>
          <w:p>
            <w:pPr>
              <w:snapToGrid w:val="0"/>
              <w:spacing w:line="360" w:lineRule="atLeast"/>
              <w:jc w:val="left"/>
              <w:textAlignment w:val="top"/>
              <w:rPr>
                <w:rFonts w:ascii="仿宋_GB2312" w:hAnsi="宋体" w:eastAsia="仿宋_GB2312"/>
                <w:sz w:val="24"/>
              </w:rPr>
            </w:pPr>
            <w:r>
              <w:rPr>
                <w:rFonts w:hint="eastAsia" w:ascii="仿宋_GB2312" w:hAnsi="宋体" w:eastAsia="仿宋_GB2312"/>
                <w:sz w:val="24"/>
              </w:rPr>
              <w:t>3.4平台先进性</w:t>
            </w:r>
          </w:p>
        </w:tc>
        <w:tc>
          <w:tcPr>
            <w:tcW w:w="3076" w:type="pct"/>
            <w:tcBorders>
              <w:top w:val="single" w:color="auto" w:sz="4" w:space="0"/>
            </w:tcBorders>
            <w:vAlign w:val="center"/>
          </w:tcPr>
          <w:p>
            <w:pPr>
              <w:snapToGrid w:val="0"/>
              <w:jc w:val="left"/>
              <w:textAlignment w:val="top"/>
              <w:rPr>
                <w:rFonts w:ascii="仿宋_GB2312" w:hAnsi="宋体" w:eastAsia="仿宋_GB2312"/>
                <w:sz w:val="24"/>
              </w:rPr>
            </w:pPr>
            <w:r>
              <w:rPr>
                <w:rFonts w:hint="eastAsia" w:ascii="仿宋_GB2312" w:hAnsi="宋体" w:eastAsia="仿宋_GB2312"/>
                <w:sz w:val="24"/>
              </w:rPr>
              <w:t>根据投标人所投平台的先进性，扩展性和运维能力进行打分，包括项目管理，数据管理，图表输出管理，检索管理等</w:t>
            </w:r>
            <w:r>
              <w:rPr>
                <w:rFonts w:hint="eastAsia" w:ascii="仿宋" w:hAnsi="仿宋" w:eastAsia="仿宋" w:cs="仿宋"/>
                <w:kern w:val="0"/>
                <w:sz w:val="24"/>
                <w:lang w:eastAsia="zh-CN"/>
              </w:rPr>
              <w:t>进行评分</w:t>
            </w:r>
            <w:r>
              <w:rPr>
                <w:rFonts w:hint="eastAsia" w:ascii="仿宋_GB2312" w:hAnsi="宋体" w:eastAsia="仿宋_GB2312"/>
                <w:sz w:val="24"/>
              </w:rPr>
              <w:t>，</w:t>
            </w:r>
            <w:r>
              <w:rPr>
                <w:rFonts w:hint="eastAsia" w:ascii="仿宋" w:hAnsi="仿宋" w:eastAsia="仿宋" w:cs="仿宋"/>
                <w:kern w:val="0"/>
                <w:sz w:val="24"/>
              </w:rPr>
              <w:t>优于项目需求的得</w:t>
            </w:r>
            <w:r>
              <w:rPr>
                <w:rFonts w:hint="eastAsia" w:ascii="仿宋" w:hAnsi="仿宋" w:eastAsia="仿宋" w:cs="仿宋"/>
                <w:kern w:val="0"/>
                <w:sz w:val="24"/>
                <w:lang w:val="en-US" w:eastAsia="zh-CN"/>
              </w:rPr>
              <w:t>4</w:t>
            </w:r>
            <w:r>
              <w:rPr>
                <w:rFonts w:hint="eastAsia" w:ascii="仿宋" w:hAnsi="仿宋" w:eastAsia="仿宋" w:cs="仿宋"/>
                <w:kern w:val="0"/>
                <w:sz w:val="24"/>
              </w:rPr>
              <w:t>.0-</w:t>
            </w:r>
            <w:r>
              <w:rPr>
                <w:rFonts w:hint="eastAsia" w:ascii="仿宋" w:hAnsi="仿宋" w:eastAsia="仿宋" w:cs="仿宋"/>
                <w:kern w:val="0"/>
                <w:sz w:val="24"/>
                <w:lang w:val="en-US" w:eastAsia="zh-CN"/>
              </w:rPr>
              <w:t>3</w:t>
            </w:r>
            <w:r>
              <w:rPr>
                <w:rFonts w:hint="eastAsia" w:ascii="仿宋" w:hAnsi="仿宋" w:eastAsia="仿宋" w:cs="仿宋"/>
                <w:kern w:val="0"/>
                <w:sz w:val="24"/>
              </w:rPr>
              <w:t>.1分，符合项目需求的得</w:t>
            </w:r>
            <w:r>
              <w:rPr>
                <w:rFonts w:hint="eastAsia" w:ascii="仿宋" w:hAnsi="仿宋" w:eastAsia="仿宋" w:cs="仿宋"/>
                <w:kern w:val="0"/>
                <w:sz w:val="24"/>
                <w:lang w:val="en-US" w:eastAsia="zh-CN"/>
              </w:rPr>
              <w:t>3</w:t>
            </w:r>
            <w:r>
              <w:rPr>
                <w:rFonts w:hint="eastAsia" w:ascii="仿宋" w:hAnsi="仿宋" w:eastAsia="仿宋" w:cs="仿宋"/>
                <w:kern w:val="0"/>
                <w:sz w:val="24"/>
              </w:rPr>
              <w:t>.0-1.1分，部分符合项目需求的得1-0.1分，不符合或不提供不得分。</w:t>
            </w:r>
          </w:p>
        </w:tc>
        <w:tc>
          <w:tcPr>
            <w:tcW w:w="463" w:type="pct"/>
            <w:tcBorders>
              <w:top w:val="single" w:color="auto" w:sz="4" w:space="0"/>
            </w:tcBorders>
            <w:vAlign w:val="center"/>
          </w:tcPr>
          <w:p>
            <w:pPr>
              <w:widowControl/>
              <w:spacing w:line="360" w:lineRule="auto"/>
              <w:jc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trPr>
        <w:tc>
          <w:tcPr>
            <w:tcW w:w="808" w:type="pct"/>
            <w:vMerge w:val="restar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4.售后服务方案</w:t>
            </w:r>
          </w:p>
        </w:tc>
        <w:tc>
          <w:tcPr>
            <w:tcW w:w="651" w:type="pct"/>
            <w:vAlign w:val="center"/>
          </w:tcPr>
          <w:p>
            <w:pPr>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4.1售后服务</w:t>
            </w:r>
          </w:p>
        </w:tc>
        <w:tc>
          <w:tcPr>
            <w:tcW w:w="3076" w:type="pct"/>
            <w:vAlign w:val="center"/>
          </w:tcPr>
          <w:p>
            <w:pPr>
              <w:pStyle w:val="300"/>
              <w:widowControl w:val="0"/>
              <w:spacing w:line="360" w:lineRule="auto"/>
              <w:jc w:val="both"/>
              <w:rPr>
                <w:rFonts w:ascii="仿宋" w:hAnsi="仿宋" w:eastAsia="仿宋" w:cs="仿宋"/>
                <w:color w:val="auto"/>
                <w:sz w:val="24"/>
                <w:szCs w:val="24"/>
              </w:rPr>
            </w:pPr>
            <w:r>
              <w:rPr>
                <w:rFonts w:hint="eastAsia" w:ascii="仿宋" w:hAnsi="仿宋" w:eastAsia="仿宋" w:cs="仿宋"/>
                <w:color w:val="auto"/>
                <w:sz w:val="24"/>
                <w:szCs w:val="24"/>
                <w:lang w:val="en-US" w:eastAsia="zh-CN"/>
              </w:rPr>
              <w:t>根据投标人提供的</w:t>
            </w:r>
            <w:r>
              <w:rPr>
                <w:rFonts w:hint="eastAsia" w:ascii="仿宋" w:hAnsi="仿宋" w:eastAsia="仿宋" w:cs="仿宋"/>
                <w:color w:val="auto"/>
                <w:sz w:val="24"/>
                <w:szCs w:val="24"/>
              </w:rPr>
              <w:t>售后服务方案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服务响应时间、故障解决方案</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rPr>
              <w:t>进行</w:t>
            </w:r>
            <w:r>
              <w:rPr>
                <w:rFonts w:hint="eastAsia" w:ascii="仿宋" w:hAnsi="仿宋" w:eastAsia="仿宋" w:cs="仿宋"/>
                <w:color w:val="auto"/>
                <w:sz w:val="24"/>
                <w:szCs w:val="24"/>
                <w:lang w:val="en-US" w:eastAsia="zh-CN"/>
              </w:rPr>
              <w:t>综合</w:t>
            </w:r>
            <w:r>
              <w:rPr>
                <w:rFonts w:hint="eastAsia" w:ascii="仿宋" w:hAnsi="仿宋" w:eastAsia="仿宋" w:cs="仿宋"/>
                <w:color w:val="auto"/>
                <w:sz w:val="24"/>
                <w:szCs w:val="24"/>
              </w:rPr>
              <w:t>打分，优得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.1分，良好得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w:t>
            </w:r>
            <w:r>
              <w:rPr>
                <w:rFonts w:ascii="仿宋" w:hAnsi="仿宋" w:eastAsia="仿宋" w:cs="仿宋"/>
                <w:color w:val="auto"/>
                <w:sz w:val="24"/>
                <w:szCs w:val="24"/>
              </w:rPr>
              <w:t>1</w:t>
            </w:r>
            <w:r>
              <w:rPr>
                <w:rFonts w:hint="eastAsia" w:ascii="仿宋" w:hAnsi="仿宋" w:eastAsia="仿宋" w:cs="仿宋"/>
                <w:color w:val="auto"/>
                <w:sz w:val="24"/>
                <w:szCs w:val="24"/>
              </w:rPr>
              <w:t>.1分，一般得</w:t>
            </w:r>
            <w:r>
              <w:rPr>
                <w:rFonts w:ascii="仿宋" w:hAnsi="仿宋" w:eastAsia="仿宋" w:cs="仿宋"/>
                <w:color w:val="auto"/>
                <w:sz w:val="24"/>
                <w:szCs w:val="24"/>
              </w:rPr>
              <w:t>1</w:t>
            </w:r>
            <w:r>
              <w:rPr>
                <w:rFonts w:hint="eastAsia" w:ascii="仿宋" w:hAnsi="仿宋" w:eastAsia="仿宋" w:cs="仿宋"/>
                <w:color w:val="auto"/>
                <w:sz w:val="24"/>
                <w:szCs w:val="24"/>
              </w:rPr>
              <w:t>-0.1分。</w:t>
            </w:r>
          </w:p>
        </w:tc>
        <w:tc>
          <w:tcPr>
            <w:tcW w:w="463" w:type="pct"/>
            <w:vAlign w:val="center"/>
          </w:tcPr>
          <w:p>
            <w:pPr>
              <w:spacing w:line="360" w:lineRule="auto"/>
              <w:jc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8" w:type="pct"/>
            <w:vMerge w:val="continue"/>
            <w:vAlign w:val="center"/>
          </w:tcPr>
          <w:p>
            <w:pPr>
              <w:widowControl/>
              <w:spacing w:line="360" w:lineRule="auto"/>
              <w:jc w:val="center"/>
              <w:rPr>
                <w:rFonts w:ascii="仿宋" w:hAnsi="仿宋" w:eastAsia="仿宋" w:cs="仿宋"/>
                <w:kern w:val="0"/>
                <w:sz w:val="24"/>
              </w:rPr>
            </w:pPr>
          </w:p>
        </w:tc>
        <w:tc>
          <w:tcPr>
            <w:tcW w:w="651" w:type="pct"/>
            <w:vAlign w:val="center"/>
          </w:tcPr>
          <w:p>
            <w:pPr>
              <w:snapToGrid w:val="0"/>
              <w:spacing w:line="360" w:lineRule="atLeast"/>
              <w:jc w:val="left"/>
              <w:textAlignment w:val="top"/>
              <w:rPr>
                <w:rFonts w:ascii="仿宋_GB2312" w:hAnsi="宋体" w:eastAsia="仿宋_GB2312"/>
                <w:sz w:val="24"/>
              </w:rPr>
            </w:pPr>
            <w:r>
              <w:rPr>
                <w:rFonts w:hint="eastAsia" w:ascii="仿宋" w:hAnsi="仿宋" w:eastAsia="仿宋" w:cs="仿宋"/>
                <w:kern w:val="0"/>
                <w:sz w:val="24"/>
              </w:rPr>
              <w:t>4.2</w:t>
            </w:r>
            <w:r>
              <w:rPr>
                <w:rFonts w:hint="eastAsia" w:ascii="仿宋_GB2312" w:hAnsi="宋体" w:eastAsia="仿宋_GB2312"/>
                <w:sz w:val="24"/>
              </w:rPr>
              <w:t>培训方案</w:t>
            </w:r>
          </w:p>
        </w:tc>
        <w:tc>
          <w:tcPr>
            <w:tcW w:w="3076" w:type="pct"/>
            <w:vAlign w:val="center"/>
          </w:tcPr>
          <w:p>
            <w:pPr>
              <w:snapToGrid w:val="0"/>
              <w:jc w:val="left"/>
              <w:textAlignment w:val="top"/>
              <w:rPr>
                <w:rFonts w:ascii="仿宋_GB2312" w:hAnsi="宋体" w:eastAsia="仿宋_GB2312"/>
                <w:sz w:val="24"/>
              </w:rPr>
            </w:pPr>
            <w:r>
              <w:rPr>
                <w:rFonts w:hint="eastAsia" w:ascii="仿宋_GB2312" w:hAnsi="宋体" w:eastAsia="仿宋_GB2312"/>
                <w:sz w:val="24"/>
              </w:rPr>
              <w:t>投标人需提供培训方案，培训公司名称、培训计划、培训大纲等，根据培训方案的科学性、合理性，综合评审进行打分，方案考虑充分安排有效得</w:t>
            </w:r>
            <w:r>
              <w:rPr>
                <w:rFonts w:ascii="仿宋_GB2312" w:hAnsi="宋体" w:eastAsia="仿宋_GB2312"/>
                <w:sz w:val="24"/>
              </w:rPr>
              <w:t>2</w:t>
            </w:r>
            <w:r>
              <w:rPr>
                <w:rFonts w:hint="eastAsia" w:ascii="仿宋_GB2312" w:hAnsi="宋体" w:eastAsia="仿宋_GB2312"/>
                <w:sz w:val="24"/>
              </w:rPr>
              <w:t>-1.1分，方案一般得</w:t>
            </w:r>
            <w:r>
              <w:rPr>
                <w:rFonts w:ascii="仿宋_GB2312" w:hAnsi="宋体" w:eastAsia="仿宋_GB2312"/>
                <w:sz w:val="24"/>
              </w:rPr>
              <w:t>1</w:t>
            </w:r>
            <w:r>
              <w:rPr>
                <w:rFonts w:hint="eastAsia" w:ascii="仿宋_GB2312" w:hAnsi="宋体" w:eastAsia="仿宋_GB2312"/>
                <w:sz w:val="24"/>
              </w:rPr>
              <w:t>-0.1分，方案简单不得分。</w:t>
            </w:r>
          </w:p>
        </w:tc>
        <w:tc>
          <w:tcPr>
            <w:tcW w:w="463" w:type="pct"/>
            <w:vAlign w:val="center"/>
          </w:tcPr>
          <w:p>
            <w:pPr>
              <w:spacing w:line="360" w:lineRule="auto"/>
              <w:jc w:val="center"/>
              <w:rPr>
                <w:rFonts w:ascii="仿宋" w:hAnsi="仿宋" w:eastAsia="仿宋" w:cs="仿宋"/>
                <w:kern w:val="0"/>
                <w:sz w:val="24"/>
              </w:rPr>
            </w:pPr>
            <w:r>
              <w:rPr>
                <w:rFonts w:ascii="仿宋" w:hAnsi="仿宋" w:eastAsia="仿宋" w:cs="仿宋"/>
                <w:kern w:val="0"/>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08" w:type="pct"/>
            <w:vMerge w:val="continue"/>
            <w:vAlign w:val="center"/>
          </w:tcPr>
          <w:p>
            <w:pPr>
              <w:widowControl/>
              <w:spacing w:line="360" w:lineRule="auto"/>
              <w:rPr>
                <w:rFonts w:ascii="仿宋" w:hAnsi="仿宋" w:eastAsia="仿宋" w:cs="仿宋"/>
                <w:kern w:val="0"/>
                <w:sz w:val="24"/>
              </w:rPr>
            </w:pPr>
          </w:p>
        </w:tc>
        <w:tc>
          <w:tcPr>
            <w:tcW w:w="651"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4.</w:t>
            </w:r>
            <w:r>
              <w:rPr>
                <w:rFonts w:hint="eastAsia" w:ascii="仿宋" w:hAnsi="仿宋" w:eastAsia="仿宋" w:cs="仿宋"/>
                <w:kern w:val="0"/>
                <w:sz w:val="24"/>
                <w:lang w:val="en-US" w:eastAsia="zh-CN"/>
              </w:rPr>
              <w:t>3</w:t>
            </w:r>
            <w:r>
              <w:rPr>
                <w:rFonts w:hint="eastAsia" w:ascii="仿宋" w:hAnsi="仿宋" w:eastAsia="仿宋" w:cs="仿宋"/>
                <w:kern w:val="0"/>
                <w:sz w:val="24"/>
              </w:rPr>
              <w:t>实质性优惠</w:t>
            </w:r>
          </w:p>
        </w:tc>
        <w:tc>
          <w:tcPr>
            <w:tcW w:w="3076" w:type="pct"/>
            <w:vAlign w:val="center"/>
          </w:tcPr>
          <w:p>
            <w:pPr>
              <w:widowControl/>
              <w:spacing w:line="360" w:lineRule="auto"/>
              <w:rPr>
                <w:rFonts w:ascii="仿宋" w:hAnsi="仿宋" w:eastAsia="仿宋_GB2312" w:cs="仿宋"/>
                <w:kern w:val="0"/>
                <w:sz w:val="24"/>
              </w:rPr>
            </w:pPr>
            <w:r>
              <w:rPr>
                <w:rFonts w:hint="eastAsia" w:ascii="仿宋_GB2312" w:hAnsi="宋体" w:eastAsia="仿宋_GB2312"/>
                <w:sz w:val="24"/>
              </w:rPr>
              <w:t>本项目在满足1年质保期的基础上，每增加一年质保，得1.5分，最高3分。</w:t>
            </w:r>
          </w:p>
        </w:tc>
        <w:tc>
          <w:tcPr>
            <w:tcW w:w="463"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w:t>
            </w:r>
          </w:p>
        </w:tc>
      </w:tr>
    </w:tbl>
    <w:p>
      <w:pPr>
        <w:spacing w:line="440" w:lineRule="exact"/>
        <w:rPr>
          <w:rFonts w:hint="eastAsia" w:ascii="仿宋" w:hAnsi="仿宋" w:eastAsia="仿宋" w:cs="仿宋"/>
          <w:b/>
          <w:bCs/>
          <w:iCs/>
          <w:color w:val="auto"/>
          <w:sz w:val="24"/>
        </w:rPr>
      </w:pPr>
    </w:p>
    <w:p>
      <w:pPr>
        <w:spacing w:line="440" w:lineRule="exact"/>
        <w:rPr>
          <w:rFonts w:hint="eastAsia" w:ascii="仿宋" w:hAnsi="仿宋" w:eastAsia="仿宋" w:cs="仿宋"/>
          <w:b/>
          <w:bCs/>
          <w:iCs/>
          <w:sz w:val="24"/>
          <w:szCs w:val="24"/>
        </w:rPr>
      </w:pPr>
      <w:r>
        <w:rPr>
          <w:rFonts w:hint="eastAsia" w:ascii="仿宋" w:hAnsi="仿宋" w:eastAsia="仿宋" w:cs="仿宋"/>
          <w:b/>
          <w:bCs/>
          <w:iCs/>
          <w:sz w:val="24"/>
          <w:szCs w:val="24"/>
        </w:rPr>
        <w:t>注：对省级以上主管部门认定的首台套产品，自纳入《省推广应用指导目录》起三年内参加政府采购活动，视同已具备相应销售业绩，业绩分为满分。</w:t>
      </w:r>
    </w:p>
    <w:p>
      <w:pPr>
        <w:pStyle w:val="43"/>
        <w:rPr>
          <w:rFonts w:hint="eastAsia"/>
        </w:rPr>
      </w:pPr>
    </w:p>
    <w:p>
      <w:pPr>
        <w:spacing w:line="40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w:t>
      </w:r>
      <w:r>
        <w:rPr>
          <w:rFonts w:hint="eastAsia" w:ascii="仿宋" w:hAnsi="仿宋" w:eastAsia="仿宋" w:cs="仿宋"/>
          <w:b/>
          <w:bCs/>
          <w:iCs/>
          <w:sz w:val="24"/>
          <w:highlight w:val="none"/>
          <w:lang w:val="en-US" w:eastAsia="zh-CN"/>
        </w:rPr>
        <w:t>1.</w:t>
      </w:r>
      <w:r>
        <w:rPr>
          <w:rFonts w:hint="eastAsia" w:ascii="仿宋" w:hAnsi="仿宋" w:eastAsia="仿宋" w:cs="仿宋"/>
          <w:b/>
          <w:bCs/>
          <w:iCs/>
          <w:sz w:val="24"/>
          <w:highlight w:val="none"/>
        </w:rPr>
        <w:t>2价格分：</w:t>
      </w:r>
      <w:r>
        <w:rPr>
          <w:rFonts w:hint="eastAsia" w:ascii="仿宋" w:hAnsi="仿宋" w:eastAsia="仿宋" w:cs="仿宋"/>
          <w:b/>
          <w:bCs/>
          <w:iCs/>
          <w:sz w:val="24"/>
          <w:highlight w:val="none"/>
          <w:lang w:val="en-US" w:eastAsia="zh-CN"/>
        </w:rPr>
        <w:t>30</w:t>
      </w:r>
      <w:r>
        <w:rPr>
          <w:rFonts w:hint="eastAsia" w:ascii="仿宋" w:hAnsi="仿宋" w:eastAsia="仿宋" w:cs="仿宋"/>
          <w:b/>
          <w:bCs/>
          <w:iCs/>
          <w:sz w:val="24"/>
          <w:highlight w:val="none"/>
        </w:rPr>
        <w:t>分</w:t>
      </w:r>
    </w:p>
    <w:p>
      <w:pPr>
        <w:spacing w:line="400" w:lineRule="exact"/>
        <w:rPr>
          <w:rFonts w:hint="eastAsia" w:ascii="仿宋" w:hAnsi="仿宋" w:eastAsia="仿宋" w:cs="仿宋"/>
          <w:bCs/>
          <w:iCs/>
          <w:sz w:val="24"/>
          <w:highlight w:val="none"/>
        </w:rPr>
      </w:pPr>
      <w:r>
        <w:rPr>
          <w:rFonts w:hint="eastAsia" w:ascii="仿宋" w:hAnsi="仿宋" w:eastAsia="仿宋" w:cs="仿宋"/>
          <w:bCs/>
          <w:iCs/>
          <w:sz w:val="24"/>
          <w:highlight w:val="none"/>
        </w:rPr>
        <w:t>2.</w:t>
      </w:r>
      <w:r>
        <w:rPr>
          <w:rFonts w:hint="eastAsia" w:ascii="仿宋" w:hAnsi="仿宋" w:eastAsia="仿宋" w:cs="仿宋"/>
          <w:bCs/>
          <w:iCs/>
          <w:sz w:val="24"/>
          <w:highlight w:val="none"/>
          <w:lang w:val="en-US" w:eastAsia="zh-CN"/>
        </w:rPr>
        <w:t>1.</w:t>
      </w:r>
      <w:r>
        <w:rPr>
          <w:rFonts w:hint="eastAsia" w:ascii="仿宋" w:hAnsi="仿宋" w:eastAsia="仿宋" w:cs="仿宋"/>
          <w:bCs/>
          <w:iCs/>
          <w:sz w:val="24"/>
          <w:highlight w:val="none"/>
        </w:rPr>
        <w:t>2.1评标基准价：即满足采购文件要求且投标报价最低的投标报价为评标基准价，其价格分为满分。</w:t>
      </w:r>
    </w:p>
    <w:p>
      <w:pPr>
        <w:spacing w:line="400" w:lineRule="exact"/>
        <w:rPr>
          <w:rFonts w:hint="eastAsia" w:ascii="仿宋" w:hAnsi="仿宋" w:eastAsia="仿宋" w:cs="仿宋"/>
          <w:bCs/>
          <w:iCs/>
          <w:sz w:val="24"/>
          <w:highlight w:val="none"/>
        </w:rPr>
      </w:pPr>
      <w:r>
        <w:rPr>
          <w:rFonts w:hint="eastAsia" w:ascii="仿宋" w:hAnsi="仿宋" w:eastAsia="仿宋" w:cs="仿宋"/>
          <w:bCs/>
          <w:iCs/>
          <w:sz w:val="24"/>
          <w:highlight w:val="none"/>
        </w:rPr>
        <w:t>2.</w:t>
      </w:r>
      <w:r>
        <w:rPr>
          <w:rFonts w:hint="eastAsia" w:ascii="仿宋" w:hAnsi="仿宋" w:eastAsia="仿宋" w:cs="仿宋"/>
          <w:bCs/>
          <w:iCs/>
          <w:sz w:val="24"/>
          <w:highlight w:val="none"/>
          <w:lang w:val="en-US" w:eastAsia="zh-CN"/>
        </w:rPr>
        <w:t>1.</w:t>
      </w:r>
      <w:r>
        <w:rPr>
          <w:rFonts w:hint="eastAsia" w:ascii="仿宋" w:hAnsi="仿宋" w:eastAsia="仿宋" w:cs="仿宋"/>
          <w:bCs/>
          <w:iCs/>
          <w:sz w:val="24"/>
          <w:highlight w:val="none"/>
        </w:rPr>
        <w:t>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widowControl/>
        <w:snapToGrid w:val="0"/>
        <w:spacing w:line="480" w:lineRule="exact"/>
        <w:rPr>
          <w:rFonts w:hint="eastAsia" w:ascii="仿宋" w:hAnsi="仿宋" w:eastAsia="仿宋" w:cs="仿宋"/>
          <w:bCs/>
          <w:iCs/>
          <w:sz w:val="24"/>
          <w:highlight w:val="none"/>
          <w:u w:val="singl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lang w:val="en-US" w:eastAsia="zh-CN"/>
        </w:rPr>
        <w:t>30</w:t>
      </w:r>
    </w:p>
    <w:p>
      <w:pPr>
        <w:rPr>
          <w:rFonts w:hint="eastAsia"/>
        </w:rPr>
      </w:pPr>
      <w:r>
        <w:rPr>
          <w:rFonts w:hint="eastAsia" w:ascii="仿宋" w:hAnsi="仿宋" w:eastAsia="仿宋" w:cs="仿宋"/>
          <w:b/>
          <w:sz w:val="36"/>
          <w:szCs w:val="20"/>
        </w:rPr>
        <w:br w:type="page"/>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标项</w:t>
      </w:r>
      <w:r>
        <w:rPr>
          <w:rFonts w:hint="eastAsia" w:ascii="仿宋" w:hAnsi="仿宋" w:eastAsia="仿宋" w:cs="仿宋"/>
          <w:b/>
          <w:color w:val="auto"/>
          <w:sz w:val="24"/>
          <w:lang w:val="en-US" w:eastAsia="zh-CN"/>
        </w:rPr>
        <w:t>二</w:t>
      </w:r>
      <w:r>
        <w:rPr>
          <w:rFonts w:hint="eastAsia" w:ascii="仿宋" w:hAnsi="仿宋" w:eastAsia="仿宋" w:cs="仿宋"/>
          <w:b/>
          <w:color w:val="auto"/>
          <w:sz w:val="24"/>
        </w:rPr>
        <w:t>：绍兴市人民医院基于临床的AI人工智能建设项目</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w:t>
      </w:r>
      <w:r>
        <w:rPr>
          <w:rFonts w:hint="eastAsia" w:ascii="仿宋" w:hAnsi="仿宋" w:eastAsia="仿宋" w:cs="仿宋"/>
          <w:b/>
          <w:bCs/>
          <w:iCs/>
          <w:color w:val="auto"/>
          <w:sz w:val="24"/>
          <w:lang w:val="en-US" w:eastAsia="zh-CN"/>
        </w:rPr>
        <w:t>2</w:t>
      </w:r>
      <w:r>
        <w:rPr>
          <w:rFonts w:hint="eastAsia" w:ascii="仿宋" w:hAnsi="仿宋" w:eastAsia="仿宋" w:cs="仿宋"/>
          <w:b/>
          <w:bCs/>
          <w:iCs/>
          <w:color w:val="auto"/>
          <w:sz w:val="24"/>
        </w:rPr>
        <w:t>.1商务技术分（</w:t>
      </w:r>
      <w:r>
        <w:rPr>
          <w:rFonts w:hint="eastAsia" w:ascii="仿宋" w:hAnsi="仿宋" w:eastAsia="仿宋" w:cs="仿宋"/>
          <w:b/>
          <w:bCs/>
          <w:iCs/>
          <w:color w:val="auto"/>
          <w:sz w:val="24"/>
          <w:lang w:val="en-US" w:eastAsia="zh-CN"/>
        </w:rPr>
        <w:t>7</w:t>
      </w:r>
      <w:r>
        <w:rPr>
          <w:rFonts w:hint="eastAsia" w:ascii="仿宋" w:hAnsi="仿宋" w:eastAsia="仿宋" w:cs="仿宋"/>
          <w:b/>
          <w:bCs/>
          <w:iCs/>
          <w:color w:val="auto"/>
          <w:sz w:val="24"/>
        </w:rPr>
        <w:t>0分）</w:t>
      </w:r>
    </w:p>
    <w:tbl>
      <w:tblPr>
        <w:tblStyle w:val="44"/>
        <w:tblpPr w:leftFromText="180" w:rightFromText="180" w:vertAnchor="text" w:horzAnchor="page" w:tblpX="1931" w:tblpY="53"/>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03"/>
        <w:gridCol w:w="1209"/>
        <w:gridCol w:w="5710"/>
        <w:gridCol w:w="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0" w:type="pct"/>
            <w:vAlign w:val="center"/>
          </w:tcPr>
          <w:p>
            <w:pPr>
              <w:pStyle w:val="22"/>
              <w:spacing w:line="360" w:lineRule="auto"/>
              <w:ind w:left="0" w:leftChars="0" w:firstLine="0" w:firstLineChars="0"/>
              <w:rPr>
                <w:rFonts w:ascii="仿宋" w:hAnsi="仿宋" w:eastAsia="仿宋" w:cs="仿宋"/>
                <w:kern w:val="0"/>
              </w:rPr>
            </w:pPr>
            <w:r>
              <w:rPr>
                <w:rFonts w:hint="eastAsia" w:ascii="仿宋" w:hAnsi="仿宋" w:eastAsia="仿宋" w:cs="仿宋"/>
                <w:kern w:val="0"/>
              </w:rPr>
              <w:t>评分内容</w:t>
            </w:r>
          </w:p>
        </w:tc>
        <w:tc>
          <w:tcPr>
            <w:tcW w:w="3726" w:type="pct"/>
            <w:gridSpan w:val="2"/>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评审细则</w:t>
            </w:r>
          </w:p>
        </w:tc>
        <w:tc>
          <w:tcPr>
            <w:tcW w:w="463"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7" w:hRule="atLeast"/>
        </w:trPr>
        <w:tc>
          <w:tcPr>
            <w:tcW w:w="810"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1.基本</w:t>
            </w:r>
          </w:p>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技术分</w:t>
            </w:r>
          </w:p>
          <w:p>
            <w:pPr>
              <w:widowControl/>
              <w:spacing w:line="360" w:lineRule="auto"/>
              <w:jc w:val="center"/>
              <w:rPr>
                <w:rFonts w:ascii="仿宋" w:hAnsi="仿宋" w:eastAsia="仿宋" w:cs="仿宋"/>
                <w:kern w:val="0"/>
                <w:sz w:val="24"/>
              </w:rPr>
            </w:pPr>
          </w:p>
        </w:tc>
        <w:tc>
          <w:tcPr>
            <w:tcW w:w="3726" w:type="pct"/>
            <w:gridSpan w:val="2"/>
            <w:vAlign w:val="center"/>
          </w:tcPr>
          <w:p>
            <w:pPr>
              <w:widowControl/>
              <w:spacing w:line="360" w:lineRule="auto"/>
              <w:rPr>
                <w:rFonts w:ascii="仿宋" w:hAnsi="仿宋" w:eastAsia="仿宋" w:cs="仿宋"/>
                <w:kern w:val="0"/>
                <w:sz w:val="24"/>
              </w:rPr>
            </w:pPr>
            <w:r>
              <w:rPr>
                <w:rFonts w:hint="eastAsia" w:ascii="仿宋" w:hAnsi="仿宋" w:eastAsia="仿宋" w:cs="仿宋"/>
                <w:kern w:val="0"/>
                <w:sz w:val="24"/>
              </w:rPr>
              <w:t>完全满足招标文件技术参数配置要求的得1</w:t>
            </w:r>
            <w:r>
              <w:rPr>
                <w:rFonts w:hint="eastAsia" w:ascii="仿宋" w:hAnsi="仿宋" w:eastAsia="仿宋" w:cs="仿宋"/>
                <w:kern w:val="0"/>
                <w:sz w:val="24"/>
                <w:lang w:val="en-US" w:eastAsia="zh-CN"/>
              </w:rPr>
              <w:t>8</w:t>
            </w:r>
            <w:r>
              <w:rPr>
                <w:rFonts w:hint="eastAsia" w:ascii="仿宋" w:hAnsi="仿宋" w:eastAsia="仿宋" w:cs="仿宋"/>
                <w:kern w:val="0"/>
                <w:sz w:val="24"/>
              </w:rPr>
              <w:t>分，带▲的重要指标，每有一项负偏离扣3分，其他一般指标每有一项负偏离扣1分，扣完为止。非量化类的，若是功能一样，表述方式不一样则为符合，量化类的由评委视情况讨论决定。</w:t>
            </w:r>
          </w:p>
        </w:tc>
        <w:tc>
          <w:tcPr>
            <w:tcW w:w="463" w:type="pct"/>
            <w:vAlign w:val="center"/>
          </w:tcPr>
          <w:p>
            <w:pPr>
              <w:widowControl/>
              <w:spacing w:line="360" w:lineRule="auto"/>
              <w:jc w:val="center"/>
              <w:rPr>
                <w:rFonts w:hint="eastAsia" w:ascii="仿宋" w:hAnsi="仿宋" w:eastAsia="仿宋" w:cs="仿宋"/>
                <w:kern w:val="0"/>
                <w:sz w:val="24"/>
                <w:lang w:eastAsia="zh-CN"/>
              </w:rPr>
            </w:pPr>
            <w:r>
              <w:rPr>
                <w:rFonts w:hint="eastAsia" w:ascii="仿宋" w:hAnsi="仿宋" w:eastAsia="仿宋" w:cs="仿宋"/>
                <w:kern w:val="0"/>
                <w:sz w:val="24"/>
              </w:rPr>
              <w:t>1</w:t>
            </w:r>
            <w:r>
              <w:rPr>
                <w:rFonts w:hint="eastAsia" w:ascii="仿宋" w:hAnsi="仿宋" w:eastAsia="仿宋" w:cs="仿宋"/>
                <w:kern w:val="0"/>
                <w:sz w:val="24"/>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0" w:type="pct"/>
            <w:vMerge w:val="restart"/>
            <w:vAlign w:val="center"/>
          </w:tcPr>
          <w:p>
            <w:pPr>
              <w:widowControl/>
              <w:spacing w:line="360" w:lineRule="auto"/>
              <w:jc w:val="center"/>
              <w:rPr>
                <w:rFonts w:ascii="仿宋" w:hAnsi="仿宋" w:eastAsia="仿宋" w:cs="仿宋"/>
                <w:kern w:val="0"/>
                <w:sz w:val="24"/>
              </w:rPr>
            </w:pPr>
          </w:p>
          <w:p>
            <w:pPr>
              <w:widowControl/>
              <w:spacing w:line="360" w:lineRule="auto"/>
              <w:jc w:val="center"/>
              <w:rPr>
                <w:rFonts w:ascii="仿宋" w:hAnsi="仿宋" w:eastAsia="仿宋" w:cs="仿宋"/>
                <w:kern w:val="0"/>
                <w:sz w:val="24"/>
              </w:rPr>
            </w:pPr>
          </w:p>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2.企业资质认证</w:t>
            </w:r>
          </w:p>
        </w:tc>
        <w:tc>
          <w:tcPr>
            <w:tcW w:w="3726" w:type="pct"/>
            <w:gridSpan w:val="2"/>
            <w:tcBorders>
              <w:top w:val="single" w:color="auto" w:sz="4" w:space="0"/>
            </w:tcBorders>
            <w:vAlign w:val="center"/>
          </w:tcPr>
          <w:p>
            <w:pPr>
              <w:widowControl/>
              <w:spacing w:line="360" w:lineRule="auto"/>
              <w:rPr>
                <w:rFonts w:ascii="仿宋" w:hAnsi="仿宋" w:eastAsia="仿宋" w:cs="仿宋"/>
                <w:kern w:val="0"/>
                <w:sz w:val="24"/>
              </w:rPr>
            </w:pPr>
            <w:r>
              <w:rPr>
                <w:rFonts w:hint="eastAsia" w:ascii="仿宋" w:hAnsi="仿宋" w:eastAsia="仿宋" w:cs="仿宋"/>
                <w:kern w:val="0"/>
                <w:sz w:val="24"/>
              </w:rPr>
              <w:t>1、所投产品具有国家版权局出具的与多模态数据融合、多模态病历结构化、大数据专病数据库相关的软件著作权证书，每提供一份得1分，最高得3分，需提供证书扫描件并加盖</w:t>
            </w:r>
            <w:r>
              <w:rPr>
                <w:rFonts w:hint="eastAsia" w:ascii="仿宋" w:hAnsi="仿宋" w:eastAsia="仿宋" w:cs="仿宋"/>
                <w:kern w:val="0"/>
                <w:sz w:val="24"/>
                <w:lang w:eastAsia="zh-CN"/>
              </w:rPr>
              <w:t>产品制造</w:t>
            </w:r>
            <w:r>
              <w:rPr>
                <w:rFonts w:hint="eastAsia" w:ascii="仿宋" w:hAnsi="仿宋" w:eastAsia="仿宋" w:cs="仿宋"/>
                <w:kern w:val="0"/>
                <w:sz w:val="24"/>
              </w:rPr>
              <w:t>商公章。</w:t>
            </w:r>
          </w:p>
          <w:p>
            <w:pPr>
              <w:widowControl/>
              <w:spacing w:line="360" w:lineRule="auto"/>
              <w:rPr>
                <w:rFonts w:hint="eastAsia" w:ascii="仿宋" w:hAnsi="仿宋" w:eastAsia="仿宋" w:cs="仿宋"/>
                <w:kern w:val="0"/>
                <w:sz w:val="24"/>
                <w:highlight w:val="none"/>
              </w:rPr>
            </w:pPr>
            <w:r>
              <w:rPr>
                <w:rFonts w:hint="eastAsia" w:ascii="仿宋" w:hAnsi="仿宋" w:eastAsia="仿宋" w:cs="仿宋"/>
                <w:kern w:val="0"/>
                <w:sz w:val="24"/>
              </w:rPr>
              <w:t>2、</w:t>
            </w:r>
            <w:r>
              <w:rPr>
                <w:rFonts w:hint="eastAsia" w:ascii="仿宋" w:hAnsi="仿宋" w:eastAsia="仿宋" w:cs="仿宋"/>
                <w:kern w:val="0"/>
                <w:sz w:val="24"/>
                <w:lang w:val="en-US" w:eastAsia="zh-CN"/>
              </w:rPr>
              <w:t>投标人</w:t>
            </w:r>
            <w:r>
              <w:rPr>
                <w:rFonts w:hint="eastAsia" w:ascii="仿宋" w:hAnsi="仿宋" w:eastAsia="仿宋" w:cs="仿宋"/>
                <w:kern w:val="0"/>
                <w:sz w:val="24"/>
              </w:rPr>
              <w:t>具有ISO 20000 信息技术服务管理体系认证、ISO 27001 信息</w:t>
            </w:r>
            <w:r>
              <w:rPr>
                <w:rFonts w:hint="eastAsia" w:ascii="仿宋" w:hAnsi="仿宋" w:eastAsia="仿宋" w:cs="仿宋"/>
                <w:kern w:val="0"/>
                <w:sz w:val="24"/>
                <w:highlight w:val="none"/>
              </w:rPr>
              <w:t>安全管理体系认证、CMMI3或以上级别认证证书，每具有1个得1分，全部有得3分，需提供证书扫描件并加盖公章。</w:t>
            </w:r>
          </w:p>
          <w:p>
            <w:pPr>
              <w:widowControl/>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3、</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有 ISO 27701 隐私信息管理体系认证、ISO 27018 个人可识别信息的信息安全管理认证，每具有1类得2分，全部提供得4分，需提供证书扫描件并加盖公章。</w:t>
            </w:r>
          </w:p>
          <w:p>
            <w:pPr>
              <w:widowControl/>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4、</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通过ITSS信息技术服务运行维护服务标准评</w:t>
            </w:r>
            <w:r>
              <w:rPr>
                <w:rFonts w:hint="eastAsia" w:ascii="仿宋" w:hAnsi="仿宋" w:eastAsia="仿宋" w:cs="仿宋"/>
                <w:color w:val="auto"/>
                <w:kern w:val="0"/>
                <w:sz w:val="24"/>
                <w:highlight w:val="none"/>
              </w:rPr>
              <w:t>估（评估等级需≥三级），以</w:t>
            </w:r>
            <w:r>
              <w:rPr>
                <w:rFonts w:hint="eastAsia" w:ascii="仿宋" w:hAnsi="仿宋" w:eastAsia="仿宋" w:cs="仿宋"/>
                <w:kern w:val="0"/>
                <w:sz w:val="24"/>
                <w:highlight w:val="none"/>
              </w:rPr>
              <w:t>保证</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具备良好系统维护能力，需提供评估证书证明文件，提供得2分，否则不得分。</w:t>
            </w:r>
          </w:p>
          <w:p>
            <w:pPr>
              <w:widowControl/>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5、</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具有中国信息通信研究院颁发的健康医疗大数据安全能力评估证书，具有得</w:t>
            </w: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分，需提供证书扫描件并加盖公章，否则不得分。</w:t>
            </w:r>
          </w:p>
          <w:p>
            <w:pPr>
              <w:widowControl/>
              <w:spacing w:line="360" w:lineRule="auto"/>
              <w:rPr>
                <w:rFonts w:ascii="仿宋" w:hAnsi="仿宋" w:eastAsia="仿宋" w:cs="仿宋"/>
                <w:color w:val="0C0C0C"/>
                <w:kern w:val="0"/>
                <w:sz w:val="24"/>
                <w:lang w:bidi="ar"/>
              </w:rPr>
            </w:pPr>
            <w:r>
              <w:rPr>
                <w:rFonts w:hint="eastAsia" w:ascii="仿宋" w:hAnsi="仿宋" w:eastAsia="仿宋" w:cs="仿宋"/>
                <w:kern w:val="0"/>
                <w:sz w:val="24"/>
                <w:highlight w:val="none"/>
              </w:rPr>
              <w:t>6、</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具有第三方机构出具的关于多模态专病数据平台的检验报告，检验依据须是GB/T 25000.51-2016，以保证软件产品具备良好的质量，具有得2分，需提供报告扫描件并加盖公章，否则不得分。</w:t>
            </w:r>
          </w:p>
        </w:tc>
        <w:tc>
          <w:tcPr>
            <w:tcW w:w="463" w:type="pct"/>
            <w:tcBorders>
              <w:top w:val="single" w:color="auto" w:sz="4" w:space="0"/>
            </w:tcBorders>
            <w:vAlign w:val="center"/>
          </w:tcPr>
          <w:p>
            <w:pPr>
              <w:widowControl/>
              <w:spacing w:line="360" w:lineRule="auto"/>
              <w:jc w:val="center"/>
              <w:rPr>
                <w:rFonts w:ascii="仿宋" w:hAnsi="仿宋" w:eastAsia="仿宋" w:cs="仿宋"/>
                <w:sz w:val="24"/>
              </w:rPr>
            </w:pPr>
          </w:p>
          <w:p>
            <w:pPr>
              <w:widowControl/>
              <w:spacing w:line="360" w:lineRule="auto"/>
              <w:jc w:val="center"/>
              <w:rPr>
                <w:rFonts w:ascii="仿宋" w:hAnsi="仿宋" w:eastAsia="仿宋" w:cs="仿宋"/>
                <w:sz w:val="24"/>
              </w:rPr>
            </w:pPr>
          </w:p>
          <w:p>
            <w:pPr>
              <w:widowControl/>
              <w:spacing w:line="360" w:lineRule="auto"/>
              <w:jc w:val="center"/>
              <w:rPr>
                <w:rFonts w:ascii="仿宋" w:hAnsi="仿宋" w:eastAsia="仿宋" w:cs="仿宋"/>
                <w:sz w:val="24"/>
              </w:rPr>
            </w:pPr>
          </w:p>
          <w:p>
            <w:pPr>
              <w:pStyle w:val="43"/>
              <w:ind w:firstLine="480"/>
              <w:rPr>
                <w:rFonts w:ascii="仿宋" w:hAnsi="仿宋" w:eastAsia="仿宋" w:cs="仿宋"/>
                <w:sz w:val="24"/>
              </w:rPr>
            </w:pPr>
          </w:p>
          <w:p>
            <w:pPr>
              <w:pStyle w:val="33"/>
              <w:ind w:left="480" w:hanging="480"/>
              <w:rPr>
                <w:rFonts w:ascii="仿宋" w:hAnsi="仿宋" w:eastAsia="仿宋" w:cs="仿宋"/>
                <w:sz w:val="24"/>
                <w:szCs w:val="24"/>
              </w:rPr>
            </w:pPr>
          </w:p>
          <w:p>
            <w:pPr>
              <w:pStyle w:val="33"/>
              <w:ind w:left="480" w:hanging="480"/>
              <w:rPr>
                <w:rFonts w:ascii="仿宋" w:hAnsi="仿宋" w:eastAsia="仿宋" w:cs="仿宋"/>
                <w:sz w:val="24"/>
                <w:szCs w:val="24"/>
              </w:rPr>
            </w:pPr>
          </w:p>
          <w:p>
            <w:pPr>
              <w:widowControl/>
              <w:spacing w:line="360" w:lineRule="auto"/>
              <w:jc w:val="center"/>
              <w:rPr>
                <w:rFonts w:hint="eastAsia" w:ascii="仿宋" w:hAnsi="仿宋" w:eastAsia="仿宋" w:cs="仿宋"/>
                <w:sz w:val="24"/>
                <w:lang w:eastAsia="zh-CN"/>
              </w:rPr>
            </w:pPr>
            <w:r>
              <w:rPr>
                <w:rFonts w:ascii="仿宋" w:hAnsi="仿宋" w:eastAsia="仿宋" w:cs="仿宋"/>
                <w:sz w:val="24"/>
              </w:rPr>
              <w:t>1</w:t>
            </w:r>
            <w:r>
              <w:rPr>
                <w:rFonts w:hint="eastAsia" w:ascii="仿宋" w:hAnsi="仿宋" w:eastAsia="仿宋" w:cs="仿宋"/>
                <w:sz w:val="24"/>
                <w:lang w:val="en-US" w:eastAsia="zh-CN"/>
              </w:rPr>
              <w:t>5</w:t>
            </w:r>
          </w:p>
          <w:p>
            <w:pPr>
              <w:pStyle w:val="43"/>
              <w:ind w:firstLine="480"/>
              <w:rPr>
                <w:rFonts w:ascii="仿宋" w:hAnsi="仿宋" w:eastAsia="仿宋" w:cs="仿宋"/>
                <w:kern w:val="0"/>
                <w:sz w:val="24"/>
              </w:rPr>
            </w:pPr>
          </w:p>
          <w:p>
            <w:pPr>
              <w:pStyle w:val="43"/>
              <w:ind w:firstLine="480"/>
              <w:rPr>
                <w:rFonts w:ascii="仿宋" w:hAnsi="仿宋" w:eastAsia="仿宋" w:cs="仿宋"/>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0" w:type="pct"/>
            <w:vMerge w:val="continue"/>
            <w:tcBorders>
              <w:bottom w:val="single" w:color="auto" w:sz="4" w:space="0"/>
            </w:tcBorders>
            <w:vAlign w:val="center"/>
          </w:tcPr>
          <w:p>
            <w:pPr>
              <w:widowControl/>
              <w:spacing w:line="360" w:lineRule="auto"/>
              <w:rPr>
                <w:rFonts w:ascii="仿宋" w:hAnsi="仿宋" w:eastAsia="仿宋" w:cs="仿宋"/>
                <w:kern w:val="0"/>
                <w:sz w:val="24"/>
              </w:rPr>
            </w:pPr>
          </w:p>
        </w:tc>
        <w:tc>
          <w:tcPr>
            <w:tcW w:w="3726" w:type="pct"/>
            <w:gridSpan w:val="2"/>
            <w:tcBorders>
              <w:top w:val="single" w:color="auto" w:sz="4" w:space="0"/>
              <w:bottom w:val="single" w:color="auto" w:sz="4" w:space="0"/>
            </w:tcBorders>
            <w:vAlign w:val="center"/>
          </w:tcPr>
          <w:p>
            <w:pPr>
              <w:widowControl/>
              <w:spacing w:line="360" w:lineRule="auto"/>
              <w:rPr>
                <w:rFonts w:ascii="仿宋" w:hAnsi="仿宋" w:eastAsia="仿宋" w:cs="仿宋"/>
                <w:kern w:val="0"/>
                <w:sz w:val="24"/>
              </w:rPr>
            </w:pPr>
            <w:r>
              <w:rPr>
                <w:rFonts w:hint="eastAsia" w:ascii="仿宋" w:hAnsi="仿宋" w:eastAsia="仿宋" w:cs="仿宋"/>
                <w:sz w:val="24"/>
              </w:rPr>
              <w:t>提供2020年1月1日以来所投产品与医院签署的同类项目成功案例，每一例业绩得1分，最高得3分，投标文件提供清晰的合同复印件，验收文档，提供不完整不得分。</w:t>
            </w:r>
          </w:p>
        </w:tc>
        <w:tc>
          <w:tcPr>
            <w:tcW w:w="463" w:type="pct"/>
            <w:tcBorders>
              <w:top w:val="single" w:color="auto" w:sz="4" w:space="0"/>
            </w:tcBorders>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4" w:hRule="atLeast"/>
        </w:trPr>
        <w:tc>
          <w:tcPr>
            <w:tcW w:w="810" w:type="pct"/>
            <w:vMerge w:val="restar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3.技术方案</w:t>
            </w:r>
          </w:p>
        </w:tc>
        <w:tc>
          <w:tcPr>
            <w:tcW w:w="651" w:type="pct"/>
            <w:vAlign w:val="center"/>
          </w:tcPr>
          <w:p>
            <w:pPr>
              <w:widowControl/>
              <w:spacing w:line="360" w:lineRule="auto"/>
              <w:rPr>
                <w:rFonts w:ascii="仿宋" w:hAnsi="仿宋" w:eastAsia="仿宋" w:cs="仿宋"/>
                <w:kern w:val="0"/>
                <w:sz w:val="24"/>
              </w:rPr>
            </w:pPr>
            <w:r>
              <w:rPr>
                <w:rFonts w:hint="eastAsia" w:ascii="仿宋" w:hAnsi="仿宋" w:eastAsia="仿宋" w:cs="仿宋"/>
                <w:kern w:val="0"/>
                <w:sz w:val="24"/>
              </w:rPr>
              <w:t>3.1系统演示</w:t>
            </w:r>
          </w:p>
        </w:tc>
        <w:tc>
          <w:tcPr>
            <w:tcW w:w="3075" w:type="pct"/>
            <w:vAlign w:val="center"/>
          </w:tcPr>
          <w:p>
            <w:pPr>
              <w:spacing w:line="360" w:lineRule="auto"/>
              <w:rPr>
                <w:rFonts w:ascii="仿宋" w:hAnsi="仿宋" w:eastAsia="仿宋" w:cs="仿宋"/>
                <w:kern w:val="0"/>
                <w:sz w:val="24"/>
              </w:rPr>
            </w:pPr>
            <w:r>
              <w:rPr>
                <w:rFonts w:hint="eastAsia" w:ascii="仿宋" w:hAnsi="仿宋" w:eastAsia="仿宋" w:cs="仿宋"/>
                <w:kern w:val="0"/>
                <w:sz w:val="24"/>
              </w:rPr>
              <w:t>演示(讲解)：在评标时安排每个投标人进行演示，演示后按要求解答评标委员会的提问。</w:t>
            </w:r>
          </w:p>
          <w:p>
            <w:pPr>
              <w:spacing w:line="360" w:lineRule="auto"/>
              <w:rPr>
                <w:rFonts w:ascii="仿宋" w:hAnsi="仿宋" w:eastAsia="仿宋" w:cs="仿宋"/>
                <w:kern w:val="0"/>
                <w:sz w:val="24"/>
              </w:rPr>
            </w:pPr>
            <w:r>
              <w:rPr>
                <w:rFonts w:hint="eastAsia" w:ascii="仿宋" w:hAnsi="仿宋" w:eastAsia="仿宋" w:cs="仿宋"/>
                <w:kern w:val="0"/>
                <w:sz w:val="24"/>
              </w:rPr>
              <w:t>演示设备：演示所需设备由投标人自行准备。</w:t>
            </w:r>
          </w:p>
          <w:p>
            <w:pPr>
              <w:spacing w:line="360" w:lineRule="auto"/>
              <w:rPr>
                <w:rFonts w:ascii="仿宋" w:hAnsi="仿宋" w:eastAsia="仿宋" w:cs="仿宋"/>
                <w:kern w:val="0"/>
                <w:sz w:val="24"/>
              </w:rPr>
            </w:pPr>
            <w:r>
              <w:rPr>
                <w:rFonts w:hint="eastAsia" w:ascii="仿宋" w:hAnsi="仿宋" w:eastAsia="仿宋" w:cs="仿宋"/>
                <w:kern w:val="0"/>
                <w:sz w:val="24"/>
              </w:rPr>
              <w:t>演示时间：每个投标人演示开始前的调试准备时间不超过15分钟，演示时间不超过15分钟，不包含评委提问解答时间。</w:t>
            </w:r>
          </w:p>
          <w:p>
            <w:pPr>
              <w:spacing w:line="360" w:lineRule="auto"/>
              <w:rPr>
                <w:rFonts w:ascii="仿宋" w:hAnsi="仿宋" w:eastAsia="仿宋"/>
                <w:color w:val="auto"/>
                <w:sz w:val="24"/>
              </w:rPr>
            </w:pPr>
            <w:r>
              <w:rPr>
                <w:rFonts w:hint="eastAsia" w:ascii="仿宋" w:hAnsi="仿宋" w:eastAsia="仿宋" w:cs="仿宋"/>
                <w:sz w:val="24"/>
              </w:rPr>
              <w:t>1、智能搜索功能：①支持以条件树形式进行多级组合条件可视化筛选，组合条件之间支持 “and \or \not”多层逻辑关系的嵌套组合；②支持多级搜索条件支持同患者、同就诊、同报告的数据维度筛选；③支持</w:t>
            </w:r>
            <w:r>
              <w:rPr>
                <w:rFonts w:hint="eastAsia" w:ascii="仿宋" w:hAnsi="仿宋" w:eastAsia="仿宋" w:cs="仿宋"/>
                <w:color w:val="auto"/>
                <w:sz w:val="24"/>
              </w:rPr>
              <w:t>智能病历筛选，对搜索结果进行二次的病历维度检索；④支持“时间-事件”式搜索方式。根据演示效果进行评分，优得</w:t>
            </w:r>
            <w:r>
              <w:rPr>
                <w:rFonts w:hint="eastAsia" w:ascii="仿宋" w:hAnsi="仿宋" w:eastAsia="仿宋" w:cs="仿宋"/>
                <w:color w:val="auto"/>
                <w:sz w:val="24"/>
                <w:lang w:val="en-US" w:eastAsia="zh-CN"/>
              </w:rPr>
              <w:t>3</w:t>
            </w:r>
            <w:r>
              <w:rPr>
                <w:rFonts w:hint="eastAsia" w:ascii="仿宋" w:hAnsi="仿宋" w:eastAsia="仿宋" w:cs="仿宋"/>
                <w:color w:val="auto"/>
                <w:sz w:val="24"/>
              </w:rPr>
              <w:t>.0-</w:t>
            </w:r>
            <w:r>
              <w:rPr>
                <w:rFonts w:ascii="仿宋" w:hAnsi="仿宋" w:eastAsia="仿宋" w:cs="仿宋"/>
                <w:color w:val="auto"/>
                <w:sz w:val="24"/>
              </w:rPr>
              <w:t>2</w:t>
            </w:r>
            <w:r>
              <w:rPr>
                <w:rFonts w:hint="eastAsia" w:ascii="仿宋" w:hAnsi="仿宋" w:eastAsia="仿宋" w:cs="仿宋"/>
                <w:color w:val="auto"/>
                <w:sz w:val="24"/>
              </w:rPr>
              <w:t>.1分，良好得</w:t>
            </w:r>
            <w:r>
              <w:rPr>
                <w:rFonts w:ascii="仿宋" w:hAnsi="仿宋" w:eastAsia="仿宋" w:cs="仿宋"/>
                <w:color w:val="auto"/>
                <w:sz w:val="24"/>
              </w:rPr>
              <w:t>2</w:t>
            </w:r>
            <w:r>
              <w:rPr>
                <w:rFonts w:hint="eastAsia" w:ascii="仿宋" w:hAnsi="仿宋" w:eastAsia="仿宋" w:cs="仿宋"/>
                <w:color w:val="auto"/>
                <w:sz w:val="24"/>
              </w:rPr>
              <w:t>.0-</w:t>
            </w:r>
            <w:r>
              <w:rPr>
                <w:rFonts w:ascii="仿宋" w:hAnsi="仿宋" w:eastAsia="仿宋" w:cs="仿宋"/>
                <w:color w:val="auto"/>
                <w:sz w:val="24"/>
              </w:rPr>
              <w:t>1</w:t>
            </w:r>
            <w:r>
              <w:rPr>
                <w:rFonts w:hint="eastAsia" w:ascii="仿宋" w:hAnsi="仿宋" w:eastAsia="仿宋" w:cs="仿宋"/>
                <w:color w:val="auto"/>
                <w:sz w:val="24"/>
              </w:rPr>
              <w:t>.1分，</w:t>
            </w:r>
            <w:r>
              <w:rPr>
                <w:rFonts w:hint="eastAsia" w:ascii="仿宋" w:hAnsi="仿宋" w:eastAsia="仿宋"/>
                <w:color w:val="auto"/>
                <w:sz w:val="24"/>
              </w:rPr>
              <w:t>一般得</w:t>
            </w:r>
            <w:r>
              <w:rPr>
                <w:rFonts w:ascii="仿宋" w:hAnsi="仿宋" w:eastAsia="仿宋"/>
                <w:color w:val="auto"/>
                <w:sz w:val="24"/>
              </w:rPr>
              <w:t>1</w:t>
            </w:r>
            <w:r>
              <w:rPr>
                <w:rFonts w:hint="eastAsia" w:ascii="仿宋" w:hAnsi="仿宋" w:eastAsia="仿宋"/>
                <w:color w:val="auto"/>
                <w:sz w:val="24"/>
              </w:rPr>
              <w:t>.0-</w:t>
            </w:r>
            <w:r>
              <w:rPr>
                <w:rFonts w:ascii="仿宋" w:hAnsi="仿宋" w:eastAsia="仿宋"/>
                <w:color w:val="auto"/>
                <w:sz w:val="24"/>
              </w:rPr>
              <w:t>0</w:t>
            </w:r>
            <w:r>
              <w:rPr>
                <w:rFonts w:hint="eastAsia" w:ascii="仿宋" w:hAnsi="仿宋" w:eastAsia="仿宋"/>
                <w:color w:val="auto"/>
                <w:sz w:val="24"/>
              </w:rPr>
              <w:t>.1分，</w:t>
            </w:r>
            <w:r>
              <w:rPr>
                <w:rFonts w:hint="eastAsia" w:ascii="仿宋" w:hAnsi="仿宋" w:eastAsia="仿宋" w:cs="仿宋"/>
                <w:color w:val="auto"/>
                <w:kern w:val="0"/>
                <w:sz w:val="24"/>
              </w:rPr>
              <w:t>不符合、不提供不得分</w:t>
            </w:r>
            <w:r>
              <w:rPr>
                <w:rFonts w:hint="eastAsia" w:ascii="仿宋" w:hAnsi="仿宋" w:eastAsia="仿宋"/>
                <w:color w:val="auto"/>
                <w:sz w:val="24"/>
              </w:rPr>
              <w:t>。</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2、研究队列管理：支持查看和调整队列对应的筛选条件，根据修改的后筛选结果更新研究数据，并提供增了更新和覆盖更新两种模式。根据演示效果进行评分，优得2.0-1.1分，良好得1.0-0.1分，不符合、不提供不得分。</w:t>
            </w:r>
          </w:p>
          <w:p>
            <w:pPr>
              <w:spacing w:line="360" w:lineRule="auto"/>
              <w:rPr>
                <w:rFonts w:ascii="仿宋" w:hAnsi="仿宋" w:eastAsia="仿宋" w:cs="仿宋"/>
                <w:color w:val="auto"/>
                <w:kern w:val="0"/>
                <w:sz w:val="24"/>
              </w:rPr>
            </w:pPr>
            <w:r>
              <w:rPr>
                <w:rFonts w:hint="eastAsia" w:ascii="仿宋" w:hAnsi="仿宋" w:eastAsia="仿宋" w:cs="仿宋"/>
                <w:kern w:val="0"/>
                <w:sz w:val="24"/>
              </w:rPr>
              <w:t>3、研究指标制备：①支持基线变量设置，并可根据首次、末次</w:t>
            </w:r>
            <w:r>
              <w:rPr>
                <w:rFonts w:hint="eastAsia" w:ascii="仿宋" w:hAnsi="仿宋" w:eastAsia="仿宋" w:cs="仿宋"/>
                <w:color w:val="auto"/>
                <w:kern w:val="0"/>
                <w:sz w:val="24"/>
              </w:rPr>
              <w:t>、前后时间区间自动完成基线指标降维；②支持研究指标可视化点选拖拽排序，保存后指标排序规则即可更新在数据列表中。根据演示效果进行评分，优得2.0-1.1分，良好得1.0-0.1分，不符合、不提供不得分。</w:t>
            </w:r>
          </w:p>
          <w:p>
            <w:pPr>
              <w:pStyle w:val="43"/>
              <w:spacing w:line="360" w:lineRule="auto"/>
              <w:ind w:left="0" w:leftChars="0" w:firstLine="0" w:firstLineChars="0"/>
              <w:rPr>
                <w:rFonts w:ascii="仿宋" w:hAnsi="仿宋" w:eastAsia="仿宋"/>
                <w:color w:val="auto"/>
                <w:sz w:val="24"/>
              </w:rPr>
            </w:pPr>
            <w:r>
              <w:rPr>
                <w:rFonts w:hint="eastAsia" w:ascii="仿宋" w:hAnsi="仿宋" w:eastAsia="仿宋"/>
                <w:color w:val="auto"/>
                <w:sz w:val="24"/>
              </w:rPr>
              <w:t>4、</w:t>
            </w:r>
            <w:r>
              <w:rPr>
                <w:rFonts w:hint="eastAsia" w:ascii="仿宋" w:hAnsi="仿宋" w:eastAsia="仿宋" w:cs="仿宋"/>
                <w:color w:val="auto"/>
                <w:kern w:val="0"/>
                <w:sz w:val="24"/>
                <w:lang w:bidi="ar"/>
              </w:rPr>
              <w:t>多种项目管理方式：①支持完整的IIT，CRA，CRC，DM，PI参与数据治理</w:t>
            </w:r>
            <w:r>
              <w:rPr>
                <w:rFonts w:hint="eastAsia" w:ascii="仿宋" w:hAnsi="仿宋" w:eastAsia="仿宋" w:cs="仿宋"/>
                <w:kern w:val="0"/>
                <w:sz w:val="24"/>
                <w:lang w:bidi="ar"/>
              </w:rPr>
              <w:t>流程；②支持自定义配置CRF；③支持项目数据</w:t>
            </w:r>
            <w:r>
              <w:rPr>
                <w:rFonts w:hint="eastAsia" w:ascii="仿宋" w:hAnsi="仿宋" w:eastAsia="仿宋" w:cs="仿宋"/>
                <w:color w:val="auto"/>
                <w:kern w:val="0"/>
                <w:sz w:val="24"/>
                <w:lang w:bidi="ar"/>
              </w:rPr>
              <w:t>、检索数据精细化导出，并支持使用SPSS\SAS等统计工具进行分析；④支持多种权限管理，管理员可为每个用户配置不同的账号、角色，从而实现功能权限划分。</w:t>
            </w:r>
            <w:r>
              <w:rPr>
                <w:rFonts w:hint="eastAsia" w:ascii="仿宋" w:hAnsi="仿宋" w:eastAsia="仿宋" w:cs="仿宋"/>
                <w:color w:val="auto"/>
                <w:sz w:val="24"/>
              </w:rPr>
              <w:t>根据演示效果进行评分，优得</w:t>
            </w:r>
            <w:r>
              <w:rPr>
                <w:rFonts w:ascii="仿宋" w:hAnsi="仿宋" w:eastAsia="仿宋" w:cs="仿宋"/>
                <w:color w:val="auto"/>
                <w:sz w:val="24"/>
              </w:rPr>
              <w:t>5</w:t>
            </w:r>
            <w:r>
              <w:rPr>
                <w:rFonts w:hint="eastAsia" w:ascii="仿宋" w:hAnsi="仿宋" w:eastAsia="仿宋" w:cs="仿宋"/>
                <w:color w:val="auto"/>
                <w:sz w:val="24"/>
              </w:rPr>
              <w:t>.0-</w:t>
            </w:r>
            <w:r>
              <w:rPr>
                <w:rFonts w:ascii="仿宋" w:hAnsi="仿宋" w:eastAsia="仿宋" w:cs="仿宋"/>
                <w:color w:val="auto"/>
                <w:sz w:val="24"/>
              </w:rPr>
              <w:t>3</w:t>
            </w:r>
            <w:r>
              <w:rPr>
                <w:rFonts w:hint="eastAsia" w:ascii="仿宋" w:hAnsi="仿宋" w:eastAsia="仿宋" w:cs="仿宋"/>
                <w:color w:val="auto"/>
                <w:sz w:val="24"/>
              </w:rPr>
              <w:t>.1分，良好得</w:t>
            </w:r>
            <w:r>
              <w:rPr>
                <w:rFonts w:ascii="仿宋" w:hAnsi="仿宋" w:eastAsia="仿宋" w:cs="仿宋"/>
                <w:color w:val="auto"/>
                <w:sz w:val="24"/>
              </w:rPr>
              <w:t>3</w:t>
            </w:r>
            <w:r>
              <w:rPr>
                <w:rFonts w:hint="eastAsia" w:ascii="仿宋" w:hAnsi="仿宋" w:eastAsia="仿宋" w:cs="仿宋"/>
                <w:color w:val="auto"/>
                <w:sz w:val="24"/>
              </w:rPr>
              <w:t>.0-</w:t>
            </w:r>
            <w:r>
              <w:rPr>
                <w:rFonts w:ascii="仿宋" w:hAnsi="仿宋" w:eastAsia="仿宋" w:cs="仿宋"/>
                <w:color w:val="auto"/>
                <w:sz w:val="24"/>
              </w:rPr>
              <w:t>1</w:t>
            </w:r>
            <w:r>
              <w:rPr>
                <w:rFonts w:hint="eastAsia" w:ascii="仿宋" w:hAnsi="仿宋" w:eastAsia="仿宋" w:cs="仿宋"/>
                <w:color w:val="auto"/>
                <w:sz w:val="24"/>
              </w:rPr>
              <w:t>.1分，</w:t>
            </w:r>
            <w:r>
              <w:rPr>
                <w:rFonts w:hint="eastAsia" w:ascii="仿宋" w:hAnsi="仿宋" w:eastAsia="仿宋"/>
                <w:color w:val="auto"/>
                <w:sz w:val="24"/>
              </w:rPr>
              <w:t>一般得</w:t>
            </w:r>
            <w:r>
              <w:rPr>
                <w:rFonts w:ascii="仿宋" w:hAnsi="仿宋" w:eastAsia="仿宋"/>
                <w:color w:val="auto"/>
                <w:sz w:val="24"/>
              </w:rPr>
              <w:t>1</w:t>
            </w:r>
            <w:r>
              <w:rPr>
                <w:rFonts w:hint="eastAsia" w:ascii="仿宋" w:hAnsi="仿宋" w:eastAsia="仿宋"/>
                <w:color w:val="auto"/>
                <w:sz w:val="24"/>
              </w:rPr>
              <w:t>.0-</w:t>
            </w:r>
            <w:r>
              <w:rPr>
                <w:rFonts w:ascii="仿宋" w:hAnsi="仿宋" w:eastAsia="仿宋"/>
                <w:color w:val="auto"/>
                <w:sz w:val="24"/>
              </w:rPr>
              <w:t>0</w:t>
            </w:r>
            <w:r>
              <w:rPr>
                <w:rFonts w:hint="eastAsia" w:ascii="仿宋" w:hAnsi="仿宋" w:eastAsia="仿宋"/>
                <w:color w:val="auto"/>
                <w:sz w:val="24"/>
              </w:rPr>
              <w:t>.1分，</w:t>
            </w:r>
            <w:r>
              <w:rPr>
                <w:rFonts w:hint="eastAsia" w:ascii="仿宋" w:hAnsi="仿宋" w:eastAsia="仿宋" w:cs="仿宋"/>
                <w:color w:val="auto"/>
                <w:kern w:val="0"/>
                <w:sz w:val="24"/>
              </w:rPr>
              <w:t>不符合、不提供不得分</w:t>
            </w:r>
            <w:r>
              <w:rPr>
                <w:rFonts w:hint="eastAsia" w:ascii="仿宋" w:hAnsi="仿宋" w:eastAsia="仿宋"/>
                <w:color w:val="auto"/>
                <w:sz w:val="24"/>
              </w:rPr>
              <w:t>。</w:t>
            </w:r>
          </w:p>
          <w:p>
            <w:pPr>
              <w:spacing w:line="360" w:lineRule="auto"/>
              <w:rPr>
                <w:rFonts w:hint="eastAsia" w:ascii="仿宋" w:hAnsi="仿宋" w:eastAsia="仿宋" w:cs="Times New Roman"/>
                <w:kern w:val="2"/>
                <w:sz w:val="24"/>
              </w:rPr>
            </w:pPr>
            <w:r>
              <w:rPr>
                <w:rFonts w:hint="eastAsia" w:ascii="仿宋" w:hAnsi="仿宋" w:eastAsia="仿宋"/>
                <w:color w:val="auto"/>
                <w:sz w:val="24"/>
              </w:rPr>
              <w:t>5、数据管理：①支持数据导出申请与审批,根据用户的数据权限区分数据线上审批流程，保证数据使用安全性；②支持数据留痕，当数据录入并提交后，所有关于此数据点的修改、质疑，数据状态等都将被记录下来，保存最完整的原始资料。根据演示效果进行评分，优得</w:t>
            </w:r>
            <w:r>
              <w:rPr>
                <w:rFonts w:ascii="仿宋" w:hAnsi="仿宋" w:eastAsia="仿宋"/>
                <w:color w:val="auto"/>
                <w:sz w:val="24"/>
              </w:rPr>
              <w:t>3</w:t>
            </w:r>
            <w:r>
              <w:rPr>
                <w:rFonts w:hint="eastAsia" w:ascii="仿宋" w:hAnsi="仿宋" w:eastAsia="仿宋"/>
                <w:color w:val="auto"/>
                <w:sz w:val="24"/>
              </w:rPr>
              <w:t>.0-</w:t>
            </w:r>
            <w:r>
              <w:rPr>
                <w:rFonts w:ascii="仿宋" w:hAnsi="仿宋" w:eastAsia="仿宋"/>
                <w:color w:val="auto"/>
                <w:sz w:val="24"/>
              </w:rPr>
              <w:t>2</w:t>
            </w:r>
            <w:r>
              <w:rPr>
                <w:rFonts w:hint="eastAsia" w:ascii="仿宋" w:hAnsi="仿宋" w:eastAsia="仿宋"/>
                <w:color w:val="auto"/>
                <w:sz w:val="24"/>
              </w:rPr>
              <w:t>.1分，良好得</w:t>
            </w:r>
            <w:r>
              <w:rPr>
                <w:rFonts w:ascii="仿宋" w:hAnsi="仿宋" w:eastAsia="仿宋"/>
                <w:sz w:val="24"/>
              </w:rPr>
              <w:t>2</w:t>
            </w:r>
            <w:r>
              <w:rPr>
                <w:rFonts w:hint="eastAsia" w:ascii="仿宋" w:hAnsi="仿宋" w:eastAsia="仿宋"/>
                <w:sz w:val="24"/>
              </w:rPr>
              <w:t>.0-</w:t>
            </w:r>
            <w:r>
              <w:rPr>
                <w:rFonts w:ascii="仿宋" w:hAnsi="仿宋" w:eastAsia="仿宋"/>
                <w:sz w:val="24"/>
              </w:rPr>
              <w:t>1</w:t>
            </w:r>
            <w:r>
              <w:rPr>
                <w:rFonts w:hint="eastAsia" w:ascii="仿宋" w:hAnsi="仿宋" w:eastAsia="仿宋"/>
                <w:sz w:val="24"/>
              </w:rPr>
              <w:t>.1分，一般得</w:t>
            </w:r>
            <w:r>
              <w:rPr>
                <w:rFonts w:ascii="仿宋" w:hAnsi="仿宋" w:eastAsia="仿宋"/>
                <w:sz w:val="24"/>
              </w:rPr>
              <w:t>1</w:t>
            </w:r>
            <w:r>
              <w:rPr>
                <w:rFonts w:hint="eastAsia" w:ascii="仿宋" w:hAnsi="仿宋" w:eastAsia="仿宋"/>
                <w:sz w:val="24"/>
              </w:rPr>
              <w:t>.0-</w:t>
            </w:r>
            <w:r>
              <w:rPr>
                <w:rFonts w:ascii="仿宋" w:hAnsi="仿宋" w:eastAsia="仿宋"/>
                <w:sz w:val="24"/>
              </w:rPr>
              <w:t>0</w:t>
            </w:r>
            <w:r>
              <w:rPr>
                <w:rFonts w:hint="eastAsia" w:ascii="仿宋" w:hAnsi="仿宋" w:eastAsia="仿宋"/>
                <w:sz w:val="24"/>
              </w:rPr>
              <w:t>.1分，不符合、不提供不得分。</w:t>
            </w:r>
          </w:p>
        </w:tc>
        <w:tc>
          <w:tcPr>
            <w:tcW w:w="463" w:type="pct"/>
            <w:vAlign w:val="center"/>
          </w:tcPr>
          <w:p>
            <w:pPr>
              <w:widowControl/>
              <w:spacing w:line="360" w:lineRule="auto"/>
              <w:rPr>
                <w:rFonts w:ascii="仿宋" w:hAnsi="仿宋" w:eastAsia="仿宋" w:cs="仿宋"/>
                <w:kern w:val="0"/>
                <w:sz w:val="24"/>
              </w:rPr>
            </w:pPr>
          </w:p>
          <w:p>
            <w:pPr>
              <w:pStyle w:val="43"/>
            </w:pPr>
          </w:p>
          <w:p>
            <w:pPr>
              <w:widowControl/>
              <w:spacing w:line="360" w:lineRule="auto"/>
              <w:jc w:val="center"/>
              <w:rPr>
                <w:rFonts w:hint="eastAsia" w:ascii="仿宋" w:hAnsi="仿宋" w:eastAsia="仿宋" w:cs="仿宋"/>
                <w:kern w:val="0"/>
                <w:sz w:val="24"/>
                <w:lang w:eastAsia="zh-CN"/>
              </w:rPr>
            </w:pPr>
            <w:r>
              <w:rPr>
                <w:rFonts w:hint="eastAsia" w:ascii="仿宋" w:hAnsi="仿宋" w:eastAsia="仿宋" w:cs="仿宋"/>
                <w:kern w:val="0"/>
                <w:sz w:val="24"/>
              </w:rPr>
              <w:t>1</w:t>
            </w:r>
            <w:r>
              <w:rPr>
                <w:rFonts w:hint="eastAsia" w:ascii="仿宋" w:hAnsi="仿宋" w:eastAsia="仿宋" w:cs="仿宋"/>
                <w:kern w:val="0"/>
                <w:sz w:val="24"/>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7" w:hRule="atLeast"/>
        </w:trPr>
        <w:tc>
          <w:tcPr>
            <w:tcW w:w="810" w:type="pct"/>
            <w:vMerge w:val="continue"/>
            <w:vAlign w:val="center"/>
          </w:tcPr>
          <w:p>
            <w:pPr>
              <w:widowControl/>
              <w:spacing w:line="360" w:lineRule="auto"/>
              <w:rPr>
                <w:rFonts w:ascii="仿宋" w:hAnsi="仿宋" w:eastAsia="仿宋" w:cs="仿宋"/>
                <w:kern w:val="0"/>
                <w:sz w:val="24"/>
              </w:rPr>
            </w:pPr>
          </w:p>
        </w:tc>
        <w:tc>
          <w:tcPr>
            <w:tcW w:w="651"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3.2设计方案</w:t>
            </w:r>
          </w:p>
        </w:tc>
        <w:tc>
          <w:tcPr>
            <w:tcW w:w="3075" w:type="pct"/>
            <w:tcBorders>
              <w:top w:val="single" w:color="auto" w:sz="4" w:space="0"/>
            </w:tcBorders>
            <w:vAlign w:val="center"/>
          </w:tcPr>
          <w:p>
            <w:pPr>
              <w:widowControl/>
              <w:spacing w:line="360" w:lineRule="auto"/>
              <w:rPr>
                <w:rFonts w:ascii="仿宋" w:hAnsi="仿宋" w:eastAsia="仿宋" w:cs="仿宋"/>
                <w:kern w:val="0"/>
                <w:sz w:val="24"/>
              </w:rPr>
            </w:pPr>
            <w:r>
              <w:rPr>
                <w:rFonts w:hint="eastAsia" w:ascii="仿宋" w:hAnsi="仿宋" w:eastAsia="仿宋" w:cs="仿宋"/>
                <w:color w:val="000000"/>
                <w:kern w:val="0"/>
                <w:sz w:val="24"/>
                <w:lang w:bidi="ar"/>
              </w:rPr>
              <w:t>根据投标人所投大数据平台架构的先进性、扩展性和运维能力进行打分，</w:t>
            </w:r>
            <w:r>
              <w:rPr>
                <w:rFonts w:hint="eastAsia" w:ascii="仿宋" w:hAnsi="仿宋" w:eastAsia="仿宋" w:cs="仿宋"/>
                <w:kern w:val="0"/>
                <w:sz w:val="24"/>
              </w:rPr>
              <w:t>优于项目需求的得</w:t>
            </w:r>
            <w:r>
              <w:rPr>
                <w:rFonts w:ascii="仿宋" w:hAnsi="仿宋" w:eastAsia="仿宋" w:cs="仿宋"/>
                <w:kern w:val="0"/>
                <w:sz w:val="24"/>
              </w:rPr>
              <w:t>4</w:t>
            </w:r>
            <w:r>
              <w:rPr>
                <w:rFonts w:hint="eastAsia" w:ascii="仿宋" w:hAnsi="仿宋" w:eastAsia="仿宋" w:cs="仿宋"/>
                <w:kern w:val="0"/>
                <w:sz w:val="24"/>
              </w:rPr>
              <w:t>.0-2.1分，符合项目需求的得2.0-1.1分，部分符合项目需求的得1-0.1分，不符合或不提供不得分。</w:t>
            </w:r>
          </w:p>
        </w:tc>
        <w:tc>
          <w:tcPr>
            <w:tcW w:w="463" w:type="pct"/>
            <w:tcBorders>
              <w:top w:val="single" w:color="auto" w:sz="4" w:space="0"/>
            </w:tcBorders>
            <w:vAlign w:val="center"/>
          </w:tcPr>
          <w:p>
            <w:pPr>
              <w:widowControl/>
              <w:spacing w:line="360" w:lineRule="auto"/>
              <w:jc w:val="center"/>
              <w:rPr>
                <w:rFonts w:ascii="仿宋" w:hAnsi="仿宋" w:eastAsia="仿宋" w:cs="仿宋"/>
                <w:kern w:val="0"/>
                <w:sz w:val="24"/>
              </w:rPr>
            </w:pPr>
            <w:r>
              <w:rPr>
                <w:rFonts w:ascii="仿宋" w:hAnsi="仿宋" w:eastAsia="仿宋" w:cs="仿宋"/>
                <w:kern w:val="0"/>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4" w:hRule="atLeast"/>
        </w:trPr>
        <w:tc>
          <w:tcPr>
            <w:tcW w:w="810" w:type="pct"/>
            <w:vMerge w:val="continue"/>
            <w:vAlign w:val="center"/>
          </w:tcPr>
          <w:p>
            <w:pPr>
              <w:widowControl/>
              <w:spacing w:line="360" w:lineRule="auto"/>
              <w:rPr>
                <w:rFonts w:ascii="仿宋" w:hAnsi="仿宋" w:eastAsia="仿宋" w:cs="仿宋"/>
                <w:kern w:val="0"/>
                <w:sz w:val="24"/>
              </w:rPr>
            </w:pPr>
          </w:p>
        </w:tc>
        <w:tc>
          <w:tcPr>
            <w:tcW w:w="651"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3.3项目实施</w:t>
            </w:r>
          </w:p>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方案</w:t>
            </w:r>
          </w:p>
        </w:tc>
        <w:tc>
          <w:tcPr>
            <w:tcW w:w="3075" w:type="pct"/>
            <w:tcBorders>
              <w:top w:val="single" w:color="auto" w:sz="4" w:space="0"/>
            </w:tcBorders>
            <w:vAlign w:val="center"/>
          </w:tcPr>
          <w:p>
            <w:pPr>
              <w:widowControl/>
              <w:spacing w:line="360" w:lineRule="auto"/>
              <w:rPr>
                <w:rFonts w:ascii="仿宋" w:hAnsi="仿宋" w:eastAsia="仿宋" w:cs="仿宋"/>
                <w:kern w:val="0"/>
                <w:sz w:val="24"/>
              </w:rPr>
            </w:pPr>
            <w:r>
              <w:rPr>
                <w:rFonts w:hint="eastAsia" w:ascii="仿宋_GB2312" w:hAnsi="Arial Unicode MS" w:eastAsia="仿宋_GB2312" w:cs="Arial Unicode MS"/>
                <w:kern w:val="0"/>
                <w:sz w:val="24"/>
              </w:rPr>
              <w:t>根据投标人提供的针对本项目的工期响应、技术服务、技术支持以及对本项目人员配置、</w:t>
            </w:r>
            <w:r>
              <w:rPr>
                <w:rFonts w:hint="eastAsia" w:ascii="仿宋_GB2312" w:hAnsi="Arial Unicode MS" w:eastAsia="仿宋_GB2312" w:cs="Arial Unicode MS"/>
                <w:sz w:val="24"/>
              </w:rPr>
              <w:t>验收可操作性与</w:t>
            </w:r>
            <w:r>
              <w:rPr>
                <w:rFonts w:hint="eastAsia" w:ascii="仿宋_GB2312" w:hAnsi="Arial Unicode MS" w:eastAsia="仿宋_GB2312" w:cs="Arial Unicode MS"/>
                <w:kern w:val="0"/>
                <w:sz w:val="24"/>
              </w:rPr>
              <w:t>相关承诺等方面进行打分，优于项目需求的得</w:t>
            </w:r>
            <w:r>
              <w:rPr>
                <w:rFonts w:hint="eastAsia" w:ascii="仿宋_GB2312" w:hAnsi="Arial Unicode MS" w:eastAsia="仿宋_GB2312" w:cs="Arial Unicode MS"/>
                <w:kern w:val="0"/>
                <w:sz w:val="24"/>
                <w:lang w:val="en-US" w:eastAsia="zh-CN"/>
              </w:rPr>
              <w:t>4</w:t>
            </w:r>
            <w:r>
              <w:rPr>
                <w:rFonts w:hint="eastAsia" w:ascii="仿宋_GB2312" w:hAnsi="Arial Unicode MS" w:eastAsia="仿宋_GB2312" w:cs="Arial Unicode MS"/>
                <w:kern w:val="0"/>
                <w:sz w:val="24"/>
              </w:rPr>
              <w:t>-3.1分，符合项目需求的得3-1.1分，部分符合项目需求的得1-0.1分，不符合或不提供的不得分。</w:t>
            </w:r>
          </w:p>
        </w:tc>
        <w:tc>
          <w:tcPr>
            <w:tcW w:w="463" w:type="pct"/>
            <w:tcBorders>
              <w:top w:val="single" w:color="auto" w:sz="4" w:space="0"/>
            </w:tcBorders>
            <w:vAlign w:val="center"/>
          </w:tcPr>
          <w:p>
            <w:pPr>
              <w:widowControl/>
              <w:spacing w:line="360" w:lineRule="auto"/>
              <w:jc w:val="center"/>
              <w:rPr>
                <w:rFonts w:ascii="仿宋" w:hAnsi="仿宋" w:eastAsia="仿宋" w:cs="仿宋"/>
                <w:kern w:val="0"/>
                <w:sz w:val="24"/>
              </w:rPr>
            </w:pPr>
            <w:r>
              <w:rPr>
                <w:rFonts w:ascii="仿宋" w:hAnsi="仿宋" w:eastAsia="仿宋" w:cs="仿宋"/>
                <w:kern w:val="0"/>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3" w:hRule="atLeast"/>
        </w:trPr>
        <w:tc>
          <w:tcPr>
            <w:tcW w:w="810" w:type="pct"/>
            <w:vMerge w:val="continue"/>
            <w:vAlign w:val="center"/>
          </w:tcPr>
          <w:p>
            <w:pPr>
              <w:widowControl/>
              <w:spacing w:line="360" w:lineRule="auto"/>
              <w:rPr>
                <w:rFonts w:ascii="仿宋" w:hAnsi="仿宋" w:eastAsia="仿宋" w:cs="仿宋"/>
                <w:kern w:val="0"/>
                <w:sz w:val="24"/>
              </w:rPr>
            </w:pPr>
          </w:p>
        </w:tc>
        <w:tc>
          <w:tcPr>
            <w:tcW w:w="651" w:type="pct"/>
            <w:vAlign w:val="center"/>
          </w:tcPr>
          <w:p>
            <w:pPr>
              <w:widowControl/>
              <w:spacing w:line="360" w:lineRule="auto"/>
              <w:rPr>
                <w:rFonts w:ascii="仿宋" w:hAnsi="仿宋" w:eastAsia="仿宋" w:cs="仿宋"/>
                <w:kern w:val="0"/>
                <w:sz w:val="24"/>
              </w:rPr>
            </w:pPr>
            <w:r>
              <w:rPr>
                <w:rFonts w:hint="eastAsia" w:ascii="仿宋" w:hAnsi="仿宋" w:eastAsia="仿宋" w:cs="仿宋"/>
                <w:kern w:val="0"/>
                <w:sz w:val="24"/>
              </w:rPr>
              <w:t>3.4兼容性方案</w:t>
            </w:r>
          </w:p>
        </w:tc>
        <w:tc>
          <w:tcPr>
            <w:tcW w:w="3075" w:type="pct"/>
            <w:tcBorders>
              <w:top w:val="single" w:color="auto" w:sz="4" w:space="0"/>
            </w:tcBorders>
            <w:vAlign w:val="center"/>
          </w:tcPr>
          <w:p>
            <w:pPr>
              <w:widowControl/>
              <w:spacing w:line="360" w:lineRule="auto"/>
              <w:rPr>
                <w:rFonts w:ascii="仿宋" w:hAnsi="仿宋" w:eastAsia="仿宋" w:cs="仿宋"/>
                <w:kern w:val="0"/>
                <w:sz w:val="24"/>
              </w:rPr>
            </w:pPr>
            <w:r>
              <w:rPr>
                <w:rFonts w:hint="eastAsia" w:ascii="仿宋" w:hAnsi="仿宋" w:eastAsia="仿宋" w:cs="仿宋"/>
                <w:kern w:val="0"/>
                <w:sz w:val="24"/>
              </w:rPr>
              <w:t>根据投标人提供</w:t>
            </w:r>
            <w:r>
              <w:rPr>
                <w:rFonts w:hint="eastAsia" w:ascii="仿宋" w:hAnsi="仿宋" w:eastAsia="仿宋" w:cs="仿宋"/>
                <w:color w:val="auto"/>
                <w:kern w:val="0"/>
                <w:sz w:val="24"/>
              </w:rPr>
              <w:t>的与医院各项系统如CDR、LIS、HIS、EMR等系统信息集成的能力进行打分，</w:t>
            </w:r>
            <w:r>
              <w:rPr>
                <w:rFonts w:hint="eastAsia" w:ascii="仿宋" w:hAnsi="仿宋" w:eastAsia="仿宋" w:cs="仿宋"/>
                <w:kern w:val="0"/>
                <w:sz w:val="24"/>
              </w:rPr>
              <w:t>优得4.0-3.1分，良好得3.0-1.1分，一般得1.0-0.1分，不符合不提供不得分。</w:t>
            </w:r>
          </w:p>
        </w:tc>
        <w:tc>
          <w:tcPr>
            <w:tcW w:w="463" w:type="pct"/>
            <w:tcBorders>
              <w:top w:val="single" w:color="auto" w:sz="4" w:space="0"/>
            </w:tcBorders>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0" w:hRule="atLeast"/>
        </w:trPr>
        <w:tc>
          <w:tcPr>
            <w:tcW w:w="810" w:type="pct"/>
            <w:vMerge w:val="restar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4.售后服务方案</w:t>
            </w:r>
          </w:p>
        </w:tc>
        <w:tc>
          <w:tcPr>
            <w:tcW w:w="651" w:type="pct"/>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4.1售后服务</w:t>
            </w:r>
          </w:p>
        </w:tc>
        <w:tc>
          <w:tcPr>
            <w:tcW w:w="3075" w:type="pct"/>
            <w:vAlign w:val="center"/>
          </w:tcPr>
          <w:p>
            <w:pPr>
              <w:pStyle w:val="300"/>
              <w:widowControl w:val="0"/>
              <w:spacing w:line="360" w:lineRule="auto"/>
              <w:jc w:val="both"/>
              <w:rPr>
                <w:rFonts w:ascii="仿宋" w:hAnsi="仿宋" w:eastAsia="仿宋" w:cs="仿宋"/>
                <w:sz w:val="24"/>
                <w:szCs w:val="24"/>
              </w:rPr>
            </w:pPr>
            <w:r>
              <w:rPr>
                <w:rFonts w:hint="eastAsia" w:ascii="仿宋_GB2312" w:hAnsi="宋体" w:eastAsia="仿宋_GB2312" w:cs="宋体"/>
                <w:sz w:val="24"/>
              </w:rPr>
              <w:t>根据投标人提供的售后服务方案，包括本地化服务能力，售后响应能力、响应时效等情况进行打分，</w:t>
            </w:r>
            <w:r>
              <w:rPr>
                <w:rFonts w:hint="eastAsia" w:ascii="仿宋_GB2312" w:hAnsi="宋体" w:eastAsia="仿宋_GB2312"/>
                <w:sz w:val="24"/>
              </w:rPr>
              <w:t>优于招标文件要求的得</w:t>
            </w:r>
            <w:r>
              <w:rPr>
                <w:rFonts w:hint="eastAsia" w:ascii="仿宋_GB2312" w:hAnsi="宋体" w:eastAsia="仿宋_GB2312"/>
                <w:sz w:val="24"/>
                <w:lang w:val="en-US" w:eastAsia="zh-CN"/>
              </w:rPr>
              <w:t>4</w:t>
            </w:r>
            <w:r>
              <w:rPr>
                <w:rFonts w:hint="eastAsia" w:ascii="仿宋_GB2312" w:hAnsi="宋体" w:eastAsia="仿宋_GB2312"/>
                <w:sz w:val="24"/>
              </w:rPr>
              <w:t>-</w:t>
            </w:r>
            <w:r>
              <w:rPr>
                <w:rFonts w:hint="eastAsia" w:ascii="仿宋_GB2312" w:hAnsi="宋体" w:eastAsia="仿宋_GB2312"/>
                <w:sz w:val="24"/>
                <w:lang w:val="en-US" w:eastAsia="zh-CN"/>
              </w:rPr>
              <w:t>3.1</w:t>
            </w:r>
            <w:r>
              <w:rPr>
                <w:rFonts w:hint="eastAsia" w:ascii="仿宋_GB2312" w:hAnsi="宋体" w:eastAsia="仿宋_GB2312"/>
                <w:sz w:val="24"/>
              </w:rPr>
              <w:t>分，符合招标文件要求的得</w:t>
            </w:r>
            <w:r>
              <w:rPr>
                <w:rFonts w:hint="eastAsia" w:ascii="仿宋_GB2312" w:hAnsi="宋体" w:eastAsia="仿宋_GB2312"/>
                <w:sz w:val="24"/>
                <w:lang w:val="en-US" w:eastAsia="zh-CN"/>
              </w:rPr>
              <w:t>3</w:t>
            </w:r>
            <w:r>
              <w:rPr>
                <w:rFonts w:hint="eastAsia" w:ascii="仿宋_GB2312" w:hAnsi="宋体" w:eastAsia="仿宋_GB2312"/>
                <w:sz w:val="24"/>
              </w:rPr>
              <w:t>-</w:t>
            </w:r>
            <w:r>
              <w:rPr>
                <w:rFonts w:hint="eastAsia" w:ascii="仿宋_GB2312" w:hAnsi="宋体" w:eastAsia="仿宋_GB2312"/>
                <w:sz w:val="24"/>
                <w:lang w:val="en-US" w:eastAsia="zh-CN"/>
              </w:rPr>
              <w:t>1.1</w:t>
            </w:r>
            <w:r>
              <w:rPr>
                <w:rFonts w:hint="eastAsia" w:ascii="仿宋_GB2312" w:hAnsi="宋体" w:eastAsia="仿宋_GB2312"/>
                <w:sz w:val="24"/>
              </w:rPr>
              <w:t>分，部分符合招标文件要求的得</w:t>
            </w:r>
            <w:r>
              <w:rPr>
                <w:rFonts w:hint="eastAsia" w:ascii="仿宋_GB2312" w:hAnsi="宋体" w:eastAsia="仿宋_GB2312"/>
                <w:sz w:val="24"/>
                <w:lang w:val="en-US" w:eastAsia="zh-CN"/>
              </w:rPr>
              <w:t>1</w:t>
            </w:r>
            <w:r>
              <w:rPr>
                <w:rFonts w:hint="eastAsia" w:ascii="仿宋_GB2312" w:hAnsi="宋体" w:eastAsia="仿宋_GB2312"/>
                <w:sz w:val="24"/>
              </w:rPr>
              <w:t>-0.1分，不符合不得分。</w:t>
            </w:r>
          </w:p>
        </w:tc>
        <w:tc>
          <w:tcPr>
            <w:tcW w:w="463" w:type="pct"/>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3" w:hRule="atLeast"/>
        </w:trPr>
        <w:tc>
          <w:tcPr>
            <w:tcW w:w="810" w:type="pct"/>
            <w:vMerge w:val="continue"/>
            <w:vAlign w:val="center"/>
          </w:tcPr>
          <w:p>
            <w:pPr>
              <w:widowControl/>
              <w:spacing w:line="360" w:lineRule="auto"/>
              <w:rPr>
                <w:rFonts w:ascii="仿宋" w:hAnsi="仿宋" w:eastAsia="仿宋" w:cs="仿宋"/>
                <w:kern w:val="0"/>
                <w:sz w:val="24"/>
              </w:rPr>
            </w:pPr>
          </w:p>
        </w:tc>
        <w:tc>
          <w:tcPr>
            <w:tcW w:w="651"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4.2实质性优惠</w:t>
            </w:r>
          </w:p>
        </w:tc>
        <w:tc>
          <w:tcPr>
            <w:tcW w:w="3075" w:type="pct"/>
            <w:vAlign w:val="center"/>
          </w:tcPr>
          <w:p>
            <w:pPr>
              <w:widowControl/>
              <w:spacing w:line="360" w:lineRule="auto"/>
              <w:rPr>
                <w:rFonts w:ascii="仿宋" w:hAnsi="仿宋" w:eastAsia="仿宋" w:cs="仿宋"/>
                <w:kern w:val="0"/>
                <w:sz w:val="24"/>
              </w:rPr>
            </w:pPr>
            <w:r>
              <w:rPr>
                <w:rFonts w:hint="eastAsia" w:ascii="仿宋" w:hAnsi="仿宋" w:eastAsia="仿宋" w:cs="仿宋"/>
                <w:sz w:val="24"/>
              </w:rPr>
              <w:t>本项目在满足1年质保期的基础上，每增加一年质保，得1.5分，最高3分。</w:t>
            </w:r>
          </w:p>
        </w:tc>
        <w:tc>
          <w:tcPr>
            <w:tcW w:w="463" w:type="pct"/>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w:t>
            </w:r>
          </w:p>
        </w:tc>
      </w:tr>
    </w:tbl>
    <w:p>
      <w:pPr>
        <w:spacing w:line="440" w:lineRule="exact"/>
        <w:rPr>
          <w:rFonts w:hint="eastAsia" w:ascii="仿宋" w:hAnsi="仿宋" w:eastAsia="仿宋" w:cs="仿宋"/>
          <w:b/>
          <w:bCs/>
          <w:iCs/>
          <w:sz w:val="24"/>
          <w:szCs w:val="24"/>
        </w:rPr>
      </w:pPr>
      <w:r>
        <w:rPr>
          <w:rFonts w:hint="eastAsia" w:ascii="仿宋" w:hAnsi="仿宋" w:eastAsia="仿宋" w:cs="仿宋"/>
          <w:b/>
          <w:bCs/>
          <w:iCs/>
          <w:sz w:val="24"/>
          <w:szCs w:val="24"/>
        </w:rPr>
        <w:t>注：对省级以上主管部门认定的首台套产品，自纳入《省推广应用指导目录》起三年内参加政府采购活动，视同已具备相应销售业绩，业绩分为满分。</w:t>
      </w:r>
    </w:p>
    <w:p>
      <w:pPr>
        <w:pStyle w:val="43"/>
        <w:rPr>
          <w:rFonts w:hint="eastAsia"/>
        </w:rPr>
      </w:pPr>
    </w:p>
    <w:p>
      <w:pPr>
        <w:spacing w:line="40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w:t>
      </w:r>
      <w:r>
        <w:rPr>
          <w:rFonts w:hint="eastAsia" w:ascii="仿宋" w:hAnsi="仿宋" w:eastAsia="仿宋" w:cs="仿宋"/>
          <w:b/>
          <w:bCs/>
          <w:iCs/>
          <w:sz w:val="24"/>
          <w:highlight w:val="none"/>
          <w:lang w:val="en-US" w:eastAsia="zh-CN"/>
        </w:rPr>
        <w:t>2.</w:t>
      </w:r>
      <w:r>
        <w:rPr>
          <w:rFonts w:hint="eastAsia" w:ascii="仿宋" w:hAnsi="仿宋" w:eastAsia="仿宋" w:cs="仿宋"/>
          <w:b/>
          <w:bCs/>
          <w:iCs/>
          <w:sz w:val="24"/>
          <w:highlight w:val="none"/>
        </w:rPr>
        <w:t>2价格分：</w:t>
      </w:r>
      <w:r>
        <w:rPr>
          <w:rFonts w:hint="eastAsia" w:ascii="仿宋" w:hAnsi="仿宋" w:eastAsia="仿宋" w:cs="仿宋"/>
          <w:b/>
          <w:bCs/>
          <w:iCs/>
          <w:sz w:val="24"/>
          <w:highlight w:val="none"/>
          <w:lang w:val="en-US" w:eastAsia="zh-CN"/>
        </w:rPr>
        <w:t>30</w:t>
      </w:r>
      <w:r>
        <w:rPr>
          <w:rFonts w:hint="eastAsia" w:ascii="仿宋" w:hAnsi="仿宋" w:eastAsia="仿宋" w:cs="仿宋"/>
          <w:b/>
          <w:bCs/>
          <w:iCs/>
          <w:sz w:val="24"/>
          <w:highlight w:val="none"/>
        </w:rPr>
        <w:t>分</w:t>
      </w:r>
    </w:p>
    <w:p>
      <w:pPr>
        <w:spacing w:line="400" w:lineRule="exact"/>
        <w:rPr>
          <w:rFonts w:hint="eastAsia" w:ascii="仿宋" w:hAnsi="仿宋" w:eastAsia="仿宋" w:cs="仿宋"/>
          <w:bCs/>
          <w:iCs/>
          <w:sz w:val="24"/>
          <w:highlight w:val="none"/>
        </w:rPr>
      </w:pPr>
      <w:r>
        <w:rPr>
          <w:rFonts w:hint="eastAsia" w:ascii="仿宋" w:hAnsi="仿宋" w:eastAsia="仿宋" w:cs="仿宋"/>
          <w:bCs/>
          <w:iCs/>
          <w:sz w:val="24"/>
          <w:highlight w:val="none"/>
        </w:rPr>
        <w:t>2.2.</w:t>
      </w:r>
      <w:r>
        <w:rPr>
          <w:rFonts w:hint="eastAsia" w:ascii="仿宋" w:hAnsi="仿宋" w:eastAsia="仿宋" w:cs="仿宋"/>
          <w:bCs/>
          <w:iCs/>
          <w:sz w:val="24"/>
          <w:highlight w:val="none"/>
          <w:lang w:val="en-US" w:eastAsia="zh-CN"/>
        </w:rPr>
        <w:t>2.</w:t>
      </w:r>
      <w:r>
        <w:rPr>
          <w:rFonts w:hint="eastAsia" w:ascii="仿宋" w:hAnsi="仿宋" w:eastAsia="仿宋" w:cs="仿宋"/>
          <w:bCs/>
          <w:iCs/>
          <w:sz w:val="24"/>
          <w:highlight w:val="none"/>
        </w:rPr>
        <w:t>1评标基准价：即满足采购文件要求且投标报价最低的投标报价为评标基准价，其价格分为满分。</w:t>
      </w:r>
    </w:p>
    <w:p>
      <w:pPr>
        <w:spacing w:line="40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w:t>
      </w:r>
      <w:r>
        <w:rPr>
          <w:rFonts w:hint="eastAsia" w:ascii="仿宋" w:hAnsi="仿宋" w:eastAsia="仿宋" w:cs="仿宋"/>
          <w:bCs/>
          <w:iCs/>
          <w:sz w:val="24"/>
          <w:highlight w:val="none"/>
          <w:lang w:val="en-US" w:eastAsia="zh-CN"/>
        </w:rPr>
        <w:t>.2</w:t>
      </w:r>
      <w:r>
        <w:rPr>
          <w:rFonts w:hint="eastAsia" w:ascii="仿宋" w:hAnsi="仿宋" w:eastAsia="仿宋" w:cs="仿宋"/>
          <w:bCs/>
          <w:iCs/>
          <w:sz w:val="24"/>
          <w:highlight w:val="none"/>
        </w:rPr>
        <w:t>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widowControl/>
        <w:snapToGrid w:val="0"/>
        <w:spacing w:line="480" w:lineRule="exact"/>
        <w:rPr>
          <w:rFonts w:hint="eastAsia" w:ascii="仿宋" w:hAnsi="仿宋" w:eastAsia="仿宋" w:cs="仿宋"/>
          <w:bCs/>
          <w:iCs/>
          <w:sz w:val="24"/>
          <w:highlight w:val="none"/>
          <w:u w:val="singl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lang w:val="en-US" w:eastAsia="zh-CN"/>
        </w:rPr>
        <w:t>30</w:t>
      </w:r>
    </w:p>
    <w:p>
      <w:pPr>
        <w:snapToGrid w:val="0"/>
        <w:spacing w:line="360" w:lineRule="auto"/>
        <w:jc w:val="both"/>
        <w:rPr>
          <w:rFonts w:hint="eastAsia" w:ascii="仿宋" w:hAnsi="仿宋" w:eastAsia="仿宋" w:cs="仿宋"/>
          <w:b/>
          <w:sz w:val="36"/>
          <w:szCs w:val="20"/>
        </w:rPr>
      </w:pPr>
    </w:p>
    <w:p>
      <w:pPr>
        <w:pageBreakBefore/>
        <w:snapToGrid w:val="0"/>
        <w:spacing w:line="360" w:lineRule="auto"/>
        <w:jc w:val="center"/>
        <w:rPr>
          <w:rFonts w:hint="eastAsia"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hint="eastAsia" w:ascii="仿宋" w:hAnsi="仿宋" w:eastAsia="仿宋" w:cs="仿宋"/>
          <w:sz w:val="24"/>
        </w:rPr>
      </w:pPr>
      <w:r>
        <w:rPr>
          <w:rFonts w:hint="eastAsia" w:ascii="仿宋" w:hAnsi="仿宋" w:eastAsia="仿宋" w:cs="仿宋"/>
          <w:sz w:val="24"/>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napToGrid w:val="0"/>
        <w:spacing w:line="360"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hint="eastAsia"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20"/>
        <w:spacing w:line="800" w:lineRule="atLeast"/>
        <w:ind w:left="0" w:leftChars="0"/>
        <w:rPr>
          <w:rFonts w:hint="eastAsia" w:ascii="仿宋" w:hAnsi="仿宋" w:eastAsia="仿宋" w:cs="仿宋"/>
          <w:b/>
          <w:sz w:val="36"/>
          <w:szCs w:val="36"/>
        </w:rPr>
      </w:pPr>
    </w:p>
    <w:p>
      <w:pPr>
        <w:pStyle w:val="20"/>
        <w:spacing w:line="800" w:lineRule="atLeast"/>
        <w:ind w:left="0" w:leftChars="0"/>
        <w:rPr>
          <w:rFonts w:hint="eastAsia" w:ascii="仿宋" w:hAnsi="仿宋" w:eastAsia="仿宋" w:cs="仿宋"/>
          <w:b/>
          <w:sz w:val="36"/>
          <w:szCs w:val="36"/>
        </w:rPr>
      </w:pPr>
    </w:p>
    <w:p>
      <w:pPr>
        <w:pStyle w:val="20"/>
        <w:spacing w:line="800" w:lineRule="atLeast"/>
        <w:ind w:left="0" w:leftChars="0"/>
        <w:rPr>
          <w:rFonts w:hint="eastAsia" w:ascii="仿宋" w:hAnsi="仿宋" w:eastAsia="仿宋" w:cs="仿宋"/>
          <w:b/>
          <w:sz w:val="36"/>
          <w:szCs w:val="36"/>
        </w:rPr>
      </w:pPr>
    </w:p>
    <w:p>
      <w:pPr>
        <w:rPr>
          <w:rFonts w:hint="eastAsia" w:ascii="仿宋" w:hAnsi="仿宋" w:eastAsia="仿宋" w:cs="仿宋"/>
          <w:b/>
          <w:sz w:val="30"/>
          <w:szCs w:val="30"/>
        </w:rPr>
      </w:pPr>
    </w:p>
    <w:p>
      <w:pPr>
        <w:rPr>
          <w:rFonts w:hint="eastAsia" w:ascii="仿宋" w:hAnsi="仿宋" w:eastAsia="仿宋" w:cs="仿宋"/>
          <w:b/>
          <w:sz w:val="30"/>
          <w:szCs w:val="30"/>
        </w:rPr>
      </w:pPr>
    </w:p>
    <w:p>
      <w:pPr>
        <w:pageBreakBefore/>
        <w:rPr>
          <w:rFonts w:hint="eastAsia" w:ascii="仿宋" w:hAnsi="仿宋" w:eastAsia="仿宋" w:cs="仿宋"/>
          <w:b/>
          <w:sz w:val="30"/>
          <w:szCs w:val="30"/>
        </w:rPr>
      </w:pPr>
      <w:r>
        <w:rPr>
          <w:rFonts w:hint="eastAsia" w:ascii="仿宋" w:hAnsi="仿宋" w:eastAsia="仿宋" w:cs="仿宋"/>
          <w:b/>
          <w:sz w:val="30"/>
          <w:szCs w:val="30"/>
        </w:rPr>
        <w:t>1、投标响应函（格式）</w:t>
      </w:r>
    </w:p>
    <w:p>
      <w:pPr>
        <w:pStyle w:val="85"/>
        <w:spacing w:afterLines="0" w:line="440" w:lineRule="exact"/>
        <w:ind w:firstLine="0" w:firstLineChars="0"/>
        <w:rPr>
          <w:rFonts w:hint="eastAsia" w:ascii="仿宋" w:hAnsi="仿宋" w:eastAsia="仿宋" w:cs="仿宋"/>
          <w:szCs w:val="24"/>
        </w:rPr>
      </w:pPr>
    </w:p>
    <w:p>
      <w:pPr>
        <w:pStyle w:val="85"/>
        <w:spacing w:afterLines="0" w:line="440" w:lineRule="exact"/>
        <w:ind w:firstLine="0" w:firstLineChars="0"/>
        <w:rPr>
          <w:rFonts w:hint="eastAsia" w:ascii="仿宋" w:hAnsi="仿宋" w:eastAsia="仿宋" w:cs="仿宋"/>
          <w:szCs w:val="24"/>
          <w:lang w:val="en-US" w:eastAsia="zh-CN"/>
        </w:rPr>
      </w:pPr>
      <w:r>
        <w:rPr>
          <w:rFonts w:hint="eastAsia" w:ascii="仿宋" w:hAnsi="仿宋" w:eastAsia="仿宋" w:cs="仿宋"/>
          <w:szCs w:val="24"/>
        </w:rPr>
        <w:t>致：</w:t>
      </w:r>
      <w:r>
        <w:rPr>
          <w:rFonts w:hint="eastAsia" w:ascii="仿宋" w:hAnsi="仿宋" w:eastAsia="仿宋" w:cs="仿宋"/>
          <w:szCs w:val="24"/>
          <w:u w:val="single"/>
        </w:rPr>
        <w:t>绍兴</w:t>
      </w:r>
      <w:r>
        <w:rPr>
          <w:rFonts w:hint="eastAsia" w:ascii="仿宋" w:hAnsi="仿宋" w:eastAsia="仿宋" w:cs="仿宋"/>
          <w:szCs w:val="24"/>
          <w:u w:val="single"/>
          <w:lang w:val="en-US" w:eastAsia="zh-CN"/>
        </w:rPr>
        <w:t>人民医院、华诚工程咨询集团有限公司</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w:t>
      </w:r>
      <w:r>
        <w:rPr>
          <w:rFonts w:hint="eastAsia" w:ascii="仿宋" w:hAnsi="仿宋" w:eastAsia="仿宋" w:cs="仿宋"/>
          <w:b/>
          <w:szCs w:val="24"/>
          <w:u w:val="single"/>
          <w:lang w:val="en-US" w:eastAsia="zh-CN"/>
        </w:rPr>
        <w:t>项目名称、</w:t>
      </w:r>
      <w:r>
        <w:rPr>
          <w:rFonts w:hint="eastAsia" w:ascii="仿宋" w:hAnsi="仿宋" w:eastAsia="仿宋" w:cs="仿宋"/>
          <w:b/>
          <w:szCs w:val="24"/>
          <w:u w:val="single"/>
        </w:rPr>
        <w:t>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5"/>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85"/>
        <w:spacing w:afterLines="0" w:line="440" w:lineRule="exact"/>
        <w:ind w:firstLine="480"/>
        <w:rPr>
          <w:rFonts w:hint="eastAsia"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w:t>
      </w:r>
      <w:r>
        <w:rPr>
          <w:rFonts w:hint="eastAsia" w:ascii="仿宋" w:hAnsi="仿宋" w:eastAsia="仿宋" w:cs="仿宋"/>
          <w:lang w:val="en-US" w:eastAsia="zh-CN"/>
        </w:rPr>
        <w:t>华诚工程咨询集团有限公司</w:t>
      </w:r>
      <w:r>
        <w:rPr>
          <w:rFonts w:hint="eastAsia" w:ascii="仿宋" w:hAnsi="仿宋" w:eastAsia="仿宋" w:cs="仿宋"/>
        </w:rPr>
        <w:t>提供可能另外要求的与投标有关的任何数据或资料。</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5"/>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85"/>
        <w:spacing w:afterLines="0" w:line="440" w:lineRule="exact"/>
        <w:ind w:firstLine="480"/>
        <w:rPr>
          <w:rFonts w:hint="eastAsia"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地址：　　　　　　　　　　　　　　　邮政编码：</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电话：                              传真：</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开户银行：                          帐号：</w:t>
      </w:r>
    </w:p>
    <w:p>
      <w:pPr>
        <w:pStyle w:val="85"/>
        <w:spacing w:afterLines="0" w:line="440" w:lineRule="exact"/>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pPr>
        <w:pStyle w:val="85"/>
        <w:spacing w:afterLines="0" w:line="440" w:lineRule="exact"/>
        <w:ind w:firstLine="480"/>
        <w:rPr>
          <w:rFonts w:hint="eastAsia" w:ascii="仿宋" w:hAnsi="仿宋" w:eastAsia="仿宋" w:cs="仿宋"/>
          <w:b/>
          <w:sz w:val="30"/>
          <w:szCs w:val="30"/>
        </w:rPr>
      </w:pPr>
      <w:r>
        <w:rPr>
          <w:rFonts w:hint="eastAsia" w:ascii="仿宋" w:hAnsi="仿宋" w:eastAsia="仿宋" w:cs="仿宋"/>
          <w:szCs w:val="24"/>
        </w:rPr>
        <w:t xml:space="preserve">投标人(电子签章)：　　　　　　　　　日期：   </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投标人名称：</w:t>
      </w:r>
    </w:p>
    <w:p>
      <w:pPr>
        <w:snapToGrid w:val="0"/>
        <w:spacing w:line="400" w:lineRule="exact"/>
        <w:rPr>
          <w:rFonts w:hint="eastAsia" w:ascii="仿宋" w:hAnsi="仿宋" w:eastAsia="仿宋" w:cs="仿宋"/>
          <w:sz w:val="24"/>
        </w:rPr>
      </w:pPr>
      <w:r>
        <w:rPr>
          <w:rFonts w:hint="eastAsia" w:ascii="仿宋" w:hAnsi="仿宋" w:eastAsia="仿宋" w:cs="仿宋"/>
          <w:sz w:val="24"/>
        </w:rPr>
        <w:t>标    项：</w:t>
      </w:r>
    </w:p>
    <w:p>
      <w:pPr>
        <w:snapToGrid w:val="0"/>
        <w:spacing w:line="400" w:lineRule="exact"/>
        <w:rPr>
          <w:rFonts w:hint="eastAsia" w:ascii="仿宋" w:hAnsi="仿宋" w:eastAsia="仿宋" w:cs="仿宋"/>
          <w:sz w:val="24"/>
          <w:u w:val="single"/>
        </w:rPr>
      </w:pPr>
      <w:r>
        <w:rPr>
          <w:rFonts w:hint="eastAsia" w:ascii="仿宋" w:hAnsi="仿宋" w:eastAsia="仿宋" w:cs="仿宋"/>
          <w:sz w:val="24"/>
        </w:rPr>
        <w:t>招标编号：</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rPr>
            </w:pPr>
            <w:r>
              <w:rPr>
                <w:rFonts w:hint="eastAsia" w:ascii="仿宋" w:hAnsi="仿宋" w:eastAsia="仿宋" w:cs="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rPr>
            </w:pPr>
            <w:r>
              <w:rPr>
                <w:rFonts w:hint="eastAsia" w:ascii="仿宋" w:hAnsi="仿宋" w:eastAsia="仿宋" w:cs="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rPr>
            </w:pPr>
            <w:r>
              <w:rPr>
                <w:rFonts w:hint="eastAsia" w:ascii="仿宋" w:hAnsi="仿宋" w:eastAsia="仿宋" w:cs="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rPr>
            </w:pPr>
            <w:r>
              <w:rPr>
                <w:rFonts w:hint="eastAsia" w:ascii="仿宋" w:hAnsi="仿宋" w:eastAsia="仿宋" w:cs="仿宋"/>
                <w:spacing w:val="20"/>
                <w:sz w:val="18"/>
                <w:szCs w:val="18"/>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rPr>
            </w:pPr>
            <w:r>
              <w:rPr>
                <w:rFonts w:hint="eastAsia" w:ascii="仿宋" w:hAnsi="仿宋" w:eastAsia="仿宋" w:cs="仿宋"/>
                <w:spacing w:val="20"/>
                <w:sz w:val="18"/>
                <w:szCs w:val="18"/>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rPr>
            </w:pPr>
            <w:r>
              <w:rPr>
                <w:rFonts w:hint="eastAsia" w:ascii="仿宋" w:hAnsi="仿宋" w:eastAsia="仿宋" w:cs="仿宋"/>
                <w:spacing w:val="20"/>
                <w:sz w:val="18"/>
                <w:szCs w:val="18"/>
              </w:rPr>
              <w:t>型号和规格</w:t>
            </w:r>
            <w:r>
              <w:rPr>
                <w:rFonts w:hint="eastAsia" w:ascii="仿宋" w:hAnsi="仿宋" w:eastAsia="仿宋" w:cs="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rPr>
            </w:pPr>
            <w:r>
              <w:rPr>
                <w:rFonts w:hint="eastAsia" w:ascii="仿宋" w:hAnsi="仿宋" w:eastAsia="仿宋" w:cs="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rPr>
            </w:pPr>
            <w:r>
              <w:rPr>
                <w:rFonts w:hint="eastAsia" w:ascii="仿宋" w:hAnsi="仿宋" w:eastAsia="仿宋" w:cs="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rPr>
            </w:pPr>
            <w:r>
              <w:rPr>
                <w:rFonts w:hint="eastAsia" w:ascii="仿宋" w:hAnsi="仿宋" w:eastAsia="仿宋" w:cs="仿宋"/>
                <w:spacing w:val="20"/>
                <w:sz w:val="18"/>
                <w:szCs w:val="18"/>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rPr>
            </w:pPr>
            <w:r>
              <w:rPr>
                <w:rFonts w:hint="eastAsia" w:ascii="仿宋" w:hAnsi="仿宋" w:eastAsia="仿宋" w:cs="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rPr>
            </w:pPr>
            <w:r>
              <w:rPr>
                <w:rFonts w:hint="eastAsia" w:ascii="仿宋" w:hAnsi="仿宋" w:eastAsia="仿宋" w:cs="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rPr>
            </w:pPr>
            <w:r>
              <w:rPr>
                <w:rFonts w:hint="eastAsia" w:ascii="仿宋" w:hAnsi="仿宋" w:eastAsia="仿宋" w:cs="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rPr>
            </w:pPr>
            <w:r>
              <w:rPr>
                <w:rFonts w:hint="eastAsia" w:ascii="仿宋" w:hAnsi="仿宋" w:eastAsia="仿宋" w:cs="仿宋"/>
                <w:spacing w:val="20"/>
                <w:sz w:val="18"/>
                <w:szCs w:val="18"/>
              </w:rPr>
              <w:t>大写：</w:t>
            </w:r>
          </w:p>
        </w:tc>
      </w:tr>
    </w:tbl>
    <w:p>
      <w:pPr>
        <w:snapToGrid w:val="0"/>
        <w:jc w:val="left"/>
        <w:rPr>
          <w:rFonts w:hint="eastAsia" w:ascii="仿宋" w:hAnsi="仿宋" w:eastAsia="仿宋" w:cs="仿宋"/>
          <w:sz w:val="24"/>
        </w:rPr>
      </w:pPr>
      <w:r>
        <w:rPr>
          <w:rFonts w:hint="eastAsia" w:ascii="仿宋" w:hAnsi="仿宋" w:eastAsia="仿宋" w:cs="仿宋"/>
          <w:sz w:val="24"/>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hint="eastAsia"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sz w:val="24"/>
        </w:rPr>
      </w:pPr>
    </w:p>
    <w:p>
      <w:pPr>
        <w:spacing w:line="360" w:lineRule="auto"/>
        <w:ind w:left="-4" w:leftChars="-2" w:right="-817" w:rightChars="-389" w:firstLine="2"/>
        <w:rPr>
          <w:rFonts w:hint="eastAsia" w:ascii="仿宋" w:hAnsi="仿宋" w:eastAsia="仿宋" w:cs="仿宋"/>
          <w:sz w:val="24"/>
        </w:rPr>
      </w:pPr>
      <w:r>
        <w:rPr>
          <w:rFonts w:hint="eastAsia" w:ascii="仿宋" w:hAnsi="仿宋" w:eastAsia="仿宋" w:cs="仿宋"/>
          <w:sz w:val="24"/>
        </w:rPr>
        <w:t>投标人（电子签章）：</w:t>
      </w:r>
    </w:p>
    <w:p>
      <w:pPr>
        <w:spacing w:line="360" w:lineRule="auto"/>
        <w:outlineLvl w:val="0"/>
        <w:rPr>
          <w:rFonts w:hint="eastAsia" w:ascii="仿宋" w:hAnsi="仿宋" w:eastAsia="仿宋" w:cs="仿宋"/>
          <w:sz w:val="24"/>
        </w:rPr>
      </w:pPr>
      <w:r>
        <w:rPr>
          <w:rFonts w:hint="eastAsia" w:ascii="仿宋" w:hAnsi="仿宋" w:eastAsia="仿宋" w:cs="仿宋"/>
          <w:sz w:val="24"/>
        </w:rPr>
        <w:t>法定代表人或其授权代表（签字或盖章）：            日期：    年   月   日</w:t>
      </w:r>
    </w:p>
    <w:p>
      <w:pPr>
        <w:pageBreakBefore/>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201"/>
        <w:spacing w:line="360" w:lineRule="auto"/>
        <w:ind w:left="0" w:firstLine="0" w:firstLineChars="0"/>
        <w:rPr>
          <w:rFonts w:hint="eastAsia" w:ascii="仿宋" w:hAnsi="仿宋" w:eastAsia="仿宋" w:cs="仿宋"/>
        </w:rPr>
      </w:pPr>
      <w:r>
        <w:rPr>
          <w:rFonts w:hint="eastAsia" w:ascii="仿宋" w:hAnsi="仿宋" w:eastAsia="仿宋" w:cs="仿宋"/>
        </w:rPr>
        <w:t>（1）法定代表人授权书 …………………………………………………………（页码）</w:t>
      </w:r>
    </w:p>
    <w:p>
      <w:pPr>
        <w:pStyle w:val="201"/>
        <w:spacing w:line="360" w:lineRule="auto"/>
        <w:ind w:left="0" w:firstLine="0" w:firstLineChars="0"/>
        <w:rPr>
          <w:rFonts w:hint="eastAsia" w:ascii="仿宋" w:hAnsi="仿宋" w:eastAsia="仿宋" w:cs="仿宋"/>
        </w:rPr>
      </w:pPr>
      <w:r>
        <w:rPr>
          <w:rFonts w:hint="eastAsia" w:ascii="仿宋" w:hAnsi="仿宋" w:eastAsia="仿宋" w:cs="仿宋"/>
        </w:rPr>
        <w:t>（2）授权代表社保证明（复印件）………………………………………………（页码）</w:t>
      </w:r>
    </w:p>
    <w:p>
      <w:pPr>
        <w:pStyle w:val="201"/>
        <w:spacing w:line="360" w:lineRule="auto"/>
        <w:ind w:left="0" w:firstLine="0" w:firstLineChars="0"/>
        <w:rPr>
          <w:rFonts w:hint="eastAsia" w:ascii="仿宋" w:hAnsi="仿宋" w:eastAsia="仿宋" w:cs="仿宋"/>
        </w:rPr>
      </w:pPr>
      <w:r>
        <w:rPr>
          <w:rFonts w:hint="eastAsia" w:ascii="仿宋" w:hAnsi="仿宋" w:eastAsia="仿宋" w:cs="仿宋"/>
        </w:rPr>
        <w:t>（3）法定代表人及其授权代表的身份证（复印件）……………………………（页码）</w:t>
      </w:r>
    </w:p>
    <w:p>
      <w:pPr>
        <w:pStyle w:val="201"/>
        <w:spacing w:line="360" w:lineRule="auto"/>
        <w:ind w:left="0" w:firstLine="0" w:firstLineChars="0"/>
        <w:rPr>
          <w:rFonts w:hint="eastAsia" w:ascii="仿宋" w:hAnsi="仿宋" w:eastAsia="仿宋" w:cs="仿宋"/>
        </w:rPr>
      </w:pPr>
      <w:r>
        <w:rPr>
          <w:rFonts w:hint="eastAsia" w:ascii="仿宋" w:hAnsi="仿宋" w:eastAsia="仿宋" w:cs="仿宋"/>
        </w:rPr>
        <w:t>（4）法定代表人身份证明书………………………………………………………（页码）</w:t>
      </w:r>
    </w:p>
    <w:p>
      <w:pPr>
        <w:spacing w:line="360" w:lineRule="auto"/>
        <w:outlineLvl w:val="0"/>
        <w:rPr>
          <w:rFonts w:hint="eastAsia" w:ascii="仿宋" w:hAnsi="仿宋" w:eastAsia="仿宋" w:cs="仿宋"/>
          <w:sz w:val="24"/>
        </w:rPr>
      </w:pPr>
      <w:r>
        <w:rPr>
          <w:rFonts w:hint="eastAsia" w:ascii="仿宋" w:hAnsi="仿宋" w:eastAsia="仿宋" w:cs="仿宋"/>
          <w:sz w:val="24"/>
        </w:rPr>
        <w:t>（5）资格审查有关的书面承诺函</w:t>
      </w:r>
      <w:r>
        <w:rPr>
          <w:rFonts w:hint="eastAsia" w:ascii="仿宋" w:hAnsi="仿宋" w:eastAsia="仿宋" w:cs="仿宋"/>
          <w:lang w:val="zh-CN"/>
        </w:rPr>
        <w:t>………………………………………………</w:t>
      </w:r>
      <w:r>
        <w:rPr>
          <w:rFonts w:hint="eastAsia" w:ascii="仿宋" w:hAnsi="仿宋" w:eastAsia="仿宋" w:cs="仿宋"/>
        </w:rPr>
        <w:t>…………</w:t>
      </w:r>
      <w:r>
        <w:rPr>
          <w:rFonts w:hint="eastAsia" w:ascii="仿宋" w:hAnsi="仿宋" w:eastAsia="仿宋" w:cs="仿宋"/>
          <w:kern w:val="0"/>
          <w:sz w:val="24"/>
        </w:rPr>
        <w:t>（页码）</w:t>
      </w:r>
    </w:p>
    <w:p>
      <w:pPr>
        <w:pStyle w:val="201"/>
        <w:spacing w:line="360" w:lineRule="auto"/>
        <w:ind w:firstLine="0" w:firstLineChars="0"/>
        <w:rPr>
          <w:rFonts w:hint="eastAsia" w:ascii="仿宋" w:hAnsi="仿宋" w:eastAsia="仿宋" w:cs="仿宋"/>
        </w:rPr>
      </w:pPr>
      <w:r>
        <w:rPr>
          <w:rFonts w:hint="eastAsia" w:ascii="仿宋" w:hAnsi="仿宋" w:eastAsia="仿宋" w:cs="仿宋"/>
        </w:rPr>
        <w:t>（6）符合特定资格条件（如果项目要求）的有关证明材料（复印件）………（页码）</w:t>
      </w:r>
    </w:p>
    <w:p>
      <w:pPr>
        <w:pStyle w:val="201"/>
        <w:spacing w:line="360" w:lineRule="auto"/>
        <w:ind w:left="0" w:firstLine="0" w:firstLineChars="0"/>
        <w:rPr>
          <w:rFonts w:hint="eastAsia" w:ascii="仿宋" w:hAnsi="仿宋" w:eastAsia="仿宋" w:cs="仿宋"/>
        </w:rPr>
      </w:pPr>
      <w:r>
        <w:rPr>
          <w:rFonts w:hint="eastAsia" w:ascii="仿宋" w:hAnsi="仿宋" w:eastAsia="仿宋" w:cs="仿宋"/>
        </w:rPr>
        <w:t>（7）</w:t>
      </w:r>
      <w:r>
        <w:rPr>
          <w:rFonts w:hint="eastAsia" w:ascii="仿宋" w:hAnsi="仿宋" w:eastAsia="仿宋" w:cs="仿宋"/>
          <w:snapToGrid w:val="0"/>
        </w:rPr>
        <w:t>投标人售后服务证明材料</w:t>
      </w:r>
      <w:r>
        <w:rPr>
          <w:rFonts w:hint="eastAsia" w:ascii="仿宋" w:hAnsi="仿宋" w:eastAsia="仿宋" w:cs="仿宋"/>
        </w:rPr>
        <w:t>……………………………………………………（页码）</w:t>
      </w:r>
    </w:p>
    <w:p>
      <w:pPr>
        <w:pStyle w:val="201"/>
        <w:spacing w:line="360" w:lineRule="auto"/>
        <w:ind w:left="0" w:firstLine="0" w:firstLineChars="0"/>
        <w:rPr>
          <w:rFonts w:hint="eastAsia" w:ascii="仿宋" w:hAnsi="仿宋" w:eastAsia="仿宋" w:cs="仿宋"/>
        </w:rPr>
      </w:pPr>
      <w:r>
        <w:rPr>
          <w:rFonts w:hint="eastAsia" w:ascii="仿宋" w:hAnsi="仿宋" w:eastAsia="仿宋" w:cs="仿宋"/>
        </w:rPr>
        <w:t>（8）</w:t>
      </w:r>
      <w:r>
        <w:rPr>
          <w:rFonts w:hint="eastAsia" w:ascii="仿宋" w:hAnsi="仿宋" w:eastAsia="仿宋" w:cs="仿宋"/>
          <w:lang w:val="zh-CN"/>
        </w:rPr>
        <w:t>主要业绩证明…………………………………………………</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201"/>
        <w:spacing w:line="360" w:lineRule="auto"/>
        <w:ind w:left="0" w:firstLine="0" w:firstLineChars="0"/>
        <w:rPr>
          <w:rFonts w:hint="eastAsia" w:ascii="仿宋" w:hAnsi="仿宋" w:eastAsia="仿宋" w:cs="仿宋"/>
        </w:rPr>
      </w:pPr>
      <w:r>
        <w:rPr>
          <w:rFonts w:hint="eastAsia" w:ascii="仿宋" w:hAnsi="仿宋" w:eastAsia="仿宋" w:cs="仿宋"/>
        </w:rPr>
        <w:t>（9）廉政承诺书 …………………………………………………………………（页码）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（10）技术解决方案…………………………………………………</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（11）技术偏离说明表………………………………………………</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（12）组织实施方案……………………………………………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（13）售后服务方案……………………………………………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（14）项目小组人员名单………………………………………</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lang w:val="zh-CN"/>
        </w:rPr>
      </w:pPr>
      <w:r>
        <w:rPr>
          <w:rFonts w:hint="eastAsia" w:ascii="仿宋" w:hAnsi="仿宋" w:eastAsia="仿宋" w:cs="仿宋"/>
          <w:kern w:val="0"/>
          <w:sz w:val="24"/>
        </w:rPr>
        <w:t>（18）</w:t>
      </w:r>
      <w:r>
        <w:rPr>
          <w:rFonts w:hint="eastAsia" w:ascii="仿宋" w:hAnsi="仿宋" w:eastAsia="仿宋" w:cs="仿宋"/>
          <w:kern w:val="0"/>
          <w:sz w:val="24"/>
          <w:lang w:val="zh-CN"/>
        </w:rPr>
        <w:t>验收方案……………………………………………………………………（页码）</w:t>
      </w:r>
    </w:p>
    <w:p>
      <w:pPr>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（19）认为需要的其他商务技术（资信）文件或说明…………………………（页码）</w:t>
      </w:r>
    </w:p>
    <w:p>
      <w:pPr>
        <w:spacing w:line="360" w:lineRule="auto"/>
        <w:rPr>
          <w:rFonts w:hint="eastAsia" w:ascii="仿宋" w:hAnsi="仿宋" w:eastAsia="仿宋" w:cs="仿宋"/>
          <w:b/>
          <w:bCs/>
          <w:sz w:val="24"/>
        </w:rPr>
      </w:pPr>
      <w:r>
        <w:rPr>
          <w:rFonts w:hint="eastAsia" w:ascii="仿宋" w:hAnsi="仿宋" w:eastAsia="仿宋" w:cs="仿宋"/>
          <w:kern w:val="0"/>
          <w:sz w:val="24"/>
        </w:rPr>
        <w:t>（20）</w:t>
      </w:r>
      <w:r>
        <w:rPr>
          <w:rFonts w:hint="eastAsia" w:ascii="仿宋" w:hAnsi="仿宋" w:eastAsia="仿宋" w:cs="仿宋"/>
          <w:kern w:val="0"/>
          <w:sz w:val="24"/>
          <w:lang w:val="zh-CN"/>
        </w:rPr>
        <w:t>联合协议（如有）……………………………………………………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（21）</w:t>
      </w:r>
      <w:r>
        <w:rPr>
          <w:rFonts w:hint="eastAsia" w:ascii="仿宋" w:hAnsi="仿宋" w:eastAsia="仿宋" w:cs="仿宋"/>
          <w:kern w:val="0"/>
          <w:sz w:val="24"/>
          <w:lang w:val="zh-CN"/>
        </w:rPr>
        <w:t>分包意向协议（如有）…………………………………………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b/>
          <w:bCs/>
          <w:sz w:val="24"/>
        </w:rPr>
      </w:pPr>
      <w:r>
        <w:rPr>
          <w:rFonts w:hint="eastAsia" w:ascii="仿宋" w:hAnsi="仿宋" w:eastAsia="仿宋" w:cs="仿宋"/>
          <w:kern w:val="0"/>
          <w:sz w:val="24"/>
        </w:rPr>
        <w:t>（22）中小企业声明函</w:t>
      </w:r>
      <w:r>
        <w:rPr>
          <w:rFonts w:hint="eastAsia" w:ascii="仿宋" w:hAnsi="仿宋" w:eastAsia="仿宋" w:cs="仿宋"/>
          <w:kern w:val="0"/>
          <w:sz w:val="24"/>
          <w:lang w:val="zh-CN"/>
        </w:rPr>
        <w:t>（如有）</w:t>
      </w:r>
      <w:r>
        <w:rPr>
          <w:rFonts w:hint="eastAsia" w:ascii="仿宋" w:hAnsi="仿宋" w:eastAsia="仿宋" w:cs="仿宋"/>
          <w:kern w:val="0"/>
          <w:sz w:val="24"/>
        </w:rPr>
        <w:t>……………………………………………………（页码）</w:t>
      </w:r>
    </w:p>
    <w:p>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绍兴市人民医院</w:t>
      </w:r>
      <w:r>
        <w:rPr>
          <w:rFonts w:hint="eastAsia" w:ascii="仿宋" w:hAnsi="仿宋" w:eastAsia="仿宋" w:cs="仿宋"/>
          <w:sz w:val="24"/>
          <w:u w:val="single"/>
        </w:rPr>
        <w:t>、</w:t>
      </w:r>
      <w:r>
        <w:rPr>
          <w:rFonts w:hint="eastAsia" w:ascii="仿宋" w:hAnsi="仿宋" w:eastAsia="仿宋" w:cs="仿宋"/>
          <w:sz w:val="24"/>
          <w:u w:val="single"/>
          <w:lang w:val="en-US" w:eastAsia="zh-CN"/>
        </w:rPr>
        <w:t>华诚工程咨询集团有限公司</w:t>
      </w:r>
      <w:r>
        <w:rPr>
          <w:rFonts w:hint="eastAsia" w:ascii="仿宋" w:hAnsi="仿宋" w:eastAsia="仿宋" w:cs="仿宋"/>
          <w:sz w:val="24"/>
        </w:rPr>
        <w:t>组织的</w:t>
      </w:r>
      <w:r>
        <w:rPr>
          <w:rFonts w:hint="eastAsia" w:ascii="仿宋" w:hAnsi="仿宋" w:eastAsia="仿宋" w:cs="仿宋"/>
          <w:sz w:val="24"/>
          <w:szCs w:val="24"/>
          <w:u w:val="single"/>
          <w:lang w:val="en-US" w:eastAsia="zh-CN"/>
        </w:rPr>
        <w:t xml:space="preserve">                 （项目名称）</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绍兴市人民医院</w:t>
      </w:r>
      <w:r>
        <w:rPr>
          <w:rFonts w:hint="eastAsia" w:ascii="仿宋" w:hAnsi="仿宋" w:eastAsia="仿宋" w:cs="仿宋"/>
          <w:sz w:val="24"/>
          <w:u w:val="single"/>
        </w:rPr>
        <w:t>、</w:t>
      </w:r>
      <w:r>
        <w:rPr>
          <w:rFonts w:hint="eastAsia" w:ascii="仿宋" w:hAnsi="仿宋" w:eastAsia="仿宋" w:cs="仿宋"/>
          <w:sz w:val="24"/>
          <w:u w:val="single"/>
          <w:lang w:val="en-US" w:eastAsia="zh-CN"/>
        </w:rPr>
        <w:t>华诚工程咨询集团有限公司</w:t>
      </w:r>
      <w:r>
        <w:rPr>
          <w:rFonts w:hint="eastAsia" w:ascii="仿宋" w:hAnsi="仿宋" w:eastAsia="仿宋" w:cs="仿宋"/>
          <w:sz w:val="24"/>
        </w:rPr>
        <w:t>组织的</w:t>
      </w:r>
      <w:r>
        <w:rPr>
          <w:rFonts w:hint="eastAsia" w:ascii="仿宋" w:hAnsi="仿宋" w:eastAsia="仿宋" w:cs="仿宋"/>
          <w:sz w:val="24"/>
          <w:szCs w:val="24"/>
          <w:u w:val="single"/>
          <w:lang w:val="en-US" w:eastAsia="zh-CN"/>
        </w:rPr>
        <w:t xml:space="preserve">                  （项目名称）</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highlight w:val="yellow"/>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hint="eastAsia" w:ascii="仿宋" w:hAnsi="仿宋" w:eastAsia="仿宋" w:cs="仿宋"/>
          <w:b/>
          <w:sz w:val="24"/>
        </w:rPr>
      </w:pP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hint="eastAsia" w:ascii="仿宋" w:hAnsi="仿宋" w:eastAsia="仿宋" w:cs="仿宋"/>
          <w:sz w:val="24"/>
        </w:rPr>
      </w:pPr>
    </w:p>
    <w:p>
      <w:pPr>
        <w:spacing w:line="800" w:lineRule="exact"/>
        <w:ind w:firstLine="4337" w:firstLineChars="1800"/>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p>
    <w:p>
      <w:pPr>
        <w:spacing w:line="440" w:lineRule="exact"/>
        <w:rPr>
          <w:rFonts w:hint="eastAsia" w:ascii="仿宋" w:hAnsi="仿宋" w:eastAsia="仿宋" w:cs="仿宋"/>
          <w:sz w:val="24"/>
        </w:rPr>
      </w:pPr>
      <w:r>
        <w:rPr>
          <w:rFonts w:hint="eastAsia" w:ascii="仿宋" w:hAnsi="仿宋" w:eastAsia="仿宋" w:cs="仿宋"/>
          <w:sz w:val="24"/>
        </w:rPr>
        <w:t>地    址：</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pageBreakBefore/>
        <w:spacing w:afterLines="100"/>
        <w:rPr>
          <w:rFonts w:hint="eastAsia"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360" w:lineRule="auto"/>
        <w:rPr>
          <w:rFonts w:hint="eastAsia" w:ascii="仿宋" w:hAnsi="仿宋" w:eastAsia="仿宋" w:cs="仿宋"/>
          <w:sz w:val="24"/>
        </w:rPr>
      </w:pPr>
      <w:r>
        <w:rPr>
          <w:rFonts w:hint="eastAsia" w:ascii="仿宋" w:hAnsi="仿宋" w:eastAsia="仿宋" w:cs="仿宋"/>
          <w:sz w:val="24"/>
          <w:lang w:val="en-US" w:eastAsia="zh-CN"/>
        </w:rPr>
        <w:t>绍兴市人民医院、华诚工程咨询集团有限公司</w:t>
      </w:r>
      <w:r>
        <w:rPr>
          <w:rFonts w:hint="eastAsia" w:ascii="仿宋" w:hAnsi="仿宋" w:eastAsia="仿宋" w:cs="仿宋"/>
          <w:kern w:val="0"/>
          <w:sz w:val="24"/>
          <w:lang w:val="zh-CN"/>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我方郑重承诺，已具有</w:t>
      </w:r>
      <w:r>
        <w:rPr>
          <w:rFonts w:hint="eastAsia" w:ascii="仿宋" w:hAnsi="仿宋" w:eastAsia="仿宋" w:cs="仿宋"/>
          <w:sz w:val="24"/>
          <w:szCs w:val="24"/>
          <w:u w:val="single"/>
          <w:lang w:val="en-US" w:eastAsia="zh-CN"/>
        </w:rPr>
        <w:t xml:space="preserve">               （项目名称）</w:t>
      </w:r>
      <w:r>
        <w:rPr>
          <w:rFonts w:hint="eastAsia" w:ascii="仿宋" w:hAnsi="仿宋" w:eastAsia="仿宋" w:cs="仿宋"/>
          <w:sz w:val="24"/>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rPr>
        <w:t>）招标文件中关于申请人资格要求的下列条件：</w:t>
      </w:r>
    </w:p>
    <w:p>
      <w:pPr>
        <w:pStyle w:val="85"/>
        <w:spacing w:after="120" w:line="440" w:lineRule="exact"/>
        <w:ind w:firstLine="480"/>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360" w:lineRule="auto"/>
        <w:ind w:firstLine="480" w:firstLineChars="200"/>
        <w:rPr>
          <w:rFonts w:hint="eastAsia"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hint="eastAsia" w:ascii="仿宋" w:hAnsi="仿宋" w:eastAsia="仿宋" w:cs="仿宋"/>
          <w:b/>
          <w:sz w:val="30"/>
          <w:szCs w:val="30"/>
        </w:rPr>
      </w:pPr>
    </w:p>
    <w:p>
      <w:pPr>
        <w:pageBreakBefore/>
        <w:spacing w:line="360" w:lineRule="auto"/>
        <w:rPr>
          <w:rFonts w:hint="eastAsia"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rPr>
        <w:t>7、投标人售后服务能力证明材料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202"/>
        <w:pageBreakBefore/>
        <w:ind w:firstLine="0"/>
        <w:jc w:val="both"/>
        <w:rPr>
          <w:rFonts w:hint="eastAsia" w:ascii="仿宋" w:hAnsi="仿宋" w:eastAsia="仿宋" w:cs="仿宋"/>
        </w:rPr>
      </w:pPr>
      <w:r>
        <w:rPr>
          <w:rFonts w:hint="eastAsia" w:ascii="仿宋" w:hAnsi="仿宋" w:eastAsia="仿宋" w:cs="仿宋"/>
        </w:rPr>
        <w:t>9、廉政承诺书</w:t>
      </w:r>
    </w:p>
    <w:p>
      <w:pPr>
        <w:autoSpaceDE w:val="0"/>
        <w:autoSpaceDN w:val="0"/>
        <w:spacing w:line="360" w:lineRule="auto"/>
        <w:ind w:left="2"/>
        <w:jc w:val="left"/>
        <w:rPr>
          <w:rFonts w:hint="eastAsia" w:ascii="仿宋" w:hAnsi="仿宋" w:eastAsia="仿宋" w:cs="仿宋"/>
          <w:kern w:val="0"/>
          <w:sz w:val="24"/>
          <w:lang w:val="zh-CN"/>
        </w:rPr>
      </w:pPr>
      <w:r>
        <w:rPr>
          <w:rFonts w:hint="eastAsia" w:ascii="仿宋" w:hAnsi="仿宋" w:eastAsia="仿宋" w:cs="仿宋"/>
          <w:sz w:val="24"/>
        </w:rPr>
        <w:t>绍兴市</w:t>
      </w:r>
      <w:r>
        <w:rPr>
          <w:rFonts w:hint="eastAsia" w:ascii="仿宋" w:hAnsi="仿宋" w:eastAsia="仿宋" w:cs="仿宋"/>
          <w:sz w:val="24"/>
          <w:lang w:val="en-US" w:eastAsia="zh-CN"/>
        </w:rPr>
        <w:t>人民医院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仿宋" w:hAnsi="仿宋" w:eastAsia="仿宋" w:cs="仿宋"/>
          <w:b/>
          <w:kern w:val="0"/>
          <w:sz w:val="28"/>
          <w:szCs w:val="28"/>
        </w:rPr>
        <w:object>
          <v:shape id="_x0000_i1026"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hint="eastAsia"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hint="eastAsia"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bl>
    <w:p>
      <w:pPr>
        <w:tabs>
          <w:tab w:val="left" w:pos="570"/>
        </w:tabs>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hint="eastAsia"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12、组织实施方案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18"/>
          <w:szCs w:val="18"/>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napToGrid w:val="0"/>
        <w:spacing w:line="360" w:lineRule="auto"/>
        <w:ind w:right="1440"/>
        <w:jc w:val="right"/>
        <w:rPr>
          <w:rFonts w:hint="eastAsia" w:ascii="仿宋" w:hAnsi="仿宋" w:eastAsia="仿宋" w:cs="仿宋"/>
          <w:kern w:val="0"/>
          <w:sz w:val="24"/>
          <w:lang w:val="zh-CN"/>
        </w:rPr>
      </w:pPr>
      <w:r>
        <w:rPr>
          <w:rFonts w:hint="eastAsia" w:ascii="仿宋" w:hAnsi="仿宋" w:eastAsia="仿宋" w:cs="仿宋"/>
          <w:kern w:val="0"/>
          <w:sz w:val="24"/>
          <w:lang w:val="zh-CN"/>
        </w:rPr>
        <w:t>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20、联合协议</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联合体成员名称(电子签章/公章)：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hint="eastAsia" w:ascii="仿宋" w:hAnsi="仿宋" w:eastAsia="仿宋" w:cs="仿宋"/>
          <w:b/>
          <w:kern w:val="0"/>
          <w:sz w:val="32"/>
          <w:szCs w:val="32"/>
          <w:lang w:val="zh-CN"/>
        </w:rPr>
        <w:sectPr>
          <w:footerReference r:id="rId10" w:type="first"/>
          <w:footerReference r:id="rId9" w:type="default"/>
          <w:pgSz w:w="11906" w:h="16838"/>
          <w:pgMar w:top="1276" w:right="1418" w:bottom="1247" w:left="1418" w:header="851" w:footer="992" w:gutter="0"/>
          <w:pgNumType w:fmt="decimal"/>
          <w:cols w:space="720" w:num="1"/>
          <w:docGrid w:linePitch="312" w:charSpace="0"/>
        </w:sect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21、分包意向协议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hint="eastAsia" w:ascii="仿宋" w:hAnsi="仿宋" w:eastAsia="仿宋" w:cs="仿宋"/>
        </w:rPr>
      </w:pPr>
      <w:r>
        <w:rPr>
          <w:rFonts w:hint="eastAsia" w:ascii="仿宋" w:hAnsi="仿宋" w:eastAsia="仿宋" w:cs="仿宋"/>
          <w:kern w:val="0"/>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hint="eastAsia" w:ascii="仿宋" w:hAnsi="仿宋" w:eastAsia="仿宋" w:cs="仿宋"/>
          <w:u w:val="single"/>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hint="eastAsia" w:ascii="仿宋" w:hAnsi="仿宋" w:eastAsia="仿宋" w:cs="仿宋"/>
          <w:kern w:val="0"/>
          <w:sz w:val="24"/>
          <w:lang w:val="zh-CN"/>
        </w:rPr>
      </w:pP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投标人名称(电子签章)：</w:t>
      </w:r>
    </w:p>
    <w:p>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22、落实政府采购政策需满足的资格要求</w:t>
      </w:r>
    </w:p>
    <w:p>
      <w:pPr>
        <w:spacing w:line="440" w:lineRule="exact"/>
        <w:rPr>
          <w:rFonts w:hint="eastAsia"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（附件）。</w:t>
      </w:r>
    </w:p>
    <w:p>
      <w:pPr>
        <w:widowControl/>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kern w:val="0"/>
          <w:sz w:val="32"/>
          <w:szCs w:val="32"/>
          <w:lang w:val="zh-CN"/>
        </w:rPr>
      </w:pPr>
    </w:p>
    <w:p>
      <w:pPr>
        <w:adjustRightInd w:val="0"/>
        <w:snapToGrid w:val="0"/>
        <w:spacing w:before="50" w:after="50"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jc w:val="center"/>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hint="eastAsia" w:ascii="仿宋" w:hAnsi="仿宋" w:eastAsia="仿宋" w:cs="仿宋"/>
          <w:sz w:val="24"/>
        </w:rPr>
      </w:pPr>
    </w:p>
    <w:p>
      <w:pPr>
        <w:spacing w:line="360" w:lineRule="auto"/>
        <w:ind w:firstLine="482" w:firstLineChars="200"/>
        <w:rPr>
          <w:rFonts w:hint="eastAsia" w:ascii="仿宋" w:hAnsi="仿宋" w:eastAsia="仿宋" w:cs="仿宋"/>
          <w:b/>
          <w:sz w:val="24"/>
        </w:rPr>
      </w:pPr>
    </w:p>
    <w:p>
      <w:pPr>
        <w:spacing w:line="360" w:lineRule="auto"/>
        <w:ind w:firstLine="482" w:firstLineChars="200"/>
        <w:rPr>
          <w:rFonts w:hint="eastAsia" w:ascii="仿宋" w:hAnsi="仿宋" w:eastAsia="仿宋" w:cs="仿宋"/>
          <w:b/>
          <w:sz w:val="24"/>
          <w:highlight w:val="yellow"/>
        </w:rPr>
      </w:pPr>
    </w:p>
    <w:p>
      <w:pPr>
        <w:spacing w:line="360" w:lineRule="auto"/>
        <w:ind w:firstLine="482" w:firstLineChars="200"/>
        <w:rPr>
          <w:rFonts w:hint="eastAsia" w:ascii="仿宋" w:hAnsi="仿宋" w:eastAsia="仿宋" w:cs="仿宋"/>
          <w:b/>
          <w:sz w:val="24"/>
          <w:highlight w:val="yellow"/>
        </w:rPr>
      </w:pPr>
    </w:p>
    <w:p>
      <w:pPr>
        <w:pageBreakBefore/>
        <w:spacing w:line="360" w:lineRule="auto"/>
        <w:ind w:firstLine="482" w:firstLineChars="200"/>
        <w:rPr>
          <w:rFonts w:hint="eastAsia"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color w:val="FF0000"/>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hint="eastAsia" w:ascii="仿宋" w:hAnsi="仿宋" w:eastAsia="仿宋" w:cs="仿宋"/>
          <w:u w:val="single"/>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hint="eastAsia" w:ascii="仿宋" w:hAnsi="仿宋" w:eastAsia="仿宋" w:cs="仿宋"/>
          <w:kern w:val="0"/>
          <w:sz w:val="24"/>
          <w:lang w:val="zh-CN"/>
        </w:rPr>
      </w:pP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                                         投标人名称(电子签名)：</w:t>
      </w:r>
    </w:p>
    <w:p>
      <w:pPr>
        <w:snapToGrid w:val="0"/>
        <w:spacing w:line="360" w:lineRule="auto"/>
        <w:ind w:firstLine="5880" w:firstLineChars="24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hint="eastAsia" w:ascii="仿宋" w:hAnsi="仿宋" w:eastAsia="仿宋" w:cs="仿宋"/>
        </w:rPr>
      </w:pPr>
      <w:r>
        <w:rPr>
          <w:rFonts w:hint="eastAsia" w:ascii="仿宋" w:hAnsi="仿宋" w:eastAsia="仿宋" w:cs="仿宋"/>
          <w:kern w:val="0"/>
          <w:sz w:val="24"/>
          <w:lang w:val="zh-CN"/>
        </w:rPr>
        <w:t>……</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w:pict>
          <v:rect id="Rectangle 17" o:spid="_x0000_s1026" o:spt="1" style="position:absolute;left:0pt;margin-left:238.9pt;margin-top:28.05pt;height:177.45pt;width:212.9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hint="eastAsia" w:ascii="仿宋" w:hAnsi="仿宋" w:eastAsia="仿宋" w:cs="仿宋"/>
          <w:b/>
          <w:bCs/>
          <w:sz w:val="24"/>
        </w:rPr>
        <w:pict>
          <v:rect id="Rectangle 16" o:spid="_x0000_s1028" o:spt="1" style="position:absolute;left:0pt;margin-left:-7.2pt;margin-top:30.3pt;height:177.45pt;width:208.5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sz w:val="24"/>
        </w:rPr>
        <w:t>投标单位法定名称章（印模）投标单位“XX专用章”（印模）</w:t>
      </w: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pageBreakBefore/>
        <w:rPr>
          <w:rFonts w:hint="eastAsia" w:ascii="仿宋" w:hAnsi="仿宋" w:eastAsia="仿宋" w:cs="仿宋"/>
          <w:b/>
          <w:sz w:val="32"/>
          <w:szCs w:val="32"/>
        </w:rPr>
      </w:pPr>
      <w:r>
        <w:rPr>
          <w:rFonts w:hint="eastAsia" w:ascii="仿宋" w:hAnsi="仿宋" w:eastAsia="仿宋" w:cs="仿宋"/>
          <w:b/>
          <w:sz w:val="32"/>
          <w:szCs w:val="32"/>
        </w:rPr>
        <w:t>中小企业声明函</w:t>
      </w:r>
    </w:p>
    <w:p>
      <w:pPr>
        <w:rPr>
          <w:rFonts w:hint="eastAsia"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rPr>
      </w:pPr>
    </w:p>
    <w:p>
      <w:pPr>
        <w:jc w:val="center"/>
        <w:rPr>
          <w:rFonts w:hint="eastAsia"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hint="eastAsia" w:ascii="仿宋" w:hAnsi="仿宋" w:eastAsia="仿宋" w:cs="仿宋"/>
          <w:b/>
          <w:sz w:val="18"/>
        </w:rPr>
      </w:pPr>
    </w:p>
    <w:p>
      <w:pPr>
        <w:jc w:val="center"/>
        <w:rPr>
          <w:rFonts w:hint="eastAsia" w:ascii="仿宋" w:hAnsi="仿宋" w:eastAsia="仿宋" w:cs="仿宋"/>
          <w:b/>
          <w:sz w:val="32"/>
        </w:rPr>
      </w:pPr>
    </w:p>
    <w:p>
      <w:pPr>
        <w:jc w:val="center"/>
        <w:rPr>
          <w:rFonts w:hint="eastAsia" w:ascii="仿宋" w:hAnsi="仿宋" w:eastAsia="仿宋" w:cs="仿宋"/>
          <w:b/>
          <w:sz w:val="32"/>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sz w:val="24"/>
        </w:rPr>
      </w:pPr>
    </w:p>
    <w:p>
      <w:pPr>
        <w:pageBreakBefore/>
        <w:spacing w:line="588"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hint="eastAsia" w:ascii="仿宋" w:hAnsi="仿宋" w:eastAsia="仿宋" w:cs="仿宋"/>
          <w:b/>
          <w:spacing w:val="6"/>
          <w:sz w:val="30"/>
          <w:szCs w:val="30"/>
        </w:rPr>
      </w:pP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hint="eastAsia" w:ascii="仿宋" w:hAnsi="仿宋" w:eastAsia="仿宋" w:cs="仿宋"/>
          <w:sz w:val="24"/>
        </w:rPr>
      </w:pPr>
    </w:p>
    <w:p>
      <w:pPr>
        <w:spacing w:line="588" w:lineRule="exact"/>
        <w:ind w:firstLine="480" w:firstLineChars="200"/>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hint="eastAsia" w:ascii="仿宋" w:hAnsi="仿宋" w:eastAsia="仿宋" w:cs="仿宋"/>
        </w:rPr>
      </w:pPr>
    </w:p>
    <w:p>
      <w:pPr>
        <w:tabs>
          <w:tab w:val="left" w:pos="4860"/>
        </w:tabs>
        <w:ind w:right="1559" w:firstLine="480" w:firstLineChars="200"/>
        <w:jc w:val="left"/>
        <w:rPr>
          <w:rFonts w:hint="eastAsia" w:ascii="仿宋" w:hAnsi="仿宋" w:eastAsia="仿宋" w:cs="仿宋"/>
          <w:sz w:val="24"/>
        </w:rPr>
      </w:pPr>
      <w:r>
        <w:rPr>
          <w:rFonts w:hint="eastAsia" w:ascii="仿宋" w:hAnsi="仿宋" w:eastAsia="仿宋" w:cs="仿宋"/>
          <w:sz w:val="24"/>
        </w:rPr>
        <w:object>
          <v:shape id="_x0000_i1027" o:spt="75" type="#_x0000_t75" style="height:42pt;width:390pt;" o:ole="t" filled="f" o:preferrelative="t" stroked="f" coordsize="21600,21600">
            <v:path/>
            <v:fill on="f" focussize="0,0"/>
            <v:stroke on="f" joinstyle="miter"/>
            <v:imagedata r:id="rId20" o:title=""/>
            <o:lock v:ext="edit" aspectratio="t"/>
            <w10:wrap type="none"/>
            <w10:anchorlock/>
          </v:shape>
          <o:OLEObject Type="Embed" ProgID="Package" ShapeID="_x0000_i1027" DrawAspect="Content" ObjectID="_1468075727" r:id="rId19">
            <o:LockedField>false</o:LockedField>
          </o:OLEObject>
        </w:object>
      </w: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rPr>
          <w:rFonts w:hint="eastAsia" w:ascii="仿宋" w:hAnsi="仿宋" w:eastAsia="仿宋" w:cs="仿宋"/>
          <w:b/>
          <w:sz w:val="24"/>
        </w:rPr>
      </w:pPr>
    </w:p>
    <w:p>
      <w:pPr>
        <w:spacing w:line="400" w:lineRule="exact"/>
        <w:rPr>
          <w:rFonts w:hint="eastAsia"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sz w:val="44"/>
          <w:szCs w:val="44"/>
        </w:rPr>
      </w:pP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hint="eastAsia" w:ascii="仿宋" w:hAnsi="仿宋" w:eastAsia="仿宋" w:cs="仿宋"/>
          <w:sz w:val="32"/>
          <w:szCs w:val="32"/>
        </w:rPr>
      </w:pP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hint="eastAsia" w:ascii="仿宋" w:hAnsi="仿宋" w:eastAsia="仿宋" w:cs="仿宋"/>
          <w:sz w:val="32"/>
          <w:szCs w:val="32"/>
          <w:u w:val="dotted"/>
        </w:rPr>
      </w:pP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p>
    <w:p>
      <w:pPr>
        <w:rPr>
          <w:rFonts w:hint="eastAsia" w:ascii="仿宋" w:hAnsi="仿宋" w:eastAsia="仿宋" w:cs="仿宋"/>
          <w:sz w:val="30"/>
          <w:szCs w:val="30"/>
        </w:rPr>
      </w:pPr>
      <w:r>
        <w:rPr>
          <w:rFonts w:hint="eastAsia" w:ascii="仿宋" w:hAnsi="仿宋" w:eastAsia="仿宋" w:cs="仿宋"/>
          <w:sz w:val="30"/>
          <w:szCs w:val="30"/>
        </w:rPr>
        <w:t xml:space="preserve">签字(签章)：                   公章：                      </w:t>
      </w:r>
    </w:p>
    <w:p>
      <w:pPr>
        <w:rPr>
          <w:rFonts w:hint="eastAsia"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hint="eastAsia" w:ascii="仿宋" w:hAnsi="仿宋" w:eastAsia="仿宋" w:cs="仿宋"/>
          <w:sz w:val="32"/>
          <w:szCs w:val="32"/>
        </w:rPr>
      </w:pPr>
    </w:p>
    <w:p>
      <w:pPr>
        <w:adjustRightInd w:val="0"/>
        <w:snapToGrid w:val="0"/>
        <w:spacing w:line="360" w:lineRule="auto"/>
        <w:rPr>
          <w:rFonts w:hint="eastAsia" w:ascii="仿宋" w:hAnsi="仿宋" w:eastAsia="仿宋" w:cs="仿宋"/>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rPr>
          <w:rFonts w:hint="eastAsia"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kern w:val="0"/>
          <w:sz w:val="36"/>
          <w:szCs w:val="36"/>
          <w:lang w:eastAsia="zh-CN"/>
        </w:rPr>
      </w:pPr>
      <w:r>
        <w:rPr>
          <w:rFonts w:hint="eastAsia" w:ascii="仿宋" w:hAnsi="仿宋" w:eastAsia="仿宋" w:cs="仿宋"/>
          <w:b/>
          <w:bCs/>
          <w:kern w:val="0"/>
          <w:sz w:val="36"/>
          <w:szCs w:val="36"/>
        </w:rPr>
        <w:t>国家统计局关于印发《统计上</w:t>
      </w: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lang w:eastAsia="zh-CN"/>
        </w:rPr>
      </w:pPr>
    </w:p>
    <w:p>
      <w:pPr>
        <w:pStyle w:val="2"/>
        <w:rPr>
          <w:rFonts w:hint="eastAsia" w:ascii="仿宋" w:hAnsi="仿宋" w:eastAsia="仿宋" w:cs="仿宋"/>
          <w:lang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lang w:eastAsia="zh-CN"/>
        </w:rPr>
      </w:pPr>
    </w:p>
    <w:p>
      <w:pPr>
        <w:pStyle w:val="2"/>
        <w:rPr>
          <w:rFonts w:hint="eastAsia" w:ascii="仿宋" w:hAnsi="仿宋" w:eastAsia="仿宋" w:cs="仿宋"/>
          <w:lang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lang w:eastAsia="zh-CN"/>
        </w:rPr>
      </w:pPr>
    </w:p>
    <w:p>
      <w:pPr>
        <w:pStyle w:val="2"/>
        <w:rPr>
          <w:rFonts w:hint="eastAsia" w:ascii="仿宋" w:hAnsi="仿宋" w:eastAsia="仿宋" w:cs="仿宋"/>
          <w:lang w:eastAsia="zh-CN"/>
        </w:rPr>
      </w:pPr>
    </w:p>
    <w:p>
      <w:pPr>
        <w:pStyle w:val="2"/>
        <w:rPr>
          <w:rFonts w:hint="eastAsia" w:ascii="仿宋" w:hAnsi="仿宋" w:eastAsia="仿宋" w:cs="仿宋"/>
          <w:lang w:eastAsia="zh-CN"/>
        </w:rPr>
      </w:pPr>
    </w:p>
    <w:p>
      <w:pPr>
        <w:widowControl/>
        <w:shd w:val="clear" w:color="auto" w:fill="FFFFFF"/>
        <w:spacing w:line="600" w:lineRule="atLeast"/>
        <w:jc w:val="center"/>
        <w:textAlignment w:val="baseline"/>
        <w:rPr>
          <w:rFonts w:hint="eastAsia" w:ascii="仿宋" w:hAnsi="仿宋" w:eastAsia="仿宋" w:cs="仿宋"/>
          <w:b/>
          <w:bCs/>
          <w:kern w:val="0"/>
          <w:sz w:val="36"/>
          <w:szCs w:val="36"/>
          <w:lang w:eastAsia="zh-CN"/>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lang w:eastAsia="zh-CN"/>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lang w:eastAsia="zh-CN"/>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rPr>
          <w:rFonts w:hint="eastAsia" w:ascii="仿宋" w:hAnsi="仿宋" w:eastAsia="仿宋" w:cs="仿宋"/>
          <w:kern w:val="0"/>
          <w:sz w:val="24"/>
        </w:rPr>
      </w:pPr>
    </w:p>
    <w:sectPr>
      <w:headerReference r:id="rId11" w:type="default"/>
      <w:footerReference r:id="rId12" w:type="default"/>
      <w:footerReference r:id="rId13" w:type="even"/>
      <w:pgSz w:w="11906" w:h="16838"/>
      <w:pgMar w:top="1440" w:right="1558" w:bottom="1246" w:left="1758" w:header="1021" w:footer="90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16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00" w:usb3="00000000" w:csb0="003E0000"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2000503000000020004"/>
    <w:charset w:val="00"/>
    <w:family w:val="auto"/>
    <w:pitch w:val="default"/>
    <w:sig w:usb0="00000000" w:usb1="00000000" w:usb2="00000000" w:usb3="00000000" w:csb0="00000000"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5</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w:pict>
        <v:shape id="_x0000_s2054" o:spid="_x0000_s205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sz w:val="18"/>
      </w:rP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2</w:t>
                </w:r>
                <w:r>
                  <w:fldChar w:fldCharType="end"/>
                </w:r>
              </w:p>
            </w:txbxContent>
          </v:textbox>
        </v:shape>
      </w:pic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sz w:val="18"/>
      </w:rPr>
      <w:pict>
        <v:shape id="_x0000_s2056" o:spid="_x0000_s205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97</w:t>
                </w:r>
                <w:r>
                  <w:fldChar w:fldCharType="end"/>
                </w:r>
              </w:p>
            </w:txbxContent>
          </v:textbox>
        </v:shape>
      </w:pict>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rPr>
        <w:rFonts w:ascii="隶书" w:eastAsia="隶书"/>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A8355"/>
    <w:multiLevelType w:val="singleLevel"/>
    <w:tmpl w:val="823A8355"/>
    <w:lvl w:ilvl="0" w:tentative="0">
      <w:start w:val="1"/>
      <w:numFmt w:val="decimal"/>
      <w:suff w:val="nothing"/>
      <w:lvlText w:val="%1．"/>
      <w:lvlJc w:val="left"/>
      <w:pPr>
        <w:ind w:left="0" w:firstLine="400"/>
      </w:pPr>
      <w:rPr>
        <w:rFonts w:hint="default"/>
      </w:rPr>
    </w:lvl>
  </w:abstractNum>
  <w:abstractNum w:abstractNumId="1">
    <w:nsid w:val="D8BF5B74"/>
    <w:multiLevelType w:val="singleLevel"/>
    <w:tmpl w:val="D8BF5B74"/>
    <w:lvl w:ilvl="0" w:tentative="0">
      <w:start w:val="1"/>
      <w:numFmt w:val="decimal"/>
      <w:suff w:val="nothing"/>
      <w:lvlText w:val="%1、"/>
      <w:lvlJc w:val="left"/>
      <w:pPr>
        <w:ind w:left="0" w:firstLine="0"/>
      </w:pPr>
      <w:rPr>
        <w:rFonts w:hint="default"/>
      </w:rPr>
    </w:lvl>
  </w:abstractNum>
  <w:abstractNum w:abstractNumId="2">
    <w:nsid w:val="F51CDD4D"/>
    <w:multiLevelType w:val="singleLevel"/>
    <w:tmpl w:val="F51CDD4D"/>
    <w:lvl w:ilvl="0" w:tentative="0">
      <w:start w:val="1"/>
      <w:numFmt w:val="decimal"/>
      <w:suff w:val="nothing"/>
      <w:lvlText w:val="（%1）"/>
      <w:lvlJc w:val="left"/>
      <w:pPr>
        <w:ind w:left="210"/>
      </w:pPr>
    </w:lvl>
  </w:abstractNum>
  <w:abstractNum w:abstractNumId="3">
    <w:nsid w:val="FFFFFF7E"/>
    <w:multiLevelType w:val="singleLevel"/>
    <w:tmpl w:val="FFFFFF7E"/>
    <w:lvl w:ilvl="0" w:tentative="0">
      <w:start w:val="1"/>
      <w:numFmt w:val="decimal"/>
      <w:pStyle w:val="8"/>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6"/>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135D50A0"/>
    <w:multiLevelType w:val="singleLevel"/>
    <w:tmpl w:val="135D50A0"/>
    <w:lvl w:ilvl="0" w:tentative="0">
      <w:start w:val="1"/>
      <w:numFmt w:val="decimal"/>
      <w:lvlText w:val="(%1)"/>
      <w:lvlJc w:val="left"/>
      <w:pPr>
        <w:ind w:left="425" w:hanging="425"/>
      </w:pPr>
      <w:rPr>
        <w:rFonts w:hint="default"/>
      </w:rPr>
    </w:lvl>
  </w:abstractNum>
  <w:abstractNum w:abstractNumId="7">
    <w:nsid w:val="23122212"/>
    <w:multiLevelType w:val="multilevel"/>
    <w:tmpl w:val="23122212"/>
    <w:lvl w:ilvl="0" w:tentative="0">
      <w:start w:val="3"/>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0469A05"/>
    <w:multiLevelType w:val="singleLevel"/>
    <w:tmpl w:val="30469A05"/>
    <w:lvl w:ilvl="0" w:tentative="0">
      <w:start w:val="8"/>
      <w:numFmt w:val="decimal"/>
      <w:lvlText w:val="%1."/>
      <w:lvlJc w:val="left"/>
      <w:pPr>
        <w:tabs>
          <w:tab w:val="left" w:pos="312"/>
        </w:tabs>
      </w:pPr>
    </w:lvl>
  </w:abstractNum>
  <w:abstractNum w:abstractNumId="9">
    <w:nsid w:val="5CB017FC"/>
    <w:multiLevelType w:val="multilevel"/>
    <w:tmpl w:val="5CB017FC"/>
    <w:lvl w:ilvl="0" w:tentative="0">
      <w:start w:val="1"/>
      <w:numFmt w:val="decimal"/>
      <w:pStyle w:val="5"/>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A383B68"/>
    <w:multiLevelType w:val="singleLevel"/>
    <w:tmpl w:val="6A383B68"/>
    <w:lvl w:ilvl="0" w:tentative="0">
      <w:start w:val="1"/>
      <w:numFmt w:val="upperLetter"/>
      <w:pStyle w:val="10"/>
      <w:lvlText w:val="%1、"/>
      <w:lvlJc w:val="left"/>
      <w:pPr>
        <w:tabs>
          <w:tab w:val="left" w:pos="405"/>
        </w:tabs>
        <w:ind w:left="405" w:hanging="405"/>
      </w:p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4"/>
  </w:num>
  <w:num w:numId="3">
    <w:abstractNumId w:val="3"/>
  </w:num>
  <w:num w:numId="4">
    <w:abstractNumId w:val="10"/>
  </w:num>
  <w:num w:numId="5">
    <w:abstractNumId w:val="2"/>
  </w:num>
  <w:num w:numId="6">
    <w:abstractNumId w:val="11"/>
  </w:num>
  <w:num w:numId="7">
    <w:abstractNumId w:val="8"/>
  </w:num>
  <w:num w:numId="8">
    <w:abstractNumId w:val="6"/>
  </w:num>
  <w:num w:numId="9">
    <w:abstractNumId w:val="0"/>
  </w:num>
  <w:num w:numId="10">
    <w:abstractNumId w:val="1"/>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C35F3"/>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6ED7"/>
    <w:rsid w:val="001D76A1"/>
    <w:rsid w:val="001E3B20"/>
    <w:rsid w:val="001E4A9F"/>
    <w:rsid w:val="001F0FA9"/>
    <w:rsid w:val="001F14C4"/>
    <w:rsid w:val="001F2767"/>
    <w:rsid w:val="001F429B"/>
    <w:rsid w:val="001F43C6"/>
    <w:rsid w:val="001F4C63"/>
    <w:rsid w:val="001F661E"/>
    <w:rsid w:val="001F7E31"/>
    <w:rsid w:val="00200FAD"/>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2C11"/>
    <w:rsid w:val="002E34F4"/>
    <w:rsid w:val="002E35C4"/>
    <w:rsid w:val="002E36C7"/>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769D9"/>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1F5"/>
    <w:rsid w:val="0041460B"/>
    <w:rsid w:val="00414F64"/>
    <w:rsid w:val="00417C8A"/>
    <w:rsid w:val="0042136D"/>
    <w:rsid w:val="00424C70"/>
    <w:rsid w:val="0042557D"/>
    <w:rsid w:val="0042600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0A2"/>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A81"/>
    <w:rsid w:val="00573BCB"/>
    <w:rsid w:val="00576529"/>
    <w:rsid w:val="00576EFE"/>
    <w:rsid w:val="005770CA"/>
    <w:rsid w:val="00580604"/>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37B6"/>
    <w:rsid w:val="005E5B57"/>
    <w:rsid w:val="005E68E7"/>
    <w:rsid w:val="005F2CA2"/>
    <w:rsid w:val="005F510E"/>
    <w:rsid w:val="005F5691"/>
    <w:rsid w:val="005F78A5"/>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448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3F46"/>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2978"/>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746"/>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38A0"/>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372BF"/>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2D2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475ED"/>
    <w:rsid w:val="00E51C1B"/>
    <w:rsid w:val="00E52E4C"/>
    <w:rsid w:val="00E56E61"/>
    <w:rsid w:val="00E57296"/>
    <w:rsid w:val="00E62202"/>
    <w:rsid w:val="00E622B2"/>
    <w:rsid w:val="00E633B5"/>
    <w:rsid w:val="00E644CD"/>
    <w:rsid w:val="00E65A9B"/>
    <w:rsid w:val="00E67EEA"/>
    <w:rsid w:val="00E715C6"/>
    <w:rsid w:val="00E720E4"/>
    <w:rsid w:val="00E7370C"/>
    <w:rsid w:val="00E75DBB"/>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1B45F74"/>
    <w:rsid w:val="0237087C"/>
    <w:rsid w:val="05A86E0E"/>
    <w:rsid w:val="05E97E98"/>
    <w:rsid w:val="07A63387"/>
    <w:rsid w:val="09417F5D"/>
    <w:rsid w:val="0A3D172D"/>
    <w:rsid w:val="0A9C1731"/>
    <w:rsid w:val="0ABB13AE"/>
    <w:rsid w:val="0C170BF2"/>
    <w:rsid w:val="0F4322BD"/>
    <w:rsid w:val="0F4F1C00"/>
    <w:rsid w:val="10456228"/>
    <w:rsid w:val="12B13B4A"/>
    <w:rsid w:val="134F24D1"/>
    <w:rsid w:val="13A0776D"/>
    <w:rsid w:val="13A858AF"/>
    <w:rsid w:val="149D3ECB"/>
    <w:rsid w:val="14B30328"/>
    <w:rsid w:val="16E65DD1"/>
    <w:rsid w:val="18AA2FD7"/>
    <w:rsid w:val="1BAF0F5C"/>
    <w:rsid w:val="1F3723EC"/>
    <w:rsid w:val="24DF634A"/>
    <w:rsid w:val="2520644A"/>
    <w:rsid w:val="254C6870"/>
    <w:rsid w:val="25A64BEA"/>
    <w:rsid w:val="25F046F0"/>
    <w:rsid w:val="2731497E"/>
    <w:rsid w:val="27C76208"/>
    <w:rsid w:val="27F874FB"/>
    <w:rsid w:val="29DA72AB"/>
    <w:rsid w:val="2B2734FC"/>
    <w:rsid w:val="2D842420"/>
    <w:rsid w:val="2E235525"/>
    <w:rsid w:val="2E305603"/>
    <w:rsid w:val="2FD14541"/>
    <w:rsid w:val="32A13E65"/>
    <w:rsid w:val="32FF2561"/>
    <w:rsid w:val="340354CD"/>
    <w:rsid w:val="34436E19"/>
    <w:rsid w:val="3909557A"/>
    <w:rsid w:val="39C2243E"/>
    <w:rsid w:val="3A7560C0"/>
    <w:rsid w:val="3AEC11A3"/>
    <w:rsid w:val="3B227A24"/>
    <w:rsid w:val="3B787D96"/>
    <w:rsid w:val="3D2A5BBD"/>
    <w:rsid w:val="3DC139A5"/>
    <w:rsid w:val="3ECD04D7"/>
    <w:rsid w:val="3F501AB3"/>
    <w:rsid w:val="401E3EA4"/>
    <w:rsid w:val="417F6690"/>
    <w:rsid w:val="42607B06"/>
    <w:rsid w:val="434A5042"/>
    <w:rsid w:val="437344A4"/>
    <w:rsid w:val="43E060A7"/>
    <w:rsid w:val="454231D6"/>
    <w:rsid w:val="45625458"/>
    <w:rsid w:val="47D50307"/>
    <w:rsid w:val="4A1D5D99"/>
    <w:rsid w:val="4EF13E61"/>
    <w:rsid w:val="50441376"/>
    <w:rsid w:val="53363E9D"/>
    <w:rsid w:val="53917FB4"/>
    <w:rsid w:val="55DF6F34"/>
    <w:rsid w:val="566076ED"/>
    <w:rsid w:val="57B65082"/>
    <w:rsid w:val="57D44A50"/>
    <w:rsid w:val="58CA4B1F"/>
    <w:rsid w:val="58D21CC5"/>
    <w:rsid w:val="5B377449"/>
    <w:rsid w:val="5C1C7203"/>
    <w:rsid w:val="5C543961"/>
    <w:rsid w:val="5C71213D"/>
    <w:rsid w:val="5F2020DC"/>
    <w:rsid w:val="61FA7AB4"/>
    <w:rsid w:val="62D8343E"/>
    <w:rsid w:val="642503B2"/>
    <w:rsid w:val="64510AC9"/>
    <w:rsid w:val="64B47BB7"/>
    <w:rsid w:val="66B2111B"/>
    <w:rsid w:val="6A8F4B19"/>
    <w:rsid w:val="6E1C0F6D"/>
    <w:rsid w:val="6E57665B"/>
    <w:rsid w:val="6E702EC8"/>
    <w:rsid w:val="6F411F9B"/>
    <w:rsid w:val="72C94629"/>
    <w:rsid w:val="72E87C49"/>
    <w:rsid w:val="73644620"/>
    <w:rsid w:val="73841E82"/>
    <w:rsid w:val="7769345C"/>
    <w:rsid w:val="7794087A"/>
    <w:rsid w:val="79A4442C"/>
    <w:rsid w:val="7AAD2B79"/>
    <w:rsid w:val="7AFA1452"/>
    <w:rsid w:val="7B7B29CB"/>
    <w:rsid w:val="7D8C79F0"/>
    <w:rsid w:val="7DFBB8BB"/>
    <w:rsid w:val="AEBA6020"/>
    <w:rsid w:val="C7597AF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iPriority="99"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6">
    <w:name w:val="heading 2"/>
    <w:basedOn w:val="1"/>
    <w:next w:val="7"/>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8">
    <w:name w:val="heading 3"/>
    <w:basedOn w:val="1"/>
    <w:next w:val="7"/>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7"/>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7"/>
    <w:link w:val="58"/>
    <w:qFormat/>
    <w:uiPriority w:val="0"/>
    <w:pPr>
      <w:keepNext/>
      <w:widowControl/>
      <w:numPr>
        <w:ilvl w:val="0"/>
        <w:numId w:val="4"/>
      </w:numPr>
      <w:jc w:val="left"/>
      <w:outlineLvl w:val="4"/>
    </w:pPr>
    <w:rPr>
      <w:kern w:val="0"/>
      <w:sz w:val="24"/>
      <w:szCs w:val="20"/>
    </w:rPr>
  </w:style>
  <w:style w:type="paragraph" w:styleId="11">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80"/>
    <w:qFormat/>
    <w:uiPriority w:val="0"/>
    <w:pPr>
      <w:spacing w:after="120" w:line="240" w:lineRule="auto"/>
      <w:ind w:firstLine="420" w:firstLineChars="100"/>
    </w:pPr>
    <w:rPr>
      <w:rFonts w:eastAsia="宋体"/>
      <w:sz w:val="21"/>
    </w:rPr>
  </w:style>
  <w:style w:type="paragraph" w:styleId="3">
    <w:name w:val="Body Text"/>
    <w:basedOn w:val="1"/>
    <w:next w:val="4"/>
    <w:link w:val="66"/>
    <w:qFormat/>
    <w:uiPriority w:val="0"/>
    <w:pPr>
      <w:spacing w:line="360" w:lineRule="auto"/>
    </w:pPr>
    <w:rPr>
      <w:rFonts w:eastAsia="仿宋_GB2312"/>
      <w:sz w:val="28"/>
    </w:rPr>
  </w:style>
  <w:style w:type="paragraph" w:customStyle="1" w:styleId="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Normal Indent"/>
    <w:basedOn w:val="1"/>
    <w:next w:val="1"/>
    <w:link w:val="54"/>
    <w:qFormat/>
    <w:uiPriority w:val="0"/>
    <w:pPr>
      <w:ind w:firstLine="420" w:firstLineChars="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63"/>
    <w:qFormat/>
    <w:uiPriority w:val="0"/>
    <w:pPr>
      <w:spacing w:line="360" w:lineRule="auto"/>
      <w:jc w:val="center"/>
    </w:pPr>
    <w:rPr>
      <w:rFonts w:ascii="Calibri" w:hAnsi="Calibri"/>
      <w:sz w:val="20"/>
      <w:szCs w:val="20"/>
    </w:rPr>
  </w:style>
  <w:style w:type="paragraph" w:styleId="18">
    <w:name w:val="Document Map"/>
    <w:basedOn w:val="1"/>
    <w:link w:val="64"/>
    <w:semiHidden/>
    <w:qFormat/>
    <w:uiPriority w:val="0"/>
    <w:pPr>
      <w:shd w:val="clear" w:color="auto" w:fill="000080"/>
    </w:pPr>
  </w:style>
  <w:style w:type="paragraph" w:styleId="19">
    <w:name w:val="annotation text"/>
    <w:basedOn w:val="1"/>
    <w:link w:val="65"/>
    <w:qFormat/>
    <w:uiPriority w:val="0"/>
    <w:pPr>
      <w:jc w:val="left"/>
    </w:pPr>
  </w:style>
  <w:style w:type="paragraph" w:styleId="20">
    <w:name w:val="Body Text Indent"/>
    <w:basedOn w:val="1"/>
    <w:link w:val="67"/>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List 2"/>
    <w:basedOn w:val="1"/>
    <w:qFormat/>
    <w:uiPriority w:val="0"/>
    <w:pPr>
      <w:ind w:left="100" w:leftChars="200" w:hanging="200" w:hangingChars="200"/>
    </w:pPr>
    <w:rPr>
      <w:rFonts w:ascii="等线" w:hAnsi="等线" w:eastAsia="宋体-简"/>
      <w:sz w:val="24"/>
    </w:rPr>
  </w:style>
  <w:style w:type="paragraph" w:styleId="23">
    <w:name w:val="Block Text"/>
    <w:basedOn w:val="1"/>
    <w:qFormat/>
    <w:uiPriority w:val="0"/>
    <w:pPr>
      <w:spacing w:before="120" w:line="360" w:lineRule="auto"/>
      <w:ind w:left="824" w:right="202"/>
    </w:pPr>
    <w:rPr>
      <w:rFonts w:ascii="宋体" w:hAnsi="宋体"/>
      <w:sz w:val="24"/>
      <w:szCs w:val="21"/>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8"/>
    <w:qFormat/>
    <w:uiPriority w:val="0"/>
    <w:rPr>
      <w:rFonts w:ascii="宋体" w:hAnsi="Courier New"/>
      <w:szCs w:val="20"/>
    </w:rPr>
  </w:style>
  <w:style w:type="paragraph" w:styleId="26">
    <w:name w:val="Date"/>
    <w:basedOn w:val="1"/>
    <w:next w:val="1"/>
    <w:link w:val="69"/>
    <w:qFormat/>
    <w:uiPriority w:val="0"/>
    <w:rPr>
      <w:rFonts w:ascii="楷体_GB2312" w:eastAsia="楷体_GB2312"/>
      <w:b/>
      <w:sz w:val="28"/>
      <w:szCs w:val="20"/>
    </w:rPr>
  </w:style>
  <w:style w:type="paragraph" w:styleId="27">
    <w:name w:val="Body Text Indent 2"/>
    <w:basedOn w:val="1"/>
    <w:link w:val="70"/>
    <w:qFormat/>
    <w:uiPriority w:val="0"/>
    <w:pPr>
      <w:spacing w:after="120" w:line="480" w:lineRule="auto"/>
      <w:ind w:left="420" w:leftChars="200"/>
    </w:pPr>
  </w:style>
  <w:style w:type="paragraph" w:styleId="28">
    <w:name w:val="Balloon Text"/>
    <w:basedOn w:val="1"/>
    <w:link w:val="71"/>
    <w:semiHidden/>
    <w:qFormat/>
    <w:uiPriority w:val="0"/>
    <w:rPr>
      <w:sz w:val="18"/>
      <w:szCs w:val="18"/>
    </w:rPr>
  </w:style>
  <w:style w:type="paragraph" w:styleId="29">
    <w:name w:val="footer"/>
    <w:basedOn w:val="1"/>
    <w:link w:val="72"/>
    <w:qFormat/>
    <w:uiPriority w:val="0"/>
    <w:pPr>
      <w:tabs>
        <w:tab w:val="center" w:pos="4153"/>
        <w:tab w:val="right" w:pos="8306"/>
      </w:tabs>
      <w:snapToGrid w:val="0"/>
      <w:jc w:val="left"/>
    </w:pPr>
    <w:rPr>
      <w:sz w:val="18"/>
      <w:szCs w:val="18"/>
    </w:rPr>
  </w:style>
  <w:style w:type="paragraph" w:styleId="30">
    <w:name w:val="header"/>
    <w:basedOn w:val="1"/>
    <w:link w:val="73"/>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List"/>
    <w:basedOn w:val="1"/>
    <w:unhideWhenUsed/>
    <w:qFormat/>
    <w:uiPriority w:val="99"/>
    <w:pPr>
      <w:ind w:left="200" w:hanging="200" w:hangingChars="200"/>
    </w:pPr>
    <w:rPr>
      <w:szCs w:val="20"/>
    </w:rPr>
  </w:style>
  <w:style w:type="paragraph" w:styleId="34">
    <w:name w:val="Body Text Indent 3"/>
    <w:basedOn w:val="1"/>
    <w:link w:val="74"/>
    <w:qFormat/>
    <w:uiPriority w:val="0"/>
    <w:pPr>
      <w:spacing w:after="120"/>
      <w:ind w:left="420" w:leftChars="200"/>
    </w:pPr>
    <w:rPr>
      <w:sz w:val="16"/>
      <w:szCs w:val="16"/>
    </w:rPr>
  </w:style>
  <w:style w:type="paragraph" w:styleId="35">
    <w:name w:val="toc 2"/>
    <w:basedOn w:val="1"/>
    <w:next w:val="1"/>
    <w:semiHidden/>
    <w:qFormat/>
    <w:uiPriority w:val="0"/>
    <w:pPr>
      <w:ind w:left="420" w:leftChars="200"/>
    </w:pPr>
  </w:style>
  <w:style w:type="paragraph" w:styleId="36">
    <w:name w:val="Body Text 2"/>
    <w:basedOn w:val="1"/>
    <w:link w:val="75"/>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qFormat/>
    <w:uiPriority w:val="0"/>
    <w:pPr>
      <w:spacing w:after="120"/>
      <w:ind w:left="840" w:leftChars="400"/>
    </w:pPr>
  </w:style>
  <w:style w:type="paragraph" w:styleId="38">
    <w:name w:val="HTML Preformatted"/>
    <w:basedOn w:val="1"/>
    <w:link w:val="7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semiHidden/>
    <w:qFormat/>
    <w:uiPriority w:val="0"/>
    <w:pPr>
      <w:spacing w:line="320" w:lineRule="exact"/>
    </w:pPr>
    <w:rPr>
      <w:b/>
      <w:snapToGrid w:val="0"/>
      <w:color w:val="FF6600"/>
      <w:kern w:val="0"/>
      <w:sz w:val="18"/>
      <w:szCs w:val="21"/>
    </w:rPr>
  </w:style>
  <w:style w:type="paragraph" w:styleId="41">
    <w:name w:val="Title"/>
    <w:basedOn w:val="1"/>
    <w:next w:val="1"/>
    <w:link w:val="77"/>
    <w:qFormat/>
    <w:uiPriority w:val="0"/>
    <w:pPr>
      <w:adjustRightInd w:val="0"/>
      <w:spacing w:before="240" w:after="60"/>
      <w:jc w:val="center"/>
      <w:outlineLvl w:val="0"/>
    </w:pPr>
    <w:rPr>
      <w:rFonts w:ascii="Calibri Light" w:hAnsi="Calibri Light"/>
      <w:b/>
      <w:bCs/>
      <w:sz w:val="32"/>
      <w:szCs w:val="32"/>
    </w:rPr>
  </w:style>
  <w:style w:type="paragraph" w:styleId="42">
    <w:name w:val="annotation subject"/>
    <w:basedOn w:val="19"/>
    <w:next w:val="19"/>
    <w:link w:val="78"/>
    <w:semiHidden/>
    <w:qFormat/>
    <w:uiPriority w:val="0"/>
    <w:pPr>
      <w:widowControl/>
      <w:spacing w:afterLines="50"/>
    </w:pPr>
    <w:rPr>
      <w:b/>
      <w:bCs/>
      <w:kern w:val="0"/>
      <w:sz w:val="24"/>
      <w:szCs w:val="20"/>
    </w:rPr>
  </w:style>
  <w:style w:type="paragraph" w:styleId="43">
    <w:name w:val="Body Text First Indent 2"/>
    <w:basedOn w:val="20"/>
    <w:next w:val="33"/>
    <w:link w:val="82"/>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character" w:customStyle="1" w:styleId="53">
    <w:name w:val="标题 1 Char"/>
    <w:link w:val="5"/>
    <w:qFormat/>
    <w:uiPriority w:val="0"/>
    <w:rPr>
      <w:rFonts w:eastAsia="仿宋_GB2312"/>
      <w:b/>
      <w:kern w:val="44"/>
      <w:sz w:val="44"/>
      <w:lang w:val="en-US" w:eastAsia="zh-CN" w:bidi="ar-SA"/>
    </w:rPr>
  </w:style>
  <w:style w:type="character" w:customStyle="1" w:styleId="54">
    <w:name w:val="正文缩进 Char"/>
    <w:link w:val="7"/>
    <w:qFormat/>
    <w:uiPriority w:val="0"/>
    <w:rPr>
      <w:rFonts w:eastAsia="宋体"/>
      <w:kern w:val="2"/>
      <w:sz w:val="21"/>
      <w:szCs w:val="24"/>
      <w:lang w:val="en-US" w:eastAsia="zh-CN" w:bidi="ar-SA"/>
    </w:rPr>
  </w:style>
  <w:style w:type="character" w:customStyle="1" w:styleId="55">
    <w:name w:val="标题 2 Char"/>
    <w:link w:val="6"/>
    <w:qFormat/>
    <w:uiPriority w:val="0"/>
    <w:rPr>
      <w:rFonts w:ascii="Arial" w:hAnsi="Arial" w:eastAsia="黑体"/>
      <w:b/>
      <w:kern w:val="2"/>
      <w:sz w:val="32"/>
      <w:lang w:val="en-US" w:eastAsia="zh-CN" w:bidi="ar-SA"/>
    </w:rPr>
  </w:style>
  <w:style w:type="character" w:customStyle="1" w:styleId="56">
    <w:name w:val="标题 3 Char"/>
    <w:link w:val="8"/>
    <w:qFormat/>
    <w:uiPriority w:val="0"/>
    <w:rPr>
      <w:rFonts w:eastAsia="仿宋_GB2312"/>
      <w:b/>
      <w:kern w:val="2"/>
      <w:sz w:val="32"/>
      <w:lang w:val="en-US" w:eastAsia="zh-CN" w:bidi="ar-SA"/>
    </w:rPr>
  </w:style>
  <w:style w:type="character" w:customStyle="1" w:styleId="57">
    <w:name w:val="标题 4 Char1"/>
    <w:link w:val="9"/>
    <w:qFormat/>
    <w:uiPriority w:val="0"/>
    <w:rPr>
      <w:rFonts w:ascii="Arial" w:hAnsi="Arial" w:eastAsia="黑体"/>
      <w:b/>
      <w:kern w:val="2"/>
      <w:sz w:val="28"/>
      <w:lang w:val="en-US" w:eastAsia="zh-CN" w:bidi="ar-SA"/>
    </w:rPr>
  </w:style>
  <w:style w:type="character" w:customStyle="1" w:styleId="58">
    <w:name w:val="标题 5 Char1"/>
    <w:link w:val="10"/>
    <w:qFormat/>
    <w:uiPriority w:val="0"/>
    <w:rPr>
      <w:rFonts w:eastAsia="宋体"/>
      <w:sz w:val="24"/>
      <w:lang w:val="en-US" w:eastAsia="zh-CN" w:bidi="ar-SA"/>
    </w:rPr>
  </w:style>
  <w:style w:type="character" w:customStyle="1" w:styleId="59">
    <w:name w:val="标题 6 Char1"/>
    <w:link w:val="11"/>
    <w:qFormat/>
    <w:uiPriority w:val="0"/>
    <w:rPr>
      <w:rFonts w:ascii="宋体" w:hAnsi="Arial" w:eastAsia="宋体"/>
      <w:sz w:val="24"/>
      <w:lang w:val="en-US" w:eastAsia="zh-CN" w:bidi="ar-SA"/>
    </w:rPr>
  </w:style>
  <w:style w:type="character" w:customStyle="1" w:styleId="60">
    <w:name w:val="标题 7 Char1"/>
    <w:link w:val="12"/>
    <w:qFormat/>
    <w:uiPriority w:val="0"/>
    <w:rPr>
      <w:rFonts w:ascii="宋体" w:hAnsi="Arial" w:eastAsia="宋体"/>
      <w:b/>
      <w:sz w:val="24"/>
      <w:lang w:val="en-US" w:eastAsia="zh-CN" w:bidi="ar-SA"/>
    </w:rPr>
  </w:style>
  <w:style w:type="character" w:customStyle="1" w:styleId="61">
    <w:name w:val="标题 8 Char1"/>
    <w:link w:val="13"/>
    <w:qFormat/>
    <w:uiPriority w:val="0"/>
    <w:rPr>
      <w:rFonts w:ascii="Arial" w:hAnsi="Arial" w:eastAsia="黑体"/>
      <w:sz w:val="24"/>
      <w:lang w:val="en-US" w:eastAsia="zh-CN" w:bidi="ar-SA"/>
    </w:rPr>
  </w:style>
  <w:style w:type="character" w:customStyle="1" w:styleId="62">
    <w:name w:val="标题 9 Char1"/>
    <w:link w:val="14"/>
    <w:qFormat/>
    <w:uiPriority w:val="0"/>
    <w:rPr>
      <w:rFonts w:ascii="Arial" w:hAnsi="Arial" w:eastAsia="黑体"/>
      <w:sz w:val="24"/>
      <w:lang w:val="en-US" w:eastAsia="zh-CN" w:bidi="ar-SA"/>
    </w:rPr>
  </w:style>
  <w:style w:type="character" w:customStyle="1" w:styleId="63">
    <w:name w:val="题注 Char"/>
    <w:link w:val="17"/>
    <w:qFormat/>
    <w:uiPriority w:val="0"/>
    <w:rPr>
      <w:rFonts w:ascii="Calibri" w:hAnsi="Calibri"/>
      <w:kern w:val="2"/>
    </w:rPr>
  </w:style>
  <w:style w:type="character" w:customStyle="1" w:styleId="64">
    <w:name w:val="文档结构图 Char"/>
    <w:link w:val="18"/>
    <w:semiHidden/>
    <w:qFormat/>
    <w:uiPriority w:val="0"/>
    <w:rPr>
      <w:rFonts w:eastAsia="宋体"/>
      <w:kern w:val="2"/>
      <w:sz w:val="21"/>
      <w:szCs w:val="24"/>
      <w:lang w:val="en-US" w:eastAsia="zh-CN" w:bidi="ar-SA"/>
    </w:rPr>
  </w:style>
  <w:style w:type="character" w:customStyle="1" w:styleId="65">
    <w:name w:val="批注文字 Char1"/>
    <w:link w:val="19"/>
    <w:qFormat/>
    <w:uiPriority w:val="0"/>
    <w:rPr>
      <w:rFonts w:eastAsia="宋体"/>
      <w:kern w:val="2"/>
      <w:sz w:val="21"/>
      <w:szCs w:val="24"/>
      <w:lang w:val="en-US" w:eastAsia="zh-CN" w:bidi="ar-SA"/>
    </w:rPr>
  </w:style>
  <w:style w:type="character" w:customStyle="1" w:styleId="66">
    <w:name w:val="正文文本 Char1"/>
    <w:link w:val="3"/>
    <w:qFormat/>
    <w:locked/>
    <w:uiPriority w:val="0"/>
    <w:rPr>
      <w:rFonts w:eastAsia="仿宋_GB2312"/>
      <w:kern w:val="2"/>
      <w:sz w:val="28"/>
      <w:szCs w:val="24"/>
      <w:lang w:val="en-US" w:eastAsia="zh-CN" w:bidi="ar-SA"/>
    </w:rPr>
  </w:style>
  <w:style w:type="character" w:customStyle="1" w:styleId="67">
    <w:name w:val="正文文本缩进 Char"/>
    <w:link w:val="20"/>
    <w:qFormat/>
    <w:uiPriority w:val="0"/>
    <w:rPr>
      <w:rFonts w:eastAsia="宋体"/>
      <w:kern w:val="2"/>
      <w:sz w:val="21"/>
      <w:szCs w:val="24"/>
      <w:lang w:val="en-US" w:eastAsia="zh-CN" w:bidi="ar-SA"/>
    </w:rPr>
  </w:style>
  <w:style w:type="character" w:customStyle="1" w:styleId="68">
    <w:name w:val="纯文本 Char"/>
    <w:link w:val="25"/>
    <w:qFormat/>
    <w:uiPriority w:val="0"/>
    <w:rPr>
      <w:rFonts w:ascii="宋体" w:hAnsi="Courier New" w:eastAsia="宋体"/>
      <w:kern w:val="2"/>
      <w:sz w:val="21"/>
      <w:lang w:val="en-US" w:eastAsia="zh-CN" w:bidi="ar-SA"/>
    </w:rPr>
  </w:style>
  <w:style w:type="character" w:customStyle="1" w:styleId="69">
    <w:name w:val="日期 Char2"/>
    <w:link w:val="26"/>
    <w:qFormat/>
    <w:uiPriority w:val="0"/>
    <w:rPr>
      <w:rFonts w:ascii="楷体_GB2312" w:eastAsia="楷体_GB2312"/>
      <w:b/>
      <w:kern w:val="2"/>
      <w:sz w:val="28"/>
      <w:lang w:val="en-US" w:eastAsia="zh-CN" w:bidi="ar-SA"/>
    </w:rPr>
  </w:style>
  <w:style w:type="character" w:customStyle="1" w:styleId="70">
    <w:name w:val="正文文本缩进 2 Char1"/>
    <w:link w:val="27"/>
    <w:qFormat/>
    <w:locked/>
    <w:uiPriority w:val="0"/>
    <w:rPr>
      <w:rFonts w:eastAsia="宋体"/>
      <w:kern w:val="2"/>
      <w:sz w:val="21"/>
      <w:szCs w:val="24"/>
      <w:lang w:val="en-US" w:eastAsia="zh-CN" w:bidi="ar-SA"/>
    </w:rPr>
  </w:style>
  <w:style w:type="character" w:customStyle="1" w:styleId="71">
    <w:name w:val="批注框文本 Char"/>
    <w:basedOn w:val="46"/>
    <w:link w:val="28"/>
    <w:semiHidden/>
    <w:qFormat/>
    <w:uiPriority w:val="0"/>
    <w:rPr>
      <w:kern w:val="2"/>
      <w:sz w:val="18"/>
      <w:szCs w:val="18"/>
    </w:rPr>
  </w:style>
  <w:style w:type="character" w:customStyle="1" w:styleId="72">
    <w:name w:val="页脚 Char"/>
    <w:link w:val="29"/>
    <w:qFormat/>
    <w:locked/>
    <w:uiPriority w:val="0"/>
    <w:rPr>
      <w:rFonts w:eastAsia="宋体"/>
      <w:kern w:val="2"/>
      <w:sz w:val="18"/>
      <w:szCs w:val="18"/>
      <w:lang w:val="en-US" w:eastAsia="zh-CN" w:bidi="ar-SA"/>
    </w:rPr>
  </w:style>
  <w:style w:type="character" w:customStyle="1" w:styleId="73">
    <w:name w:val="页眉 Char1"/>
    <w:link w:val="30"/>
    <w:qFormat/>
    <w:uiPriority w:val="0"/>
    <w:rPr>
      <w:rFonts w:eastAsia="宋体"/>
      <w:kern w:val="2"/>
      <w:sz w:val="18"/>
      <w:szCs w:val="18"/>
      <w:lang w:val="en-US" w:eastAsia="zh-CN" w:bidi="ar-SA"/>
    </w:rPr>
  </w:style>
  <w:style w:type="character" w:customStyle="1" w:styleId="74">
    <w:name w:val="正文文本缩进 3 Char"/>
    <w:basedOn w:val="46"/>
    <w:link w:val="34"/>
    <w:qFormat/>
    <w:uiPriority w:val="0"/>
    <w:rPr>
      <w:kern w:val="2"/>
      <w:sz w:val="16"/>
      <w:szCs w:val="16"/>
    </w:rPr>
  </w:style>
  <w:style w:type="character" w:customStyle="1" w:styleId="75">
    <w:name w:val="正文文本 2 Char1"/>
    <w:link w:val="36"/>
    <w:qFormat/>
    <w:uiPriority w:val="0"/>
    <w:rPr>
      <w:rFonts w:ascii="隶书" w:eastAsia="隶书"/>
      <w:bCs/>
      <w:sz w:val="72"/>
      <w:szCs w:val="84"/>
      <w:lang w:val="en-US" w:eastAsia="zh-CN" w:bidi="ar-SA"/>
    </w:rPr>
  </w:style>
  <w:style w:type="character" w:customStyle="1" w:styleId="76">
    <w:name w:val="HTML 预设格式 Char"/>
    <w:basedOn w:val="46"/>
    <w:link w:val="38"/>
    <w:qFormat/>
    <w:uiPriority w:val="0"/>
    <w:rPr>
      <w:rFonts w:ascii="黑体" w:hAnsi="Courier New" w:eastAsia="黑体" w:cs="Courier New"/>
    </w:rPr>
  </w:style>
  <w:style w:type="character" w:customStyle="1" w:styleId="77">
    <w:name w:val="标题 Char"/>
    <w:link w:val="41"/>
    <w:qFormat/>
    <w:locked/>
    <w:uiPriority w:val="0"/>
    <w:rPr>
      <w:rFonts w:ascii="Calibri Light" w:hAnsi="Calibri Light" w:eastAsia="宋体"/>
      <w:b/>
      <w:bCs/>
      <w:kern w:val="2"/>
      <w:sz w:val="32"/>
      <w:szCs w:val="32"/>
      <w:lang w:val="en-US" w:eastAsia="zh-CN" w:bidi="ar-SA"/>
    </w:rPr>
  </w:style>
  <w:style w:type="character" w:customStyle="1" w:styleId="78">
    <w:name w:val="批注主题 Char"/>
    <w:basedOn w:val="79"/>
    <w:link w:val="42"/>
    <w:semiHidden/>
    <w:qFormat/>
    <w:uiPriority w:val="0"/>
    <w:rPr>
      <w:rFonts w:eastAsia="宋体"/>
      <w:b/>
      <w:bCs/>
      <w:kern w:val="2"/>
      <w:sz w:val="24"/>
      <w:szCs w:val="24"/>
      <w:lang w:val="en-US" w:eastAsia="zh-CN" w:bidi="ar-SA"/>
    </w:rPr>
  </w:style>
  <w:style w:type="character" w:customStyle="1" w:styleId="79">
    <w:name w:val="批注文字 Char"/>
    <w:qFormat/>
    <w:uiPriority w:val="0"/>
    <w:rPr>
      <w:rFonts w:eastAsia="宋体"/>
      <w:kern w:val="2"/>
      <w:sz w:val="21"/>
      <w:szCs w:val="24"/>
      <w:lang w:val="en-US" w:eastAsia="zh-CN" w:bidi="ar-SA"/>
    </w:rPr>
  </w:style>
  <w:style w:type="character" w:customStyle="1" w:styleId="80">
    <w:name w:val="正文首行缩进 Char"/>
    <w:basedOn w:val="81"/>
    <w:link w:val="2"/>
    <w:qFormat/>
    <w:uiPriority w:val="0"/>
    <w:rPr>
      <w:rFonts w:eastAsia="仿宋_GB2312"/>
      <w:kern w:val="2"/>
      <w:sz w:val="21"/>
      <w:szCs w:val="24"/>
      <w:lang w:val="en-US" w:eastAsia="zh-CN" w:bidi="ar-SA"/>
    </w:rPr>
  </w:style>
  <w:style w:type="character" w:customStyle="1" w:styleId="81">
    <w:name w:val="正文文本 Char"/>
    <w:qFormat/>
    <w:locked/>
    <w:uiPriority w:val="0"/>
    <w:rPr>
      <w:rFonts w:eastAsia="仿宋_GB2312"/>
      <w:kern w:val="2"/>
      <w:sz w:val="28"/>
      <w:szCs w:val="24"/>
      <w:lang w:val="en-US" w:eastAsia="zh-CN" w:bidi="ar-SA"/>
    </w:rPr>
  </w:style>
  <w:style w:type="character" w:customStyle="1" w:styleId="82">
    <w:name w:val="正文首行缩进 2 Char"/>
    <w:basedOn w:val="67"/>
    <w:link w:val="43"/>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paragraph" w:customStyle="1" w:styleId="84">
    <w:name w:val="表正文"/>
    <w:basedOn w:val="1"/>
    <w:next w:val="25"/>
    <w:qFormat/>
    <w:uiPriority w:val="0"/>
    <w:rPr>
      <w:rFonts w:ascii="宋体" w:hAnsi="Courier New"/>
      <w:szCs w:val="20"/>
    </w:rPr>
  </w:style>
  <w:style w:type="paragraph" w:customStyle="1" w:styleId="85">
    <w:name w:val="正文段"/>
    <w:basedOn w:val="1"/>
    <w:link w:val="86"/>
    <w:qFormat/>
    <w:uiPriority w:val="0"/>
    <w:pPr>
      <w:widowControl/>
      <w:snapToGrid w:val="0"/>
      <w:spacing w:afterLines="50"/>
      <w:ind w:firstLine="200" w:firstLineChars="200"/>
    </w:pPr>
    <w:rPr>
      <w:kern w:val="0"/>
      <w:sz w:val="24"/>
      <w:szCs w:val="20"/>
    </w:rPr>
  </w:style>
  <w:style w:type="character" w:customStyle="1" w:styleId="86">
    <w:name w:val="正文段 Char"/>
    <w:link w:val="85"/>
    <w:qFormat/>
    <w:uiPriority w:val="0"/>
    <w:rPr>
      <w:rFonts w:eastAsia="宋体"/>
      <w:sz w:val="24"/>
      <w:lang w:val="en-US" w:eastAsia="zh-CN" w:bidi="ar-SA"/>
    </w:rPr>
  </w:style>
  <w:style w:type="paragraph" w:customStyle="1" w:styleId="87">
    <w:name w:val="Char"/>
    <w:basedOn w:val="1"/>
    <w:qFormat/>
    <w:uiPriority w:val="0"/>
    <w:rPr>
      <w:rFonts w:ascii="仿宋_GB2312" w:eastAsia="仿宋_GB2312"/>
      <w:b/>
      <w:sz w:val="32"/>
      <w:szCs w:val="32"/>
    </w:rPr>
  </w:style>
  <w:style w:type="paragraph" w:customStyle="1" w:styleId="88">
    <w:name w:val="Table Text"/>
    <w:link w:val="89"/>
    <w:qFormat/>
    <w:uiPriority w:val="0"/>
    <w:pPr>
      <w:snapToGrid w:val="0"/>
      <w:spacing w:before="80" w:after="80"/>
    </w:pPr>
    <w:rPr>
      <w:rFonts w:ascii="Arial" w:hAnsi="Arial" w:eastAsia="宋体" w:cs="Times New Roman"/>
      <w:sz w:val="18"/>
      <w:lang w:val="en-US" w:eastAsia="zh-CN" w:bidi="ar-SA"/>
    </w:rPr>
  </w:style>
  <w:style w:type="character" w:customStyle="1" w:styleId="89">
    <w:name w:val="Table Text Char1"/>
    <w:link w:val="88"/>
    <w:qFormat/>
    <w:uiPriority w:val="0"/>
    <w:rPr>
      <w:rFonts w:ascii="Arial" w:hAnsi="Arial"/>
      <w:sz w:val="18"/>
      <w:lang w:val="en-US" w:eastAsia="zh-CN" w:bidi="ar-SA"/>
    </w:rPr>
  </w:style>
  <w:style w:type="character" w:customStyle="1" w:styleId="90">
    <w:name w:val="正文（缩进2汉字） Char"/>
    <w:link w:val="91"/>
    <w:qFormat/>
    <w:uiPriority w:val="0"/>
    <w:rPr>
      <w:rFonts w:ascii="宋体"/>
      <w:kern w:val="2"/>
      <w:sz w:val="21"/>
      <w:lang w:bidi="ar-SA"/>
    </w:rPr>
  </w:style>
  <w:style w:type="paragraph" w:customStyle="1" w:styleId="91">
    <w:name w:val="正文（缩进2汉字）"/>
    <w:basedOn w:val="1"/>
    <w:link w:val="90"/>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92">
    <w:name w:val="Char111"/>
    <w:basedOn w:val="1"/>
    <w:qFormat/>
    <w:uiPriority w:val="0"/>
    <w:pPr>
      <w:tabs>
        <w:tab w:val="left" w:pos="432"/>
      </w:tabs>
      <w:spacing w:beforeLines="50" w:afterLines="50"/>
      <w:ind w:left="432" w:hanging="432"/>
      <w:jc w:val="center"/>
    </w:pPr>
    <w:rPr>
      <w:sz w:val="24"/>
    </w:rPr>
  </w:style>
  <w:style w:type="paragraph" w:customStyle="1" w:styleId="93">
    <w:name w:val="模板普通正文"/>
    <w:basedOn w:val="20"/>
    <w:qFormat/>
    <w:uiPriority w:val="0"/>
    <w:pPr>
      <w:spacing w:beforeLines="50" w:after="10" w:line="360" w:lineRule="auto"/>
      <w:ind w:left="0" w:leftChars="0" w:firstLine="175" w:firstLineChars="175"/>
      <w:jc w:val="left"/>
    </w:pPr>
    <w:rPr>
      <w:sz w:val="24"/>
    </w:rPr>
  </w:style>
  <w:style w:type="paragraph" w:customStyle="1" w:styleId="94">
    <w:name w:val="缺省文本"/>
    <w:basedOn w:val="1"/>
    <w:qFormat/>
    <w:uiPriority w:val="0"/>
    <w:pPr>
      <w:autoSpaceDE w:val="0"/>
      <w:autoSpaceDN w:val="0"/>
      <w:adjustRightInd w:val="0"/>
      <w:jc w:val="left"/>
    </w:pPr>
    <w:rPr>
      <w:kern w:val="0"/>
      <w:sz w:val="24"/>
    </w:rPr>
  </w:style>
  <w:style w:type="paragraph" w:customStyle="1" w:styleId="95">
    <w:name w:val="WW-正文文字缩进 2"/>
    <w:basedOn w:val="1"/>
    <w:qFormat/>
    <w:uiPriority w:val="0"/>
    <w:pPr>
      <w:suppressAutoHyphens/>
      <w:ind w:firstLine="420"/>
    </w:pPr>
    <w:rPr>
      <w:kern w:val="1"/>
      <w:szCs w:val="20"/>
    </w:rPr>
  </w:style>
  <w:style w:type="paragraph" w:customStyle="1" w:styleId="96">
    <w:name w:val="默认段落字体 Para Char Char Char Char Char Char Char Char Char1 Char Char Char Char"/>
    <w:basedOn w:val="1"/>
    <w:qFormat/>
    <w:uiPriority w:val="0"/>
    <w:rPr>
      <w:rFonts w:ascii="Tahoma" w:hAnsi="Tahoma"/>
      <w:sz w:val="24"/>
      <w:szCs w:val="20"/>
    </w:rPr>
  </w:style>
  <w:style w:type="paragraph" w:customStyle="1" w:styleId="97">
    <w:name w:val="项目排列"/>
    <w:basedOn w:val="1"/>
    <w:link w:val="98"/>
    <w:qFormat/>
    <w:uiPriority w:val="0"/>
    <w:pPr>
      <w:tabs>
        <w:tab w:val="left" w:pos="900"/>
      </w:tabs>
      <w:spacing w:beforeLines="50" w:afterLines="50" w:line="300" w:lineRule="auto"/>
      <w:ind w:left="900" w:hanging="420"/>
    </w:pPr>
    <w:rPr>
      <w:sz w:val="24"/>
    </w:rPr>
  </w:style>
  <w:style w:type="character" w:customStyle="1" w:styleId="98">
    <w:name w:val="项目排列 Char"/>
    <w:link w:val="97"/>
    <w:qFormat/>
    <w:uiPriority w:val="0"/>
    <w:rPr>
      <w:kern w:val="2"/>
      <w:sz w:val="24"/>
      <w:szCs w:val="24"/>
    </w:rPr>
  </w:style>
  <w:style w:type="character" w:customStyle="1" w:styleId="99">
    <w:name w:val="style21"/>
    <w:qFormat/>
    <w:uiPriority w:val="0"/>
    <w:rPr>
      <w:sz w:val="15"/>
      <w:szCs w:val="15"/>
    </w:rPr>
  </w:style>
  <w:style w:type="paragraph" w:customStyle="1" w:styleId="10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0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02">
    <w:name w:val="Char1"/>
    <w:basedOn w:val="1"/>
    <w:qFormat/>
    <w:uiPriority w:val="0"/>
    <w:rPr>
      <w:szCs w:val="20"/>
    </w:rPr>
  </w:style>
  <w:style w:type="paragraph" w:customStyle="1" w:styleId="103">
    <w:name w:val="列出段落1"/>
    <w:basedOn w:val="1"/>
    <w:qFormat/>
    <w:uiPriority w:val="0"/>
    <w:pPr>
      <w:ind w:firstLine="420" w:firstLineChars="200"/>
    </w:pPr>
    <w:rPr>
      <w:rFonts w:ascii="Calibri" w:hAnsi="Calibri"/>
      <w:szCs w:val="22"/>
    </w:rPr>
  </w:style>
  <w:style w:type="paragraph" w:customStyle="1" w:styleId="104">
    <w:name w:val="默认段落字体 Para Char Char Char Char"/>
    <w:basedOn w:val="1"/>
    <w:qFormat/>
    <w:uiPriority w:val="0"/>
  </w:style>
  <w:style w:type="paragraph" w:customStyle="1" w:styleId="105">
    <w:name w:val="Char Char Char1 Char Char Char1 Char Char Char Char"/>
    <w:basedOn w:val="1"/>
    <w:qFormat/>
    <w:uiPriority w:val="0"/>
  </w:style>
  <w:style w:type="character" w:customStyle="1" w:styleId="106">
    <w:name w:val="font1"/>
    <w:qFormat/>
    <w:uiPriority w:val="0"/>
    <w:rPr>
      <w:color w:val="999999"/>
      <w:sz w:val="18"/>
      <w:szCs w:val="18"/>
      <w:u w:val="none"/>
    </w:rPr>
  </w:style>
  <w:style w:type="paragraph" w:customStyle="1" w:styleId="10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8">
    <w:name w:val="Char Char Char Char Char Char Char Char Char Char"/>
    <w:basedOn w:val="1"/>
    <w:qFormat/>
    <w:uiPriority w:val="0"/>
    <w:rPr>
      <w:rFonts w:ascii="Tahoma" w:hAnsi="Tahoma"/>
      <w:sz w:val="24"/>
      <w:szCs w:val="20"/>
    </w:rPr>
  </w:style>
  <w:style w:type="character" w:customStyle="1" w:styleId="109">
    <w:name w:val="apple-style-span"/>
    <w:basedOn w:val="46"/>
    <w:qFormat/>
    <w:uiPriority w:val="0"/>
  </w:style>
  <w:style w:type="paragraph" w:customStyle="1" w:styleId="110">
    <w:name w:val="正文无缩进"/>
    <w:basedOn w:val="1"/>
    <w:link w:val="111"/>
    <w:qFormat/>
    <w:uiPriority w:val="0"/>
    <w:pPr>
      <w:spacing w:line="360" w:lineRule="auto"/>
    </w:pPr>
    <w:rPr>
      <w:rFonts w:ascii="宋体"/>
      <w:color w:val="000000"/>
      <w:sz w:val="24"/>
    </w:rPr>
  </w:style>
  <w:style w:type="character" w:customStyle="1" w:styleId="111">
    <w:name w:val="正文无缩进 Char"/>
    <w:link w:val="110"/>
    <w:qFormat/>
    <w:uiPriority w:val="0"/>
    <w:rPr>
      <w:rFonts w:ascii="宋体" w:eastAsia="宋体"/>
      <w:color w:val="000000"/>
      <w:kern w:val="2"/>
      <w:sz w:val="24"/>
      <w:szCs w:val="24"/>
      <w:lang w:val="en-US" w:eastAsia="zh-CN" w:bidi="ar-SA"/>
    </w:rPr>
  </w:style>
  <w:style w:type="paragraph" w:customStyle="1" w:styleId="11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13">
    <w:name w:val="ca-3"/>
    <w:basedOn w:val="46"/>
    <w:qFormat/>
    <w:uiPriority w:val="0"/>
  </w:style>
  <w:style w:type="paragraph" w:customStyle="1" w:styleId="11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15">
    <w:name w:val="表格 Char Char"/>
    <w:link w:val="116"/>
    <w:qFormat/>
    <w:locked/>
    <w:uiPriority w:val="0"/>
    <w:rPr>
      <w:rFonts w:ascii="宋体" w:hAnsi="宋体" w:eastAsia="宋体"/>
      <w:lang w:val="en-US" w:eastAsia="zh-CN" w:bidi="ar-SA"/>
    </w:rPr>
  </w:style>
  <w:style w:type="paragraph" w:customStyle="1" w:styleId="116">
    <w:name w:val="表格"/>
    <w:basedOn w:val="1"/>
    <w:link w:val="115"/>
    <w:qFormat/>
    <w:uiPriority w:val="0"/>
    <w:pPr>
      <w:snapToGrid w:val="0"/>
      <w:ind w:firstLine="42" w:firstLineChars="21"/>
    </w:pPr>
    <w:rPr>
      <w:rFonts w:ascii="宋体" w:hAnsi="宋体"/>
      <w:kern w:val="0"/>
      <w:sz w:val="20"/>
      <w:szCs w:val="20"/>
    </w:rPr>
  </w:style>
  <w:style w:type="paragraph" w:customStyle="1" w:styleId="11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8">
    <w:name w:val="Char Char1 Char Char Char Char Char Char"/>
    <w:basedOn w:val="1"/>
    <w:qFormat/>
    <w:uiPriority w:val="0"/>
    <w:pPr>
      <w:widowControl/>
      <w:spacing w:after="160" w:line="240" w:lineRule="exact"/>
      <w:jc w:val="left"/>
    </w:pPr>
  </w:style>
  <w:style w:type="character" w:customStyle="1" w:styleId="119">
    <w:name w:val="Char Char"/>
    <w:qFormat/>
    <w:uiPriority w:val="0"/>
    <w:rPr>
      <w:rFonts w:hint="eastAsia" w:ascii="宋体" w:hAnsi="Courier New" w:eastAsia="宋体"/>
      <w:kern w:val="2"/>
      <w:sz w:val="21"/>
      <w:lang w:val="en-US" w:eastAsia="zh-CN" w:bidi="ar-SA"/>
    </w:rPr>
  </w:style>
  <w:style w:type="character" w:customStyle="1" w:styleId="120">
    <w:name w:val="style51"/>
    <w:qFormat/>
    <w:uiPriority w:val="0"/>
    <w:rPr>
      <w:sz w:val="21"/>
      <w:szCs w:val="21"/>
    </w:rPr>
  </w:style>
  <w:style w:type="paragraph" w:customStyle="1" w:styleId="12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22">
    <w:name w:val="标准文本"/>
    <w:basedOn w:val="1"/>
    <w:link w:val="123"/>
    <w:qFormat/>
    <w:uiPriority w:val="0"/>
    <w:pPr>
      <w:spacing w:line="360" w:lineRule="auto"/>
      <w:ind w:firstLine="480" w:firstLineChars="200"/>
    </w:pPr>
    <w:rPr>
      <w:rFonts w:cs="宋体"/>
      <w:sz w:val="24"/>
      <w:szCs w:val="20"/>
    </w:rPr>
  </w:style>
  <w:style w:type="character" w:customStyle="1" w:styleId="123">
    <w:name w:val="标准文本 Char"/>
    <w:link w:val="122"/>
    <w:qFormat/>
    <w:uiPriority w:val="0"/>
    <w:rPr>
      <w:rFonts w:eastAsia="宋体" w:cs="宋体"/>
      <w:kern w:val="2"/>
      <w:sz w:val="24"/>
      <w:lang w:val="en-US" w:eastAsia="zh-CN" w:bidi="ar-SA"/>
    </w:rPr>
  </w:style>
  <w:style w:type="paragraph" w:customStyle="1" w:styleId="124">
    <w:name w:val="自定义正文"/>
    <w:basedOn w:val="1"/>
    <w:link w:val="125"/>
    <w:qFormat/>
    <w:uiPriority w:val="0"/>
    <w:pPr>
      <w:spacing w:line="480" w:lineRule="exact"/>
      <w:ind w:firstLine="200" w:firstLineChars="200"/>
      <w:jc w:val="left"/>
    </w:pPr>
    <w:rPr>
      <w:rFonts w:ascii="仿宋_GB2312" w:eastAsia="仿宋_GB2312"/>
      <w:sz w:val="28"/>
    </w:rPr>
  </w:style>
  <w:style w:type="character" w:customStyle="1" w:styleId="125">
    <w:name w:val="自定义正文 Char"/>
    <w:link w:val="124"/>
    <w:qFormat/>
    <w:uiPriority w:val="0"/>
    <w:rPr>
      <w:rFonts w:ascii="仿宋_GB2312" w:eastAsia="仿宋_GB2312"/>
      <w:kern w:val="2"/>
      <w:sz w:val="28"/>
      <w:szCs w:val="24"/>
      <w:lang w:val="en-US" w:eastAsia="zh-CN" w:bidi="ar-SA"/>
    </w:rPr>
  </w:style>
  <w:style w:type="paragraph" w:customStyle="1" w:styleId="12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27">
    <w:name w:val="自定义表格文字"/>
    <w:basedOn w:val="1"/>
    <w:qFormat/>
    <w:uiPriority w:val="0"/>
    <w:pPr>
      <w:spacing w:before="60" w:after="60" w:line="320" w:lineRule="exact"/>
      <w:jc w:val="left"/>
    </w:pPr>
    <w:rPr>
      <w:rFonts w:ascii="宋体" w:eastAsia="楷体_GB2312"/>
    </w:rPr>
  </w:style>
  <w:style w:type="paragraph" w:customStyle="1" w:styleId="12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0">
    <w:name w:val="Char Char12"/>
    <w:qFormat/>
    <w:uiPriority w:val="0"/>
    <w:rPr>
      <w:rFonts w:ascii="宋体" w:hAnsi="Courier New" w:eastAsia="宋体"/>
      <w:kern w:val="2"/>
      <w:sz w:val="21"/>
      <w:lang w:val="en-US" w:eastAsia="zh-CN" w:bidi="ar-SA"/>
    </w:rPr>
  </w:style>
  <w:style w:type="character" w:customStyle="1" w:styleId="131">
    <w:name w:val="H4 Char"/>
    <w:qFormat/>
    <w:uiPriority w:val="0"/>
    <w:rPr>
      <w:rFonts w:ascii="宋体" w:hAnsi="宋体" w:eastAsia="黑体"/>
      <w:b/>
      <w:bCs/>
      <w:color w:val="000000"/>
      <w:spacing w:val="-4"/>
      <w:kern w:val="2"/>
      <w:sz w:val="24"/>
      <w:szCs w:val="30"/>
      <w:lang w:val="en-US" w:eastAsia="zh-CN" w:bidi="ar-SA"/>
    </w:rPr>
  </w:style>
  <w:style w:type="character" w:customStyle="1" w:styleId="132">
    <w:name w:val="H5 Char"/>
    <w:qFormat/>
    <w:uiPriority w:val="0"/>
    <w:rPr>
      <w:rFonts w:ascii="Arial" w:hAnsi="Arial" w:eastAsia="宋体"/>
      <w:sz w:val="24"/>
      <w:lang w:val="en-US" w:eastAsia="zh-CN" w:bidi="ar-SA"/>
    </w:rPr>
  </w:style>
  <w:style w:type="character" w:customStyle="1" w:styleId="133">
    <w:name w:val="Char Char8"/>
    <w:qFormat/>
    <w:uiPriority w:val="0"/>
    <w:rPr>
      <w:rFonts w:ascii="宋体" w:eastAsia="宋体"/>
      <w:kern w:val="2"/>
      <w:sz w:val="28"/>
      <w:lang w:val="en-US" w:eastAsia="zh-CN" w:bidi="ar-SA"/>
    </w:rPr>
  </w:style>
  <w:style w:type="character" w:customStyle="1" w:styleId="134">
    <w:name w:val="Char Char7"/>
    <w:qFormat/>
    <w:uiPriority w:val="0"/>
    <w:rPr>
      <w:rFonts w:eastAsia="仿宋_GB2312"/>
      <w:kern w:val="2"/>
      <w:sz w:val="24"/>
      <w:szCs w:val="24"/>
      <w:lang w:val="en-US" w:eastAsia="zh-CN" w:bidi="ar-SA"/>
    </w:rPr>
  </w:style>
  <w:style w:type="paragraph" w:customStyle="1" w:styleId="135">
    <w:name w:val="表内文字"/>
    <w:basedOn w:val="1"/>
    <w:qFormat/>
    <w:uiPriority w:val="0"/>
    <w:pPr>
      <w:jc w:val="center"/>
    </w:pPr>
    <w:rPr>
      <w:color w:val="FF0000"/>
      <w:kern w:val="0"/>
      <w:sz w:val="24"/>
    </w:rPr>
  </w:style>
  <w:style w:type="character" w:customStyle="1" w:styleId="136">
    <w:name w:val="Char Char3"/>
    <w:qFormat/>
    <w:uiPriority w:val="0"/>
    <w:rPr>
      <w:rFonts w:eastAsia="仿宋_GB2312"/>
      <w:kern w:val="2"/>
      <w:sz w:val="28"/>
      <w:szCs w:val="24"/>
      <w:lang w:val="en-US" w:eastAsia="zh-CN" w:bidi="ar-SA"/>
    </w:rPr>
  </w:style>
  <w:style w:type="paragraph" w:customStyle="1" w:styleId="13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4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1">
    <w:name w:val="项目1"/>
    <w:basedOn w:val="1"/>
    <w:qFormat/>
    <w:uiPriority w:val="0"/>
    <w:pPr>
      <w:tabs>
        <w:tab w:val="left" w:pos="840"/>
      </w:tabs>
      <w:spacing w:after="60"/>
      <w:ind w:left="840" w:hanging="420"/>
    </w:pPr>
    <w:rPr>
      <w:rFonts w:ascii="宋体"/>
      <w:spacing w:val="4"/>
      <w:szCs w:val="20"/>
    </w:rPr>
  </w:style>
  <w:style w:type="paragraph" w:customStyle="1" w:styleId="142">
    <w:name w:val="编10号"/>
    <w:basedOn w:val="1"/>
    <w:qFormat/>
    <w:uiPriority w:val="0"/>
    <w:pPr>
      <w:tabs>
        <w:tab w:val="left" w:pos="1620"/>
      </w:tabs>
      <w:ind w:left="1620" w:hanging="360"/>
    </w:pPr>
  </w:style>
  <w:style w:type="paragraph" w:customStyle="1" w:styleId="143">
    <w:name w:val="段"/>
    <w:basedOn w:val="1"/>
    <w:qFormat/>
    <w:uiPriority w:val="0"/>
    <w:pPr>
      <w:ind w:firstLine="425"/>
    </w:pPr>
    <w:rPr>
      <w:rFonts w:ascii="宋体"/>
      <w:szCs w:val="20"/>
    </w:rPr>
  </w:style>
  <w:style w:type="paragraph" w:customStyle="1" w:styleId="144">
    <w:name w:val="Char Char Char Char"/>
    <w:basedOn w:val="1"/>
    <w:qFormat/>
    <w:uiPriority w:val="0"/>
    <w:pPr>
      <w:widowControl/>
      <w:spacing w:after="160" w:line="240" w:lineRule="exact"/>
      <w:jc w:val="left"/>
    </w:pPr>
    <w:rPr>
      <w:kern w:val="0"/>
      <w:sz w:val="24"/>
    </w:rPr>
  </w:style>
  <w:style w:type="paragraph" w:customStyle="1" w:styleId="14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6">
    <w:name w:val="bulletintext1"/>
    <w:qFormat/>
    <w:uiPriority w:val="0"/>
    <w:rPr>
      <w:rFonts w:hint="eastAsia" w:ascii="宋体" w:hAnsi="宋体" w:eastAsia="宋体"/>
      <w:sz w:val="18"/>
      <w:szCs w:val="18"/>
    </w:rPr>
  </w:style>
  <w:style w:type="paragraph" w:customStyle="1" w:styleId="147">
    <w:name w:val="Char1 Char Char Char Char Char Char"/>
    <w:basedOn w:val="1"/>
    <w:qFormat/>
    <w:uiPriority w:val="0"/>
    <w:rPr>
      <w:rFonts w:ascii="Tahoma" w:hAnsi="Tahoma"/>
      <w:sz w:val="24"/>
      <w:szCs w:val="20"/>
    </w:rPr>
  </w:style>
  <w:style w:type="paragraph" w:customStyle="1" w:styleId="148">
    <w:name w:val="Char Char2 Char Char Char Char"/>
    <w:basedOn w:val="18"/>
    <w:qFormat/>
    <w:uiPriority w:val="0"/>
    <w:rPr>
      <w:rFonts w:ascii="Tahoma" w:hAnsi="Tahoma"/>
      <w:sz w:val="24"/>
    </w:rPr>
  </w:style>
  <w:style w:type="paragraph" w:customStyle="1" w:styleId="149">
    <w:name w:val="Char Char Char"/>
    <w:basedOn w:val="18"/>
    <w:qFormat/>
    <w:uiPriority w:val="0"/>
    <w:rPr>
      <w:rFonts w:ascii="Tahoma" w:hAnsi="Tahoma"/>
      <w:sz w:val="24"/>
    </w:rPr>
  </w:style>
  <w:style w:type="paragraph" w:customStyle="1" w:styleId="150">
    <w:name w:val="正文缩进 New"/>
    <w:basedOn w:val="1"/>
    <w:qFormat/>
    <w:uiPriority w:val="0"/>
    <w:pPr>
      <w:ind w:firstLine="420" w:firstLineChars="200"/>
    </w:pPr>
    <w:rPr>
      <w:szCs w:val="20"/>
    </w:rPr>
  </w:style>
  <w:style w:type="paragraph" w:customStyle="1" w:styleId="15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52">
    <w:name w:val="tpc_content1"/>
    <w:qFormat/>
    <w:uiPriority w:val="0"/>
    <w:rPr>
      <w:sz w:val="20"/>
      <w:szCs w:val="20"/>
    </w:rPr>
  </w:style>
  <w:style w:type="character" w:customStyle="1" w:styleId="153">
    <w:name w:val="Char Char11"/>
    <w:qFormat/>
    <w:uiPriority w:val="0"/>
    <w:rPr>
      <w:b/>
      <w:kern w:val="44"/>
      <w:sz w:val="44"/>
    </w:rPr>
  </w:style>
  <w:style w:type="character" w:customStyle="1" w:styleId="154">
    <w:name w:val="Char Char10"/>
    <w:qFormat/>
    <w:uiPriority w:val="0"/>
    <w:rPr>
      <w:b/>
      <w:kern w:val="2"/>
      <w:sz w:val="28"/>
      <w:szCs w:val="28"/>
    </w:rPr>
  </w:style>
  <w:style w:type="character" w:customStyle="1" w:styleId="155">
    <w:name w:val="Char Char9"/>
    <w:qFormat/>
    <w:uiPriority w:val="0"/>
    <w:rPr>
      <w:b/>
      <w:kern w:val="2"/>
      <w:sz w:val="24"/>
      <w:szCs w:val="24"/>
    </w:rPr>
  </w:style>
  <w:style w:type="paragraph" w:customStyle="1" w:styleId="156">
    <w:name w:val="Char Char Char 字元 字元"/>
    <w:basedOn w:val="1"/>
    <w:qFormat/>
    <w:uiPriority w:val="0"/>
    <w:pPr>
      <w:spacing w:line="360" w:lineRule="auto"/>
      <w:ind w:firstLine="200" w:firstLineChars="200"/>
    </w:pPr>
    <w:rPr>
      <w:szCs w:val="20"/>
    </w:rPr>
  </w:style>
  <w:style w:type="paragraph" w:customStyle="1" w:styleId="15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9">
    <w:name w:val="style11"/>
    <w:qFormat/>
    <w:uiPriority w:val="0"/>
    <w:rPr>
      <w:b/>
      <w:bCs/>
      <w:color w:val="FF0000"/>
    </w:rPr>
  </w:style>
  <w:style w:type="character" w:customStyle="1" w:styleId="160">
    <w:name w:val="info"/>
    <w:basedOn w:val="46"/>
    <w:qFormat/>
    <w:uiPriority w:val="0"/>
  </w:style>
  <w:style w:type="paragraph" w:customStyle="1" w:styleId="161">
    <w:name w:val="样式 正文缩进 + 首行缩进:  2 字符"/>
    <w:basedOn w:val="7"/>
    <w:link w:val="162"/>
    <w:qFormat/>
    <w:uiPriority w:val="0"/>
    <w:pPr>
      <w:spacing w:line="360" w:lineRule="auto"/>
      <w:ind w:firstLine="480"/>
    </w:pPr>
    <w:rPr>
      <w:rFonts w:ascii="宋体" w:hAnsi="宋体"/>
      <w:color w:val="000000"/>
      <w:kern w:val="0"/>
      <w:sz w:val="24"/>
      <w:szCs w:val="20"/>
    </w:rPr>
  </w:style>
  <w:style w:type="character" w:customStyle="1" w:styleId="162">
    <w:name w:val="样式 正文缩进 + 首行缩进:  2 字符 Char"/>
    <w:link w:val="161"/>
    <w:qFormat/>
    <w:locked/>
    <w:uiPriority w:val="0"/>
    <w:rPr>
      <w:rFonts w:ascii="宋体" w:hAnsi="宋体" w:eastAsia="宋体"/>
      <w:color w:val="000000"/>
      <w:sz w:val="24"/>
      <w:lang w:bidi="ar-SA"/>
    </w:rPr>
  </w:style>
  <w:style w:type="paragraph" w:customStyle="1" w:styleId="163">
    <w:name w:val="正文2"/>
    <w:basedOn w:val="1"/>
    <w:link w:val="164"/>
    <w:qFormat/>
    <w:uiPriority w:val="0"/>
    <w:pPr>
      <w:spacing w:before="156" w:line="360" w:lineRule="auto"/>
      <w:ind w:firstLine="510" w:firstLineChars="200"/>
    </w:pPr>
    <w:rPr>
      <w:sz w:val="24"/>
      <w:szCs w:val="20"/>
    </w:rPr>
  </w:style>
  <w:style w:type="character" w:customStyle="1" w:styleId="164">
    <w:name w:val="正文2 Char"/>
    <w:link w:val="163"/>
    <w:qFormat/>
    <w:uiPriority w:val="0"/>
    <w:rPr>
      <w:rFonts w:eastAsia="宋体"/>
      <w:kern w:val="2"/>
      <w:sz w:val="24"/>
      <w:lang w:val="en-US" w:eastAsia="zh-CN" w:bidi="ar-SA"/>
    </w:rPr>
  </w:style>
  <w:style w:type="paragraph" w:customStyle="1" w:styleId="165">
    <w:name w:val="p0"/>
    <w:basedOn w:val="1"/>
    <w:qFormat/>
    <w:uiPriority w:val="0"/>
    <w:pPr>
      <w:widowControl/>
    </w:pPr>
    <w:rPr>
      <w:kern w:val="0"/>
      <w:szCs w:val="21"/>
    </w:rPr>
  </w:style>
  <w:style w:type="character" w:customStyle="1" w:styleId="166">
    <w:name w:val="param-name"/>
    <w:basedOn w:val="46"/>
    <w:qFormat/>
    <w:uiPriority w:val="0"/>
  </w:style>
  <w:style w:type="character" w:customStyle="1" w:styleId="167">
    <w:name w:val="日期 Char"/>
    <w:qFormat/>
    <w:uiPriority w:val="0"/>
    <w:rPr>
      <w:rFonts w:ascii="楷体_GB2312" w:eastAsia="楷体_GB2312"/>
      <w:b/>
      <w:kern w:val="2"/>
      <w:sz w:val="28"/>
      <w:lang w:val="en-US" w:eastAsia="zh-CN" w:bidi="ar-SA"/>
    </w:rPr>
  </w:style>
  <w:style w:type="character" w:customStyle="1" w:styleId="168">
    <w:name w:val="标题 4 Char"/>
    <w:qFormat/>
    <w:uiPriority w:val="0"/>
    <w:rPr>
      <w:rFonts w:ascii="Arial" w:hAnsi="Arial" w:eastAsia="黑体"/>
      <w:b/>
      <w:kern w:val="2"/>
      <w:sz w:val="28"/>
      <w:lang w:val="en-US" w:eastAsia="zh-CN" w:bidi="ar-SA"/>
    </w:rPr>
  </w:style>
  <w:style w:type="character" w:customStyle="1" w:styleId="169">
    <w:name w:val="标题 6 Char"/>
    <w:qFormat/>
    <w:uiPriority w:val="0"/>
    <w:rPr>
      <w:rFonts w:ascii="宋体" w:hAnsi="Arial" w:eastAsia="宋体"/>
      <w:sz w:val="24"/>
      <w:lang w:val="en-US" w:eastAsia="zh-CN" w:bidi="ar-SA"/>
    </w:rPr>
  </w:style>
  <w:style w:type="character" w:customStyle="1" w:styleId="170">
    <w:name w:val="标题 8 Char"/>
    <w:qFormat/>
    <w:uiPriority w:val="0"/>
    <w:rPr>
      <w:rFonts w:ascii="Arial" w:hAnsi="Arial" w:eastAsia="黑体"/>
      <w:sz w:val="24"/>
      <w:lang w:val="en-US" w:eastAsia="zh-CN" w:bidi="ar-SA"/>
    </w:rPr>
  </w:style>
  <w:style w:type="character" w:customStyle="1" w:styleId="171">
    <w:name w:val="标题 9 Char"/>
    <w:qFormat/>
    <w:uiPriority w:val="0"/>
    <w:rPr>
      <w:rFonts w:ascii="Arial" w:hAnsi="Arial" w:eastAsia="黑体"/>
      <w:sz w:val="24"/>
      <w:lang w:val="en-US" w:eastAsia="zh-CN" w:bidi="ar-SA"/>
    </w:rPr>
  </w:style>
  <w:style w:type="character" w:customStyle="1" w:styleId="172">
    <w:name w:val="标题 5 Char"/>
    <w:qFormat/>
    <w:uiPriority w:val="0"/>
    <w:rPr>
      <w:rFonts w:eastAsia="宋体"/>
      <w:sz w:val="24"/>
      <w:lang w:val="en-US" w:eastAsia="zh-CN" w:bidi="ar-SA"/>
    </w:rPr>
  </w:style>
  <w:style w:type="character" w:customStyle="1" w:styleId="173">
    <w:name w:val="正文文本缩进 2 Char"/>
    <w:qFormat/>
    <w:locked/>
    <w:uiPriority w:val="0"/>
    <w:rPr>
      <w:rFonts w:eastAsia="宋体"/>
      <w:kern w:val="2"/>
      <w:sz w:val="21"/>
      <w:szCs w:val="24"/>
      <w:lang w:val="en-US" w:eastAsia="zh-CN" w:bidi="ar-SA"/>
    </w:rPr>
  </w:style>
  <w:style w:type="character" w:customStyle="1" w:styleId="174">
    <w:name w:val="正文文本 2 Char"/>
    <w:qFormat/>
    <w:uiPriority w:val="0"/>
    <w:rPr>
      <w:rFonts w:ascii="隶书" w:eastAsia="隶书"/>
      <w:bCs/>
      <w:sz w:val="72"/>
      <w:szCs w:val="84"/>
      <w:lang w:val="en-US" w:eastAsia="zh-CN" w:bidi="ar-SA"/>
    </w:rPr>
  </w:style>
  <w:style w:type="character" w:customStyle="1" w:styleId="175">
    <w:name w:val="标题 7 Char"/>
    <w:qFormat/>
    <w:uiPriority w:val="0"/>
    <w:rPr>
      <w:rFonts w:ascii="宋体" w:hAnsi="Arial" w:eastAsia="宋体"/>
      <w:b/>
      <w:sz w:val="24"/>
      <w:lang w:val="en-US" w:eastAsia="zh-CN" w:bidi="ar-SA"/>
    </w:rPr>
  </w:style>
  <w:style w:type="character" w:customStyle="1" w:styleId="176">
    <w:name w:val="页眉 Char"/>
    <w:qFormat/>
    <w:uiPriority w:val="99"/>
    <w:rPr>
      <w:rFonts w:eastAsia="宋体"/>
      <w:kern w:val="2"/>
      <w:sz w:val="18"/>
      <w:szCs w:val="18"/>
      <w:lang w:val="en-US" w:eastAsia="zh-CN" w:bidi="ar-SA"/>
    </w:rPr>
  </w:style>
  <w:style w:type="character" w:customStyle="1" w:styleId="177">
    <w:name w:val="汇视源正文 Char"/>
    <w:link w:val="178"/>
    <w:qFormat/>
    <w:uiPriority w:val="0"/>
    <w:rPr>
      <w:rFonts w:cs="宋体"/>
      <w:kern w:val="2"/>
      <w:sz w:val="24"/>
      <w:lang w:val="en-US" w:eastAsia="zh-CN" w:bidi="ar-SA"/>
    </w:rPr>
  </w:style>
  <w:style w:type="paragraph" w:customStyle="1" w:styleId="178">
    <w:name w:val="汇视源正文"/>
    <w:link w:val="17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9">
    <w:name w:val="样式 列表编号 + 段后: 0.5 行"/>
    <w:basedOn w:val="16"/>
    <w:qFormat/>
    <w:uiPriority w:val="0"/>
    <w:pPr>
      <w:tabs>
        <w:tab w:val="left" w:pos="840"/>
      </w:tabs>
      <w:spacing w:afterLines="0"/>
      <w:ind w:left="425" w:hanging="425"/>
    </w:pPr>
    <w:rPr>
      <w:rFonts w:cs="宋体"/>
    </w:rPr>
  </w:style>
  <w:style w:type="paragraph" w:customStyle="1" w:styleId="18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81">
    <w:name w:val="TOC 标题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82">
    <w:name w:val="Date Char"/>
    <w:qFormat/>
    <w:locked/>
    <w:uiPriority w:val="0"/>
    <w:rPr>
      <w:rFonts w:ascii="宋体"/>
      <w:sz w:val="21"/>
      <w:lang w:val="zh-CN"/>
    </w:rPr>
  </w:style>
  <w:style w:type="character" w:customStyle="1" w:styleId="183">
    <w:name w:val="Normal Indent Char"/>
    <w:qFormat/>
    <w:locked/>
    <w:uiPriority w:val="0"/>
    <w:rPr>
      <w:rFonts w:ascii="宋体" w:eastAsia="宋体"/>
      <w:snapToGrid w:val="0"/>
      <w:color w:val="000000"/>
      <w:kern w:val="28"/>
      <w:sz w:val="28"/>
    </w:rPr>
  </w:style>
  <w:style w:type="character" w:customStyle="1" w:styleId="184">
    <w:name w:val="Plain Text Char"/>
    <w:qFormat/>
    <w:locked/>
    <w:uiPriority w:val="0"/>
    <w:rPr>
      <w:rFonts w:ascii="宋体" w:hAnsi="Courier New" w:eastAsia="宋体"/>
      <w:snapToGrid w:val="0"/>
      <w:sz w:val="21"/>
    </w:rPr>
  </w:style>
  <w:style w:type="character" w:customStyle="1" w:styleId="185">
    <w:name w:val="日期 Char1"/>
    <w:qFormat/>
    <w:uiPriority w:val="0"/>
    <w:rPr>
      <w:rFonts w:ascii="Times New Roman" w:hAnsi="Times New Roman" w:eastAsia="宋体" w:cs="Times New Roman"/>
      <w:sz w:val="24"/>
      <w:szCs w:val="24"/>
    </w:rPr>
  </w:style>
  <w:style w:type="character" w:customStyle="1" w:styleId="186">
    <w:name w:val="纯文本 Char1"/>
    <w:link w:val="187"/>
    <w:qFormat/>
    <w:uiPriority w:val="0"/>
    <w:rPr>
      <w:rFonts w:ascii="宋体" w:hAnsi="Courier New" w:eastAsia="宋体" w:cs="Courier New"/>
      <w:sz w:val="21"/>
      <w:szCs w:val="21"/>
    </w:rPr>
  </w:style>
  <w:style w:type="paragraph" w:customStyle="1" w:styleId="187">
    <w:name w:val="纯文本1"/>
    <w:basedOn w:val="1"/>
    <w:link w:val="186"/>
    <w:qFormat/>
    <w:uiPriority w:val="0"/>
    <w:rPr>
      <w:rFonts w:ascii="宋体" w:hAnsi="Courier New" w:cs="Courier New"/>
      <w:kern w:val="0"/>
      <w:szCs w:val="21"/>
    </w:rPr>
  </w:style>
  <w:style w:type="paragraph" w:customStyle="1" w:styleId="18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9">
    <w:name w:val="列出段落112"/>
    <w:basedOn w:val="1"/>
    <w:link w:val="190"/>
    <w:qFormat/>
    <w:uiPriority w:val="0"/>
    <w:pPr>
      <w:adjustRightInd w:val="0"/>
      <w:spacing w:line="360" w:lineRule="auto"/>
      <w:ind w:firstLine="200" w:firstLineChars="200"/>
    </w:pPr>
    <w:rPr>
      <w:rFonts w:eastAsia="楷体_GB2312" w:cs="Lucida Sans"/>
      <w:sz w:val="24"/>
    </w:rPr>
  </w:style>
  <w:style w:type="character" w:customStyle="1" w:styleId="190">
    <w:name w:val="列出段落 Char"/>
    <w:link w:val="189"/>
    <w:qFormat/>
    <w:uiPriority w:val="0"/>
    <w:rPr>
      <w:rFonts w:eastAsia="楷体_GB2312" w:cs="Lucida Sans"/>
      <w:kern w:val="2"/>
      <w:sz w:val="24"/>
      <w:szCs w:val="24"/>
    </w:rPr>
  </w:style>
  <w:style w:type="paragraph" w:customStyle="1" w:styleId="191">
    <w:name w:val="标题2def"/>
    <w:basedOn w:val="4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92">
    <w:name w:val="标题3def"/>
    <w:basedOn w:val="8"/>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93">
    <w:name w:val="Header Char"/>
    <w:qFormat/>
    <w:locked/>
    <w:uiPriority w:val="0"/>
    <w:rPr>
      <w:rFonts w:ascii="Times New Roman" w:hAnsi="Times New Roman" w:eastAsia="宋体" w:cs="Times New Roman"/>
      <w:sz w:val="18"/>
      <w:szCs w:val="18"/>
    </w:rPr>
  </w:style>
  <w:style w:type="paragraph" w:customStyle="1" w:styleId="19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6">
    <w:name w:val="Comment Text Char"/>
    <w:qFormat/>
    <w:locked/>
    <w:uiPriority w:val="0"/>
    <w:rPr>
      <w:rFonts w:ascii="Times New Roman" w:hAnsi="Times New Roman" w:eastAsia="宋体" w:cs="Times New Roman"/>
      <w:kern w:val="0"/>
      <w:sz w:val="24"/>
      <w:szCs w:val="24"/>
      <w:lang w:val="zh-CN" w:eastAsia="zh-CN"/>
    </w:rPr>
  </w:style>
  <w:style w:type="paragraph" w:customStyle="1" w:styleId="19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9">
    <w:name w:val="Char Char Char Char1"/>
    <w:basedOn w:val="1"/>
    <w:qFormat/>
    <w:uiPriority w:val="0"/>
    <w:rPr>
      <w:rFonts w:ascii="Tahoma" w:hAnsi="Tahoma"/>
      <w:sz w:val="24"/>
      <w:szCs w:val="20"/>
    </w:rPr>
  </w:style>
  <w:style w:type="paragraph" w:customStyle="1" w:styleId="20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0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0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03">
    <w:name w:val="正文2 Char Char"/>
    <w:qFormat/>
    <w:uiPriority w:val="0"/>
    <w:rPr>
      <w:kern w:val="2"/>
      <w:sz w:val="24"/>
    </w:rPr>
  </w:style>
  <w:style w:type="character" w:customStyle="1" w:styleId="204">
    <w:name w:val="普通文字 Char Char3"/>
    <w:qFormat/>
    <w:uiPriority w:val="0"/>
    <w:rPr>
      <w:rFonts w:ascii="宋体" w:hAnsi="Courier New"/>
      <w:kern w:val="2"/>
      <w:sz w:val="24"/>
      <w:szCs w:val="24"/>
    </w:rPr>
  </w:style>
  <w:style w:type="character" w:customStyle="1" w:styleId="205">
    <w:name w:val="特点 Char2"/>
    <w:qFormat/>
    <w:uiPriority w:val="0"/>
    <w:rPr>
      <w:rFonts w:ascii="Times New Roman" w:hAnsi="Times New Roman" w:eastAsia="宋体" w:cs="Times New Roman"/>
      <w:szCs w:val="24"/>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6"/>
    <w:qFormat/>
    <w:uiPriority w:val="0"/>
    <w:rPr>
      <w:rFonts w:hint="eastAsia" w:ascii="宋体" w:hAnsi="宋体" w:eastAsia="宋体" w:cs="宋体"/>
      <w:color w:val="000000"/>
      <w:sz w:val="22"/>
      <w:szCs w:val="22"/>
      <w:u w:val="none"/>
    </w:rPr>
  </w:style>
  <w:style w:type="character" w:customStyle="1" w:styleId="267">
    <w:name w:val="font11"/>
    <w:basedOn w:val="46"/>
    <w:qFormat/>
    <w:uiPriority w:val="0"/>
    <w:rPr>
      <w:rFonts w:hint="eastAsia" w:ascii="宋体" w:hAnsi="宋体" w:eastAsia="宋体" w:cs="宋体"/>
      <w:color w:val="FF0000"/>
      <w:sz w:val="22"/>
      <w:szCs w:val="22"/>
      <w:u w:val="none"/>
    </w:rPr>
  </w:style>
  <w:style w:type="character" w:customStyle="1" w:styleId="268">
    <w:name w:val="font41"/>
    <w:basedOn w:val="46"/>
    <w:qFormat/>
    <w:uiPriority w:val="0"/>
    <w:rPr>
      <w:rFonts w:hint="default" w:ascii="等线" w:hAnsi="等线" w:eastAsia="等线" w:cs="等线"/>
      <w:color w:val="FF0000"/>
      <w:sz w:val="22"/>
      <w:szCs w:val="22"/>
      <w:u w:val="none"/>
    </w:rPr>
  </w:style>
  <w:style w:type="character" w:customStyle="1" w:styleId="269">
    <w:name w:val="font21"/>
    <w:basedOn w:val="46"/>
    <w:qFormat/>
    <w:uiPriority w:val="0"/>
    <w:rPr>
      <w:rFonts w:hint="default" w:ascii="等线" w:hAnsi="等线" w:eastAsia="等线" w:cs="等线"/>
      <w:color w:val="000000"/>
      <w:sz w:val="22"/>
      <w:szCs w:val="22"/>
      <w:u w:val="none"/>
    </w:rPr>
  </w:style>
  <w:style w:type="character" w:customStyle="1" w:styleId="270">
    <w:name w:val="font51"/>
    <w:basedOn w:val="46"/>
    <w:qFormat/>
    <w:uiPriority w:val="0"/>
    <w:rPr>
      <w:rFonts w:hint="default" w:ascii="等线" w:hAnsi="等线" w:eastAsia="等线" w:cs="等线"/>
      <w:color w:val="FF0000"/>
      <w:sz w:val="22"/>
      <w:szCs w:val="22"/>
      <w:u w:val="none"/>
    </w:rPr>
  </w:style>
  <w:style w:type="character" w:customStyle="1" w:styleId="271">
    <w:name w:val="font61"/>
    <w:basedOn w:val="46"/>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6"/>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6"/>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character" w:customStyle="1" w:styleId="286">
    <w:name w:val="font31"/>
    <w:qFormat/>
    <w:uiPriority w:val="0"/>
    <w:rPr>
      <w:rFonts w:hint="eastAsia" w:ascii="仿宋" w:hAnsi="仿宋" w:eastAsia="仿宋" w:cs="仿宋"/>
      <w:color w:val="FF0000"/>
      <w:sz w:val="22"/>
      <w:szCs w:val="22"/>
      <w:u w:val="none"/>
    </w:rPr>
  </w:style>
  <w:style w:type="paragraph" w:customStyle="1" w:styleId="287">
    <w:name w:val="修订2"/>
    <w:unhideWhenUsed/>
    <w:qFormat/>
    <w:uiPriority w:val="99"/>
    <w:rPr>
      <w:rFonts w:ascii="Times New Roman" w:hAnsi="Times New Roman" w:eastAsia="宋体" w:cs="Times New Roman"/>
      <w:kern w:val="2"/>
      <w:sz w:val="21"/>
      <w:szCs w:val="24"/>
      <w:lang w:val="en-US" w:eastAsia="zh-CN" w:bidi="ar-SA"/>
    </w:rPr>
  </w:style>
  <w:style w:type="character" w:customStyle="1" w:styleId="288">
    <w:name w:val="正文缩进 Char1"/>
    <w:qFormat/>
    <w:uiPriority w:val="0"/>
    <w:rPr>
      <w:rFonts w:ascii="Times New Roman" w:hAnsi="Times New Roman" w:eastAsia="宋体" w:cs="Times New Roman"/>
      <w:szCs w:val="20"/>
    </w:rPr>
  </w:style>
  <w:style w:type="character" w:customStyle="1" w:styleId="289">
    <w:name w:val="纯文本 Char2"/>
    <w:qFormat/>
    <w:uiPriority w:val="0"/>
    <w:rPr>
      <w:rFonts w:ascii="宋体" w:hAnsi="Courier New" w:eastAsia="宋体" w:cs="Times New Roman"/>
      <w:szCs w:val="21"/>
    </w:rPr>
  </w:style>
  <w:style w:type="paragraph" w:customStyle="1" w:styleId="290">
    <w:name w:val="方案正文"/>
    <w:basedOn w:val="1"/>
    <w:qFormat/>
    <w:uiPriority w:val="0"/>
    <w:pPr>
      <w:spacing w:before="120" w:line="360" w:lineRule="auto"/>
      <w:ind w:firstLine="425" w:firstLineChars="177"/>
    </w:pPr>
    <w:rPr>
      <w:rFonts w:ascii="华文细黑" w:hAnsi="华文细黑" w:eastAsia="华文细黑"/>
      <w:kern w:val="0"/>
      <w:sz w:val="24"/>
    </w:rPr>
  </w:style>
  <w:style w:type="paragraph" w:customStyle="1" w:styleId="291">
    <w:name w:val="TOC 标题11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styleId="294">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5">
    <w:name w:val="表格标题"/>
    <w:basedOn w:val="296"/>
    <w:qFormat/>
    <w:uiPriority w:val="0"/>
    <w:pPr>
      <w:keepNext/>
      <w:jc w:val="center"/>
    </w:pPr>
    <w:rPr>
      <w:b/>
      <w:bCs/>
    </w:rPr>
  </w:style>
  <w:style w:type="paragraph" w:customStyle="1" w:styleId="296">
    <w:name w:val="表格文字"/>
    <w:basedOn w:val="25"/>
    <w:qFormat/>
    <w:uiPriority w:val="0"/>
    <w:pPr>
      <w:widowControl w:val="0"/>
      <w:overflowPunct/>
      <w:autoSpaceDE/>
      <w:autoSpaceDN/>
      <w:adjustRightInd/>
      <w:textAlignment w:val="auto"/>
    </w:pPr>
    <w:rPr>
      <w:kern w:val="2"/>
      <w:sz w:val="24"/>
      <w:szCs w:val="20"/>
    </w:rPr>
  </w:style>
  <w:style w:type="paragraph" w:customStyle="1" w:styleId="297">
    <w:name w:val="首行缩进"/>
    <w:basedOn w:val="1"/>
    <w:qFormat/>
    <w:uiPriority w:val="99"/>
    <w:pPr>
      <w:spacing w:line="360" w:lineRule="auto"/>
      <w:ind w:firstLine="480" w:firstLineChars="200"/>
    </w:pPr>
    <w:rPr>
      <w:sz w:val="24"/>
      <w:szCs w:val="22"/>
      <w:lang w:val="zh-CN"/>
    </w:rPr>
  </w:style>
  <w:style w:type="paragraph" w:customStyle="1" w:styleId="298">
    <w:name w:val="正文 A"/>
    <w:qFormat/>
    <w:uiPriority w:val="0"/>
    <w:pPr>
      <w:widowControl w:val="0"/>
      <w:jc w:val="both"/>
    </w:pPr>
    <w:rPr>
      <w:rFonts w:ascii="Arial Unicode MS" w:hAnsi="Arial Unicode MS" w:eastAsia="Arial Unicode MS" w:cs="Arial Unicode MS"/>
      <w:color w:val="000000"/>
      <w:kern w:val="2"/>
      <w:sz w:val="21"/>
      <w:szCs w:val="21"/>
      <w:lang w:val="en-US" w:eastAsia="zh-CN" w:bidi="ar-SA"/>
    </w:rPr>
  </w:style>
  <w:style w:type="paragraph" w:customStyle="1" w:styleId="299">
    <w:name w:val="Text"/>
    <w:basedOn w:val="1"/>
    <w:qFormat/>
    <w:uiPriority w:val="0"/>
    <w:pPr>
      <w:spacing w:line="360" w:lineRule="auto"/>
      <w:ind w:firstLine="200" w:firstLineChars="200"/>
    </w:pPr>
    <w:rPr>
      <w:sz w:val="24"/>
      <w:szCs w:val="22"/>
    </w:rPr>
  </w:style>
  <w:style w:type="paragraph" w:customStyle="1" w:styleId="300">
    <w:name w:val="_Style 2"/>
    <w:qFormat/>
    <w:uiPriority w:val="0"/>
    <w:pPr>
      <w:adjustRightInd w:val="0"/>
      <w:snapToGrid w:val="0"/>
    </w:pPr>
    <w:rPr>
      <w:rFonts w:ascii="Tahoma" w:hAnsi="Tahoma" w:eastAsia="微软雅黑" w:cs="Tahoma"/>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3" textRotate="1"/>
    <customShpInfo spid="_x0000_s2054" textRotate="1"/>
    <customShpInfo spid="_x0000_s2055" textRotate="1"/>
    <customShpInfo spid="_x0000_s2056" textRotate="1"/>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114</Pages>
  <Words>67002</Words>
  <Characters>72419</Characters>
  <Lines>736</Lines>
  <Paragraphs>207</Paragraphs>
  <TotalTime>18</TotalTime>
  <ScaleCrop>false</ScaleCrop>
  <LinksUpToDate>false</LinksUpToDate>
  <CharactersWithSpaces>77499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2022-06-30T09:21:00Z</dcterms:created>
  <dc:creator>USER</dc:creator>
  <cp:lastModifiedBy>ASUS</cp:lastModifiedBy>
  <cp:lastPrinted>2022-08-03T09:06:00Z</cp:lastPrinted>
  <dcterms:modified xsi:type="dcterms:W3CDTF">2023-03-03T03:30:16Z</dcterms:modified>
  <dc:title>绍兴文理学院计算机机房设备及录播系统供货项目</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AC376A63848650C9948BC56269423306</vt:lpwstr>
  </property>
</Properties>
</file>