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highlight w:val="none"/>
          <w:lang w:eastAsia="zh-CN"/>
        </w:rPr>
      </w:pPr>
      <w:bookmarkStart w:id="0" w:name="_Hlt67893495"/>
      <w:bookmarkEnd w:id="0"/>
      <w:bookmarkStart w:id="170" w:name="_GoBack"/>
      <w:r>
        <w:rPr>
          <w:rFonts w:hint="eastAsia" w:ascii="仿宋" w:hAnsi="仿宋" w:eastAsia="仿宋" w:cs="仿宋"/>
          <w:b/>
          <w:bCs/>
          <w:sz w:val="56"/>
          <w:szCs w:val="56"/>
          <w:highlight w:val="none"/>
          <w:lang w:eastAsia="zh-CN"/>
        </w:rPr>
        <w:t>绍兴市区二环以内市政管线综合整治规划设计</w:t>
      </w:r>
    </w:p>
    <w:p>
      <w:pPr>
        <w:jc w:val="center"/>
        <w:outlineLvl w:val="0"/>
        <w:rPr>
          <w:rFonts w:ascii="仿宋" w:hAnsi="仿宋" w:eastAsia="仿宋" w:cs="仿宋"/>
          <w:b/>
          <w:sz w:val="72"/>
          <w:szCs w:val="72"/>
          <w:highlight w:val="none"/>
        </w:rPr>
      </w:pP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rPr>
          <w:rFonts w:ascii="仿宋" w:hAnsi="仿宋" w:eastAsia="仿宋" w:cs="仿宋"/>
          <w:b/>
          <w:sz w:val="44"/>
          <w:szCs w:val="44"/>
          <w:highlight w:val="none"/>
        </w:rPr>
      </w:pP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HC2023-1030</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35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4096117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二○二三年</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月</w:t>
            </w:r>
          </w:p>
        </w:tc>
      </w:tr>
    </w:tbl>
    <w:p>
      <w:pPr>
        <w:pStyle w:val="637"/>
        <w:rPr>
          <w:rFonts w:ascii="仿宋" w:hAnsi="仿宋" w:eastAsia="仿宋" w:cs="仿宋"/>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highlight w:val="none"/>
        </w:rPr>
      </w:pPr>
    </w:p>
    <w:p>
      <w:pPr>
        <w:spacing w:line="360" w:lineRule="auto"/>
        <w:jc w:val="center"/>
        <w:rPr>
          <w:rFonts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highlight w:val="none"/>
        </w:rPr>
      </w:pP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649545"/>
      <w:bookmarkEnd w:id="4"/>
      <w:bookmarkStart w:id="5" w:name="_Hlt74728647"/>
      <w:bookmarkEnd w:id="5"/>
      <w:bookmarkStart w:id="6" w:name="_Hlt74729822"/>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u w:val="single"/>
        </w:rPr>
      </w:pPr>
      <w:r>
        <w:rPr>
          <w:rFonts w:hint="eastAsia" w:ascii="仿宋" w:hAnsi="仿宋" w:eastAsia="仿宋" w:cs="仿宋"/>
          <w:bCs/>
          <w:sz w:val="24"/>
          <w:highlight w:val="none"/>
          <w:lang w:eastAsia="zh-CN"/>
        </w:rPr>
        <w:t>绍兴市区二环以内市政管线综合整治规划设计</w:t>
      </w:r>
      <w:r>
        <w:rPr>
          <w:rFonts w:hint="eastAsia" w:ascii="仿宋" w:hAnsi="仿宋" w:eastAsia="仿宋" w:cs="仿宋"/>
          <w:sz w:val="24"/>
          <w:highlight w:val="none"/>
        </w:rPr>
        <w:t>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https://www.zcygov.cn/）获取（下载）招标文件，并于2023年 月 日 点 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 xml:space="preserve">一、项目基本情况                                            </w:t>
      </w:r>
    </w:p>
    <w:p>
      <w:pPr>
        <w:spacing w:line="440" w:lineRule="exact"/>
        <w:ind w:firstLine="482" w:firstLineChars="200"/>
        <w:rPr>
          <w:rFonts w:hint="eastAsia" w:ascii="仿宋" w:hAnsi="仿宋" w:eastAsia="仿宋" w:cs="仿宋"/>
          <w:bCs/>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Cs/>
          <w:sz w:val="24"/>
          <w:highlight w:val="none"/>
          <w:lang w:eastAsia="zh-CN"/>
        </w:rPr>
        <w:t>HC2023-1030</w:t>
      </w:r>
    </w:p>
    <w:p>
      <w:pPr>
        <w:spacing w:line="44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bCs/>
          <w:sz w:val="24"/>
          <w:highlight w:val="none"/>
          <w:lang w:eastAsia="zh-CN"/>
        </w:rPr>
        <w:t>绍兴市区二环以内市政管线综合整治规划设计</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预算金额（元）：</w:t>
      </w:r>
      <w:r>
        <w:rPr>
          <w:rFonts w:hint="eastAsia" w:ascii="仿宋" w:hAnsi="仿宋" w:eastAsia="仿宋" w:cs="仿宋"/>
          <w:bCs/>
          <w:sz w:val="24"/>
          <w:highlight w:val="none"/>
          <w:lang w:eastAsia="zh-CN"/>
        </w:rPr>
        <w:t>593700</w:t>
      </w:r>
    </w:p>
    <w:p>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最高限价（元）：</w:t>
      </w:r>
      <w:r>
        <w:rPr>
          <w:rFonts w:hint="eastAsia" w:ascii="仿宋" w:hAnsi="仿宋" w:eastAsia="仿宋" w:cs="仿宋"/>
          <w:bCs/>
          <w:sz w:val="24"/>
          <w:highlight w:val="none"/>
          <w:lang w:eastAsia="zh-CN"/>
        </w:rPr>
        <w:t>593700</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采购需求：详见招标文件。</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cs="仿宋"/>
          <w:bCs/>
          <w:sz w:val="24"/>
          <w:highlight w:val="none"/>
          <w:lang w:eastAsia="zh-CN"/>
        </w:rPr>
        <w:t>绍兴市区二环以内市政管线综合整治规划设计</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数量：</w:t>
      </w:r>
      <w:r>
        <w:rPr>
          <w:rFonts w:hint="eastAsia" w:ascii="仿宋" w:hAnsi="仿宋" w:eastAsia="仿宋" w:cs="仿宋"/>
          <w:highlight w:val="none"/>
        </w:rPr>
        <w:t>1</w:t>
      </w:r>
    </w:p>
    <w:p>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预算金额：</w:t>
      </w:r>
      <w:r>
        <w:rPr>
          <w:rFonts w:hint="eastAsia" w:ascii="仿宋" w:hAnsi="仿宋" w:eastAsia="仿宋" w:cs="仿宋"/>
          <w:bCs/>
          <w:sz w:val="24"/>
          <w:highlight w:val="none"/>
          <w:lang w:eastAsia="zh-CN"/>
        </w:rPr>
        <w:t>593700</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：按双方合同约定条款执行。</w:t>
      </w:r>
    </w:p>
    <w:p>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hint="eastAsia" w:ascii="仿宋" w:hAnsi="仿宋" w:eastAsia="仿宋" w:cs="仿宋"/>
          <w:b/>
          <w:bCs/>
          <w:highlight w:val="none"/>
        </w:rPr>
        <w:sym w:font="Wingdings" w:char="00A8"/>
      </w:r>
      <w:r>
        <w:rPr>
          <w:rFonts w:hint="eastAsia" w:ascii="仿宋" w:hAnsi="仿宋" w:eastAsia="仿宋" w:cs="仿宋"/>
          <w:b/>
          <w:sz w:val="24"/>
          <w:highlight w:val="none"/>
        </w:rPr>
        <w:t>是，</w:t>
      </w:r>
      <w:r>
        <w:rPr>
          <w:rFonts w:hint="eastAsia" w:ascii="仿宋" w:hAnsi="仿宋" w:eastAsia="仿宋" w:cs="仿宋"/>
          <w:kern w:val="0"/>
          <w:sz w:val="24"/>
          <w:highlight w:val="none"/>
        </w:rPr>
        <w:t>☑</w:t>
      </w:r>
      <w:r>
        <w:rPr>
          <w:rFonts w:hint="eastAsia" w:ascii="仿宋" w:hAnsi="仿宋" w:eastAsia="仿宋" w:cs="仿宋"/>
          <w:b/>
          <w:sz w:val="24"/>
          <w:highlight w:val="none"/>
        </w:rPr>
        <w:t>否。</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二、申请人的资格要求：</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无；</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40" w:lineRule="exact"/>
        <w:ind w:firstLine="897" w:firstLineChars="374"/>
        <w:rPr>
          <w:rFonts w:ascii="仿宋" w:hAnsi="仿宋" w:eastAsia="仿宋" w:cs="仿宋"/>
          <w:sz w:val="24"/>
          <w:highlight w:val="none"/>
          <w:u w:val="singl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服务全部由符合政策要求的中小企业承接，提供中小企业声明函；</w:t>
      </w:r>
    </w:p>
    <w:p>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4.本项目的特定资格要求：投标人具有</w:t>
      </w:r>
      <w:r>
        <w:rPr>
          <w:rFonts w:hint="eastAsia" w:ascii="仿宋" w:hAnsi="仿宋" w:eastAsia="仿宋" w:cs="仿宋"/>
          <w:sz w:val="24"/>
          <w:highlight w:val="none"/>
          <w:lang w:val="en-US" w:eastAsia="zh-CN"/>
        </w:rPr>
        <w:t>城乡规划编制乙级及以上资质</w:t>
      </w:r>
      <w:r>
        <w:rPr>
          <w:rFonts w:hint="eastAsia" w:ascii="仿宋" w:hAnsi="仿宋" w:eastAsia="仿宋" w:cs="仿宋"/>
          <w:sz w:val="24"/>
          <w:highlight w:val="none"/>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 xml:space="preserve">三、获取招标文件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2023年 月 日</w:t>
      </w:r>
      <w:r>
        <w:rPr>
          <w:rFonts w:hint="eastAsia" w:ascii="仿宋" w:hAnsi="仿宋" w:eastAsia="仿宋" w:cs="仿宋"/>
          <w:sz w:val="24"/>
          <w:highlight w:val="none"/>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2023年 月 日 点 分00秒</w:t>
      </w:r>
      <w:r>
        <w:rPr>
          <w:rFonts w:hint="eastAsia" w:ascii="仿宋" w:hAnsi="仿宋" w:eastAsia="仿宋" w:cs="仿宋"/>
          <w:sz w:val="24"/>
          <w:highlight w:val="none"/>
        </w:rPr>
        <w:t>（北京时间）</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440" w:lineRule="exact"/>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2023年 月 日 点 分00秒</w:t>
      </w:r>
    </w:p>
    <w:p>
      <w:pPr>
        <w:pStyle w:val="397"/>
        <w:spacing w:afterLines="0" w:line="440" w:lineRule="exact"/>
        <w:ind w:firstLine="482"/>
        <w:rPr>
          <w:rFonts w:ascii="仿宋" w:hAnsi="仿宋" w:eastAsia="仿宋" w:cs="仿宋"/>
          <w:highlight w:val="none"/>
        </w:rPr>
      </w:pPr>
      <w:r>
        <w:rPr>
          <w:rFonts w:hint="eastAsia" w:ascii="仿宋" w:hAnsi="仿宋" w:eastAsia="仿宋" w:cs="仿宋"/>
          <w:b/>
          <w:highlight w:val="none"/>
        </w:rPr>
        <w:t>开标地点（网址）：</w:t>
      </w:r>
      <w:r>
        <w:rPr>
          <w:rFonts w:hint="eastAsia" w:ascii="仿宋" w:hAnsi="仿宋" w:eastAsia="仿宋" w:cs="仿宋"/>
          <w:szCs w:val="24"/>
          <w:highlight w:val="none"/>
        </w:rPr>
        <w:t>绍兴市越城区越西路800号金德隆商业中心8幢二楼华诚工程咨询集团有限公司开标室，在政府采购云平台</w:t>
      </w:r>
      <w:r>
        <w:rPr>
          <w:rFonts w:hint="eastAsia" w:ascii="仿宋" w:hAnsi="仿宋" w:eastAsia="仿宋" w:cs="仿宋"/>
          <w:highlight w:val="none"/>
        </w:rPr>
        <w:t xml:space="preserve">（https://www.zcygov.cn/） </w:t>
      </w:r>
      <w:r>
        <w:rPr>
          <w:rFonts w:hint="eastAsia" w:ascii="仿宋" w:hAnsi="仿宋" w:eastAsia="仿宋" w:cs="仿宋"/>
          <w:szCs w:val="24"/>
          <w:highlight w:val="none"/>
        </w:rPr>
        <w:t>上开启响应文件。  </w:t>
      </w:r>
    </w:p>
    <w:p>
      <w:pPr>
        <w:spacing w:line="440" w:lineRule="exact"/>
        <w:rPr>
          <w:rFonts w:ascii="仿宋" w:hAnsi="仿宋" w:eastAsia="仿宋" w:cs="仿宋"/>
          <w:sz w:val="24"/>
          <w:highlight w:val="none"/>
        </w:rPr>
      </w:pPr>
      <w:r>
        <w:rPr>
          <w:rFonts w:hint="eastAsia" w:ascii="仿宋" w:hAnsi="仿宋" w:eastAsia="仿宋" w:cs="仿宋"/>
          <w:b/>
          <w:sz w:val="24"/>
          <w:highlight w:val="none"/>
        </w:rPr>
        <w:t xml:space="preserve">五、公告期限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六、其他补充事宜</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七、对本次采购提出询问、质疑、投诉，请按以下方式联系</w:t>
      </w:r>
    </w:p>
    <w:p>
      <w:pPr>
        <w:pStyle w:val="3"/>
        <w:spacing w:line="440" w:lineRule="exact"/>
        <w:ind w:left="0" w:firstLine="482" w:firstLineChars="200"/>
        <w:rPr>
          <w:rFonts w:ascii="仿宋" w:eastAsia="仿宋" w:cs="仿宋"/>
          <w:sz w:val="24"/>
          <w:szCs w:val="24"/>
          <w:highlight w:val="none"/>
        </w:rPr>
      </w:pPr>
      <w:bookmarkStart w:id="11" w:name="_Toc35393637"/>
      <w:bookmarkStart w:id="12" w:name="_Toc35393806"/>
      <w:bookmarkStart w:id="13" w:name="_Toc28359096"/>
      <w:bookmarkStart w:id="14" w:name="_Toc28359019"/>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pStyle w:val="3"/>
        <w:spacing w:line="440" w:lineRule="exact"/>
        <w:ind w:left="0" w:firstLine="480" w:firstLineChars="200"/>
        <w:rPr>
          <w:rFonts w:hint="eastAsia" w:ascii="仿宋" w:eastAsia="仿宋" w:cs="仿宋"/>
          <w:b w:val="0"/>
          <w:bCs w:val="0"/>
          <w:sz w:val="24"/>
          <w:highlight w:val="none"/>
          <w:lang w:eastAsia="zh-CN"/>
        </w:rPr>
      </w:pPr>
      <w:bookmarkStart w:id="15" w:name="_Toc28359097"/>
      <w:bookmarkStart w:id="16" w:name="_Toc35393807"/>
      <w:bookmarkStart w:id="17" w:name="_Toc35393638"/>
      <w:bookmarkStart w:id="18" w:name="_Toc28359020"/>
      <w:r>
        <w:rPr>
          <w:rFonts w:hint="eastAsia" w:ascii="仿宋" w:eastAsia="仿宋" w:cs="仿宋"/>
          <w:b w:val="0"/>
          <w:bCs w:val="0"/>
          <w:sz w:val="24"/>
          <w:highlight w:val="none"/>
        </w:rPr>
        <w:t>名称：</w:t>
      </w:r>
      <w:r>
        <w:rPr>
          <w:rFonts w:hint="eastAsia" w:ascii="仿宋" w:eastAsia="仿宋" w:cs="仿宋"/>
          <w:b w:val="0"/>
          <w:bCs w:val="0"/>
          <w:sz w:val="24"/>
          <w:highlight w:val="none"/>
          <w:lang w:eastAsia="zh-CN"/>
        </w:rPr>
        <w:t>绍兴市自然资源和规划局</w:t>
      </w:r>
    </w:p>
    <w:p>
      <w:pPr>
        <w:pStyle w:val="3"/>
        <w:spacing w:line="440" w:lineRule="exact"/>
        <w:ind w:left="0" w:firstLine="480" w:firstLineChars="200"/>
        <w:rPr>
          <w:rFonts w:hint="eastAsia" w:ascii="仿宋" w:eastAsia="仿宋" w:cs="仿宋"/>
          <w:b w:val="0"/>
          <w:bCs w:val="0"/>
          <w:sz w:val="24"/>
          <w:highlight w:val="none"/>
          <w:lang w:eastAsia="zh-CN"/>
        </w:rPr>
      </w:pPr>
      <w:r>
        <w:rPr>
          <w:rFonts w:hint="eastAsia" w:ascii="仿宋" w:eastAsia="仿宋" w:cs="仿宋"/>
          <w:b w:val="0"/>
          <w:bCs w:val="0"/>
          <w:sz w:val="24"/>
          <w:highlight w:val="none"/>
        </w:rPr>
        <w:t>地址：</w:t>
      </w:r>
      <w:r>
        <w:rPr>
          <w:rFonts w:hint="eastAsia" w:ascii="仿宋" w:eastAsia="仿宋" w:cs="仿宋"/>
          <w:b w:val="0"/>
          <w:bCs w:val="0"/>
          <w:sz w:val="24"/>
          <w:highlight w:val="none"/>
          <w:lang w:eastAsia="zh-CN"/>
        </w:rPr>
        <w:t>绍兴市解放大道99号</w:t>
      </w:r>
    </w:p>
    <w:p>
      <w:pPr>
        <w:pStyle w:val="3"/>
        <w:spacing w:line="440" w:lineRule="exact"/>
        <w:ind w:left="0" w:firstLine="480" w:firstLineChars="200"/>
        <w:rPr>
          <w:rFonts w:ascii="仿宋" w:eastAsia="仿宋" w:cs="仿宋"/>
          <w:b w:val="0"/>
          <w:bCs w:val="0"/>
          <w:sz w:val="24"/>
          <w:highlight w:val="none"/>
        </w:rPr>
      </w:pPr>
      <w:r>
        <w:rPr>
          <w:rFonts w:hint="eastAsia" w:ascii="仿宋" w:eastAsia="仿宋" w:cs="仿宋"/>
          <w:b w:val="0"/>
          <w:bCs w:val="0"/>
          <w:sz w:val="24"/>
          <w:highlight w:val="none"/>
        </w:rPr>
        <w:t>传真：/</w:t>
      </w:r>
    </w:p>
    <w:p>
      <w:pPr>
        <w:pStyle w:val="3"/>
        <w:spacing w:line="440" w:lineRule="exact"/>
        <w:ind w:left="0" w:firstLine="480" w:firstLineChars="200"/>
        <w:rPr>
          <w:rFonts w:hint="default" w:ascii="仿宋" w:eastAsia="仿宋" w:cs="仿宋"/>
          <w:b w:val="0"/>
          <w:bCs w:val="0"/>
          <w:sz w:val="24"/>
          <w:highlight w:val="none"/>
          <w:lang w:val="en-US" w:eastAsia="zh-CN"/>
        </w:rPr>
      </w:pPr>
      <w:r>
        <w:rPr>
          <w:rFonts w:hint="eastAsia" w:ascii="仿宋" w:eastAsia="仿宋" w:cs="仿宋"/>
          <w:b w:val="0"/>
          <w:bCs w:val="0"/>
          <w:sz w:val="24"/>
          <w:highlight w:val="none"/>
        </w:rPr>
        <w:t>项目联系人（询问）：</w:t>
      </w:r>
      <w:r>
        <w:rPr>
          <w:rFonts w:hint="eastAsia" w:ascii="仿宋" w:eastAsia="仿宋" w:cs="仿宋"/>
          <w:b w:val="0"/>
          <w:bCs w:val="0"/>
          <w:sz w:val="24"/>
          <w:highlight w:val="none"/>
          <w:lang w:val="en-US" w:eastAsia="zh-CN"/>
        </w:rPr>
        <w:t>骆丁冲</w:t>
      </w:r>
    </w:p>
    <w:p>
      <w:pPr>
        <w:pStyle w:val="3"/>
        <w:spacing w:line="440" w:lineRule="exact"/>
        <w:ind w:left="0" w:firstLine="480" w:firstLineChars="200"/>
        <w:rPr>
          <w:rFonts w:hint="eastAsia" w:ascii="仿宋" w:eastAsia="仿宋" w:cs="仿宋"/>
          <w:b w:val="0"/>
          <w:bCs w:val="0"/>
          <w:sz w:val="24"/>
          <w:highlight w:val="none"/>
          <w:lang w:val="en-US" w:eastAsia="zh-CN"/>
        </w:rPr>
      </w:pPr>
      <w:r>
        <w:rPr>
          <w:rFonts w:hint="eastAsia" w:ascii="仿宋" w:eastAsia="仿宋" w:cs="仿宋"/>
          <w:b w:val="0"/>
          <w:bCs w:val="0"/>
          <w:sz w:val="24"/>
          <w:highlight w:val="none"/>
        </w:rPr>
        <w:t>项目联系方式（询问）：0575-</w:t>
      </w:r>
      <w:r>
        <w:rPr>
          <w:rFonts w:hint="eastAsia" w:ascii="仿宋" w:eastAsia="仿宋" w:cs="仿宋"/>
          <w:b w:val="0"/>
          <w:bCs w:val="0"/>
          <w:sz w:val="24"/>
          <w:highlight w:val="none"/>
          <w:lang w:eastAsia="zh-CN"/>
        </w:rPr>
        <w:t>85159325</w:t>
      </w:r>
    </w:p>
    <w:p>
      <w:pPr>
        <w:pStyle w:val="3"/>
        <w:spacing w:line="440" w:lineRule="exact"/>
        <w:ind w:left="0" w:firstLine="480" w:firstLineChars="200"/>
        <w:rPr>
          <w:rFonts w:hint="eastAsia" w:ascii="仿宋" w:eastAsia="仿宋" w:cs="仿宋"/>
          <w:b w:val="0"/>
          <w:bCs w:val="0"/>
          <w:sz w:val="24"/>
          <w:highlight w:val="none"/>
          <w:lang w:val="en-US" w:eastAsia="zh-CN"/>
        </w:rPr>
      </w:pPr>
      <w:r>
        <w:rPr>
          <w:rFonts w:hint="eastAsia" w:ascii="仿宋" w:eastAsia="仿宋" w:cs="仿宋"/>
          <w:b w:val="0"/>
          <w:bCs w:val="0"/>
          <w:sz w:val="24"/>
          <w:highlight w:val="none"/>
        </w:rPr>
        <w:t>质疑联系人：</w:t>
      </w:r>
      <w:r>
        <w:rPr>
          <w:rFonts w:hint="eastAsia" w:ascii="仿宋" w:eastAsia="仿宋" w:cs="仿宋"/>
          <w:b w:val="0"/>
          <w:bCs w:val="0"/>
          <w:sz w:val="24"/>
          <w:highlight w:val="none"/>
          <w:lang w:val="en-US" w:eastAsia="zh-CN"/>
        </w:rPr>
        <w:t xml:space="preserve"> 俞越</w:t>
      </w:r>
    </w:p>
    <w:p>
      <w:pPr>
        <w:pStyle w:val="3"/>
        <w:spacing w:line="440" w:lineRule="exact"/>
        <w:ind w:left="0" w:firstLine="480" w:firstLineChars="200"/>
        <w:rPr>
          <w:rFonts w:hint="eastAsia" w:ascii="仿宋" w:eastAsia="仿宋" w:cs="仿宋"/>
          <w:b w:val="0"/>
          <w:bCs w:val="0"/>
          <w:sz w:val="24"/>
          <w:highlight w:val="none"/>
          <w:lang w:val="en-US" w:eastAsia="zh-CN"/>
        </w:rPr>
      </w:pPr>
      <w:r>
        <w:rPr>
          <w:rFonts w:hint="eastAsia" w:ascii="仿宋" w:eastAsia="仿宋" w:cs="仿宋"/>
          <w:b w:val="0"/>
          <w:bCs w:val="0"/>
          <w:sz w:val="24"/>
          <w:highlight w:val="none"/>
        </w:rPr>
        <w:t>质疑联系方式：</w:t>
      </w:r>
      <w:r>
        <w:rPr>
          <w:rFonts w:hint="eastAsia" w:ascii="仿宋" w:eastAsia="仿宋" w:cs="仿宋"/>
          <w:b w:val="0"/>
          <w:bCs w:val="0"/>
          <w:sz w:val="24"/>
          <w:highlight w:val="none"/>
          <w:lang w:val="en-US" w:eastAsia="zh-CN"/>
        </w:rPr>
        <w:t>13989560001</w:t>
      </w:r>
    </w:p>
    <w:p>
      <w:pPr>
        <w:pStyle w:val="3"/>
        <w:spacing w:line="440" w:lineRule="exact"/>
        <w:ind w:left="0" w:firstLine="482" w:firstLineChars="200"/>
        <w:rPr>
          <w:rFonts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40" w:lineRule="exact"/>
        <w:ind w:firstLine="480" w:firstLineChars="200"/>
        <w:rPr>
          <w:rFonts w:ascii="仿宋" w:hAnsi="仿宋" w:eastAsia="仿宋" w:cs="仿宋"/>
          <w:sz w:val="24"/>
          <w:highlight w:val="none"/>
        </w:rPr>
      </w:pPr>
      <w:bookmarkStart w:id="19" w:name="_Toc35393808"/>
      <w:bookmarkStart w:id="20" w:name="_Toc35393639"/>
      <w:bookmarkStart w:id="21" w:name="_Toc28359098"/>
      <w:bookmarkStart w:id="22" w:name="_Toc28359021"/>
      <w:r>
        <w:rPr>
          <w:rFonts w:hint="eastAsia" w:ascii="仿宋" w:hAnsi="仿宋" w:eastAsia="仿宋" w:cs="仿宋"/>
          <w:sz w:val="24"/>
          <w:highlight w:val="none"/>
        </w:rPr>
        <w:t>名称：华诚工程咨询集团有限公司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地址：绍兴市越城区越西路800号金德隆商业中心8幢二楼</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传真：/      </w:t>
      </w:r>
    </w:p>
    <w:p>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项目联系人（询问）：</w:t>
      </w:r>
      <w:r>
        <w:rPr>
          <w:rFonts w:hint="eastAsia" w:ascii="仿宋" w:hAnsi="仿宋" w:eastAsia="仿宋" w:cs="仿宋"/>
          <w:sz w:val="24"/>
          <w:highlight w:val="none"/>
          <w:lang w:eastAsia="zh-CN"/>
        </w:rPr>
        <w:t>胡桢萍</w:t>
      </w:r>
    </w:p>
    <w:p>
      <w:pPr>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项目联系方式（询问）：</w:t>
      </w:r>
      <w:r>
        <w:rPr>
          <w:rFonts w:hint="eastAsia" w:ascii="仿宋" w:hAnsi="仿宋" w:eastAsia="仿宋" w:cs="仿宋"/>
          <w:sz w:val="24"/>
          <w:highlight w:val="none"/>
          <w:lang w:eastAsia="zh-CN"/>
        </w:rPr>
        <w:t>15857590172</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质疑联系人：柯翔郎</w:t>
      </w:r>
    </w:p>
    <w:p>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质疑联系方式：18267575010　　　　　　　</w:t>
      </w:r>
      <w:r>
        <w:rPr>
          <w:rFonts w:hint="eastAsia" w:ascii="仿宋" w:hAnsi="仿宋" w:eastAsia="仿宋" w:cs="仿宋"/>
          <w:highlight w:val="none"/>
        </w:rPr>
        <w:t>　　</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名称：绍兴市财政局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地址：绍兴市越城区凤林西路151号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传真：/</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联系人 ： 张婷婷  </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监督投诉电话：0575-85209697</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w:t>
      </w:r>
      <w:r>
        <w:rPr>
          <w:rFonts w:hint="eastAsia" w:ascii="仿宋" w:hAnsi="仿宋" w:eastAsia="仿宋" w:cs="仿宋"/>
          <w:sz w:val="24"/>
          <w:highlight w:val="none"/>
        </w:rPr>
        <w:t>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ascii="仿宋" w:hAnsi="仿宋" w:eastAsia="仿宋" w:cs="仿宋"/>
          <w:snapToGrid w:val="0"/>
          <w:highlight w:val="none"/>
        </w:rPr>
      </w:pPr>
      <w:r>
        <w:rPr>
          <w:rFonts w:hint="eastAsia" w:ascii="仿宋" w:hAnsi="仿宋" w:eastAsia="仿宋" w:cs="仿宋"/>
          <w:b/>
          <w:sz w:val="36"/>
          <w:szCs w:val="20"/>
          <w:highlight w:val="none"/>
        </w:rPr>
        <w:br w:type="page"/>
      </w:r>
    </w:p>
    <w:bookmarkEnd w:id="7"/>
    <w:bookmarkEnd w:id="8"/>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详见招标项目范围及要求和评标办法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pPr>
              <w:spacing w:line="440" w:lineRule="exact"/>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kern w:val="0"/>
                <w:sz w:val="24"/>
                <w:highlight w:val="none"/>
              </w:rPr>
              <w:t>；地点：；联系人</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line="440" w:lineRule="exact"/>
              <w:rPr>
                <w:rFonts w:ascii="仿宋" w:hAnsi="仿宋" w:eastAsia="仿宋" w:cs="仿宋"/>
                <w:b/>
                <w:color w:val="000000"/>
                <w:sz w:val="24"/>
                <w:highlight w:val="none"/>
              </w:rPr>
            </w:pPr>
            <w:r>
              <w:rPr>
                <w:rFonts w:hint="eastAsia" w:ascii="仿宋" w:hAnsi="仿宋" w:eastAsia="仿宋" w:cs="仿宋"/>
                <w:b/>
                <w:color w:val="000000"/>
                <w:sz w:val="24"/>
                <w:highlight w:val="none"/>
              </w:rPr>
              <w:t>方案讲解演示：</w:t>
            </w:r>
          </w:p>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A无方案讲解演示。</w:t>
            </w:r>
          </w:p>
          <w:p>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15</w:t>
            </w:r>
            <w:r>
              <w:rPr>
                <w:rFonts w:hint="eastAsia" w:ascii="仿宋" w:hAnsi="仿宋" w:eastAsia="仿宋" w:cs="仿宋"/>
                <w:sz w:val="24"/>
                <w:highlight w:val="none"/>
                <w:lang w:val="zh-CN"/>
              </w:rPr>
              <w:t>分钟，讲解次序以投标文件解密时间先后次序为准。讲解演示结束后按要求解答评标委员会提问。</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 xml:space="preserve"> 3</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本项目不允许采购进口产品。</w:t>
            </w:r>
          </w:p>
          <w:p>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rPr>
              <w:t>。</w:t>
            </w:r>
          </w:p>
          <w:p>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highlight w:val="none"/>
              </w:rPr>
            </w:pPr>
            <w:r>
              <w:rPr>
                <w:rFonts w:hint="eastAsia" w:ascii="仿宋" w:hAnsi="仿宋" w:eastAsia="仿宋" w:cs="仿宋"/>
                <w:color w:val="FF0000"/>
                <w:kern w:val="0"/>
                <w:sz w:val="24"/>
                <w:highlight w:val="none"/>
              </w:rPr>
              <w:t>（1）标的：</w:t>
            </w:r>
            <w:r>
              <w:rPr>
                <w:rFonts w:hint="eastAsia" w:ascii="仿宋" w:hAnsi="仿宋" w:eastAsia="仿宋" w:cs="仿宋"/>
                <w:color w:val="FF0000"/>
                <w:sz w:val="24"/>
                <w:highlight w:val="none"/>
                <w:u w:val="single"/>
              </w:rPr>
              <w:t xml:space="preserve"> 01标 </w:t>
            </w:r>
            <w:r>
              <w:rPr>
                <w:rFonts w:hint="eastAsia" w:ascii="仿宋" w:hAnsi="仿宋" w:eastAsia="仿宋" w:cs="仿宋"/>
                <w:color w:val="FF0000"/>
                <w:kern w:val="0"/>
                <w:sz w:val="24"/>
                <w:highlight w:val="none"/>
              </w:rPr>
              <w:t>，属于</w:t>
            </w:r>
            <w:r>
              <w:rPr>
                <w:rFonts w:hint="eastAsia" w:ascii="仿宋" w:hAnsi="仿宋" w:eastAsia="仿宋" w:cs="仿宋"/>
                <w:color w:val="FF0000"/>
                <w:sz w:val="24"/>
                <w:highlight w:val="none"/>
                <w:u w:val="single"/>
              </w:rPr>
              <w:t xml:space="preserve"> </w:t>
            </w:r>
            <w:r>
              <w:rPr>
                <w:rFonts w:hint="eastAsia" w:ascii="仿宋" w:hAnsi="仿宋" w:eastAsia="仿宋" w:cs="仿宋"/>
                <w:color w:val="FF0000"/>
                <w:sz w:val="24"/>
                <w:highlight w:val="none"/>
                <w:u w:val="single"/>
                <w:lang w:val="en-US" w:eastAsia="zh-CN"/>
              </w:rPr>
              <w:t>建筑业</w:t>
            </w:r>
            <w:r>
              <w:rPr>
                <w:rFonts w:hint="eastAsia" w:ascii="仿宋" w:hAnsi="仿宋" w:eastAsia="仿宋" w:cs="仿宋"/>
                <w:color w:val="FF0000"/>
                <w:sz w:val="24"/>
                <w:highlight w:val="none"/>
                <w:u w:val="single"/>
              </w:rPr>
              <w:t xml:space="preserve"> </w:t>
            </w:r>
            <w:r>
              <w:rPr>
                <w:rFonts w:hint="eastAsia" w:ascii="仿宋" w:hAnsi="仿宋" w:eastAsia="仿宋" w:cs="仿宋"/>
                <w:color w:val="FF0000"/>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highlight w:val="none"/>
              </w:rPr>
            </w:pPr>
          </w:p>
        </w:tc>
        <w:tc>
          <w:tcPr>
            <w:tcW w:w="855" w:type="dxa"/>
            <w:vMerge w:val="continue"/>
            <w:vAlign w:val="center"/>
          </w:tcPr>
          <w:p>
            <w:pPr>
              <w:snapToGrid w:val="0"/>
              <w:spacing w:line="440" w:lineRule="exact"/>
              <w:rPr>
                <w:rFonts w:ascii="仿宋" w:hAnsi="仿宋" w:eastAsia="仿宋" w:cs="仿宋"/>
                <w:b/>
                <w:sz w:val="24"/>
                <w:highlight w:val="none"/>
              </w:rPr>
            </w:pPr>
          </w:p>
        </w:tc>
        <w:tc>
          <w:tcPr>
            <w:tcW w:w="7515" w:type="dxa"/>
            <w:vAlign w:val="center"/>
          </w:tcPr>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highlight w:val="none"/>
              </w:rPr>
            </w:pPr>
          </w:p>
        </w:tc>
        <w:tc>
          <w:tcPr>
            <w:tcW w:w="8370" w:type="dxa"/>
            <w:gridSpan w:val="2"/>
            <w:vAlign w:val="center"/>
          </w:tcPr>
          <w:p>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19</w:t>
            </w:r>
          </w:p>
        </w:tc>
        <w:tc>
          <w:tcPr>
            <w:tcW w:w="8370"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采购代理服务费：</w:t>
            </w:r>
          </w:p>
          <w:p>
            <w:pPr>
              <w:spacing w:line="340" w:lineRule="exact"/>
              <w:rPr>
                <w:rFonts w:ascii="仿宋" w:hAnsi="仿宋" w:eastAsia="仿宋" w:cs="仿宋"/>
                <w:sz w:val="24"/>
                <w:highlight w:val="none"/>
              </w:rPr>
            </w:pPr>
            <w:r>
              <w:rPr>
                <w:rFonts w:hint="eastAsia" w:ascii="仿宋" w:hAnsi="仿宋" w:eastAsia="仿宋" w:cs="仿宋"/>
                <w:sz w:val="24"/>
                <w:highlight w:val="none"/>
              </w:rPr>
              <w:t>中标人须向采购代理机构按如下标准和规定交纳代理服务费，并在投标报价中自行考虑：</w:t>
            </w:r>
          </w:p>
          <w:p>
            <w:pPr>
              <w:spacing w:line="340" w:lineRule="exact"/>
              <w:rPr>
                <w:rFonts w:ascii="仿宋" w:hAnsi="仿宋" w:eastAsia="仿宋" w:cs="仿宋"/>
                <w:sz w:val="24"/>
                <w:highlight w:val="none"/>
              </w:rPr>
            </w:pPr>
            <w:r>
              <w:rPr>
                <w:rFonts w:hint="eastAsia" w:ascii="仿宋" w:hAnsi="仿宋" w:eastAsia="仿宋" w:cs="仿宋"/>
                <w:sz w:val="24"/>
                <w:highlight w:val="none"/>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highlight w:val="none"/>
              </w:rPr>
            </w:pPr>
            <w:r>
              <w:rPr>
                <w:rFonts w:hint="eastAsia" w:ascii="仿宋" w:hAnsi="仿宋" w:eastAsia="仿宋" w:cs="仿宋"/>
                <w:sz w:val="24"/>
                <w:highlight w:val="none"/>
              </w:rPr>
              <w:t>（2）招标代理服务费的交纳方式：</w:t>
            </w:r>
          </w:p>
          <w:p>
            <w:pPr>
              <w:spacing w:line="340" w:lineRule="exac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用银行支票、汇票、电汇、现金等付款方式直接交纳招标代理服务费。</w:t>
            </w:r>
          </w:p>
          <w:p>
            <w:pPr>
              <w:spacing w:line="340" w:lineRule="exact"/>
              <w:rPr>
                <w:rFonts w:ascii="仿宋" w:hAnsi="仿宋" w:eastAsia="仿宋" w:cs="仿宋"/>
                <w:sz w:val="24"/>
                <w:highlight w:val="none"/>
              </w:rPr>
            </w:pPr>
            <w:r>
              <w:rPr>
                <w:rFonts w:hint="eastAsia" w:ascii="仿宋" w:hAnsi="仿宋" w:eastAsia="仿宋" w:cs="仿宋"/>
                <w:sz w:val="24"/>
                <w:highlight w:val="none"/>
              </w:rPr>
              <w:t>公司名称：华诚工程咨询集团有限公司</w:t>
            </w:r>
          </w:p>
          <w:p>
            <w:pPr>
              <w:spacing w:line="340" w:lineRule="exact"/>
              <w:rPr>
                <w:rFonts w:ascii="仿宋" w:hAnsi="仿宋" w:eastAsia="仿宋" w:cs="仿宋"/>
                <w:sz w:val="24"/>
                <w:highlight w:val="none"/>
              </w:rPr>
            </w:pPr>
            <w:r>
              <w:rPr>
                <w:rFonts w:hint="eastAsia" w:ascii="仿宋" w:hAnsi="仿宋" w:eastAsia="仿宋" w:cs="仿宋"/>
                <w:sz w:val="24"/>
                <w:highlight w:val="none"/>
              </w:rPr>
              <w:t>开户行：上海浦东发展银行股份有限公司杭州和睦支行</w:t>
            </w:r>
          </w:p>
          <w:p>
            <w:pPr>
              <w:spacing w:line="340" w:lineRule="exact"/>
              <w:rPr>
                <w:rFonts w:ascii="仿宋" w:hAnsi="仿宋" w:eastAsia="仿宋" w:cs="仿宋"/>
                <w:sz w:val="24"/>
                <w:highlight w:val="none"/>
              </w:rPr>
            </w:pPr>
            <w:r>
              <w:rPr>
                <w:rFonts w:hint="eastAsia" w:ascii="仿宋" w:hAnsi="仿宋" w:eastAsia="仿宋" w:cs="仿宋"/>
                <w:sz w:val="24"/>
                <w:highlight w:val="none"/>
              </w:rPr>
              <w:t>账  号：95220078801100000315</w:t>
            </w:r>
          </w:p>
          <w:p>
            <w:pPr>
              <w:spacing w:line="440" w:lineRule="exact"/>
              <w:rPr>
                <w:rFonts w:ascii="仿宋" w:hAnsi="仿宋" w:eastAsia="仿宋" w:cs="仿宋"/>
                <w:kern w:val="0"/>
                <w:sz w:val="24"/>
                <w:szCs w:val="21"/>
                <w:highlight w:val="none"/>
              </w:rPr>
            </w:pPr>
            <w:r>
              <w:rPr>
                <w:rFonts w:hint="eastAsia" w:ascii="仿宋" w:hAnsi="仿宋" w:eastAsia="仿宋" w:cs="仿宋"/>
                <w:sz w:val="24"/>
                <w:highlight w:val="none"/>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highlight w:val="none"/>
        </w:rPr>
      </w:pPr>
    </w:p>
    <w:bookmarkEnd w:id="9"/>
    <w:p>
      <w:pPr>
        <w:adjustRightInd/>
        <w:spacing w:line="360" w:lineRule="auto"/>
        <w:jc w:val="center"/>
        <w:outlineLvl w:val="0"/>
        <w:rPr>
          <w:rFonts w:ascii="仿宋" w:hAnsi="仿宋" w:eastAsia="仿宋" w:cs="仿宋"/>
          <w:b/>
          <w:sz w:val="32"/>
          <w:szCs w:val="32"/>
          <w:highlight w:val="none"/>
        </w:rPr>
      </w:pPr>
      <w:bookmarkStart w:id="23" w:name="_Hlt74730295"/>
      <w:bookmarkEnd w:id="23"/>
      <w:bookmarkStart w:id="24" w:name="_Hlt74729768"/>
      <w:bookmarkEnd w:id="24"/>
      <w:bookmarkStart w:id="25" w:name="_Hlt74707468"/>
      <w:bookmarkEnd w:id="25"/>
      <w:bookmarkStart w:id="26" w:name="_Hlt68057669"/>
      <w:bookmarkEnd w:id="26"/>
      <w:bookmarkStart w:id="27" w:name="_Hlt75236011"/>
      <w:bookmarkEnd w:id="27"/>
      <w:bookmarkStart w:id="28" w:name="_Hlt68403820"/>
      <w:bookmarkEnd w:id="28"/>
      <w:bookmarkStart w:id="29" w:name="_Hlt75236101"/>
      <w:bookmarkEnd w:id="29"/>
      <w:bookmarkStart w:id="30" w:name="_Hlt68072998"/>
      <w:bookmarkEnd w:id="30"/>
      <w:bookmarkStart w:id="31" w:name="_Hlt68072990"/>
      <w:bookmarkEnd w:id="31"/>
      <w:bookmarkStart w:id="32" w:name="_Hlt75236290"/>
      <w:bookmarkEnd w:id="32"/>
      <w:bookmarkStart w:id="33" w:name="_Hlt74714665"/>
      <w:bookmarkEnd w:id="33"/>
      <w:bookmarkStart w:id="34" w:name="_Hlt68073093"/>
      <w:bookmarkEnd w:id="34"/>
      <w:bookmarkStart w:id="35" w:name="_Toc164416483"/>
      <w:bookmarkStart w:id="36" w:name="第三部分"/>
      <w:r>
        <w:rPr>
          <w:rFonts w:hint="eastAsia" w:ascii="仿宋" w:hAnsi="仿宋" w:eastAsia="仿宋" w:cs="仿宋"/>
          <w:b/>
          <w:sz w:val="32"/>
          <w:szCs w:val="32"/>
          <w:highlight w:val="none"/>
        </w:rPr>
        <w:t>一、总则</w:t>
      </w:r>
    </w:p>
    <w:p>
      <w:pPr>
        <w:snapToGrid w:val="0"/>
        <w:spacing w:line="440" w:lineRule="exact"/>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pPr>
        <w:spacing w:line="440" w:lineRule="exact"/>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highlight w:val="none"/>
        </w:rPr>
      </w:pPr>
      <w:r>
        <w:rPr>
          <w:rFonts w:hint="eastAsia" w:ascii="仿宋" w:hAnsi="仿宋" w:eastAsia="仿宋" w:cs="仿宋"/>
          <w:sz w:val="24"/>
          <w:highlight w:val="none"/>
        </w:rPr>
        <w:t>3.4支持科技创新发展</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ascii="仿宋" w:hAnsi="仿宋" w:eastAsia="仿宋" w:cs="仿宋"/>
          <w:sz w:val="24"/>
          <w:highlight w:val="none"/>
        </w:rPr>
      </w:pPr>
      <w:r>
        <w:rPr>
          <w:rFonts w:hint="eastAsia" w:ascii="仿宋" w:hAnsi="仿宋" w:eastAsia="仿宋" w:cs="仿宋"/>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highlight w:val="none"/>
        </w:rPr>
      </w:pPr>
    </w:p>
    <w:p>
      <w:pPr>
        <w:pStyle w:val="132"/>
        <w:snapToGrid w:val="0"/>
        <w:spacing w:before="0" w:line="440" w:lineRule="exact"/>
        <w:ind w:firstLine="640"/>
        <w:rPr>
          <w:rFonts w:ascii="仿宋" w:hAnsi="仿宋" w:eastAsia="仿宋" w:cs="仿宋"/>
          <w:sz w:val="32"/>
          <w:szCs w:val="32"/>
          <w:highlight w:val="none"/>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 投标费用</w:t>
      </w:r>
    </w:p>
    <w:p>
      <w:pPr>
        <w:pStyle w:val="15"/>
        <w:tabs>
          <w:tab w:val="clear" w:pos="390"/>
          <w:tab w:val="clear" w:pos="454"/>
        </w:tabs>
        <w:spacing w:afterLines="0" w:line="440" w:lineRule="exact"/>
        <w:ind w:left="0" w:firstLine="480" w:firstLineChars="200"/>
        <w:rPr>
          <w:rFonts w:ascii="仿宋" w:hAnsi="仿宋" w:eastAsia="仿宋" w:cs="仿宋"/>
          <w:b/>
          <w:bCs/>
          <w:color w:val="FF0000"/>
          <w:highlight w:val="none"/>
        </w:rPr>
      </w:pPr>
      <w:r>
        <w:rPr>
          <w:rFonts w:hint="eastAsia" w:ascii="仿宋" w:hAnsi="仿宋" w:eastAsia="仿宋" w:cs="仿宋"/>
          <w:highlight w:val="none"/>
        </w:rPr>
        <w:t>投标人应自行承担编制投标文件及参加本次投标所涉及的一切费用。不管投标结果如何，招标人对上述费用不负任何责任。</w:t>
      </w:r>
      <w:r>
        <w:rPr>
          <w:rFonts w:hint="eastAsia" w:ascii="仿宋" w:hAnsi="仿宋" w:eastAsia="仿宋" w:cs="仿宋"/>
          <w:b/>
          <w:bCs/>
          <w:highlight w:val="none"/>
        </w:rPr>
        <w:t>中标人须向招标代理机构交纳代理服务费，具体详见投标人须知前附表。</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sz w:val="32"/>
          <w:szCs w:val="32"/>
          <w:highlight w:val="none"/>
          <w:lang w:val="en-US"/>
        </w:rPr>
      </w:pPr>
    </w:p>
    <w:p>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440" w:lineRule="exact"/>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723" w:firstLineChars="3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723" w:firstLineChars="3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sz w:val="24"/>
          <w:szCs w:val="24"/>
          <w:highlight w:val="none"/>
        </w:rPr>
      </w:pPr>
      <w:r>
        <w:rPr>
          <w:rFonts w:hint="eastAsia" w:ascii="仿宋" w:hAnsi="仿宋" w:eastAsia="仿宋" w:cs="仿宋"/>
          <w:b/>
          <w:sz w:val="24"/>
          <w:szCs w:val="24"/>
          <w:highlight w:val="none"/>
        </w:rPr>
        <w:t>2. 投标文件的组成</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投标文件由“资格文件”、“商务技术（资信）文件资料”、“报价文件资料”三部分组成，其中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720" w:firstLineChars="300"/>
        <w:rPr>
          <w:rFonts w:ascii="仿宋" w:hAnsi="仿宋" w:eastAsia="仿宋" w:cs="仿宋"/>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720" w:firstLineChars="300"/>
        <w:rPr>
          <w:rFonts w:ascii="仿宋" w:hAnsi="仿宋" w:eastAsia="仿宋" w:cs="仿宋"/>
          <w:color w:val="FF0000"/>
          <w:sz w:val="24"/>
          <w:highlight w:val="none"/>
        </w:rPr>
      </w:pPr>
      <w:r>
        <w:rPr>
          <w:rFonts w:hint="eastAsia" w:ascii="仿宋" w:hAnsi="仿宋" w:eastAsia="仿宋" w:cs="仿宋"/>
          <w:color w:val="FF0000"/>
          <w:sz w:val="24"/>
          <w:highlight w:val="none"/>
        </w:rPr>
        <w:t>2.1.4落实政府采购政策需满足的资格要求（如果有)；</w:t>
      </w:r>
    </w:p>
    <w:p>
      <w:pPr>
        <w:pStyle w:val="23"/>
        <w:spacing w:line="440" w:lineRule="exact"/>
        <w:ind w:firstLine="723" w:firstLineChars="300"/>
        <w:rPr>
          <w:rFonts w:ascii="仿宋" w:hAnsi="仿宋" w:eastAsia="仿宋" w:cs="仿宋"/>
          <w:b/>
          <w:bCs/>
          <w:highlight w:val="none"/>
          <w:lang w:val="en-US"/>
        </w:rPr>
      </w:pPr>
      <w:r>
        <w:rPr>
          <w:rFonts w:hint="eastAsia" w:ascii="仿宋" w:hAnsi="仿宋" w:eastAsia="仿宋" w:cs="仿宋"/>
          <w:b/>
          <w:bCs/>
          <w:highlight w:val="none"/>
        </w:rPr>
        <w:t>2.1.5本项目的特定资格要求（如果有)。</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2.2.1投标函；</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2.2.5法定代表人及其授权代表的身份证复印件;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2.2.7政府采购供应商廉洁自律承诺书；</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2.2.17验收方案；</w:t>
      </w:r>
    </w:p>
    <w:p>
      <w:pPr>
        <w:snapToGrid w:val="0"/>
        <w:spacing w:line="336" w:lineRule="auto"/>
        <w:ind w:firstLine="720" w:firstLineChars="3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ascii="仿宋" w:hAnsi="仿宋" w:eastAsia="仿宋" w:cs="仿宋"/>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z w:val="24"/>
          <w:highlight w:val="none"/>
        </w:rPr>
        <w:t>2.3.2中小企业声明函（如果有）；</w:t>
      </w:r>
    </w:p>
    <w:p>
      <w:pPr>
        <w:snapToGrid w:val="0"/>
        <w:spacing w:line="440" w:lineRule="exact"/>
        <w:ind w:firstLine="720" w:firstLineChars="300"/>
        <w:rPr>
          <w:rFonts w:ascii="仿宋" w:hAnsi="仿宋" w:eastAsia="仿宋" w:cs="仿宋"/>
          <w:sz w:val="24"/>
          <w:highlight w:val="none"/>
        </w:rPr>
      </w:pPr>
      <w:r>
        <w:rPr>
          <w:rFonts w:hint="eastAsia" w:ascii="仿宋" w:hAnsi="仿宋" w:eastAsia="仿宋" w:cs="仿宋"/>
          <w:snapToGrid w:val="0"/>
          <w:sz w:val="24"/>
          <w:highlight w:val="none"/>
        </w:rPr>
        <w:t>2.3.3 残疾人福利性单位声明函（如果有）。</w:t>
      </w:r>
    </w:p>
    <w:p>
      <w:pPr>
        <w:snapToGrid w:val="0"/>
        <w:spacing w:line="440" w:lineRule="exact"/>
        <w:ind w:firstLine="354" w:firstLineChars="147"/>
        <w:rPr>
          <w:rFonts w:ascii="仿宋" w:hAnsi="仿宋" w:eastAsia="仿宋" w:cs="仿宋"/>
          <w:b/>
          <w:bCs/>
          <w:sz w:val="32"/>
          <w:highlight w:val="none"/>
        </w:rPr>
      </w:pPr>
      <w:r>
        <w:rPr>
          <w:rFonts w:hint="eastAsia" w:ascii="仿宋" w:hAnsi="仿宋" w:eastAsia="仿宋" w:cs="仿宋"/>
          <w:b/>
          <w:bCs/>
          <w:sz w:val="24"/>
          <w:szCs w:val="20"/>
          <w:highlight w:val="none"/>
        </w:rPr>
        <w:t>3.投标报价</w:t>
      </w:r>
    </w:p>
    <w:p>
      <w:pPr>
        <w:snapToGrid w:val="0"/>
        <w:spacing w:line="440" w:lineRule="exact"/>
        <w:ind w:firstLine="720" w:firstLineChars="300"/>
        <w:rPr>
          <w:rFonts w:ascii="仿宋" w:hAnsi="仿宋" w:eastAsia="仿宋" w:cs="仿宋"/>
          <w:b/>
          <w:sz w:val="32"/>
          <w:highlight w:val="none"/>
        </w:rPr>
      </w:pPr>
      <w:r>
        <w:rPr>
          <w:rFonts w:hint="eastAsia"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highlight w:val="none"/>
        </w:rPr>
      </w:pPr>
      <w:r>
        <w:rPr>
          <w:rFonts w:hint="eastAsia" w:ascii="仿宋" w:hAnsi="仿宋" w:eastAsia="仿宋" w:cs="仿宋"/>
          <w:sz w:val="24"/>
          <w:highlight w:val="none"/>
        </w:rPr>
        <w:t>3.2招标文件未列明，而投标人认为必需的费用也需列入报价。</w:t>
      </w:r>
    </w:p>
    <w:p>
      <w:pPr>
        <w:snapToGrid w:val="0"/>
        <w:spacing w:line="440" w:lineRule="exact"/>
        <w:ind w:firstLine="720" w:firstLineChars="300"/>
        <w:rPr>
          <w:rFonts w:ascii="仿宋" w:hAnsi="仿宋" w:eastAsia="仿宋" w:cs="仿宋"/>
          <w:b/>
          <w:sz w:val="32"/>
          <w:highlight w:val="none"/>
        </w:rPr>
      </w:pPr>
      <w:r>
        <w:rPr>
          <w:rFonts w:hint="eastAsia" w:ascii="仿宋" w:hAnsi="仿宋" w:eastAsia="仿宋" w:cs="仿宋"/>
          <w:sz w:val="24"/>
          <w:highlight w:val="none"/>
        </w:rPr>
        <w:t>3.3投标报价只允许有一个报价，有选择的报价将不予接受（除指定外）。</w:t>
      </w:r>
    </w:p>
    <w:p>
      <w:pPr>
        <w:snapToGrid w:val="0"/>
        <w:spacing w:line="440" w:lineRule="exact"/>
        <w:ind w:firstLine="720" w:firstLineChars="300"/>
        <w:rPr>
          <w:rFonts w:ascii="仿宋" w:hAnsi="仿宋" w:eastAsia="仿宋" w:cs="仿宋"/>
          <w:b/>
          <w:sz w:val="32"/>
          <w:highlight w:val="none"/>
        </w:rPr>
      </w:pPr>
      <w:r>
        <w:rPr>
          <w:rFonts w:hint="eastAsia" w:ascii="仿宋" w:hAnsi="仿宋" w:eastAsia="仿宋" w:cs="仿宋"/>
          <w:sz w:val="24"/>
          <w:highlight w:val="none"/>
        </w:rPr>
        <w:t>3.4投标人提供虚假材料投标的，投标无效。</w:t>
      </w:r>
    </w:p>
    <w:p>
      <w:pPr>
        <w:pStyle w:val="132"/>
        <w:snapToGrid w:val="0"/>
        <w:spacing w:before="0" w:line="440" w:lineRule="exact"/>
        <w:ind w:firstLine="472" w:firstLineChars="196"/>
        <w:outlineLvl w:val="0"/>
        <w:rPr>
          <w:rFonts w:ascii="仿宋" w:hAnsi="仿宋" w:eastAsia="仿宋" w:cs="仿宋"/>
          <w:b/>
          <w:szCs w:val="24"/>
          <w:highlight w:val="none"/>
        </w:rPr>
      </w:pPr>
      <w:r>
        <w:rPr>
          <w:rFonts w:hint="eastAsia"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2"/>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rPr>
        <w:t>5.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highlight w:val="none"/>
        </w:rPr>
      </w:pPr>
      <w:r>
        <w:rPr>
          <w:rFonts w:hint="eastAsia" w:ascii="仿宋" w:hAnsi="仿宋" w:eastAsia="仿宋" w:cs="仿宋"/>
          <w:b/>
          <w:bCs/>
          <w:sz w:val="24"/>
          <w:highlight w:val="none"/>
        </w:rPr>
        <w:t>6.投标有效期</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6.2投标文件合格投递后，自投标截止日期起，在投标有效期内有效。</w:t>
      </w:r>
    </w:p>
    <w:p>
      <w:pPr>
        <w:pStyle w:val="132"/>
        <w:spacing w:before="0"/>
        <w:ind w:firstLine="480"/>
        <w:rPr>
          <w:rFonts w:ascii="仿宋" w:hAnsi="仿宋" w:eastAsia="仿宋" w:cs="仿宋"/>
          <w:b/>
          <w:sz w:val="32"/>
          <w:highlight w:val="none"/>
        </w:rPr>
      </w:pPr>
      <w:r>
        <w:rPr>
          <w:rFonts w:hint="eastAsia" w:ascii="仿宋" w:hAnsi="仿宋" w:eastAsia="仿宋"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highlight w:val="none"/>
        </w:rPr>
      </w:pPr>
      <w:bookmarkStart w:id="37" w:name="_Toc91899903"/>
      <w:r>
        <w:rPr>
          <w:rFonts w:hint="eastAsia" w:ascii="仿宋" w:hAnsi="仿宋" w:eastAsia="仿宋" w:cs="仿宋"/>
          <w:b/>
          <w:sz w:val="32"/>
          <w:szCs w:val="32"/>
          <w:highlight w:val="none"/>
        </w:rPr>
        <w:t>四、开标和评标</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1.7主持人公布评标结果。</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3．评标</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3.7评标委员会不向落标方解释落标的原因。</w:t>
      </w:r>
    </w:p>
    <w:p>
      <w:pPr>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highlight w:val="none"/>
        </w:rPr>
      </w:pPr>
      <w:r>
        <w:rPr>
          <w:rFonts w:hint="eastAsia" w:ascii="仿宋" w:hAnsi="仿宋" w:eastAsia="仿宋" w:cs="仿宋"/>
          <w:b/>
          <w:highlight w:val="none"/>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8.25其他违反法律、法规的情形。</w:t>
      </w:r>
    </w:p>
    <w:p>
      <w:pPr>
        <w:snapToGrid w:val="0"/>
        <w:spacing w:line="440" w:lineRule="exact"/>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highlight w:val="none"/>
        </w:rPr>
      </w:pPr>
    </w:p>
    <w:bookmarkEnd w:id="37"/>
    <w:p>
      <w:pPr>
        <w:pStyle w:val="32"/>
        <w:spacing w:line="360" w:lineRule="auto"/>
        <w:ind w:firstLine="726"/>
        <w:jc w:val="center"/>
        <w:rPr>
          <w:rFonts w:ascii="仿宋" w:hAnsi="仿宋" w:eastAsia="仿宋" w:cs="仿宋"/>
          <w:b/>
          <w:sz w:val="32"/>
          <w:szCs w:val="32"/>
          <w:highlight w:val="none"/>
        </w:rPr>
      </w:pPr>
      <w:bookmarkStart w:id="38" w:name="_Toc81372953"/>
      <w:bookmarkStart w:id="39" w:name="_Toc81372776"/>
      <w:bookmarkStart w:id="40" w:name="_Toc84325929"/>
      <w:r>
        <w:rPr>
          <w:rFonts w:hint="eastAsia" w:ascii="仿宋" w:hAnsi="仿宋" w:eastAsia="仿宋" w:cs="仿宋"/>
          <w:b/>
          <w:sz w:val="32"/>
          <w:szCs w:val="32"/>
          <w:highlight w:val="none"/>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szCs w:val="24"/>
          <w:highlight w:val="none"/>
        </w:rPr>
      </w:pPr>
      <w:r>
        <w:rPr>
          <w:rFonts w:hint="eastAsia" w:ascii="仿宋" w:hAnsi="仿宋" w:eastAsia="仿宋" w:cs="仿宋"/>
          <w:b/>
          <w:szCs w:val="24"/>
          <w:highlight w:val="none"/>
        </w:rPr>
        <w:t>1.中标条件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2.中标确认</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3．中标通知</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bCs/>
          <w:sz w:val="24"/>
          <w:highlight w:val="none"/>
        </w:rPr>
        <w:t>3个工作日内</w:t>
      </w:r>
      <w:r>
        <w:rPr>
          <w:rFonts w:hint="eastAsia" w:ascii="仿宋" w:hAnsi="仿宋" w:eastAsia="仿宋" w:cs="仿宋"/>
          <w:sz w:val="24"/>
          <w:highlight w:val="none"/>
        </w:rPr>
        <w:t>，通过电子交易平台进行备案。</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6.验收</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7.售后服务考核</w:t>
      </w:r>
    </w:p>
    <w:p>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highlight w:val="none"/>
        </w:rPr>
      </w:pPr>
    </w:p>
    <w:p>
      <w:pPr>
        <w:adjustRightInd/>
        <w:spacing w:line="336"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hint="eastAsia" w:ascii="仿宋" w:hAnsi="仿宋" w:eastAsia="仿宋" w:cs="仿宋"/>
          <w:b/>
          <w:bCs/>
          <w:sz w:val="32"/>
          <w:szCs w:val="20"/>
          <w:highlight w:val="none"/>
        </w:rPr>
        <w:t>询问、质疑与投诉</w:t>
      </w:r>
    </w:p>
    <w:p>
      <w:pPr>
        <w:spacing w:line="336" w:lineRule="auto"/>
        <w:rPr>
          <w:rFonts w:ascii="仿宋" w:hAnsi="仿宋" w:eastAsia="仿宋" w:cs="仿宋"/>
          <w:b/>
          <w:sz w:val="32"/>
          <w:szCs w:val="32"/>
          <w:highlight w:val="none"/>
        </w:rPr>
      </w:pPr>
      <w:r>
        <w:rPr>
          <w:rFonts w:hint="eastAsia" w:ascii="仿宋" w:hAnsi="仿宋" w:eastAsia="仿宋" w:cs="仿宋"/>
          <w:b/>
          <w:bCs/>
          <w:sz w:val="24"/>
          <w:szCs w:val="20"/>
          <w:highlight w:val="none"/>
        </w:rPr>
        <w:t>1.在线询问、质疑、投诉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2. 供应商询问</w:t>
      </w:r>
    </w:p>
    <w:p>
      <w:pPr>
        <w:autoSpaceDE w:val="0"/>
        <w:autoSpaceDN w:val="0"/>
        <w:spacing w:line="336" w:lineRule="auto"/>
        <w:ind w:firstLine="480" w:firstLineChars="200"/>
        <w:jc w:val="left"/>
        <w:rPr>
          <w:rFonts w:ascii="仿宋" w:hAnsi="仿宋" w:eastAsia="仿宋" w:cs="仿宋"/>
          <w:b/>
          <w:sz w:val="32"/>
          <w:szCs w:val="32"/>
          <w:highlight w:val="none"/>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3. 供应商质疑</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sz w:val="24"/>
          <w:szCs w:val="20"/>
          <w:highlight w:val="none"/>
        </w:rPr>
        <w:t>.1质疑提出时效</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kern w:val="0"/>
          <w:sz w:val="24"/>
          <w:szCs w:val="20"/>
          <w:highlight w:val="none"/>
          <w:lang w:val="zh-CN"/>
        </w:rPr>
        <w:t>3</w:t>
      </w:r>
      <w:r>
        <w:rPr>
          <w:rFonts w:hint="eastAsia"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highlight w:val="none"/>
        </w:rPr>
      </w:pPr>
      <w:r>
        <w:rPr>
          <w:rFonts w:hint="eastAsia"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3.1.2.4对同一采购程序环节的质疑，供应商须一次性提出。</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kern w:val="0"/>
          <w:sz w:val="24"/>
          <w:szCs w:val="20"/>
          <w:highlight w:val="none"/>
          <w:lang w:val="zh-CN"/>
        </w:rPr>
        <w:t>3.</w:t>
      </w:r>
      <w:r>
        <w:rPr>
          <w:rFonts w:hint="eastAsia" w:ascii="仿宋" w:hAnsi="仿宋" w:eastAsia="仿宋" w:cs="仿宋"/>
          <w:b/>
          <w:bCs/>
          <w:kern w:val="0"/>
          <w:sz w:val="24"/>
          <w:szCs w:val="20"/>
          <w:highlight w:val="none"/>
        </w:rPr>
        <w:t>2</w:t>
      </w:r>
      <w:r>
        <w:rPr>
          <w:rFonts w:hint="eastAsia" w:ascii="仿宋" w:hAnsi="仿宋" w:eastAsia="仿宋" w:cs="仿宋"/>
          <w:b/>
          <w:bCs/>
          <w:kern w:val="0"/>
          <w:sz w:val="24"/>
          <w:szCs w:val="20"/>
          <w:highlight w:val="none"/>
          <w:lang w:val="zh-CN"/>
        </w:rPr>
        <w:t>质疑函</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供应商的姓名或者名称、地址、邮编、联系人及联系电话；</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质疑项目的名称、编号；</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具体、明确的质疑事项和与质疑事项相关的请求；</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事实依据；</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必要的法律依据；</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highlight w:val="none"/>
        </w:rPr>
        <w:t>提出质疑的日期。</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highlight w:val="none"/>
        </w:rPr>
      </w:pPr>
      <w:r>
        <w:rPr>
          <w:rFonts w:hint="eastAsia" w:ascii="仿宋" w:hAnsi="仿宋" w:eastAsia="仿宋" w:cs="仿宋"/>
          <w:b/>
          <w:bCs/>
          <w:sz w:val="24"/>
          <w:szCs w:val="20"/>
          <w:highlight w:val="none"/>
        </w:rPr>
        <w:t>质疑函范本及制作说明详见附件1。</w:t>
      </w:r>
    </w:p>
    <w:p>
      <w:pPr>
        <w:spacing w:line="336" w:lineRule="auto"/>
        <w:rPr>
          <w:rFonts w:ascii="仿宋" w:hAnsi="仿宋" w:eastAsia="仿宋" w:cs="仿宋"/>
          <w:b/>
          <w:sz w:val="32"/>
          <w:szCs w:val="32"/>
          <w:highlight w:val="none"/>
        </w:rPr>
      </w:pPr>
      <w:r>
        <w:rPr>
          <w:rFonts w:hint="eastAsia" w:ascii="仿宋" w:hAnsi="仿宋" w:eastAsia="仿宋" w:cs="仿宋"/>
          <w:b/>
          <w:bCs/>
          <w:sz w:val="24"/>
          <w:highlight w:val="none"/>
        </w:rPr>
        <w:t>4.供应商投诉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4.3供应商投诉应当有明确的请求和必要的证明材料。</w:t>
      </w:r>
    </w:p>
    <w:p>
      <w:pPr>
        <w:spacing w:line="336" w:lineRule="auto"/>
        <w:ind w:firstLine="480" w:firstLineChars="200"/>
        <w:rPr>
          <w:rFonts w:ascii="仿宋" w:hAnsi="仿宋" w:eastAsia="仿宋" w:cs="仿宋"/>
          <w:b/>
          <w:sz w:val="32"/>
          <w:szCs w:val="32"/>
          <w:highlight w:val="none"/>
        </w:rPr>
      </w:pPr>
      <w:r>
        <w:rPr>
          <w:rFonts w:hint="eastAsia" w:ascii="仿宋" w:hAnsi="仿宋" w:eastAsia="仿宋" w:cs="仿宋"/>
          <w:sz w:val="24"/>
          <w:szCs w:val="20"/>
          <w:highlight w:val="none"/>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highlight w:val="none"/>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highlight w:val="none"/>
        </w:rPr>
        <w:t>投诉书范本及制作说明详见附件2。</w:t>
      </w:r>
    </w:p>
    <w:bookmarkEnd w:id="35"/>
    <w:bookmarkEnd w:id="36"/>
    <w:p>
      <w:pPr>
        <w:spacing w:line="360" w:lineRule="auto"/>
        <w:jc w:val="center"/>
        <w:outlineLvl w:val="0"/>
        <w:rPr>
          <w:rFonts w:ascii="仿宋" w:hAnsi="仿宋" w:eastAsia="仿宋" w:cs="仿宋"/>
          <w:b/>
          <w:sz w:val="36"/>
          <w:szCs w:val="36"/>
          <w:highlight w:val="none"/>
        </w:rPr>
      </w:pPr>
      <w:bookmarkStart w:id="41" w:name="第五部分"/>
      <w:bookmarkStart w:id="42" w:name="_Toc86217003"/>
      <w:r>
        <w:rPr>
          <w:rFonts w:hint="eastAsia" w:ascii="仿宋" w:hAnsi="仿宋" w:eastAsia="仿宋" w:cs="仿宋"/>
          <w:b/>
          <w:sz w:val="36"/>
          <w:szCs w:val="36"/>
          <w:highlight w:val="none"/>
        </w:rPr>
        <w:t>第三部分   招标项目范围及要求</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lang w:val="en-US" w:eastAsia="zh-CN"/>
        </w:rPr>
        <w:t>一</w:t>
      </w:r>
      <w:r>
        <w:rPr>
          <w:rFonts w:hint="eastAsia" w:ascii="仿宋" w:hAnsi="仿宋" w:eastAsia="仿宋" w:cs="仿宋"/>
          <w:b/>
          <w:sz w:val="24"/>
          <w:highlight w:val="none"/>
          <w:u w:val="none"/>
        </w:rPr>
        <w:t>、项目范围</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越城区二环以内，北至山会大道，西至绿云路，东至越东路，南至大禹路，面积约为45.8平方公里。</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lang w:val="en-US" w:eastAsia="zh-CN"/>
        </w:rPr>
        <w:t>二</w:t>
      </w:r>
      <w:r>
        <w:rPr>
          <w:rFonts w:hint="eastAsia" w:ascii="仿宋" w:hAnsi="仿宋" w:eastAsia="仿宋" w:cs="仿宋"/>
          <w:b/>
          <w:sz w:val="24"/>
          <w:highlight w:val="none"/>
          <w:u w:val="none"/>
        </w:rPr>
        <w:t>、整治对象</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（一）电力架空线：包括220KV、110KV、35KV、10KV及以下电力架空线。</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（二）通信架空线：包括电信、移动、联通、中广等弱电架空线。</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（三）杆件：建包括道路照明灯杆、交通标志标牌杆、信号灯杆、监控杆、路名牌杆、公共服务设施指示标志牌杆等。</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（四）箱体：包括交通、监控、通信、广电等箱体。</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（五）井盖：检查井井口可开启的封闭物，由盖板和井座组成，含涵盖给水、排水、燃气、电力、通信、供热、路灯、有线电视等各类市政专项。</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（六）其他：地上裸露的给排水管道、热力管道等其他市政配套设施；公园广场、水系等重要区域的景观亮化工程。</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lang w:val="en-US" w:eastAsia="zh-CN"/>
        </w:rPr>
        <w:t>三</w:t>
      </w:r>
      <w:r>
        <w:rPr>
          <w:rFonts w:hint="eastAsia" w:ascii="仿宋" w:hAnsi="仿宋" w:eastAsia="仿宋" w:cs="仿宋"/>
          <w:b/>
          <w:sz w:val="24"/>
          <w:highlight w:val="none"/>
          <w:u w:val="none"/>
        </w:rPr>
        <w:t>、主要内容</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（一）整治老旧小区和道路架空线路</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部分小区及道路两侧市政管线建设较早，电力、通信多为架空线，临街面管网纵横交错、乱拉乱接，建议严格按照相关规范及导则，符合安全、有序、美观的要求，重点对强弱电锈蚀表箱、老化线路、私拉乱接等方面问题开展整治工作，消除安全隐患，确保整体美观。</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（二）整治地面裸露管道</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大型地面管道裸露（包括正常运行和弃置），主要存在于桥梁两侧河道、绿地等公共开敞空间，影响水城景观风貌。建议对规划范围内裸露管道进行美化或隐蔽处理，废弃管道进行拆除。</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（三）整治城市道路合杆合箱和井盖</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对城市道路实施“多杆合一、多箱合一”整治，集约高效利用城市公共空间；集中解决各类检查井塌陷、下沉、突起等问题，确保各类窨井设施与路面衔接平顺，无安全隐患。</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lang w:val="en-US" w:eastAsia="zh-CN"/>
        </w:rPr>
        <w:t>四</w:t>
      </w:r>
      <w:r>
        <w:rPr>
          <w:rFonts w:hint="eastAsia" w:ascii="仿宋" w:hAnsi="仿宋" w:eastAsia="仿宋" w:cs="仿宋"/>
          <w:b/>
          <w:sz w:val="24"/>
          <w:highlight w:val="none"/>
          <w:u w:val="none"/>
        </w:rPr>
        <w:t>、时间要求</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合同签订之日起40天内形成初稿，初稿完成后20天内完成修改成果，总计2个月形成最终成果。</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lang w:val="en-US" w:eastAsia="zh-CN"/>
        </w:rPr>
        <w:t>五</w:t>
      </w:r>
      <w:r>
        <w:rPr>
          <w:rFonts w:hint="eastAsia" w:ascii="仿宋" w:hAnsi="仿宋" w:eastAsia="仿宋" w:cs="仿宋"/>
          <w:b/>
          <w:sz w:val="24"/>
          <w:highlight w:val="none"/>
          <w:u w:val="none"/>
        </w:rPr>
        <w:t>、成果要求</w:t>
      </w:r>
    </w:p>
    <w:p>
      <w:pPr>
        <w:autoSpaceDE w:val="0"/>
        <w:autoSpaceDN w:val="0"/>
        <w:spacing w:line="360" w:lineRule="auto"/>
        <w:jc w:val="left"/>
        <w:rPr>
          <w:rFonts w:hint="eastAsia" w:ascii="仿宋" w:hAnsi="仿宋" w:eastAsia="仿宋" w:cs="仿宋"/>
          <w:b/>
          <w:sz w:val="24"/>
          <w:highlight w:val="none"/>
          <w:u w:val="none"/>
        </w:rPr>
      </w:pPr>
      <w:r>
        <w:rPr>
          <w:rFonts w:hint="eastAsia" w:ascii="仿宋" w:hAnsi="仿宋" w:eastAsia="仿宋" w:cs="仿宋"/>
          <w:b/>
          <w:sz w:val="24"/>
          <w:highlight w:val="none"/>
          <w:u w:val="none"/>
        </w:rPr>
        <w:t>1.纸质文件：图文结合，A4彩色精装；</w:t>
      </w:r>
    </w:p>
    <w:p>
      <w:pPr>
        <w:autoSpaceDE w:val="0"/>
        <w:autoSpaceDN w:val="0"/>
        <w:spacing w:line="360" w:lineRule="auto"/>
        <w:jc w:val="left"/>
        <w:rPr>
          <w:rFonts w:ascii="仿宋" w:hAnsi="仿宋" w:eastAsia="仿宋" w:cs="仿宋"/>
          <w:sz w:val="24"/>
          <w:szCs w:val="21"/>
          <w:highlight w:val="none"/>
          <w:u w:val="none"/>
        </w:rPr>
      </w:pPr>
      <w:r>
        <w:rPr>
          <w:rFonts w:hint="eastAsia" w:ascii="仿宋" w:hAnsi="仿宋" w:eastAsia="仿宋" w:cs="仿宋"/>
          <w:b/>
          <w:sz w:val="24"/>
          <w:highlight w:val="none"/>
          <w:u w:val="none"/>
        </w:rPr>
        <w:t>2.电子文件：所有成果的电子版文件，文本为PPT格式，图纸为JPG格式，矢量数据为GDB格式数据库。</w:t>
      </w:r>
      <w:r>
        <w:rPr>
          <w:rFonts w:hint="eastAsia" w:ascii="仿宋" w:hAnsi="仿宋" w:eastAsia="仿宋" w:cs="仿宋"/>
          <w:b/>
          <w:bCs/>
          <w:sz w:val="24"/>
          <w:szCs w:val="21"/>
          <w:highlight w:val="none"/>
          <w:u w:val="none"/>
        </w:rPr>
        <w:t>三、服务期限</w:t>
      </w:r>
    </w:p>
    <w:p>
      <w:pPr>
        <w:autoSpaceDE w:val="0"/>
        <w:autoSpaceDN w:val="0"/>
        <w:spacing w:line="360" w:lineRule="auto"/>
        <w:ind w:firstLine="482" w:firstLineChars="200"/>
        <w:jc w:val="left"/>
        <w:rPr>
          <w:rFonts w:ascii="仿宋" w:hAnsi="仿宋" w:eastAsia="仿宋" w:cs="仿宋"/>
          <w:b/>
          <w:bCs/>
          <w:color w:val="000000"/>
          <w:kern w:val="0"/>
          <w:sz w:val="24"/>
          <w:highlight w:val="none"/>
          <w:u w:val="none"/>
        </w:rPr>
      </w:pPr>
      <w:r>
        <w:rPr>
          <w:rFonts w:hint="eastAsia" w:ascii="仿宋" w:hAnsi="仿宋" w:eastAsia="仿宋" w:cs="仿宋"/>
          <w:b/>
          <w:bCs/>
          <w:color w:val="000000"/>
          <w:kern w:val="0"/>
          <w:sz w:val="24"/>
          <w:highlight w:val="none"/>
          <w:u w:val="none"/>
        </w:rPr>
        <w:t>自合同签订之日起两年。</w:t>
      </w:r>
    </w:p>
    <w:p>
      <w:pPr>
        <w:autoSpaceDE w:val="0"/>
        <w:autoSpaceDN w:val="0"/>
        <w:spacing w:line="360" w:lineRule="auto"/>
        <w:jc w:val="left"/>
        <w:rPr>
          <w:rFonts w:ascii="仿宋" w:hAnsi="仿宋" w:eastAsia="仿宋" w:cs="仿宋"/>
          <w:b/>
          <w:bCs/>
          <w:color w:val="000000"/>
          <w:kern w:val="0"/>
          <w:sz w:val="24"/>
          <w:highlight w:val="none"/>
          <w:lang w:val="zh-CN"/>
        </w:rPr>
      </w:pPr>
      <w:r>
        <w:rPr>
          <w:rFonts w:hint="eastAsia" w:ascii="仿宋" w:hAnsi="仿宋" w:eastAsia="仿宋" w:cs="仿宋"/>
          <w:b/>
          <w:bCs/>
          <w:color w:val="000000"/>
          <w:kern w:val="0"/>
          <w:sz w:val="24"/>
          <w:highlight w:val="none"/>
          <w:lang w:val="en-US" w:eastAsia="zh-CN"/>
        </w:rPr>
        <w:t>六</w:t>
      </w:r>
      <w:r>
        <w:rPr>
          <w:rFonts w:hint="eastAsia" w:ascii="仿宋" w:hAnsi="仿宋" w:eastAsia="仿宋" w:cs="仿宋"/>
          <w:b/>
          <w:bCs/>
          <w:color w:val="000000"/>
          <w:kern w:val="0"/>
          <w:sz w:val="24"/>
          <w:highlight w:val="none"/>
          <w:lang w:val="zh-CN"/>
        </w:rPr>
        <w:t>、付款方式</w:t>
      </w:r>
    </w:p>
    <w:p>
      <w:pPr>
        <w:autoSpaceDE w:val="0"/>
        <w:autoSpaceDN w:val="0"/>
        <w:spacing w:line="360" w:lineRule="auto"/>
        <w:ind w:firstLine="480" w:firstLineChars="200"/>
        <w:jc w:val="left"/>
        <w:rPr>
          <w:rFonts w:ascii="仿宋" w:hAnsi="仿宋" w:eastAsia="仿宋" w:cs="仿宋"/>
          <w:b/>
          <w:bCs/>
          <w:color w:val="000000"/>
          <w:kern w:val="0"/>
          <w:sz w:val="24"/>
          <w:highlight w:val="none"/>
        </w:rPr>
      </w:pPr>
      <w:r>
        <w:rPr>
          <w:rFonts w:hint="eastAsia" w:ascii="仿宋" w:hAnsi="仿宋" w:eastAsia="仿宋" w:cs="仿宋"/>
          <w:color w:val="000000"/>
          <w:kern w:val="0"/>
          <w:sz w:val="24"/>
          <w:highlight w:val="none"/>
          <w:lang w:val="zh-CN"/>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rPr>
          <w:rFonts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ind w:left="720" w:leftChars="343" w:firstLine="1084" w:firstLineChars="300"/>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rPr>
          <w:rFonts w:ascii="仿宋" w:hAnsi="仿宋" w:eastAsia="仿宋" w:cs="仿宋"/>
          <w:sz w:val="24"/>
          <w:highlight w:val="none"/>
          <w:u w:val="single"/>
        </w:rPr>
      </w:pPr>
      <w:r>
        <w:rPr>
          <w:rFonts w:hint="eastAsia" w:ascii="仿宋" w:hAnsi="仿宋" w:eastAsia="仿宋" w:cs="仿宋"/>
          <w:sz w:val="24"/>
          <w:highlight w:val="none"/>
        </w:rPr>
        <w:t>合同编号：</w:t>
      </w:r>
    </w:p>
    <w:p>
      <w:pPr>
        <w:spacing w:line="480" w:lineRule="auto"/>
        <w:jc w:val="center"/>
        <w:rPr>
          <w:rFonts w:ascii="仿宋" w:hAnsi="仿宋" w:eastAsia="仿宋" w:cs="仿宋"/>
          <w:b/>
          <w:sz w:val="28"/>
          <w:szCs w:val="28"/>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24"/>
          <w:highlight w:val="none"/>
        </w:rPr>
      </w:pP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702"/>
        <w:ind w:firstLine="2843" w:firstLineChars="1180"/>
        <w:rPr>
          <w:rFonts w:ascii="仿宋" w:hAnsi="仿宋" w:eastAsia="仿宋" w:cs="仿宋"/>
          <w:b/>
          <w:szCs w:val="24"/>
          <w:highlight w:val="none"/>
        </w:rPr>
      </w:pPr>
      <w:r>
        <w:rPr>
          <w:rFonts w:hint="eastAsia" w:ascii="仿宋" w:hAnsi="仿宋" w:eastAsia="仿宋" w:cs="仿宋"/>
          <w:b/>
          <w:szCs w:val="24"/>
          <w:highlight w:val="none"/>
        </w:rPr>
        <w:t>第一部分 合同书</w:t>
      </w:r>
    </w:p>
    <w:p>
      <w:pPr>
        <w:spacing w:before="120" w:line="22" w:lineRule="atLeast"/>
        <w:rPr>
          <w:rFonts w:ascii="仿宋" w:hAnsi="仿宋" w:eastAsia="仿宋" w:cs="仿宋"/>
          <w:sz w:val="24"/>
          <w:highlight w:val="none"/>
        </w:rPr>
      </w:pPr>
    </w:p>
    <w:p>
      <w:pPr>
        <w:pStyle w:val="3"/>
        <w:rPr>
          <w:rFonts w:ascii="仿宋" w:eastAsia="仿宋" w:cs="仿宋"/>
          <w:highlight w:val="none"/>
        </w:rPr>
      </w:pPr>
    </w:p>
    <w:p>
      <w:pPr>
        <w:spacing w:before="120" w:line="22" w:lineRule="atLeast"/>
        <w:ind w:left="960" w:firstLine="480" w:firstLineChars="200"/>
        <w:rPr>
          <w:rFonts w:ascii="仿宋" w:hAnsi="仿宋" w:eastAsia="仿宋" w:cs="仿宋"/>
          <w:sz w:val="24"/>
          <w:highlight w:val="none"/>
        </w:rPr>
      </w:pPr>
      <w:r>
        <w:rPr>
          <w:rFonts w:hint="eastAsia" w:ascii="仿宋" w:hAnsi="仿宋" w:eastAsia="仿宋" w:cs="仿宋"/>
          <w:sz w:val="24"/>
          <w:highlight w:val="none"/>
        </w:rPr>
        <w:t>项目名称：</w:t>
      </w:r>
    </w:p>
    <w:p>
      <w:pPr>
        <w:pStyle w:val="599"/>
        <w:spacing w:before="120" w:line="22" w:lineRule="atLeast"/>
        <w:rPr>
          <w:rFonts w:ascii="仿宋" w:hAnsi="仿宋" w:eastAsia="仿宋" w:cs="仿宋"/>
          <w:szCs w:val="24"/>
          <w:highlight w:val="none"/>
        </w:rPr>
      </w:pPr>
    </w:p>
    <w:p>
      <w:pPr>
        <w:pStyle w:val="599"/>
        <w:spacing w:before="120" w:line="22" w:lineRule="atLeast"/>
        <w:rPr>
          <w:rFonts w:ascii="仿宋" w:hAnsi="仿宋" w:eastAsia="仿宋" w:cs="仿宋"/>
          <w:szCs w:val="24"/>
          <w:highlight w:val="none"/>
        </w:rPr>
      </w:pPr>
    </w:p>
    <w:p>
      <w:pPr>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ascii="仿宋" w:hAnsi="仿宋" w:eastAsia="仿宋" w:cs="仿宋"/>
          <w:sz w:val="24"/>
          <w:highlight w:val="none"/>
        </w:rPr>
      </w:pPr>
    </w:p>
    <w:p>
      <w:pPr>
        <w:spacing w:before="120" w:line="22" w:lineRule="atLeast"/>
        <w:ind w:left="960" w:firstLine="480" w:firstLineChars="200"/>
        <w:rPr>
          <w:rFonts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ascii="仿宋" w:hAnsi="仿宋" w:eastAsia="仿宋" w:cs="仿宋"/>
          <w:sz w:val="24"/>
          <w:highlight w:val="none"/>
        </w:rPr>
      </w:pPr>
    </w:p>
    <w:p>
      <w:pPr>
        <w:spacing w:before="120" w:line="22" w:lineRule="atLeast"/>
        <w:ind w:firstLine="1440" w:firstLineChars="600"/>
        <w:rPr>
          <w:rFonts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ascii="仿宋" w:hAnsi="仿宋" w:eastAsia="仿宋" w:cs="仿宋"/>
          <w:kern w:val="0"/>
          <w:sz w:val="24"/>
          <w:highlight w:val="none"/>
        </w:rPr>
        <w:sectPr>
          <w:pgSz w:w="11907" w:h="16840"/>
          <w:pgMar w:top="1474" w:right="1814" w:bottom="1474" w:left="1814" w:header="851" w:footer="851" w:gutter="0"/>
          <w:cols w:space="720" w:num="1"/>
        </w:sectPr>
      </w:pPr>
    </w:p>
    <w:p>
      <w:pPr>
        <w:rPr>
          <w:rFonts w:ascii="仿宋" w:hAnsi="仿宋" w:eastAsia="仿宋" w:cs="仿宋"/>
          <w:b/>
          <w:sz w:val="24"/>
          <w:highlight w:val="none"/>
        </w:rPr>
      </w:pP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（项目名称）</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440" w:lineRule="exact"/>
        <w:ind w:firstLine="482" w:firstLineChars="200"/>
        <w:outlineLvl w:val="0"/>
        <w:rPr>
          <w:rFonts w:ascii="仿宋" w:hAnsi="仿宋" w:eastAsia="仿宋" w:cs="仿宋"/>
          <w:sz w:val="24"/>
          <w:highlight w:val="none"/>
        </w:rPr>
      </w:pPr>
      <w:bookmarkStart w:id="43" w:name="_Toc28855"/>
      <w:bookmarkStart w:id="44" w:name="_Toc15367"/>
      <w:bookmarkStart w:id="45" w:name="_Toc19273"/>
      <w:bookmarkStart w:id="46" w:name="_Toc20421"/>
      <w:bookmarkStart w:id="47" w:name="_Toc22967"/>
      <w:r>
        <w:rPr>
          <w:rFonts w:hint="eastAsia" w:ascii="仿宋" w:hAnsi="仿宋" w:eastAsia="仿宋" w:cs="仿宋"/>
          <w:b/>
          <w:sz w:val="24"/>
          <w:highlight w:val="none"/>
        </w:rPr>
        <w:t>1.1 合同组成部分</w:t>
      </w:r>
      <w:bookmarkEnd w:id="43"/>
      <w:bookmarkEnd w:id="44"/>
      <w:bookmarkEnd w:id="45"/>
      <w:bookmarkEnd w:id="46"/>
      <w:bookmarkEnd w:id="47"/>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440" w:lineRule="exact"/>
        <w:ind w:firstLine="482" w:firstLineChars="200"/>
        <w:outlineLvl w:val="0"/>
        <w:rPr>
          <w:rFonts w:ascii="仿宋" w:hAnsi="仿宋" w:eastAsia="仿宋" w:cs="仿宋"/>
          <w:b/>
          <w:sz w:val="24"/>
          <w:highlight w:val="none"/>
        </w:rPr>
      </w:pPr>
      <w:bookmarkStart w:id="48" w:name="_Toc2918"/>
      <w:bookmarkStart w:id="49" w:name="_Toc6311"/>
      <w:bookmarkStart w:id="50" w:name="_Toc6773"/>
      <w:bookmarkStart w:id="51" w:name="_Toc22185"/>
      <w:bookmarkStart w:id="52" w:name="_Toc18585"/>
      <w:r>
        <w:rPr>
          <w:rFonts w:hint="eastAsia" w:ascii="仿宋" w:hAnsi="仿宋" w:eastAsia="仿宋" w:cs="仿宋"/>
          <w:b/>
          <w:sz w:val="24"/>
          <w:highlight w:val="none"/>
        </w:rPr>
        <w:t>1.2 标的</w:t>
      </w:r>
      <w:bookmarkEnd w:id="48"/>
      <w:bookmarkEnd w:id="49"/>
      <w:bookmarkEnd w:id="50"/>
      <w:bookmarkEnd w:id="51"/>
      <w:bookmarkEnd w:id="52"/>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1.2.5合同（是/否）涉及货物。若涉及货物的，则：</w:t>
      </w:r>
    </w:p>
    <w:p>
      <w:pPr>
        <w:spacing w:line="440" w:lineRule="exact"/>
        <w:ind w:firstLine="480" w:firstLineChars="200"/>
        <w:rPr>
          <w:rFonts w:ascii="仿宋" w:hAnsi="仿宋" w:eastAsia="仿宋" w:cs="仿宋"/>
          <w:sz w:val="24"/>
          <w:highlight w:val="none"/>
          <w:u w:val="single"/>
        </w:rPr>
      </w:pPr>
      <w:bookmarkStart w:id="53" w:name="_Toc1386"/>
      <w:bookmarkStart w:id="54" w:name="_Toc13918"/>
      <w:bookmarkStart w:id="55" w:name="_Toc5635"/>
      <w:bookmarkStart w:id="56" w:name="_Toc21124"/>
      <w:bookmarkStart w:id="57" w:name="_Toc4929"/>
      <w:r>
        <w:rPr>
          <w:rFonts w:hint="eastAsia" w:ascii="仿宋" w:hAnsi="仿宋" w:eastAsia="仿宋" w:cs="仿宋"/>
          <w:sz w:val="24"/>
          <w:highlight w:val="none"/>
        </w:rPr>
        <w:t>1.2.5.1 货物名称、品牌、规格型号、花色：；</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53"/>
      <w:bookmarkEnd w:id="54"/>
      <w:bookmarkEnd w:id="55"/>
      <w:bookmarkEnd w:id="56"/>
      <w:bookmarkEnd w:id="57"/>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本项目采用以下第条款规定的计价方式计价。</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1.3.1总价合同，本合同总价（含税）为：￥元（大写：元人民币）。</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32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3402" w:type="dxa"/>
            <w:vAlign w:val="center"/>
          </w:tcPr>
          <w:p>
            <w:pPr>
              <w:pStyle w:val="320"/>
              <w:spacing w:line="440" w:lineRule="exact"/>
              <w:ind w:firstLine="480" w:firstLineChars="200"/>
              <w:jc w:val="center"/>
              <w:rPr>
                <w:rFonts w:ascii="仿宋" w:hAnsi="仿宋" w:eastAsia="仿宋" w:cs="仿宋"/>
                <w:sz w:val="24"/>
                <w:szCs w:val="24"/>
                <w:highlight w:val="none"/>
              </w:rPr>
            </w:pP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440" w:lineRule="exact"/>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320"/>
              <w:spacing w:line="440" w:lineRule="exact"/>
              <w:ind w:firstLine="480" w:firstLineChars="200"/>
              <w:jc w:val="center"/>
              <w:rPr>
                <w:rFonts w:ascii="仿宋" w:hAnsi="仿宋" w:eastAsia="仿宋" w:cs="仿宋"/>
                <w:sz w:val="24"/>
                <w:szCs w:val="24"/>
                <w:highlight w:val="none"/>
              </w:rPr>
            </w:pPr>
          </w:p>
        </w:tc>
      </w:tr>
    </w:tbl>
    <w:p>
      <w:pPr>
        <w:spacing w:line="440" w:lineRule="exact"/>
        <w:ind w:firstLine="480" w:firstLineChars="200"/>
        <w:rPr>
          <w:rFonts w:ascii="仿宋" w:hAnsi="仿宋" w:eastAsia="仿宋" w:cs="仿宋"/>
          <w:sz w:val="24"/>
          <w:highlight w:val="none"/>
        </w:rPr>
      </w:pPr>
      <w:bookmarkStart w:id="58" w:name="_Toc26916"/>
      <w:bookmarkStart w:id="59" w:name="_Toc30158"/>
      <w:bookmarkStart w:id="60" w:name="_Toc14993"/>
      <w:bookmarkStart w:id="61" w:name="_Toc3654"/>
      <w:bookmarkStart w:id="62" w:name="_Toc30506"/>
      <w:r>
        <w:rPr>
          <w:rFonts w:hint="eastAsia" w:ascii="仿宋" w:hAnsi="仿宋" w:eastAsia="仿宋" w:cs="仿宋"/>
          <w:bCs/>
          <w:sz w:val="24"/>
          <w:highlight w:val="none"/>
        </w:rPr>
        <w:t>1.3.2单价合同，本合同单价（含税）标准为：</w:t>
      </w:r>
      <w:r>
        <w:rPr>
          <w:rFonts w:hint="eastAsia" w:ascii="仿宋" w:hAnsi="仿宋" w:eastAsia="仿宋" w:cs="仿宋"/>
          <w:sz w:val="24"/>
          <w:highlight w:val="none"/>
        </w:rPr>
        <w:t>。服务工作量的计量方式为：</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。单价合同，在合同履行期间内，根据实际完成的工作量据实结算，但结算总价上限不得超过预算金额或者双方确定的金额￥元（大写：元人民币）。</w:t>
      </w:r>
    </w:p>
    <w:p>
      <w:pPr>
        <w:pStyle w:val="3"/>
        <w:spacing w:line="440" w:lineRule="exact"/>
        <w:ind w:left="0" w:firstLine="480" w:firstLineChars="200"/>
        <w:rPr>
          <w:rFonts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rPr>
        <w:t>。</w:t>
      </w:r>
    </w:p>
    <w:bookmarkEnd w:id="58"/>
    <w:bookmarkEnd w:id="59"/>
    <w:bookmarkEnd w:id="60"/>
    <w:bookmarkEnd w:id="61"/>
    <w:bookmarkEnd w:id="62"/>
    <w:p>
      <w:pPr>
        <w:pStyle w:val="960"/>
        <w:spacing w:before="0" w:beforeAutospacing="0" w:after="0" w:afterAutospacing="0" w:line="440" w:lineRule="exact"/>
        <w:ind w:firstLine="482" w:firstLineChars="200"/>
        <w:rPr>
          <w:rFonts w:ascii="仿宋" w:hAnsi="仿宋" w:eastAsia="仿宋" w:cs="仿宋"/>
          <w:b/>
          <w:highlight w:val="none"/>
        </w:rPr>
      </w:pPr>
      <w:bookmarkStart w:id="63" w:name="_Toc22618"/>
      <w:bookmarkStart w:id="64" w:name="_Toc1814"/>
      <w:bookmarkStart w:id="65" w:name="_Toc10340"/>
      <w:bookmarkStart w:id="66" w:name="_Toc31421"/>
      <w:bookmarkStart w:id="67" w:name="_Toc3625"/>
      <w:bookmarkStart w:id="68" w:name="_Toc11108"/>
      <w:bookmarkStart w:id="69" w:name="_Toc4760"/>
      <w:bookmarkStart w:id="70" w:name="_Toc8772"/>
      <w:r>
        <w:rPr>
          <w:rFonts w:hint="eastAsia" w:ascii="仿宋" w:hAnsi="仿宋" w:eastAsia="仿宋" w:cs="仿宋"/>
          <w:b/>
          <w:highlight w:val="none"/>
        </w:rPr>
        <w:t>1.4履约保证金</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乙方（是/否）需要支付履约保证金。若需要支付履约保证金的，则：</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3"/>
        <w:tabs>
          <w:tab w:val="left" w:pos="0"/>
        </w:tabs>
        <w:spacing w:line="440" w:lineRule="exact"/>
        <w:ind w:left="0" w:firstLine="480" w:firstLine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63"/>
      <w:bookmarkEnd w:id="64"/>
      <w:bookmarkEnd w:id="65"/>
      <w:r>
        <w:rPr>
          <w:rFonts w:hint="eastAsia" w:ascii="仿宋" w:hAnsi="仿宋" w:eastAsia="仿宋" w:cs="仿宋"/>
          <w:b/>
          <w:sz w:val="24"/>
          <w:highlight w:val="none"/>
        </w:rPr>
        <w:t>预付款</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甲方（是/否）需要支付预付款。若需要支付预付款的，则：</w:t>
      </w:r>
    </w:p>
    <w:p>
      <w:pPr>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rPr>
        <w:t>；</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440" w:lineRule="exact"/>
        <w:ind w:firstLine="480" w:firstLineChars="20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b/>
          <w:i/>
          <w:highlight w:val="none"/>
          <w:u w:val="single"/>
        </w:rPr>
        <w:t>合同专用条款</w:t>
      </w:r>
      <w:r>
        <w:rPr>
          <w:rFonts w:hint="eastAsia" w:ascii="仿宋" w:hAnsi="仿宋" w:eastAsia="仿宋" w:cs="仿宋"/>
          <w:highlight w:val="none"/>
        </w:rPr>
        <w:t>。</w:t>
      </w:r>
    </w:p>
    <w:p>
      <w:pPr>
        <w:pStyle w:val="960"/>
        <w:spacing w:before="0" w:beforeAutospacing="0" w:after="0" w:afterAutospacing="0" w:line="440" w:lineRule="exact"/>
        <w:ind w:firstLine="482" w:firstLineChars="200"/>
        <w:rPr>
          <w:rFonts w:ascii="仿宋" w:hAnsi="仿宋" w:eastAsia="仿宋" w:cs="仿宋"/>
          <w:b/>
          <w:bCs/>
          <w:highlight w:val="none"/>
        </w:rPr>
      </w:pPr>
      <w:r>
        <w:rPr>
          <w:rFonts w:hint="eastAsia" w:ascii="仿宋" w:hAnsi="仿宋" w:eastAsia="仿宋" w:cs="仿宋"/>
          <w:b/>
          <w:bCs/>
          <w:highlight w:val="none"/>
        </w:rPr>
        <w:t>1.6资金支付</w:t>
      </w:r>
    </w:p>
    <w:p>
      <w:pPr>
        <w:pStyle w:val="960"/>
        <w:spacing w:before="0" w:beforeAutospacing="0" w:after="0" w:afterAutospacing="0" w:line="440" w:lineRule="exact"/>
        <w:ind w:firstLine="480" w:firstLineChars="20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66"/>
      <w:bookmarkEnd w:id="67"/>
      <w:bookmarkEnd w:id="68"/>
      <w:bookmarkEnd w:id="69"/>
      <w:bookmarkEnd w:id="70"/>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outlineLvl w:val="0"/>
        <w:rPr>
          <w:rFonts w:ascii="仿宋" w:hAnsi="仿宋" w:eastAsia="仿宋" w:cs="仿宋"/>
          <w:bCs/>
          <w:sz w:val="24"/>
          <w:highlight w:val="none"/>
        </w:rPr>
      </w:pPr>
      <w:bookmarkStart w:id="71" w:name="_Toc5698"/>
      <w:bookmarkStart w:id="72" w:name="_Toc24662"/>
      <w:bookmarkStart w:id="73" w:name="_Toc3079"/>
      <w:bookmarkStart w:id="74" w:name="_Toc2375"/>
      <w:bookmarkStart w:id="75" w:name="_Toc8586"/>
      <w:r>
        <w:rPr>
          <w:rFonts w:hint="eastAsia" w:ascii="仿宋" w:hAnsi="仿宋" w:eastAsia="仿宋" w:cs="仿宋"/>
          <w:bCs/>
          <w:sz w:val="24"/>
          <w:highlight w:val="none"/>
        </w:rPr>
        <w:t>1.7.4若服务涉及货物的，则货物的：</w:t>
      </w:r>
    </w:p>
    <w:p>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440" w:lineRule="exact"/>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71"/>
      <w:bookmarkEnd w:id="72"/>
      <w:bookmarkEnd w:id="73"/>
      <w:bookmarkEnd w:id="74"/>
      <w:bookmarkEnd w:id="75"/>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sz w:val="24"/>
          <w:highlight w:val="none"/>
        </w:rPr>
      </w:pPr>
      <w:bookmarkStart w:id="76" w:name="_Toc9497"/>
      <w:bookmarkStart w:id="77" w:name="_Toc32454"/>
      <w:bookmarkStart w:id="78" w:name="_Toc18683"/>
      <w:bookmarkStart w:id="79" w:name="_Toc30329"/>
      <w:bookmarkStart w:id="80" w:name="_Toc2680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76"/>
    <w:bookmarkEnd w:id="77"/>
    <w:bookmarkEnd w:id="78"/>
    <w:bookmarkEnd w:id="79"/>
    <w:bookmarkEnd w:id="80"/>
    <w:p>
      <w:pPr>
        <w:spacing w:line="440" w:lineRule="exact"/>
        <w:ind w:firstLine="482" w:firstLineChars="200"/>
        <w:outlineLvl w:val="0"/>
        <w:rPr>
          <w:rFonts w:ascii="仿宋" w:hAnsi="仿宋" w:eastAsia="仿宋" w:cs="仿宋"/>
          <w:b/>
          <w:sz w:val="24"/>
          <w:highlight w:val="none"/>
        </w:rPr>
      </w:pPr>
      <w:bookmarkStart w:id="81" w:name="_Toc16021"/>
      <w:bookmarkStart w:id="82" w:name="_Toc15583"/>
      <w:bookmarkStart w:id="83" w:name="_Toc28375"/>
      <w:r>
        <w:rPr>
          <w:rFonts w:hint="eastAsia" w:ascii="仿宋" w:hAnsi="仿宋" w:eastAsia="仿宋" w:cs="仿宋"/>
          <w:b/>
          <w:sz w:val="24"/>
          <w:highlight w:val="none"/>
        </w:rPr>
        <w:t>1.9合同争议的解决</w:t>
      </w:r>
      <w:bookmarkEnd w:id="81"/>
      <w:bookmarkEnd w:id="82"/>
      <w:bookmarkEnd w:id="83"/>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440" w:lineRule="exact"/>
        <w:ind w:firstLine="482" w:firstLineChars="200"/>
        <w:outlineLvl w:val="0"/>
        <w:rPr>
          <w:rFonts w:ascii="仿宋" w:hAnsi="仿宋" w:eastAsia="仿宋" w:cs="仿宋"/>
          <w:b/>
          <w:sz w:val="24"/>
          <w:highlight w:val="none"/>
        </w:rPr>
      </w:pPr>
      <w:bookmarkStart w:id="84" w:name="_Toc15322"/>
      <w:bookmarkStart w:id="85" w:name="_Toc7245"/>
      <w:bookmarkStart w:id="86" w:name="_Toc11173"/>
      <w:r>
        <w:rPr>
          <w:rFonts w:hint="eastAsia" w:ascii="仿宋" w:hAnsi="仿宋" w:eastAsia="仿宋" w:cs="仿宋"/>
          <w:b/>
          <w:sz w:val="24"/>
          <w:highlight w:val="none"/>
        </w:rPr>
        <w:t>2.0 合同生效</w:t>
      </w:r>
      <w:bookmarkEnd w:id="84"/>
      <w:bookmarkEnd w:id="85"/>
      <w:bookmarkEnd w:id="86"/>
    </w:p>
    <w:p>
      <w:pPr>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440" w:lineRule="exact"/>
        <w:rPr>
          <w:rFonts w:ascii="仿宋" w:hAnsi="仿宋" w:eastAsia="仿宋" w:cs="仿宋"/>
          <w:sz w:val="24"/>
          <w:highlight w:val="none"/>
        </w:rPr>
      </w:pPr>
      <w:r>
        <w:rPr>
          <w:rFonts w:hint="eastAsia" w:ascii="仿宋" w:hAnsi="仿宋" w:eastAsia="仿宋" w:cs="仿宋"/>
          <w:sz w:val="24"/>
          <w:highlight w:val="none"/>
        </w:rPr>
        <w:t>开户账号：开户账号：</w:t>
      </w:r>
    </w:p>
    <w:p>
      <w:pPr>
        <w:widowControl/>
        <w:adjustRightInd/>
        <w:jc w:val="left"/>
        <w:rPr>
          <w:rFonts w:ascii="仿宋" w:hAnsi="仿宋" w:eastAsia="仿宋" w:cs="仿宋"/>
          <w:b/>
          <w:sz w:val="24"/>
          <w:highlight w:val="none"/>
        </w:rPr>
      </w:pPr>
      <w:r>
        <w:rPr>
          <w:rFonts w:hint="eastAsia" w:ascii="仿宋" w:hAnsi="仿宋" w:eastAsia="仿宋" w:cs="仿宋"/>
          <w:b/>
          <w:highlight w:val="none"/>
        </w:rPr>
        <w:br w:type="page"/>
      </w:r>
    </w:p>
    <w:p>
      <w:pPr>
        <w:pStyle w:val="702"/>
        <w:spacing w:line="560" w:lineRule="exact"/>
        <w:ind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ascii="仿宋" w:hAnsi="仿宋" w:eastAsia="仿宋" w:cs="仿宋"/>
          <w:b/>
          <w:sz w:val="24"/>
          <w:highlight w:val="none"/>
        </w:rPr>
      </w:pPr>
      <w:bookmarkStart w:id="87" w:name="_Toc25079"/>
      <w:bookmarkStart w:id="88" w:name="_Toc5228"/>
      <w:bookmarkStart w:id="89" w:name="_Toc14021"/>
      <w:bookmarkStart w:id="90" w:name="_Toc19680"/>
      <w:bookmarkStart w:id="91" w:name="_Toc31297"/>
      <w:r>
        <w:rPr>
          <w:rFonts w:hint="eastAsia" w:ascii="仿宋" w:hAnsi="仿宋" w:eastAsia="仿宋" w:cs="仿宋"/>
          <w:b/>
          <w:sz w:val="24"/>
          <w:highlight w:val="none"/>
        </w:rPr>
        <w:t>2.1 定义</w:t>
      </w:r>
      <w:bookmarkEnd w:id="87"/>
      <w:bookmarkEnd w:id="88"/>
      <w:bookmarkEnd w:id="89"/>
      <w:bookmarkEnd w:id="90"/>
      <w:bookmarkEnd w:id="9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560" w:lineRule="exact"/>
        <w:ind w:firstLine="482" w:firstLineChars="200"/>
        <w:outlineLvl w:val="0"/>
        <w:rPr>
          <w:rFonts w:ascii="仿宋" w:hAnsi="仿宋" w:eastAsia="仿宋" w:cs="仿宋"/>
          <w:b/>
          <w:sz w:val="24"/>
          <w:highlight w:val="none"/>
        </w:rPr>
      </w:pPr>
      <w:bookmarkStart w:id="92" w:name="_Toc19539"/>
      <w:bookmarkStart w:id="93" w:name="_Toc31402"/>
      <w:bookmarkStart w:id="94" w:name="_Toc3769"/>
      <w:bookmarkStart w:id="95" w:name="_Toc16752"/>
      <w:bookmarkStart w:id="96" w:name="_Toc23289"/>
      <w:r>
        <w:rPr>
          <w:rFonts w:hint="eastAsia" w:ascii="仿宋" w:hAnsi="仿宋" w:eastAsia="仿宋" w:cs="仿宋"/>
          <w:b/>
          <w:sz w:val="24"/>
          <w:highlight w:val="none"/>
        </w:rPr>
        <w:t>2.2 技术规范</w:t>
      </w:r>
      <w:bookmarkEnd w:id="92"/>
      <w:bookmarkEnd w:id="93"/>
      <w:bookmarkEnd w:id="94"/>
      <w:bookmarkEnd w:id="95"/>
      <w:bookmarkEnd w:id="9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highlight w:val="none"/>
        </w:rPr>
      </w:pPr>
      <w:bookmarkStart w:id="97" w:name="_Toc13673"/>
      <w:bookmarkStart w:id="98" w:name="_Toc9161"/>
      <w:bookmarkStart w:id="99" w:name="_Toc27945"/>
      <w:bookmarkStart w:id="100" w:name="_Toc12412"/>
      <w:bookmarkStart w:id="101" w:name="_Toc4133"/>
      <w:r>
        <w:rPr>
          <w:rFonts w:hint="eastAsia" w:ascii="仿宋" w:hAnsi="仿宋" w:eastAsia="仿宋" w:cs="仿宋"/>
          <w:b/>
          <w:sz w:val="24"/>
          <w:highlight w:val="none"/>
        </w:rPr>
        <w:t>2.3 知识产权</w:t>
      </w:r>
      <w:bookmarkEnd w:id="97"/>
      <w:bookmarkEnd w:id="98"/>
      <w:bookmarkEnd w:id="99"/>
      <w:bookmarkEnd w:id="100"/>
      <w:bookmarkEnd w:id="10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sz w:val="24"/>
          <w:highlight w:val="none"/>
        </w:rPr>
      </w:pPr>
      <w:bookmarkStart w:id="102" w:name="_Toc26555"/>
      <w:bookmarkStart w:id="103" w:name="_Toc32670"/>
      <w:bookmarkStart w:id="104" w:name="_Toc15447"/>
      <w:bookmarkStart w:id="105" w:name="_Toc31233"/>
      <w:bookmarkStart w:id="106" w:name="_Toc22011"/>
      <w:r>
        <w:rPr>
          <w:rFonts w:hint="eastAsia" w:ascii="仿宋" w:hAnsi="仿宋" w:eastAsia="仿宋" w:cs="仿宋"/>
          <w:b/>
          <w:sz w:val="24"/>
          <w:highlight w:val="none"/>
        </w:rPr>
        <w:t>2.5 结算方式和付款条件</w:t>
      </w:r>
      <w:bookmarkEnd w:id="102"/>
      <w:bookmarkEnd w:id="103"/>
      <w:bookmarkEnd w:id="104"/>
      <w:bookmarkEnd w:id="105"/>
      <w:bookmarkEnd w:id="106"/>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ascii="仿宋" w:hAnsi="仿宋" w:eastAsia="仿宋" w:cs="仿宋"/>
          <w:b/>
          <w:sz w:val="24"/>
          <w:highlight w:val="none"/>
        </w:rPr>
      </w:pPr>
      <w:bookmarkStart w:id="107" w:name="_Toc13154"/>
      <w:bookmarkStart w:id="108" w:name="_Toc16163"/>
      <w:bookmarkStart w:id="109" w:name="_Toc30507"/>
      <w:bookmarkStart w:id="110" w:name="_Toc18990"/>
      <w:bookmarkStart w:id="111" w:name="_Toc13467"/>
      <w:r>
        <w:rPr>
          <w:rFonts w:hint="eastAsia" w:ascii="仿宋" w:hAnsi="仿宋" w:eastAsia="仿宋" w:cs="仿宋"/>
          <w:b/>
          <w:sz w:val="24"/>
          <w:highlight w:val="none"/>
        </w:rPr>
        <w:t>2.6 技术资料和保密义务</w:t>
      </w:r>
      <w:bookmarkEnd w:id="107"/>
      <w:bookmarkEnd w:id="108"/>
      <w:bookmarkEnd w:id="109"/>
      <w:bookmarkEnd w:id="110"/>
      <w:bookmarkEnd w:id="11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highlight w:val="none"/>
        </w:rPr>
      </w:pPr>
      <w:bookmarkStart w:id="112" w:name="_Toc19069"/>
      <w:r>
        <w:rPr>
          <w:rFonts w:hint="eastAsia" w:ascii="仿宋" w:hAnsi="仿宋" w:eastAsia="仿宋" w:cs="仿宋"/>
          <w:b/>
          <w:sz w:val="24"/>
          <w:highlight w:val="none"/>
        </w:rPr>
        <w:t>2.7 质量保证</w:t>
      </w:r>
      <w:bookmarkEnd w:id="11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highlight w:val="none"/>
        </w:rPr>
      </w:pPr>
      <w:bookmarkStart w:id="113" w:name="_Toc22267"/>
      <w:r>
        <w:rPr>
          <w:rFonts w:hint="eastAsia" w:ascii="仿宋" w:hAnsi="仿宋" w:eastAsia="仿宋" w:cs="仿宋"/>
          <w:b/>
          <w:sz w:val="24"/>
          <w:highlight w:val="none"/>
        </w:rPr>
        <w:t>2.8 延迟履行</w:t>
      </w:r>
      <w:bookmarkEnd w:id="113"/>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sz w:val="24"/>
          <w:highlight w:val="none"/>
        </w:rPr>
      </w:pPr>
      <w:bookmarkStart w:id="114" w:name="_Toc10611"/>
      <w:r>
        <w:rPr>
          <w:rFonts w:hint="eastAsia" w:ascii="仿宋" w:hAnsi="仿宋" w:eastAsia="仿宋" w:cs="仿宋"/>
          <w:b/>
          <w:sz w:val="24"/>
          <w:highlight w:val="none"/>
        </w:rPr>
        <w:t>2.9 合同变更</w:t>
      </w:r>
      <w:bookmarkEnd w:id="11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15" w:name="_Toc23368"/>
      <w:bookmarkStart w:id="116" w:name="_Toc10663"/>
      <w:bookmarkStart w:id="117" w:name="_Toc42"/>
      <w:bookmarkStart w:id="118" w:name="_Toc21830"/>
      <w:bookmarkStart w:id="119" w:name="_Toc26689"/>
      <w:r>
        <w:rPr>
          <w:rFonts w:hint="eastAsia" w:ascii="仿宋" w:hAnsi="仿宋" w:eastAsia="仿宋" w:cs="仿宋"/>
          <w:b/>
          <w:sz w:val="24"/>
          <w:highlight w:val="none"/>
        </w:rPr>
        <w:t>2.10 合同转让和分包</w:t>
      </w:r>
      <w:bookmarkEnd w:id="115"/>
      <w:bookmarkEnd w:id="116"/>
      <w:bookmarkEnd w:id="117"/>
      <w:bookmarkEnd w:id="118"/>
      <w:bookmarkEnd w:id="11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sz w:val="24"/>
          <w:highlight w:val="none"/>
        </w:rPr>
      </w:pPr>
      <w:bookmarkStart w:id="120" w:name="_Toc4720"/>
      <w:bookmarkStart w:id="121" w:name="_Toc26633"/>
      <w:bookmarkStart w:id="122" w:name="_Toc14371"/>
      <w:bookmarkStart w:id="123" w:name="_Toc32494"/>
      <w:bookmarkStart w:id="124" w:name="_Toc25571"/>
      <w:r>
        <w:rPr>
          <w:rFonts w:hint="eastAsia" w:ascii="仿宋" w:hAnsi="仿宋" w:eastAsia="仿宋" w:cs="仿宋"/>
          <w:b/>
          <w:sz w:val="24"/>
          <w:highlight w:val="none"/>
        </w:rPr>
        <w:t>2.11 不可抗力</w:t>
      </w:r>
      <w:bookmarkEnd w:id="120"/>
      <w:bookmarkEnd w:id="121"/>
      <w:bookmarkEnd w:id="122"/>
      <w:bookmarkEnd w:id="123"/>
      <w:bookmarkEnd w:id="12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sz w:val="24"/>
          <w:highlight w:val="none"/>
        </w:rPr>
      </w:pPr>
      <w:bookmarkStart w:id="125" w:name="_Toc24465"/>
      <w:bookmarkStart w:id="126" w:name="_Toc23854"/>
      <w:bookmarkStart w:id="127" w:name="_Toc3638"/>
      <w:bookmarkStart w:id="128" w:name="_Toc14115"/>
      <w:bookmarkStart w:id="129" w:name="_Toc25783"/>
      <w:r>
        <w:rPr>
          <w:rFonts w:hint="eastAsia" w:ascii="仿宋" w:hAnsi="仿宋" w:eastAsia="仿宋" w:cs="仿宋"/>
          <w:b/>
          <w:sz w:val="24"/>
          <w:highlight w:val="none"/>
        </w:rPr>
        <w:t>2.12 税费</w:t>
      </w:r>
      <w:bookmarkEnd w:id="125"/>
      <w:bookmarkEnd w:id="126"/>
      <w:bookmarkEnd w:id="127"/>
      <w:bookmarkEnd w:id="128"/>
      <w:bookmarkEnd w:id="129"/>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sz w:val="24"/>
          <w:highlight w:val="none"/>
        </w:rPr>
      </w:pPr>
      <w:bookmarkStart w:id="130" w:name="_Toc14814"/>
      <w:bookmarkStart w:id="131" w:name="_Toc26883"/>
      <w:bookmarkStart w:id="132" w:name="_Toc7315"/>
      <w:bookmarkStart w:id="133" w:name="_Toc25525"/>
      <w:bookmarkStart w:id="134" w:name="_Toc30105"/>
      <w:r>
        <w:rPr>
          <w:rFonts w:hint="eastAsia" w:ascii="仿宋" w:hAnsi="仿宋" w:eastAsia="仿宋" w:cs="仿宋"/>
          <w:b/>
          <w:sz w:val="24"/>
          <w:highlight w:val="none"/>
        </w:rPr>
        <w:t>2.13 乙方破产</w:t>
      </w:r>
      <w:bookmarkEnd w:id="130"/>
      <w:bookmarkEnd w:id="131"/>
      <w:bookmarkEnd w:id="132"/>
      <w:bookmarkEnd w:id="133"/>
      <w:bookmarkEnd w:id="134"/>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highlight w:val="none"/>
        </w:rPr>
      </w:pPr>
      <w:bookmarkStart w:id="135" w:name="_Toc1123"/>
      <w:bookmarkStart w:id="136" w:name="_Toc23323"/>
      <w:bookmarkStart w:id="137" w:name="_Toc2016"/>
      <w:r>
        <w:rPr>
          <w:rFonts w:hint="eastAsia" w:ascii="仿宋" w:hAnsi="仿宋" w:eastAsia="仿宋" w:cs="仿宋"/>
          <w:b/>
          <w:sz w:val="24"/>
          <w:highlight w:val="none"/>
        </w:rPr>
        <w:t>2.14 合同中止、终止</w:t>
      </w:r>
      <w:bookmarkEnd w:id="135"/>
      <w:bookmarkEnd w:id="136"/>
      <w:bookmarkEnd w:id="137"/>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highlight w:val="none"/>
        </w:rPr>
      </w:pPr>
      <w:bookmarkStart w:id="138" w:name="_Toc14525"/>
      <w:bookmarkStart w:id="139" w:name="_Toc17363"/>
      <w:bookmarkStart w:id="140" w:name="_Toc1969"/>
      <w:r>
        <w:rPr>
          <w:rFonts w:hint="eastAsia" w:ascii="仿宋" w:hAnsi="仿宋" w:eastAsia="仿宋" w:cs="仿宋"/>
          <w:b/>
          <w:sz w:val="24"/>
          <w:highlight w:val="none"/>
        </w:rPr>
        <w:t>2.15 检验和验收</w:t>
      </w:r>
      <w:bookmarkEnd w:id="138"/>
      <w:bookmarkEnd w:id="139"/>
      <w:bookmarkEnd w:id="140"/>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560" w:lineRule="exact"/>
        <w:ind w:firstLine="482" w:firstLineChars="200"/>
        <w:outlineLvl w:val="0"/>
        <w:rPr>
          <w:rFonts w:ascii="仿宋" w:hAnsi="仿宋" w:eastAsia="仿宋" w:cs="仿宋"/>
          <w:b/>
          <w:sz w:val="24"/>
          <w:highlight w:val="none"/>
        </w:rPr>
      </w:pPr>
      <w:bookmarkStart w:id="141" w:name="_Toc9808"/>
      <w:bookmarkStart w:id="142" w:name="_Toc25198"/>
      <w:bookmarkStart w:id="143" w:name="_Toc31892"/>
      <w:bookmarkStart w:id="144" w:name="_Toc12666"/>
      <w:bookmarkStart w:id="145" w:name="_Toc2308"/>
      <w:r>
        <w:rPr>
          <w:rFonts w:hint="eastAsia" w:ascii="仿宋" w:hAnsi="仿宋" w:eastAsia="仿宋" w:cs="仿宋"/>
          <w:b/>
          <w:sz w:val="24"/>
          <w:highlight w:val="none"/>
        </w:rPr>
        <w:t>2.16 通知和送达</w:t>
      </w:r>
      <w:bookmarkEnd w:id="141"/>
      <w:bookmarkEnd w:id="142"/>
      <w:bookmarkEnd w:id="143"/>
      <w:bookmarkEnd w:id="144"/>
      <w:bookmarkEnd w:id="145"/>
    </w:p>
    <w:p>
      <w:pPr>
        <w:spacing w:line="560" w:lineRule="exact"/>
        <w:ind w:firstLine="480" w:firstLineChars="200"/>
        <w:rPr>
          <w:rFonts w:ascii="仿宋" w:hAnsi="仿宋" w:eastAsia="仿宋" w:cs="仿宋"/>
          <w:sz w:val="24"/>
          <w:highlight w:val="none"/>
        </w:rPr>
      </w:pPr>
      <w:bookmarkStart w:id="146" w:name="_Toc18401"/>
      <w:bookmarkStart w:id="147" w:name="_Toc27674"/>
      <w:r>
        <w:rPr>
          <w:rFonts w:hint="eastAsia" w:ascii="仿宋" w:hAnsi="仿宋" w:eastAsia="仿宋" w:cs="仿宋"/>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 w:hAnsi="仿宋" w:eastAsia="仿宋" w:cs="仿宋"/>
          <w:b/>
          <w:sz w:val="24"/>
          <w:highlight w:val="none"/>
        </w:rPr>
      </w:pPr>
      <w:bookmarkStart w:id="148" w:name="_Toc5063"/>
      <w:bookmarkStart w:id="149" w:name="_Toc28906"/>
      <w:bookmarkStart w:id="150" w:name="_Toc20808"/>
      <w:bookmarkStart w:id="151" w:name="_Toc12254"/>
      <w:bookmarkStart w:id="152" w:name="_Toc27644"/>
      <w:r>
        <w:rPr>
          <w:rFonts w:hint="eastAsia" w:ascii="仿宋" w:hAnsi="仿宋" w:eastAsia="仿宋" w:cs="仿宋"/>
          <w:b/>
          <w:sz w:val="24"/>
          <w:highlight w:val="none"/>
        </w:rPr>
        <w:t>2.17 合同使用的文字和适用的法律</w:t>
      </w:r>
      <w:bookmarkEnd w:id="148"/>
      <w:bookmarkEnd w:id="149"/>
      <w:bookmarkEnd w:id="150"/>
      <w:bookmarkEnd w:id="151"/>
      <w:bookmarkEnd w:id="152"/>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560" w:lineRule="exact"/>
        <w:ind w:firstLine="482" w:firstLineChars="200"/>
        <w:outlineLvl w:val="0"/>
        <w:rPr>
          <w:rFonts w:ascii="仿宋" w:hAnsi="仿宋" w:eastAsia="仿宋" w:cs="仿宋"/>
          <w:b/>
          <w:sz w:val="24"/>
          <w:highlight w:val="none"/>
        </w:rPr>
      </w:pPr>
      <w:bookmarkStart w:id="153" w:name="_Toc4355"/>
      <w:bookmarkStart w:id="154" w:name="_Toc30599"/>
      <w:bookmarkStart w:id="155" w:name="_Toc18540"/>
      <w:r>
        <w:rPr>
          <w:rFonts w:hint="eastAsia" w:ascii="仿宋" w:hAnsi="仿宋" w:eastAsia="仿宋" w:cs="仿宋"/>
          <w:b/>
          <w:sz w:val="24"/>
          <w:highlight w:val="none"/>
        </w:rPr>
        <w:t>2.18 计量单位</w:t>
      </w:r>
      <w:bookmarkEnd w:id="153"/>
      <w:bookmarkEnd w:id="154"/>
      <w:bookmarkEnd w:id="155"/>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highlight w:val="none"/>
        </w:rPr>
      </w:pPr>
      <w:bookmarkStart w:id="156" w:name="_Toc487900373"/>
      <w:bookmarkStart w:id="157" w:name="_Toc279701263"/>
      <w:bookmarkStart w:id="158" w:name="_Toc10330"/>
      <w:bookmarkStart w:id="159" w:name="_Toc18567"/>
      <w:bookmarkStart w:id="160" w:name="_Toc12773"/>
      <w:bookmarkStart w:id="161" w:name="_Toc259093692"/>
      <w:r>
        <w:rPr>
          <w:rFonts w:hint="eastAsia" w:ascii="仿宋" w:hAnsi="仿宋" w:eastAsia="仿宋" w:cs="仿宋"/>
          <w:b/>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2.20合同份数</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440" w:lineRule="atLeast"/>
        <w:ind w:firstLine="420" w:firstLineChars="200"/>
        <w:jc w:val="center"/>
        <w:outlineLvl w:val="0"/>
        <w:rPr>
          <w:rFonts w:ascii="仿宋" w:hAnsi="仿宋" w:eastAsia="仿宋" w:cs="仿宋"/>
          <w:b/>
          <w:sz w:val="24"/>
          <w:highlight w:val="none"/>
        </w:rPr>
      </w:pPr>
      <w:r>
        <w:rPr>
          <w:rFonts w:hint="eastAsia" w:ascii="仿宋" w:hAnsi="仿宋" w:eastAsia="仿宋" w:cs="仿宋"/>
          <w:kern w:val="0"/>
          <w:highlight w:val="none"/>
        </w:rPr>
        <w:br w:type="page"/>
      </w:r>
      <w:bookmarkStart w:id="162" w:name="_Toc331685784"/>
      <w:bookmarkEnd w:id="162"/>
      <w:r>
        <w:rPr>
          <w:rFonts w:hint="eastAsia" w:ascii="仿宋" w:hAnsi="仿宋" w:eastAsia="仿宋" w:cs="仿宋"/>
          <w:b/>
          <w:sz w:val="24"/>
          <w:highlight w:val="none"/>
        </w:rPr>
        <w:t>第三部分  合同专用条款</w:t>
      </w:r>
    </w:p>
    <w:p>
      <w:pPr>
        <w:spacing w:line="440" w:lineRule="atLeast"/>
        <w:ind w:left="-420" w:leftChars="-200" w:right="-420" w:rightChars="-200"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1.9.2</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pPr>
              <w:spacing w:line="360"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sz w:val="24"/>
                <w:highlight w:val="none"/>
              </w:rPr>
            </w:pPr>
            <w:r>
              <w:rPr>
                <w:rFonts w:hint="eastAsia" w:ascii="仿宋" w:hAnsi="仿宋" w:eastAsia="仿宋" w:cs="仿宋"/>
                <w:sz w:val="24"/>
                <w:highlight w:val="none"/>
              </w:rPr>
              <w:t>2.19</w:t>
            </w:r>
          </w:p>
        </w:tc>
        <w:tc>
          <w:tcPr>
            <w:tcW w:w="8149" w:type="dxa"/>
          </w:tcPr>
          <w:p>
            <w:pPr>
              <w:spacing w:line="360" w:lineRule="auto"/>
              <w:rPr>
                <w:rFonts w:ascii="仿宋" w:hAnsi="仿宋" w:eastAsia="仿宋" w:cs="仿宋"/>
                <w:sz w:val="24"/>
                <w:highlight w:val="none"/>
              </w:rPr>
            </w:pPr>
          </w:p>
        </w:tc>
      </w:tr>
    </w:tbl>
    <w:p>
      <w:pPr>
        <w:spacing w:line="360" w:lineRule="auto"/>
        <w:ind w:left="-420" w:leftChars="-200" w:right="-420" w:rightChars="-200" w:firstLine="480" w:firstLineChars="200"/>
        <w:rPr>
          <w:rFonts w:ascii="仿宋" w:hAnsi="仿宋" w:eastAsia="仿宋" w:cs="仿宋"/>
          <w:sz w:val="24"/>
          <w:highlight w:val="none"/>
        </w:rPr>
      </w:pPr>
    </w:p>
    <w:p>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90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10</w:t>
      </w:r>
      <w:r>
        <w:rPr>
          <w:rFonts w:hint="eastAsia" w:ascii="仿宋" w:hAnsi="仿宋" w:eastAsia="仿宋" w:cs="仿宋"/>
          <w:sz w:val="24"/>
          <w:highlight w:val="none"/>
        </w:rPr>
        <w:t>分。评分依下述所列为评标打分依据，分值如下（计算分值时，按其算术平均值保留小数2位）。</w:t>
      </w:r>
    </w:p>
    <w:p>
      <w:pPr>
        <w:spacing w:line="440" w:lineRule="exact"/>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9</w:t>
      </w:r>
      <w:r>
        <w:rPr>
          <w:rFonts w:hint="eastAsia" w:ascii="仿宋" w:hAnsi="仿宋" w:eastAsia="仿宋" w:cs="仿宋"/>
          <w:b/>
          <w:bCs/>
          <w:iCs/>
          <w:sz w:val="24"/>
          <w:highlight w:val="none"/>
          <w:u w:val="single"/>
        </w:rPr>
        <w:t>0</w:t>
      </w:r>
      <w:r>
        <w:rPr>
          <w:rFonts w:hint="eastAsia" w:ascii="仿宋" w:hAnsi="仿宋" w:eastAsia="仿宋" w:cs="仿宋"/>
          <w:b/>
          <w:bCs/>
          <w:iCs/>
          <w:sz w:val="24"/>
          <w:highlight w:val="none"/>
        </w:rPr>
        <w:t>分）</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0"/>
          <w:szCs w:val="20"/>
          <w:highlight w:val="none"/>
          <w:shd w:val="clear" w:color="auto" w:fill="FFFFFF"/>
        </w:rPr>
        <w:t> </w:t>
      </w:r>
    </w:p>
    <w:tbl>
      <w:tblPr>
        <w:tblStyle w:val="63"/>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09"/>
        <w:gridCol w:w="7695"/>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25"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809"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评分项目</w:t>
            </w:r>
          </w:p>
        </w:tc>
        <w:tc>
          <w:tcPr>
            <w:tcW w:w="7695"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评分标准</w:t>
            </w:r>
          </w:p>
        </w:tc>
        <w:tc>
          <w:tcPr>
            <w:tcW w:w="710" w:type="dxa"/>
            <w:vAlign w:val="center"/>
          </w:tcPr>
          <w:p>
            <w:pPr>
              <w:spacing w:line="360" w:lineRule="auto"/>
              <w:jc w:val="center"/>
              <w:rPr>
                <w:rFonts w:ascii="仿宋" w:hAnsi="仿宋" w:eastAsia="仿宋" w:cs="仿宋"/>
                <w:sz w:val="24"/>
                <w:highlight w:val="none"/>
              </w:rPr>
            </w:pPr>
            <w:r>
              <w:rPr>
                <w:rFonts w:hint="eastAsia" w:ascii="仿宋" w:hAnsi="仿宋" w:eastAsia="仿宋" w:cs="仿宋"/>
                <w:b/>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restart"/>
            <w:vAlign w:val="center"/>
          </w:tcPr>
          <w:p>
            <w:pPr>
              <w:spacing w:line="360" w:lineRule="auto"/>
              <w:jc w:val="left"/>
              <w:rPr>
                <w:rFonts w:ascii="仿宋" w:hAnsi="仿宋" w:eastAsia="仿宋" w:cs="仿宋"/>
                <w:sz w:val="24"/>
                <w:highlight w:val="none"/>
              </w:rPr>
            </w:pPr>
            <w:r>
              <w:rPr>
                <w:rFonts w:hint="eastAsia" w:ascii="仿宋" w:hAnsi="仿宋" w:eastAsia="仿宋" w:cs="仿宋"/>
                <w:sz w:val="24"/>
                <w:highlight w:val="none"/>
              </w:rPr>
              <w:t>1</w:t>
            </w:r>
          </w:p>
        </w:tc>
        <w:tc>
          <w:tcPr>
            <w:tcW w:w="809" w:type="dxa"/>
            <w:vMerge w:val="restart"/>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荣誉与团队实力</w:t>
            </w:r>
          </w:p>
        </w:tc>
        <w:tc>
          <w:tcPr>
            <w:tcW w:w="7695" w:type="dxa"/>
            <w:vAlign w:val="center"/>
          </w:tcPr>
          <w:p>
            <w:pPr>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根据投标人自</w:t>
            </w:r>
            <w:r>
              <w:rPr>
                <w:rFonts w:hint="eastAsia" w:ascii="仿宋" w:hAnsi="仿宋" w:eastAsia="仿宋" w:cs="仿宋"/>
                <w:sz w:val="24"/>
                <w:highlight w:val="none"/>
                <w:lang w:val="en-US" w:eastAsia="zh-CN"/>
              </w:rPr>
              <w:t>2020</w:t>
            </w:r>
            <w:r>
              <w:rPr>
                <w:rFonts w:hint="eastAsia" w:ascii="仿宋" w:hAnsi="仿宋" w:eastAsia="仿宋" w:cs="仿宋"/>
                <w:sz w:val="24"/>
                <w:highlight w:val="none"/>
              </w:rPr>
              <w:t>年1月1日</w:t>
            </w:r>
            <w:r>
              <w:rPr>
                <w:rFonts w:hint="eastAsia" w:ascii="仿宋" w:hAnsi="仿宋" w:eastAsia="仿宋" w:cs="仿宋"/>
                <w:sz w:val="24"/>
                <w:highlight w:val="none"/>
                <w:lang w:eastAsia="zh-CN"/>
              </w:rPr>
              <w:t>（以获奖证书或文件签发的时间为</w:t>
            </w:r>
            <w:r>
              <w:rPr>
                <w:rFonts w:hint="eastAsia" w:ascii="仿宋" w:hAnsi="仿宋" w:eastAsia="仿宋" w:cs="仿宋"/>
                <w:sz w:val="24"/>
                <w:highlight w:val="none"/>
                <w:lang w:val="en-US" w:eastAsia="zh-CN"/>
              </w:rPr>
              <w:t>准</w:t>
            </w:r>
            <w:r>
              <w:rPr>
                <w:rFonts w:hint="eastAsia" w:ascii="仿宋" w:hAnsi="仿宋" w:eastAsia="仿宋" w:cs="仿宋"/>
                <w:sz w:val="24"/>
                <w:highlight w:val="none"/>
                <w:lang w:eastAsia="zh-CN"/>
              </w:rPr>
              <w:t>）</w:t>
            </w:r>
            <w:r>
              <w:rPr>
                <w:rFonts w:hint="eastAsia" w:ascii="仿宋" w:hAnsi="仿宋" w:eastAsia="仿宋" w:cs="仿宋"/>
                <w:sz w:val="24"/>
                <w:highlight w:val="none"/>
              </w:rPr>
              <w:t>起，承接过的项目获得过</w:t>
            </w:r>
            <w:r>
              <w:rPr>
                <w:rFonts w:hint="eastAsia" w:ascii="仿宋" w:hAnsi="仿宋" w:eastAsia="仿宋" w:cs="仿宋"/>
                <w:sz w:val="24"/>
                <w:highlight w:val="none"/>
                <w:lang w:val="en-US" w:eastAsia="zh-CN"/>
              </w:rPr>
              <w:t>规划设计类</w:t>
            </w:r>
            <w:r>
              <w:rPr>
                <w:rFonts w:hint="eastAsia" w:ascii="仿宋" w:hAnsi="仿宋" w:eastAsia="仿宋" w:cs="仿宋"/>
                <w:sz w:val="24"/>
                <w:highlight w:val="none"/>
              </w:rPr>
              <w:t>奖项的（</w:t>
            </w:r>
            <w:r>
              <w:rPr>
                <w:rFonts w:hint="eastAsia" w:ascii="仿宋" w:hAnsi="仿宋" w:eastAsia="仿宋" w:cs="仿宋"/>
                <w:sz w:val="24"/>
                <w:highlight w:val="none"/>
                <w:lang w:val="en-US" w:eastAsia="zh-CN"/>
              </w:rPr>
              <w:t>国家级奖项的每个得2分，</w:t>
            </w:r>
            <w:r>
              <w:rPr>
                <w:rFonts w:hint="eastAsia" w:ascii="仿宋" w:hAnsi="仿宋" w:eastAsia="仿宋" w:cs="仿宋"/>
                <w:sz w:val="24"/>
                <w:highlight w:val="none"/>
              </w:rPr>
              <w:t>省级奖项</w:t>
            </w:r>
            <w:r>
              <w:rPr>
                <w:rFonts w:hint="eastAsia" w:ascii="仿宋" w:hAnsi="仿宋" w:eastAsia="仿宋" w:cs="仿宋"/>
                <w:sz w:val="24"/>
                <w:highlight w:val="none"/>
                <w:lang w:val="en-US" w:eastAsia="zh-CN"/>
              </w:rPr>
              <w:t>的</w:t>
            </w:r>
            <w:r>
              <w:rPr>
                <w:rFonts w:hint="eastAsia" w:ascii="仿宋" w:hAnsi="仿宋" w:eastAsia="仿宋" w:cs="仿宋"/>
                <w:sz w:val="24"/>
                <w:highlight w:val="none"/>
              </w:rPr>
              <w:t>每个得1分），分值合计不超过</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p>
          <w:p>
            <w:pPr>
              <w:spacing w:line="360" w:lineRule="auto"/>
              <w:jc w:val="left"/>
              <w:rPr>
                <w:rFonts w:ascii="仿宋" w:hAnsi="仿宋" w:eastAsia="仿宋" w:cs="仿宋"/>
                <w:b/>
                <w:sz w:val="24"/>
                <w:highlight w:val="none"/>
              </w:rPr>
            </w:pPr>
            <w:r>
              <w:rPr>
                <w:rFonts w:hint="eastAsia" w:ascii="仿宋" w:hAnsi="仿宋" w:eastAsia="仿宋" w:cs="仿宋"/>
                <w:sz w:val="24"/>
                <w:highlight w:val="none"/>
              </w:rPr>
              <w:t>【注：投标文件中提供获奖业绩合同复印件及证书复印件并加盖公章，获奖时间以获奖证书（或文件）签发的时间为依据，未提供的，则该项不得分</w:t>
            </w:r>
            <w:r>
              <w:rPr>
                <w:rFonts w:hint="eastAsia" w:ascii="仿宋" w:hAnsi="仿宋" w:eastAsia="仿宋" w:cs="仿宋"/>
                <w:b/>
                <w:bCs/>
                <w:sz w:val="24"/>
                <w:highlight w:val="none"/>
              </w:rPr>
              <w:t>。</w:t>
            </w:r>
          </w:p>
        </w:tc>
        <w:tc>
          <w:tcPr>
            <w:tcW w:w="710" w:type="dxa"/>
            <w:vAlign w:val="center"/>
          </w:tcPr>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525" w:type="dxa"/>
            <w:vMerge w:val="continue"/>
            <w:vAlign w:val="center"/>
          </w:tcPr>
          <w:p>
            <w:pPr>
              <w:spacing w:line="360" w:lineRule="auto"/>
              <w:jc w:val="left"/>
              <w:rPr>
                <w:rFonts w:ascii="仿宋" w:hAnsi="仿宋" w:eastAsia="仿宋" w:cs="仿宋"/>
                <w:sz w:val="24"/>
                <w:highlight w:val="none"/>
              </w:rPr>
            </w:pPr>
          </w:p>
        </w:tc>
        <w:tc>
          <w:tcPr>
            <w:tcW w:w="809" w:type="dxa"/>
            <w:vMerge w:val="continue"/>
            <w:vAlign w:val="center"/>
          </w:tcPr>
          <w:p>
            <w:pPr>
              <w:spacing w:line="360" w:lineRule="auto"/>
              <w:jc w:val="left"/>
              <w:rPr>
                <w:rFonts w:ascii="仿宋" w:hAnsi="仿宋" w:eastAsia="仿宋" w:cs="仿宋"/>
                <w:sz w:val="24"/>
                <w:highlight w:val="none"/>
              </w:rPr>
            </w:pPr>
          </w:p>
        </w:tc>
        <w:tc>
          <w:tcPr>
            <w:tcW w:w="7695" w:type="dxa"/>
            <w:vAlign w:val="center"/>
          </w:tcPr>
          <w:p>
            <w:pPr>
              <w:numPr>
                <w:ilvl w:val="0"/>
                <w:numId w:val="1"/>
              </w:numPr>
              <w:spacing w:line="360" w:lineRule="auto"/>
              <w:jc w:val="left"/>
              <w:rPr>
                <w:rFonts w:hint="eastAsia" w:ascii="仿宋" w:hAnsi="仿宋" w:eastAsia="仿宋" w:cs="仿宋"/>
                <w:sz w:val="24"/>
                <w:highlight w:val="none"/>
                <w:lang w:eastAsia="zh-CN"/>
              </w:rPr>
            </w:pPr>
            <w:r>
              <w:rPr>
                <w:rFonts w:hint="eastAsia" w:ascii="仿宋" w:hAnsi="仿宋" w:eastAsia="仿宋" w:cs="仿宋"/>
                <w:sz w:val="24"/>
                <w:highlight w:val="none"/>
              </w:rPr>
              <w:t>拟投入本项目团队人员中，</w:t>
            </w:r>
            <w:r>
              <w:rPr>
                <w:rFonts w:hint="eastAsia" w:ascii="仿宋" w:hAnsi="仿宋" w:eastAsia="仿宋" w:cs="仿宋"/>
                <w:sz w:val="24"/>
                <w:highlight w:val="none"/>
                <w:lang w:val="en-US" w:eastAsia="zh-CN"/>
              </w:rPr>
              <w:t>同时具备</w:t>
            </w:r>
            <w:r>
              <w:rPr>
                <w:rFonts w:hint="eastAsia" w:ascii="仿宋" w:hAnsi="仿宋" w:eastAsia="仿宋" w:cs="仿宋"/>
                <w:sz w:val="24"/>
                <w:highlight w:val="none"/>
              </w:rPr>
              <w:t>注册城市（乡）规划师</w:t>
            </w:r>
            <w:r>
              <w:rPr>
                <w:rFonts w:hint="eastAsia" w:ascii="仿宋" w:hAnsi="仿宋" w:eastAsia="仿宋" w:cs="仿宋"/>
                <w:sz w:val="24"/>
                <w:highlight w:val="none"/>
                <w:lang w:val="en-US" w:eastAsia="zh-CN"/>
              </w:rPr>
              <w:t>资格和高级及以上职称的每人得1分</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本项最高可得12分</w:t>
            </w:r>
            <w:r>
              <w:rPr>
                <w:rFonts w:hint="eastAsia" w:ascii="仿宋" w:hAnsi="仿宋" w:eastAsia="仿宋" w:cs="仿宋"/>
                <w:sz w:val="24"/>
                <w:highlight w:val="none"/>
                <w:lang w:eastAsia="zh-CN"/>
              </w:rPr>
              <w:t>。</w:t>
            </w:r>
          </w:p>
          <w:p>
            <w:pPr>
              <w:numPr>
                <w:ilvl w:val="0"/>
                <w:numId w:val="1"/>
              </w:numPr>
              <w:spacing w:line="360" w:lineRule="auto"/>
              <w:jc w:val="left"/>
              <w:rPr>
                <w:rFonts w:ascii="仿宋" w:hAnsi="仿宋" w:eastAsia="仿宋" w:cs="仿宋"/>
                <w:sz w:val="24"/>
                <w:highlight w:val="none"/>
              </w:rPr>
            </w:pPr>
            <w:r>
              <w:rPr>
                <w:rFonts w:hint="eastAsia" w:ascii="仿宋" w:hAnsi="仿宋" w:eastAsia="仿宋" w:cs="仿宋"/>
                <w:sz w:val="24"/>
                <w:highlight w:val="none"/>
              </w:rPr>
              <w:t>持有文物保护工程责任设计师证书的每人得1分</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本项</w:t>
            </w:r>
            <w:r>
              <w:rPr>
                <w:rFonts w:hint="eastAsia" w:ascii="仿宋" w:hAnsi="仿宋" w:eastAsia="仿宋" w:cs="仿宋"/>
                <w:sz w:val="24"/>
                <w:highlight w:val="none"/>
              </w:rPr>
              <w:t>最高可得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r>
              <w:rPr>
                <w:rFonts w:hint="eastAsia" w:ascii="仿宋" w:hAnsi="仿宋" w:eastAsia="仿宋" w:cs="仿宋"/>
                <w:sz w:val="24"/>
                <w:highlight w:val="none"/>
                <w:lang w:eastAsia="zh-CN"/>
              </w:rPr>
              <w:t>。</w:t>
            </w:r>
          </w:p>
          <w:p>
            <w:pPr>
              <w:spacing w:line="360" w:lineRule="auto"/>
              <w:jc w:val="left"/>
              <w:rPr>
                <w:rFonts w:ascii="仿宋" w:hAnsi="仿宋" w:eastAsia="仿宋" w:cs="仿宋"/>
                <w:b/>
                <w:bCs/>
                <w:sz w:val="24"/>
                <w:highlight w:val="none"/>
              </w:rPr>
            </w:pPr>
            <w:r>
              <w:rPr>
                <w:rFonts w:hint="eastAsia" w:ascii="仿宋" w:hAnsi="仿宋" w:eastAsia="仿宋" w:cs="仿宋"/>
                <w:b/>
                <w:bCs/>
                <w:sz w:val="24"/>
                <w:highlight w:val="none"/>
              </w:rPr>
              <w:t>需要递交的证明资料：相关人员</w:t>
            </w:r>
            <w:r>
              <w:rPr>
                <w:rFonts w:hint="eastAsia" w:ascii="仿宋" w:hAnsi="仿宋" w:eastAsia="仿宋" w:cs="仿宋"/>
                <w:b/>
                <w:bCs/>
                <w:sz w:val="24"/>
                <w:highlight w:val="none"/>
                <w:lang w:val="en-US" w:eastAsia="zh-CN"/>
              </w:rPr>
              <w:t>证书资料</w:t>
            </w:r>
            <w:r>
              <w:rPr>
                <w:rFonts w:hint="eastAsia" w:ascii="仿宋" w:hAnsi="仿宋" w:eastAsia="仿宋" w:cs="仿宋"/>
                <w:b/>
                <w:bCs/>
                <w:sz w:val="24"/>
                <w:highlight w:val="none"/>
              </w:rPr>
              <w:t>及本单位缴纳的社保证明（缴费单位和投标单位名称必须一致，并加盖社保证明专用章或电子专用章）复印件并加盖公章，否则不得分。</w:t>
            </w:r>
          </w:p>
        </w:tc>
        <w:tc>
          <w:tcPr>
            <w:tcW w:w="710"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5" w:type="dxa"/>
            <w:vAlign w:val="center"/>
          </w:tcPr>
          <w:p>
            <w:pPr>
              <w:spacing w:line="360" w:lineRule="auto"/>
              <w:jc w:val="left"/>
              <w:rPr>
                <w:rFonts w:ascii="仿宋" w:hAnsi="仿宋" w:eastAsia="仿宋" w:cs="仿宋"/>
                <w:sz w:val="24"/>
                <w:highlight w:val="none"/>
              </w:rPr>
            </w:pPr>
            <w:r>
              <w:rPr>
                <w:rFonts w:hint="eastAsia" w:ascii="仿宋" w:hAnsi="仿宋" w:eastAsia="仿宋" w:cs="仿宋"/>
                <w:sz w:val="24"/>
                <w:highlight w:val="none"/>
              </w:rPr>
              <w:t>2</w:t>
            </w:r>
          </w:p>
        </w:tc>
        <w:tc>
          <w:tcPr>
            <w:tcW w:w="809"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同类业绩</w:t>
            </w:r>
          </w:p>
        </w:tc>
        <w:tc>
          <w:tcPr>
            <w:tcW w:w="7695" w:type="dxa"/>
          </w:tcPr>
          <w:p>
            <w:pPr>
              <w:spacing w:line="360" w:lineRule="auto"/>
              <w:jc w:val="left"/>
              <w:rPr>
                <w:rFonts w:ascii="仿宋" w:hAnsi="仿宋" w:eastAsia="仿宋" w:cs="仿宋"/>
                <w:sz w:val="24"/>
                <w:highlight w:val="none"/>
              </w:rPr>
            </w:pPr>
            <w:r>
              <w:rPr>
                <w:rFonts w:hint="eastAsia" w:ascii="仿宋" w:hAnsi="仿宋" w:eastAsia="仿宋" w:cs="仿宋"/>
                <w:sz w:val="24"/>
                <w:highlight w:val="none"/>
              </w:rPr>
              <w:t>自2020年1月1日以来（以合同签订时间为准），投标人承担过同类项目的得1分，没有不得分；</w:t>
            </w:r>
          </w:p>
          <w:p>
            <w:pPr>
              <w:spacing w:line="360" w:lineRule="auto"/>
              <w:jc w:val="left"/>
              <w:rPr>
                <w:rFonts w:ascii="仿宋" w:hAnsi="仿宋" w:eastAsia="仿宋" w:cs="仿宋"/>
                <w:sz w:val="24"/>
                <w:highlight w:val="none"/>
              </w:rPr>
            </w:pPr>
            <w:r>
              <w:rPr>
                <w:rFonts w:hint="eastAsia" w:ascii="仿宋" w:hAnsi="仿宋" w:eastAsia="仿宋" w:cs="仿宋"/>
                <w:b/>
                <w:bCs/>
                <w:sz w:val="24"/>
                <w:highlight w:val="none"/>
              </w:rPr>
              <w:t>需要递交的证明资料：有效合同复印件并加盖公章，否则不得分。</w:t>
            </w:r>
          </w:p>
        </w:tc>
        <w:tc>
          <w:tcPr>
            <w:tcW w:w="710" w:type="dxa"/>
            <w:vAlign w:val="center"/>
          </w:tcPr>
          <w:p>
            <w:pPr>
              <w:spacing w:line="360" w:lineRule="auto"/>
              <w:jc w:val="center"/>
              <w:rPr>
                <w:rFonts w:ascii="仿宋" w:hAnsi="仿宋" w:eastAsia="仿宋" w:cs="仿宋"/>
                <w:sz w:val="24"/>
                <w:highlight w:val="none"/>
              </w:rPr>
            </w:pPr>
            <w:r>
              <w:rPr>
                <w:rFonts w:ascii="仿宋" w:hAnsi="仿宋" w:eastAsia="仿宋" w:cs="仿宋"/>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5" w:type="dxa"/>
            <w:vMerge w:val="restart"/>
            <w:vAlign w:val="center"/>
          </w:tcPr>
          <w:p>
            <w:pPr>
              <w:spacing w:line="360" w:lineRule="auto"/>
              <w:jc w:val="left"/>
              <w:rPr>
                <w:rFonts w:ascii="仿宋" w:hAnsi="仿宋" w:eastAsia="仿宋" w:cs="仿宋"/>
                <w:sz w:val="24"/>
                <w:highlight w:val="none"/>
              </w:rPr>
            </w:pPr>
            <w:r>
              <w:rPr>
                <w:rFonts w:hint="eastAsia" w:ascii="仿宋" w:hAnsi="仿宋" w:eastAsia="仿宋" w:cs="仿宋"/>
                <w:sz w:val="24"/>
                <w:highlight w:val="none"/>
              </w:rPr>
              <w:t>3</w:t>
            </w:r>
          </w:p>
        </w:tc>
        <w:tc>
          <w:tcPr>
            <w:tcW w:w="809" w:type="dxa"/>
            <w:vMerge w:val="restart"/>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技术方案</w:t>
            </w:r>
          </w:p>
          <w:p>
            <w:pPr>
              <w:spacing w:line="360" w:lineRule="auto"/>
              <w:jc w:val="center"/>
              <w:rPr>
                <w:rFonts w:ascii="仿宋" w:hAnsi="仿宋" w:eastAsia="仿宋" w:cs="仿宋"/>
                <w:sz w:val="24"/>
                <w:highlight w:val="none"/>
              </w:rPr>
            </w:pPr>
          </w:p>
        </w:tc>
        <w:tc>
          <w:tcPr>
            <w:tcW w:w="7695" w:type="dxa"/>
          </w:tcPr>
          <w:p>
            <w:pPr>
              <w:pStyle w:val="21"/>
              <w:spacing w:line="360" w:lineRule="auto"/>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现状资料调查收集和分析</w:t>
            </w:r>
            <w:r>
              <w:rPr>
                <w:rFonts w:hint="eastAsia" w:ascii="宋体" w:hAnsi="宋体" w:cs="宋体"/>
                <w:sz w:val="24"/>
                <w:szCs w:val="24"/>
                <w:highlight w:val="none"/>
              </w:rPr>
              <w:t>：</w:t>
            </w:r>
            <w:r>
              <w:rPr>
                <w:rFonts w:hint="eastAsia" w:ascii="仿宋" w:hAnsi="仿宋" w:eastAsia="仿宋" w:cs="仿宋"/>
                <w:sz w:val="24"/>
                <w:szCs w:val="24"/>
                <w:highlight w:val="none"/>
              </w:rPr>
              <w:t>现状情况是否熟悉，资料收集是否全面，现状存在问题评价分析是否到位，由评委进行分析比较、评议、确定档次打分。</w:t>
            </w:r>
            <w:r>
              <w:rPr>
                <w:rFonts w:hint="eastAsia" w:ascii="仿宋" w:hAnsi="仿宋" w:eastAsia="仿宋" w:cs="仿宋"/>
                <w:sz w:val="24"/>
                <w:szCs w:val="24"/>
                <w:highlight w:val="none"/>
                <w:lang w:val="en-US" w:eastAsia="zh-CN"/>
              </w:rPr>
              <w:t>0-15</w:t>
            </w:r>
            <w:r>
              <w:rPr>
                <w:rFonts w:hint="eastAsia" w:ascii="仿宋" w:hAnsi="仿宋" w:eastAsia="仿宋" w:cs="仿宋"/>
                <w:sz w:val="24"/>
                <w:szCs w:val="24"/>
                <w:highlight w:val="none"/>
              </w:rPr>
              <w:t>分。</w:t>
            </w:r>
          </w:p>
        </w:tc>
        <w:tc>
          <w:tcPr>
            <w:tcW w:w="710"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5" w:type="dxa"/>
            <w:vMerge w:val="continue"/>
            <w:vAlign w:val="center"/>
          </w:tcPr>
          <w:p>
            <w:pPr>
              <w:spacing w:line="360" w:lineRule="auto"/>
              <w:jc w:val="left"/>
              <w:rPr>
                <w:rFonts w:ascii="仿宋" w:hAnsi="仿宋" w:eastAsia="仿宋" w:cs="仿宋"/>
                <w:sz w:val="24"/>
                <w:highlight w:val="none"/>
              </w:rPr>
            </w:pPr>
          </w:p>
        </w:tc>
        <w:tc>
          <w:tcPr>
            <w:tcW w:w="809" w:type="dxa"/>
            <w:vMerge w:val="continue"/>
            <w:vAlign w:val="center"/>
          </w:tcPr>
          <w:p>
            <w:pPr>
              <w:spacing w:line="360" w:lineRule="auto"/>
              <w:jc w:val="left"/>
              <w:rPr>
                <w:rFonts w:ascii="仿宋" w:hAnsi="仿宋" w:eastAsia="仿宋" w:cs="仿宋"/>
                <w:sz w:val="24"/>
                <w:highlight w:val="none"/>
              </w:rPr>
            </w:pPr>
          </w:p>
        </w:tc>
        <w:tc>
          <w:tcPr>
            <w:tcW w:w="7695" w:type="dxa"/>
          </w:tcPr>
          <w:p>
            <w:pPr>
              <w:pStyle w:val="32"/>
              <w:spacing w:line="360" w:lineRule="auto"/>
              <w:rPr>
                <w:rFonts w:ascii="仿宋" w:hAnsi="仿宋" w:eastAsia="仿宋" w:cs="仿宋"/>
                <w:sz w:val="24"/>
                <w:szCs w:val="24"/>
                <w:highlight w:val="none"/>
              </w:rPr>
            </w:pPr>
            <w:r>
              <w:rPr>
                <w:rFonts w:hint="eastAsia" w:ascii="仿宋" w:hAnsi="仿宋" w:eastAsia="仿宋" w:cs="仿宋"/>
                <w:b/>
                <w:bCs/>
                <w:sz w:val="24"/>
                <w:szCs w:val="24"/>
                <w:highlight w:val="none"/>
              </w:rPr>
              <w:t>总体思路</w:t>
            </w:r>
            <w:r>
              <w:rPr>
                <w:rFonts w:hint="eastAsia" w:hAnsi="宋体" w:cs="宋体"/>
                <w:sz w:val="24"/>
                <w:szCs w:val="24"/>
                <w:highlight w:val="none"/>
              </w:rPr>
              <w:t>：</w:t>
            </w:r>
            <w:r>
              <w:rPr>
                <w:rFonts w:hint="eastAsia" w:ascii="仿宋" w:hAnsi="仿宋" w:eastAsia="仿宋" w:cs="仿宋"/>
                <w:sz w:val="24"/>
                <w:szCs w:val="24"/>
                <w:highlight w:val="none"/>
              </w:rPr>
              <w:t>市政管线综合整治原则、目标及策略是否科学合理，由评委进行分析比较、评议、确定档次打分。</w:t>
            </w:r>
            <w:r>
              <w:rPr>
                <w:rFonts w:hint="eastAsia" w:ascii="仿宋" w:hAnsi="仿宋" w:eastAsia="仿宋" w:cs="仿宋"/>
                <w:sz w:val="24"/>
                <w:szCs w:val="24"/>
                <w:highlight w:val="none"/>
                <w:lang w:val="en-US" w:eastAsia="zh-CN"/>
              </w:rPr>
              <w:t>0-15</w:t>
            </w:r>
            <w:r>
              <w:rPr>
                <w:rFonts w:hint="eastAsia" w:ascii="仿宋" w:hAnsi="仿宋" w:eastAsia="仿宋" w:cs="仿宋"/>
                <w:sz w:val="24"/>
                <w:szCs w:val="24"/>
                <w:highlight w:val="none"/>
              </w:rPr>
              <w:t>分。</w:t>
            </w:r>
          </w:p>
        </w:tc>
        <w:tc>
          <w:tcPr>
            <w:tcW w:w="710"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25" w:type="dxa"/>
            <w:vMerge w:val="continue"/>
            <w:vAlign w:val="center"/>
          </w:tcPr>
          <w:p>
            <w:pPr>
              <w:spacing w:line="360" w:lineRule="auto"/>
              <w:jc w:val="left"/>
              <w:rPr>
                <w:rFonts w:ascii="仿宋" w:hAnsi="仿宋" w:eastAsia="仿宋" w:cs="仿宋"/>
                <w:sz w:val="24"/>
                <w:highlight w:val="none"/>
              </w:rPr>
            </w:pPr>
          </w:p>
        </w:tc>
        <w:tc>
          <w:tcPr>
            <w:tcW w:w="809" w:type="dxa"/>
            <w:vMerge w:val="continue"/>
            <w:vAlign w:val="center"/>
          </w:tcPr>
          <w:p>
            <w:pPr>
              <w:spacing w:line="360" w:lineRule="auto"/>
              <w:jc w:val="left"/>
              <w:rPr>
                <w:rFonts w:ascii="仿宋" w:hAnsi="仿宋" w:eastAsia="仿宋" w:cs="仿宋"/>
                <w:sz w:val="24"/>
                <w:highlight w:val="none"/>
              </w:rPr>
            </w:pPr>
          </w:p>
        </w:tc>
        <w:tc>
          <w:tcPr>
            <w:tcW w:w="7695" w:type="dxa"/>
          </w:tcPr>
          <w:p>
            <w:pPr>
              <w:pStyle w:val="21"/>
              <w:spacing w:line="360" w:lineRule="auto"/>
              <w:jc w:val="left"/>
              <w:rPr>
                <w:rFonts w:ascii="仿宋" w:hAnsi="仿宋" w:eastAsia="仿宋" w:cs="仿宋"/>
                <w:sz w:val="24"/>
                <w:szCs w:val="24"/>
                <w:highlight w:val="none"/>
              </w:rPr>
            </w:pPr>
            <w:r>
              <w:rPr>
                <w:rFonts w:hint="eastAsia" w:ascii="仿宋" w:hAnsi="仿宋" w:eastAsia="仿宋" w:cs="仿宋"/>
                <w:b/>
                <w:bCs/>
                <w:sz w:val="24"/>
                <w:szCs w:val="24"/>
                <w:highlight w:val="none"/>
              </w:rPr>
              <w:t>综合整治方案</w:t>
            </w:r>
            <w:r>
              <w:rPr>
                <w:rFonts w:hint="eastAsia" w:ascii="宋体" w:hAnsi="宋体" w:cs="宋体"/>
                <w:sz w:val="24"/>
                <w:szCs w:val="24"/>
                <w:highlight w:val="none"/>
              </w:rPr>
              <w:t>：</w:t>
            </w:r>
            <w:r>
              <w:rPr>
                <w:rFonts w:hint="eastAsia" w:ascii="仿宋" w:hAnsi="仿宋" w:eastAsia="仿宋" w:cs="仿宋"/>
                <w:sz w:val="24"/>
                <w:szCs w:val="24"/>
                <w:highlight w:val="none"/>
              </w:rPr>
              <w:t>整治对象类型是否全面，整治方案是否具有可操作性，规划整治内容对招标文件的响应度，由评委进行分析比较、评议、确定档次打分。</w:t>
            </w:r>
            <w:r>
              <w:rPr>
                <w:rFonts w:hint="eastAsia" w:ascii="仿宋" w:hAnsi="仿宋" w:eastAsia="仿宋" w:cs="仿宋"/>
                <w:sz w:val="24"/>
                <w:szCs w:val="24"/>
                <w:highlight w:val="none"/>
                <w:lang w:val="en-US" w:eastAsia="zh-CN"/>
              </w:rPr>
              <w:t>0-15</w:t>
            </w:r>
            <w:r>
              <w:rPr>
                <w:rFonts w:hint="eastAsia" w:ascii="仿宋" w:hAnsi="仿宋" w:eastAsia="仿宋" w:cs="仿宋"/>
                <w:sz w:val="24"/>
                <w:szCs w:val="24"/>
                <w:highlight w:val="none"/>
              </w:rPr>
              <w:t>分。</w:t>
            </w:r>
          </w:p>
        </w:tc>
        <w:tc>
          <w:tcPr>
            <w:tcW w:w="710"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vAlign w:val="center"/>
          </w:tcPr>
          <w:p>
            <w:pPr>
              <w:spacing w:line="360" w:lineRule="auto"/>
              <w:jc w:val="left"/>
              <w:rPr>
                <w:rFonts w:ascii="仿宋" w:hAnsi="仿宋" w:eastAsia="仿宋" w:cs="仿宋"/>
                <w:sz w:val="24"/>
                <w:highlight w:val="none"/>
              </w:rPr>
            </w:pPr>
          </w:p>
        </w:tc>
        <w:tc>
          <w:tcPr>
            <w:tcW w:w="809" w:type="dxa"/>
            <w:vMerge w:val="continue"/>
            <w:vAlign w:val="center"/>
          </w:tcPr>
          <w:p>
            <w:pPr>
              <w:spacing w:line="360" w:lineRule="auto"/>
              <w:jc w:val="left"/>
              <w:rPr>
                <w:rFonts w:ascii="仿宋" w:hAnsi="仿宋" w:eastAsia="仿宋" w:cs="仿宋"/>
                <w:sz w:val="24"/>
                <w:highlight w:val="none"/>
              </w:rPr>
            </w:pPr>
          </w:p>
        </w:tc>
        <w:tc>
          <w:tcPr>
            <w:tcW w:w="7695" w:type="dxa"/>
          </w:tcPr>
          <w:p>
            <w:pPr>
              <w:pStyle w:val="21"/>
              <w:spacing w:line="360" w:lineRule="auto"/>
              <w:jc w:val="left"/>
              <w:rPr>
                <w:rFonts w:ascii="仿宋" w:hAnsi="仿宋" w:eastAsia="仿宋" w:cs="仿宋"/>
                <w:sz w:val="24"/>
                <w:szCs w:val="24"/>
                <w:highlight w:val="none"/>
              </w:rPr>
            </w:pPr>
            <w:r>
              <w:rPr>
                <w:rFonts w:hint="eastAsia" w:ascii="仿宋" w:hAnsi="仿宋" w:eastAsia="仿宋" w:cs="仿宋"/>
                <w:b/>
                <w:bCs/>
                <w:sz w:val="24"/>
                <w:szCs w:val="24"/>
                <w:highlight w:val="none"/>
              </w:rPr>
              <w:t>规划实施措施</w:t>
            </w:r>
            <w:r>
              <w:rPr>
                <w:rFonts w:hint="eastAsia" w:ascii="宋体" w:hAnsi="宋体" w:cs="宋体"/>
                <w:sz w:val="24"/>
                <w:szCs w:val="24"/>
                <w:highlight w:val="none"/>
              </w:rPr>
              <w:t>：</w:t>
            </w:r>
            <w:r>
              <w:rPr>
                <w:rFonts w:hint="eastAsia" w:ascii="仿宋" w:hAnsi="仿宋" w:eastAsia="仿宋" w:cs="仿宋"/>
                <w:sz w:val="24"/>
                <w:szCs w:val="24"/>
                <w:highlight w:val="none"/>
              </w:rPr>
              <w:t>规划进度安排是否合理，是否符合招标文件要求，规划实施措施是否有利于规划落地，由评委进行分析比较、评议、确定档次打分。</w:t>
            </w:r>
            <w:r>
              <w:rPr>
                <w:rFonts w:hint="eastAsia" w:ascii="仿宋" w:hAnsi="仿宋" w:eastAsia="仿宋" w:cs="仿宋"/>
                <w:sz w:val="24"/>
                <w:szCs w:val="24"/>
                <w:highlight w:val="none"/>
                <w:lang w:val="en-US" w:eastAsia="zh-CN"/>
              </w:rPr>
              <w:t>0-10</w:t>
            </w:r>
            <w:r>
              <w:rPr>
                <w:rFonts w:hint="eastAsia" w:ascii="仿宋" w:hAnsi="仿宋" w:eastAsia="仿宋" w:cs="仿宋"/>
                <w:sz w:val="24"/>
                <w:szCs w:val="24"/>
                <w:highlight w:val="none"/>
              </w:rPr>
              <w:t>分。</w:t>
            </w:r>
          </w:p>
        </w:tc>
        <w:tc>
          <w:tcPr>
            <w:tcW w:w="710"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Merge w:val="continue"/>
            <w:vAlign w:val="center"/>
          </w:tcPr>
          <w:p>
            <w:pPr>
              <w:spacing w:line="360" w:lineRule="auto"/>
              <w:jc w:val="left"/>
              <w:rPr>
                <w:rFonts w:ascii="仿宋" w:hAnsi="仿宋" w:eastAsia="仿宋" w:cs="仿宋"/>
                <w:sz w:val="24"/>
                <w:highlight w:val="none"/>
              </w:rPr>
            </w:pPr>
          </w:p>
        </w:tc>
        <w:tc>
          <w:tcPr>
            <w:tcW w:w="809" w:type="dxa"/>
            <w:vMerge w:val="continue"/>
            <w:vAlign w:val="center"/>
          </w:tcPr>
          <w:p>
            <w:pPr>
              <w:spacing w:line="360" w:lineRule="auto"/>
              <w:jc w:val="left"/>
              <w:rPr>
                <w:rFonts w:ascii="仿宋" w:hAnsi="仿宋" w:eastAsia="仿宋" w:cs="仿宋"/>
                <w:sz w:val="24"/>
                <w:highlight w:val="none"/>
              </w:rPr>
            </w:pPr>
          </w:p>
        </w:tc>
        <w:tc>
          <w:tcPr>
            <w:tcW w:w="7695" w:type="dxa"/>
          </w:tcPr>
          <w:p>
            <w:pPr>
              <w:pStyle w:val="21"/>
              <w:spacing w:line="360" w:lineRule="auto"/>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技术保证措施：</w:t>
            </w:r>
            <w:r>
              <w:rPr>
                <w:rFonts w:hint="eastAsia" w:ascii="仿宋" w:hAnsi="仿宋" w:eastAsia="仿宋" w:cs="仿宋"/>
                <w:sz w:val="24"/>
                <w:szCs w:val="24"/>
                <w:highlight w:val="none"/>
              </w:rPr>
              <w:t>对人员配置、项目组织、质量管理方案、流程程序是否科学合理，由评委进行分析比较、评议、确定档次打分。</w:t>
            </w:r>
            <w:r>
              <w:rPr>
                <w:rFonts w:hint="eastAsia" w:ascii="仿宋" w:hAnsi="仿宋" w:eastAsia="仿宋" w:cs="仿宋"/>
                <w:sz w:val="24"/>
                <w:szCs w:val="24"/>
                <w:highlight w:val="none"/>
                <w:lang w:val="en-US" w:eastAsia="zh-CN"/>
              </w:rPr>
              <w:t>0-10</w:t>
            </w:r>
            <w:r>
              <w:rPr>
                <w:rFonts w:hint="eastAsia" w:ascii="仿宋" w:hAnsi="仿宋" w:eastAsia="仿宋" w:cs="仿宋"/>
                <w:sz w:val="24"/>
                <w:szCs w:val="24"/>
                <w:highlight w:val="none"/>
              </w:rPr>
              <w:t>分。</w:t>
            </w:r>
          </w:p>
        </w:tc>
        <w:tc>
          <w:tcPr>
            <w:tcW w:w="710"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spacing w:line="360" w:lineRule="auto"/>
              <w:jc w:val="left"/>
              <w:rPr>
                <w:rFonts w:ascii="仿宋" w:hAnsi="仿宋" w:eastAsia="仿宋" w:cs="仿宋"/>
                <w:sz w:val="24"/>
                <w:highlight w:val="none"/>
              </w:rPr>
            </w:pPr>
            <w:r>
              <w:rPr>
                <w:rFonts w:hint="eastAsia" w:ascii="仿宋" w:hAnsi="仿宋" w:eastAsia="仿宋" w:cs="仿宋"/>
                <w:sz w:val="24"/>
                <w:highlight w:val="none"/>
              </w:rPr>
              <w:t>4</w:t>
            </w:r>
          </w:p>
        </w:tc>
        <w:tc>
          <w:tcPr>
            <w:tcW w:w="80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技术响应能力</w:t>
            </w:r>
          </w:p>
        </w:tc>
        <w:tc>
          <w:tcPr>
            <w:tcW w:w="7695" w:type="dxa"/>
            <w:vAlign w:val="center"/>
          </w:tcPr>
          <w:p>
            <w:pPr>
              <w:snapToGrid w:val="0"/>
              <w:spacing w:line="360" w:lineRule="auto"/>
              <w:ind w:left="110" w:right="94" w:rightChars="45" w:hanging="110" w:hangingChars="46"/>
              <w:rPr>
                <w:rFonts w:ascii="仿宋" w:hAnsi="仿宋" w:eastAsia="仿宋" w:cs="仿宋"/>
                <w:sz w:val="24"/>
                <w:highlight w:val="none"/>
              </w:rPr>
            </w:pPr>
            <w:r>
              <w:rPr>
                <w:rFonts w:hint="eastAsia" w:ascii="仿宋" w:hAnsi="仿宋" w:eastAsia="仿宋" w:cs="仿宋"/>
                <w:sz w:val="24"/>
                <w:highlight w:val="none"/>
              </w:rPr>
              <w:t>根据投标人的配合服务承诺书及服务计划书等进行评审（根据各投标单位的响应时间，对项目所在地的熟悉情况以及所在地的调研情况等内容进行综合打分）。</w:t>
            </w:r>
            <w:r>
              <w:rPr>
                <w:rFonts w:hint="eastAsia" w:ascii="仿宋" w:hAnsi="仿宋" w:eastAsia="仿宋" w:cs="仿宋"/>
                <w:sz w:val="24"/>
                <w:highlight w:val="none"/>
                <w:lang w:val="en-US" w:eastAsia="zh-CN"/>
              </w:rPr>
              <w:t>0-5</w:t>
            </w:r>
            <w:r>
              <w:rPr>
                <w:rFonts w:hint="eastAsia" w:ascii="仿宋" w:hAnsi="仿宋" w:eastAsia="仿宋" w:cs="仿宋"/>
                <w:sz w:val="24"/>
                <w:highlight w:val="none"/>
              </w:rPr>
              <w:t>分。</w:t>
            </w:r>
          </w:p>
          <w:p>
            <w:pPr>
              <w:pStyle w:val="21"/>
              <w:spacing w:line="360" w:lineRule="auto"/>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注：投标人的响应时间超过24小时，则该项不得分</w:t>
            </w:r>
          </w:p>
        </w:tc>
        <w:tc>
          <w:tcPr>
            <w:tcW w:w="710"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r>
    </w:tbl>
    <w:p>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1</w:t>
      </w:r>
      <w:r>
        <w:rPr>
          <w:rFonts w:hint="eastAsia" w:ascii="仿宋" w:hAnsi="仿宋" w:eastAsia="仿宋" w:cs="仿宋"/>
          <w:b/>
          <w:bCs/>
          <w:iCs/>
          <w:sz w:val="24"/>
          <w:highlight w:val="none"/>
          <w:u w:val="single"/>
        </w:rPr>
        <w:t>0</w:t>
      </w:r>
      <w:r>
        <w:rPr>
          <w:rFonts w:hint="eastAsia" w:ascii="仿宋" w:hAnsi="仿宋" w:eastAsia="仿宋" w:cs="仿宋"/>
          <w:b/>
          <w:bCs/>
          <w:iCs/>
          <w:sz w:val="24"/>
          <w:highlight w:val="none"/>
        </w:rPr>
        <w:t>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1</w:t>
      </w:r>
      <w:r>
        <w:rPr>
          <w:rFonts w:hint="eastAsia" w:ascii="仿宋" w:hAnsi="仿宋" w:eastAsia="仿宋" w:cs="仿宋"/>
          <w:bCs/>
          <w:iCs/>
          <w:sz w:val="24"/>
          <w:highlight w:val="none"/>
          <w:u w:val="single"/>
        </w:rPr>
        <w:t xml:space="preserve">0 </w:t>
      </w:r>
    </w:p>
    <w:p>
      <w:pPr>
        <w:spacing w:line="440" w:lineRule="exact"/>
        <w:jc w:val="left"/>
        <w:rPr>
          <w:rFonts w:ascii="仿宋" w:hAnsi="仿宋" w:eastAsia="仿宋" w:cs="仿宋"/>
          <w:b/>
          <w:sz w:val="36"/>
          <w:szCs w:val="20"/>
          <w:highlight w:val="none"/>
        </w:rPr>
      </w:pPr>
    </w:p>
    <w:p>
      <w:pPr>
        <w:spacing w:line="440" w:lineRule="exact"/>
        <w:jc w:val="left"/>
        <w:rPr>
          <w:rFonts w:ascii="仿宋" w:hAnsi="仿宋" w:eastAsia="仿宋" w:cs="仿宋"/>
          <w:b/>
          <w:sz w:val="36"/>
          <w:szCs w:val="20"/>
          <w:highlight w:val="none"/>
        </w:rPr>
      </w:pPr>
    </w:p>
    <w:p>
      <w:pPr>
        <w:spacing w:line="360" w:lineRule="auto"/>
        <w:ind w:left="720" w:firstLine="723" w:firstLineChars="200"/>
        <w:outlineLvl w:val="0"/>
        <w:rPr>
          <w:rFonts w:ascii="仿宋" w:hAnsi="仿宋" w:eastAsia="仿宋" w:cs="仿宋"/>
          <w:b/>
          <w:sz w:val="36"/>
          <w:szCs w:val="20"/>
          <w:highlight w:val="none"/>
        </w:rPr>
      </w:pPr>
    </w:p>
    <w:bookmarkEnd w:id="41"/>
    <w:bookmarkEnd w:id="42"/>
    <w:p>
      <w:pPr>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pPr>
        <w:widowControl/>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ascii="仿宋" w:hAnsi="仿宋" w:eastAsia="仿宋" w:cs="仿宋"/>
          <w:b/>
          <w:kern w:val="0"/>
          <w:sz w:val="36"/>
          <w:szCs w:val="36"/>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ascii="仿宋" w:hAnsi="仿宋" w:eastAsia="仿宋" w:cs="仿宋"/>
          <w:sz w:val="24"/>
          <w:highlight w:val="none"/>
        </w:rPr>
      </w:pPr>
    </w:p>
    <w:p>
      <w:pPr>
        <w:snapToGrid w:val="0"/>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pPr>
        <w:snapToGrid w:val="0"/>
        <w:spacing w:line="360" w:lineRule="auto"/>
        <w:ind w:right="480"/>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p>
    <w:p>
      <w:pPr>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二、联合协议（如果有）</w:t>
      </w:r>
    </w:p>
    <w:p>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pPr>
        <w:pStyle w:val="81"/>
        <w:rPr>
          <w:rFonts w:ascii="仿宋" w:hAnsi="仿宋" w:eastAsia="仿宋" w:cs="仿宋"/>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三、分包意向协议（如果有）</w:t>
      </w:r>
    </w:p>
    <w:p>
      <w:pPr>
        <w:widowControl/>
        <w:spacing w:line="360"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widowControl/>
        <w:spacing w:line="360" w:lineRule="auto"/>
        <w:ind w:left="150"/>
        <w:jc w:val="center"/>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widowControl/>
        <w:spacing w:line="360" w:lineRule="auto"/>
        <w:ind w:left="150"/>
        <w:jc w:val="center"/>
        <w:rPr>
          <w:rFonts w:ascii="仿宋" w:hAnsi="仿宋" w:eastAsia="仿宋" w:cs="仿宋"/>
          <w:sz w:val="24"/>
          <w:highlight w:val="none"/>
        </w:rPr>
      </w:pPr>
      <w:r>
        <w:rPr>
          <w:rFonts w:hint="eastAsia" w:ascii="仿宋" w:hAnsi="仿宋" w:eastAsia="仿宋" w:cs="仿宋"/>
          <w:sz w:val="24"/>
          <w:highlight w:val="none"/>
        </w:rPr>
        <w:t xml:space="preserve">A.专门面向中小企业，服务全部由符合政策要求的中小企业（或小微企业）承接的，提供相应的中小企业声明函（附件7）。 </w:t>
      </w:r>
    </w:p>
    <w:p>
      <w:pPr>
        <w:widowControl/>
        <w:spacing w:line="360" w:lineRule="auto"/>
        <w:ind w:left="150"/>
        <w:jc w:val="center"/>
        <w:rPr>
          <w:rFonts w:ascii="仿宋" w:hAnsi="仿宋" w:eastAsia="仿宋" w:cs="仿宋"/>
          <w:sz w:val="24"/>
          <w:highlight w:val="none"/>
        </w:rPr>
      </w:pPr>
      <w:r>
        <w:rPr>
          <w:rFonts w:hint="eastAsia" w:ascii="仿宋" w:hAnsi="仿宋" w:eastAsia="仿宋" w:cs="仿宋"/>
          <w:sz w:val="24"/>
          <w:highlight w:val="none"/>
        </w:rPr>
        <w:t xml:space="preserve">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 </w:t>
      </w: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sz w:val="24"/>
          <w:highlight w:val="none"/>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（1）投标函…………………………………………………………………………（页码）</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（2）法定代表人授权书 ………………………………………………………… （页码）</w:t>
      </w:r>
    </w:p>
    <w:p>
      <w:pPr>
        <w:pStyle w:val="906"/>
        <w:spacing w:line="360" w:lineRule="auto"/>
        <w:ind w:left="0" w:firstLine="0" w:firstLineChars="0"/>
        <w:rPr>
          <w:rFonts w:ascii="仿宋" w:eastAsia="仿宋" w:cs="仿宋"/>
          <w:highlight w:val="none"/>
        </w:rPr>
      </w:pPr>
      <w:r>
        <w:rPr>
          <w:rFonts w:hint="eastAsia" w:ascii="仿宋" w:eastAsia="仿宋" w:cs="仿宋"/>
          <w:highlight w:val="none"/>
        </w:rPr>
        <w:t>（3）授权代表社保证明复印件……………………………………………………（页码）</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（4）法定代表人及其授权代表身份证复印件（复印件）…………………………（页码）</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（5）法定代表人身份证明书……………………………………………………… （页码）</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（6）商务技术偏离表……………………………………………………………… （页码）</w:t>
      </w:r>
    </w:p>
    <w:p>
      <w:pPr>
        <w:pStyle w:val="906"/>
        <w:spacing w:line="336" w:lineRule="auto"/>
        <w:ind w:left="0" w:firstLine="0" w:firstLineChars="0"/>
        <w:rPr>
          <w:rFonts w:ascii="仿宋" w:eastAsia="仿宋" w:cs="仿宋"/>
          <w:highlight w:val="none"/>
        </w:rPr>
      </w:pPr>
      <w:r>
        <w:rPr>
          <w:rFonts w:hint="eastAsia" w:ascii="仿宋" w:eastAsia="仿宋" w:cs="仿宋"/>
          <w:highlight w:val="none"/>
        </w:rPr>
        <w:t>（7）</w:t>
      </w: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ind w:firstLine="3855" w:firstLineChars="1200"/>
        <w:outlineLvl w:val="0"/>
        <w:rPr>
          <w:rFonts w:ascii="仿宋" w:hAnsi="仿宋" w:eastAsia="仿宋" w:cs="仿宋"/>
          <w:b/>
          <w:kern w:val="0"/>
          <w:sz w:val="32"/>
          <w:szCs w:val="32"/>
          <w:highlight w:val="none"/>
        </w:rPr>
      </w:pPr>
    </w:p>
    <w:p>
      <w:pPr>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7"/>
        <w:spacing w:after="12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电话：                              传真：</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开户银行：                          账号：</w:t>
      </w:r>
    </w:p>
    <w:p>
      <w:pPr>
        <w:pStyle w:val="397"/>
        <w:spacing w:after="120" w:line="336" w:lineRule="auto"/>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336" w:lineRule="auto"/>
        <w:ind w:firstLine="480" w:firstLineChars="200"/>
        <w:jc w:val="left"/>
        <w:rPr>
          <w:rFonts w:ascii="仿宋" w:hAnsi="仿宋" w:eastAsia="仿宋" w:cs="仿宋"/>
          <w:sz w:val="24"/>
          <w:highlight w:val="none"/>
        </w:rPr>
      </w:pPr>
    </w:p>
    <w:p>
      <w:pPr>
        <w:snapToGrid w:val="0"/>
        <w:spacing w:line="336" w:lineRule="auto"/>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snapToGrid w:val="0"/>
        <w:spacing w:line="360" w:lineRule="auto"/>
        <w:jc w:val="center"/>
        <w:rPr>
          <w:rFonts w:ascii="仿宋" w:hAnsi="仿宋" w:eastAsia="仿宋" w:cs="仿宋"/>
          <w:b/>
          <w:kern w:val="0"/>
          <w:sz w:val="32"/>
          <w:szCs w:val="32"/>
          <w:highlight w:val="none"/>
        </w:rPr>
      </w:pPr>
    </w:p>
    <w:p>
      <w:pPr>
        <w:snapToGrid w:val="0"/>
        <w:spacing w:line="360" w:lineRule="auto"/>
        <w:rPr>
          <w:rFonts w:ascii="仿宋" w:hAnsi="仿宋" w:eastAsia="仿宋" w:cs="仿宋"/>
          <w:sz w:val="24"/>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p>
    <w:p>
      <w:pPr>
        <w:widowControl/>
        <w:adjustRightInd/>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ascii="仿宋" w:hAnsi="仿宋" w:eastAsia="仿宋" w:cs="仿宋"/>
          <w:sz w:val="24"/>
          <w:highlight w:val="none"/>
        </w:rPr>
      </w:pPr>
    </w:p>
    <w:p>
      <w:pPr>
        <w:spacing w:line="800" w:lineRule="exact"/>
        <w:rPr>
          <w:rFonts w:ascii="仿宋" w:hAnsi="仿宋" w:eastAsia="仿宋" w:cs="仿宋"/>
          <w:b/>
          <w:sz w:val="24"/>
          <w:highlight w:val="none"/>
        </w:rPr>
      </w:pPr>
    </w:p>
    <w:p>
      <w:pPr>
        <w:pageBreakBefore/>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ascii="仿宋" w:hAnsi="仿宋" w:eastAsia="仿宋" w:cs="仿宋"/>
          <w:b/>
          <w:sz w:val="24"/>
          <w:highlight w:val="none"/>
        </w:rPr>
      </w:pP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ascii="仿宋" w:hAnsi="仿宋" w:eastAsia="仿宋" w:cs="仿宋"/>
          <w:sz w:val="24"/>
          <w:highlight w:val="none"/>
        </w:rPr>
      </w:pPr>
    </w:p>
    <w:p>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ascii="仿宋" w:hAnsi="仿宋" w:eastAsia="仿宋" w:cs="仿宋"/>
          <w:sz w:val="24"/>
          <w:highlight w:val="none"/>
        </w:rPr>
      </w:pPr>
    </w:p>
    <w:p>
      <w:pPr>
        <w:spacing w:line="360" w:lineRule="exact"/>
        <w:rPr>
          <w:rFonts w:ascii="仿宋" w:hAnsi="仿宋" w:eastAsia="仿宋" w:cs="仿宋"/>
          <w:sz w:val="24"/>
          <w:highlight w:val="none"/>
        </w:rPr>
      </w:pPr>
    </w:p>
    <w:p>
      <w:pPr>
        <w:jc w:val="center"/>
        <w:rPr>
          <w:rFonts w:ascii="仿宋" w:hAnsi="仿宋" w:eastAsia="仿宋" w:cs="仿宋"/>
          <w:b/>
          <w:kern w:val="0"/>
          <w:sz w:val="32"/>
          <w:szCs w:val="32"/>
          <w:highlight w:val="none"/>
        </w:rPr>
      </w:pPr>
    </w:p>
    <w:p>
      <w:pPr>
        <w:rPr>
          <w:rFonts w:ascii="仿宋" w:hAnsi="仿宋" w:eastAsia="仿宋" w:cs="仿宋"/>
          <w:highlight w:val="none"/>
        </w:rPr>
      </w:pP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ascii="仿宋" w:hAnsi="仿宋" w:eastAsia="仿宋" w:cs="仿宋"/>
          <w:b/>
          <w:kern w:val="0"/>
          <w:sz w:val="32"/>
          <w:szCs w:val="32"/>
          <w:highlight w:val="none"/>
          <w:lang w:val="zh-CN"/>
        </w:rPr>
      </w:pPr>
    </w:p>
    <w:p>
      <w:pPr>
        <w:spacing w:line="800" w:lineRule="exact"/>
        <w:rPr>
          <w:rFonts w:ascii="仿宋" w:hAnsi="仿宋" w:eastAsia="仿宋" w:cs="仿宋"/>
          <w:b/>
          <w:sz w:val="24"/>
          <w:highlight w:val="none"/>
        </w:rPr>
      </w:pPr>
    </w:p>
    <w:p>
      <w:pPr>
        <w:pageBreakBefore/>
        <w:spacing w:line="800" w:lineRule="exact"/>
        <w:ind w:firstLine="1807" w:firstLineChars="600"/>
        <w:rPr>
          <w:rFonts w:ascii="仿宋" w:hAnsi="仿宋" w:eastAsia="仿宋" w:cs="仿宋"/>
          <w:b/>
          <w:sz w:val="30"/>
          <w:szCs w:val="30"/>
          <w:highlight w:val="none"/>
        </w:rPr>
      </w:pPr>
      <w:r>
        <w:rPr>
          <w:rFonts w:hint="eastAsia" w:ascii="仿宋" w:hAnsi="仿宋" w:eastAsia="仿宋" w:cs="仿宋"/>
          <w:b/>
          <w:sz w:val="30"/>
          <w:szCs w:val="30"/>
          <w:highlight w:val="none"/>
        </w:rPr>
        <w:t>三、授权代表社保证明（复印件）</w:t>
      </w:r>
    </w:p>
    <w:p>
      <w:pPr>
        <w:spacing w:line="800" w:lineRule="exact"/>
        <w:jc w:val="center"/>
        <w:rPr>
          <w:rFonts w:ascii="仿宋" w:hAnsi="仿宋" w:eastAsia="仿宋" w:cs="仿宋"/>
          <w:bCs/>
          <w:sz w:val="24"/>
          <w:highlight w:val="none"/>
        </w:rPr>
      </w:pPr>
      <w:r>
        <w:rPr>
          <w:rFonts w:hint="eastAsia" w:ascii="仿宋" w:hAnsi="仿宋" w:eastAsia="仿宋" w:cs="仿宋"/>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pStyle w:val="80"/>
        <w:rPr>
          <w:rFonts w:ascii="仿宋" w:hAnsi="仿宋" w:eastAsia="仿宋" w:cs="仿宋"/>
          <w:b/>
          <w:highlight w:val="none"/>
        </w:rPr>
      </w:pPr>
    </w:p>
    <w:p>
      <w:pPr>
        <w:pStyle w:val="80"/>
        <w:rPr>
          <w:rFonts w:ascii="仿宋" w:hAnsi="仿宋" w:eastAsia="仿宋" w:cs="仿宋"/>
          <w:b/>
          <w:highlight w:val="none"/>
        </w:rPr>
      </w:pPr>
    </w:p>
    <w:p>
      <w:pPr>
        <w:pStyle w:val="80"/>
        <w:rPr>
          <w:rFonts w:ascii="仿宋" w:hAnsi="仿宋" w:eastAsia="仿宋" w:cs="仿宋"/>
          <w:b/>
          <w:highlight w:val="none"/>
        </w:rPr>
      </w:pPr>
    </w:p>
    <w:p>
      <w:pPr>
        <w:spacing w:line="800" w:lineRule="exact"/>
        <w:ind w:firstLine="904" w:firstLineChars="300"/>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ascii="仿宋" w:hAnsi="仿宋" w:eastAsia="仿宋" w:cs="仿宋"/>
          <w:b/>
          <w:sz w:val="24"/>
          <w:highlight w:val="none"/>
        </w:rPr>
      </w:pPr>
    </w:p>
    <w:p>
      <w:pPr>
        <w:spacing w:line="800" w:lineRule="exact"/>
        <w:rPr>
          <w:rFonts w:ascii="仿宋" w:hAnsi="仿宋" w:eastAsia="仿宋" w:cs="仿宋"/>
          <w:b/>
          <w:sz w:val="24"/>
          <w:highlight w:val="none"/>
        </w:rPr>
      </w:pPr>
    </w:p>
    <w:p>
      <w:pPr>
        <w:spacing w:line="80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ascii="仿宋" w:hAnsi="仿宋" w:eastAsia="仿宋" w:cs="仿宋"/>
          <w:sz w:val="24"/>
          <w:highlight w:val="none"/>
        </w:rPr>
      </w:pPr>
    </w:p>
    <w:p>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ascii="仿宋" w:hAnsi="仿宋" w:eastAsia="仿宋" w:cs="仿宋"/>
          <w:sz w:val="24"/>
          <w:highlight w:val="none"/>
        </w:rPr>
      </w:pPr>
    </w:p>
    <w:p>
      <w:pPr>
        <w:spacing w:line="440" w:lineRule="exact"/>
        <w:ind w:right="720"/>
        <w:jc w:val="right"/>
        <w:rPr>
          <w:rFonts w:ascii="仿宋" w:hAnsi="仿宋" w:eastAsia="仿宋" w:cs="仿宋"/>
          <w:highlight w:val="none"/>
        </w:rPr>
      </w:pPr>
      <w:r>
        <w:rPr>
          <w:rFonts w:hint="eastAsia" w:ascii="仿宋" w:hAnsi="仿宋" w:eastAsia="仿宋" w:cs="仿宋"/>
          <w:sz w:val="24"/>
          <w:highlight w:val="none"/>
        </w:rPr>
        <w:t>年   月   日</w:t>
      </w:r>
    </w:p>
    <w:p>
      <w:pPr>
        <w:jc w:val="center"/>
        <w:rPr>
          <w:rFonts w:ascii="仿宋" w:hAnsi="仿宋" w:eastAsia="仿宋" w:cs="仿宋"/>
          <w:b/>
          <w:kern w:val="0"/>
          <w:sz w:val="32"/>
          <w:szCs w:val="32"/>
          <w:highlight w:val="none"/>
        </w:rPr>
      </w:pPr>
    </w:p>
    <w:p>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ascii="仿宋" w:hAnsi="仿宋" w:eastAsia="仿宋" w:cs="仿宋"/>
                <w:b/>
                <w:kern w:val="0"/>
                <w:sz w:val="32"/>
                <w:szCs w:val="32"/>
                <w:highlight w:val="none"/>
              </w:rPr>
            </w:pPr>
          </w:p>
        </w:tc>
        <w:tc>
          <w:tcPr>
            <w:tcW w:w="3546" w:type="dxa"/>
          </w:tcPr>
          <w:p>
            <w:pPr>
              <w:jc w:val="center"/>
              <w:rPr>
                <w:rFonts w:ascii="仿宋" w:hAnsi="仿宋" w:eastAsia="仿宋" w:cs="仿宋"/>
                <w:b/>
                <w:kern w:val="0"/>
                <w:sz w:val="32"/>
                <w:szCs w:val="32"/>
                <w:highlight w:val="none"/>
              </w:rPr>
            </w:pPr>
          </w:p>
        </w:tc>
        <w:tc>
          <w:tcPr>
            <w:tcW w:w="1276" w:type="dxa"/>
          </w:tcPr>
          <w:p>
            <w:pPr>
              <w:jc w:val="center"/>
              <w:rPr>
                <w:rFonts w:ascii="仿宋" w:hAnsi="仿宋" w:eastAsia="仿宋" w:cs="仿宋"/>
                <w:b/>
                <w:kern w:val="0"/>
                <w:sz w:val="32"/>
                <w:szCs w:val="32"/>
                <w:highlight w:val="none"/>
              </w:rPr>
            </w:pPr>
          </w:p>
        </w:tc>
      </w:tr>
    </w:tbl>
    <w:p>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ascii="仿宋" w:hAnsi="仿宋" w:eastAsia="仿宋" w:cs="仿宋"/>
          <w:b/>
          <w:kern w:val="0"/>
          <w:sz w:val="32"/>
          <w:szCs w:val="32"/>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ascii="仿宋" w:hAnsi="仿宋" w:eastAsia="仿宋" w:cs="仿宋"/>
          <w:b/>
          <w:bCs/>
          <w:sz w:val="32"/>
          <w:szCs w:val="32"/>
          <w:highlight w:val="none"/>
        </w:rPr>
      </w:pPr>
    </w:p>
    <w:p>
      <w:pPr>
        <w:widowControl/>
        <w:adjustRightInd/>
        <w:jc w:val="center"/>
        <w:rPr>
          <w:rFonts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jc w:val="left"/>
        <w:rPr>
          <w:rFonts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ascii="仿宋" w:hAnsi="仿宋" w:eastAsia="仿宋" w:cs="仿宋"/>
          <w:b/>
          <w:bCs/>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ascii="仿宋" w:hAnsi="仿宋" w:eastAsia="仿宋" w:cs="仿宋"/>
          <w:b/>
          <w:bCs/>
          <w:sz w:val="32"/>
          <w:szCs w:val="32"/>
          <w:highlight w:val="none"/>
        </w:rPr>
      </w:pPr>
      <w:r>
        <w:rPr>
          <w:rFonts w:hint="eastAsia" w:ascii="仿宋" w:hAnsi="仿宋" w:eastAsia="仿宋" w:cs="仿宋"/>
          <w:b/>
          <w:sz w:val="32"/>
          <w:szCs w:val="32"/>
          <w:highlight w:val="none"/>
        </w:rPr>
        <w:t>八、</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highlight w:val="none"/>
        </w:rPr>
      </w:pPr>
    </w:p>
    <w:p>
      <w:pPr>
        <w:autoSpaceDE w:val="0"/>
        <w:autoSpaceDN w:val="0"/>
        <w:spacing w:line="360"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9"/>
        <w:ind w:firstLine="0"/>
        <w:jc w:val="both"/>
        <w:rPr>
          <w:rFonts w:ascii="仿宋" w:eastAsia="仿宋" w:cs="仿宋"/>
          <w:highlight w:val="none"/>
        </w:rPr>
      </w:pPr>
    </w:p>
    <w:p>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九、技术解决方案</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ascii="仿宋" w:hAnsi="仿宋" w:eastAsia="仿宋" w:cs="仿宋"/>
          <w:sz w:val="24"/>
          <w:highlight w:val="none"/>
        </w:rPr>
      </w:pPr>
    </w:p>
    <w:p>
      <w:pPr>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ascii="仿宋" w:hAnsi="仿宋" w:eastAsia="仿宋" w:cs="仿宋"/>
                <w:sz w:val="24"/>
                <w:highlight w:val="none"/>
              </w:rPr>
            </w:pPr>
          </w:p>
        </w:tc>
        <w:tc>
          <w:tcPr>
            <w:tcW w:w="2160" w:type="dxa"/>
            <w:vAlign w:val="center"/>
          </w:tcPr>
          <w:p>
            <w:pPr>
              <w:snapToGrid w:val="0"/>
              <w:spacing w:line="360" w:lineRule="auto"/>
              <w:jc w:val="center"/>
              <w:rPr>
                <w:rFonts w:ascii="仿宋" w:hAnsi="仿宋" w:eastAsia="仿宋" w:cs="仿宋"/>
                <w:sz w:val="24"/>
                <w:highlight w:val="none"/>
              </w:rPr>
            </w:pPr>
          </w:p>
        </w:tc>
        <w:tc>
          <w:tcPr>
            <w:tcW w:w="2340" w:type="dxa"/>
            <w:vAlign w:val="center"/>
          </w:tcPr>
          <w:p>
            <w:pPr>
              <w:spacing w:line="360" w:lineRule="auto"/>
              <w:jc w:val="center"/>
              <w:rPr>
                <w:rFonts w:ascii="仿宋" w:hAnsi="仿宋" w:eastAsia="仿宋" w:cs="仿宋"/>
                <w:sz w:val="24"/>
                <w:highlight w:val="none"/>
              </w:rPr>
            </w:pPr>
          </w:p>
        </w:tc>
        <w:tc>
          <w:tcPr>
            <w:tcW w:w="1080" w:type="dxa"/>
            <w:vAlign w:val="center"/>
          </w:tcPr>
          <w:p>
            <w:pPr>
              <w:spacing w:line="360" w:lineRule="auto"/>
              <w:jc w:val="center"/>
              <w:rPr>
                <w:rFonts w:ascii="仿宋" w:hAnsi="仿宋" w:eastAsia="仿宋" w:cs="仿宋"/>
                <w:sz w:val="24"/>
                <w:highlight w:val="none"/>
              </w:rPr>
            </w:pPr>
          </w:p>
        </w:tc>
        <w:tc>
          <w:tcPr>
            <w:tcW w:w="1332" w:type="dxa"/>
            <w:vAlign w:val="center"/>
          </w:tcPr>
          <w:p>
            <w:pPr>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highlight w:val="none"/>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十、组织实施方案</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pStyle w:val="81"/>
        <w:rPr>
          <w:rFonts w:ascii="仿宋" w:hAnsi="仿宋" w:eastAsia="仿宋" w:cs="仿宋"/>
          <w:highlight w:val="none"/>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highlight w:val="none"/>
              </w:rPr>
            </w:pPr>
            <w:r>
              <w:rPr>
                <w:rFonts w:hint="eastAsia" w:ascii="仿宋" w:hAnsi="仿宋" w:eastAsia="仿宋" w:cs="仿宋"/>
                <w:sz w:val="24"/>
                <w:highlight w:val="none"/>
              </w:rPr>
              <w:t xml:space="preserve">  工作日</w:t>
            </w:r>
          </w:p>
          <w:p>
            <w:pPr>
              <w:rPr>
                <w:rFonts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2"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c>
          <w:tcPr>
            <w:tcW w:w="553" w:type="dxa"/>
          </w:tcPr>
          <w:p>
            <w:pPr>
              <w:spacing w:line="360" w:lineRule="auto"/>
              <w:rPr>
                <w:rFonts w:ascii="仿宋" w:hAnsi="仿宋" w:eastAsia="仿宋" w:cs="仿宋"/>
                <w:sz w:val="24"/>
                <w:highlight w:val="none"/>
              </w:rPr>
            </w:pPr>
          </w:p>
        </w:tc>
      </w:tr>
    </w:tbl>
    <w:p>
      <w:pPr>
        <w:autoSpaceDE w:val="0"/>
        <w:autoSpaceDN w:val="0"/>
        <w:spacing w:line="360" w:lineRule="auto"/>
        <w:rPr>
          <w:rFonts w:ascii="仿宋" w:hAnsi="仿宋" w:eastAsia="仿宋" w:cs="仿宋"/>
          <w:kern w:val="0"/>
          <w:sz w:val="24"/>
          <w:highlight w:val="none"/>
        </w:rPr>
      </w:pPr>
      <w:r>
        <w:rPr>
          <w:rFonts w:hint="eastAsia" w:ascii="仿宋" w:hAnsi="仿宋" w:eastAsia="仿宋" w:cs="仿宋"/>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kern w:val="0"/>
          <w:sz w:val="24"/>
          <w:highlight w:val="none"/>
        </w:rPr>
      </w:pPr>
    </w:p>
    <w:p>
      <w:pPr>
        <w:spacing w:line="360" w:lineRule="auto"/>
        <w:jc w:val="center"/>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十一、售后服务方案</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pStyle w:val="81"/>
        <w:rPr>
          <w:rFonts w:ascii="仿宋" w:hAnsi="仿宋" w:eastAsia="仿宋" w:cs="仿宋"/>
          <w:highlight w:val="none"/>
        </w:rPr>
      </w:pP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highlight w:val="none"/>
              </w:rPr>
            </w:pPr>
          </w:p>
        </w:tc>
        <w:tc>
          <w:tcPr>
            <w:tcW w:w="2160" w:type="dxa"/>
          </w:tcPr>
          <w:p>
            <w:pPr>
              <w:autoSpaceDE w:val="0"/>
              <w:autoSpaceDN w:val="0"/>
              <w:spacing w:line="360" w:lineRule="auto"/>
              <w:jc w:val="center"/>
              <w:rPr>
                <w:rFonts w:ascii="仿宋" w:hAnsi="仿宋" w:eastAsia="仿宋" w:cs="仿宋"/>
                <w:sz w:val="24"/>
                <w:highlight w:val="none"/>
              </w:rPr>
            </w:pPr>
          </w:p>
        </w:tc>
        <w:tc>
          <w:tcPr>
            <w:tcW w:w="1620" w:type="dxa"/>
          </w:tcPr>
          <w:p>
            <w:pPr>
              <w:autoSpaceDE w:val="0"/>
              <w:autoSpaceDN w:val="0"/>
              <w:spacing w:line="360" w:lineRule="auto"/>
              <w:jc w:val="center"/>
              <w:rPr>
                <w:rFonts w:ascii="仿宋" w:hAnsi="仿宋" w:eastAsia="仿宋" w:cs="仿宋"/>
                <w:sz w:val="24"/>
                <w:highlight w:val="none"/>
              </w:rPr>
            </w:pPr>
          </w:p>
        </w:tc>
        <w:tc>
          <w:tcPr>
            <w:tcW w:w="1245" w:type="dxa"/>
          </w:tcPr>
          <w:p>
            <w:pPr>
              <w:autoSpaceDE w:val="0"/>
              <w:autoSpaceDN w:val="0"/>
              <w:spacing w:line="360" w:lineRule="auto"/>
              <w:jc w:val="center"/>
              <w:rPr>
                <w:rFonts w:ascii="仿宋" w:hAnsi="仿宋" w:eastAsia="仿宋" w:cs="仿宋"/>
                <w:sz w:val="24"/>
                <w:highlight w:val="none"/>
              </w:rPr>
            </w:pPr>
          </w:p>
        </w:tc>
        <w:tc>
          <w:tcPr>
            <w:tcW w:w="2175" w:type="dxa"/>
          </w:tcPr>
          <w:p>
            <w:pPr>
              <w:autoSpaceDE w:val="0"/>
              <w:autoSpaceDN w:val="0"/>
              <w:spacing w:line="360" w:lineRule="auto"/>
              <w:jc w:val="center"/>
              <w:rPr>
                <w:rFonts w:ascii="仿宋" w:hAnsi="仿宋" w:eastAsia="仿宋" w:cs="仿宋"/>
                <w:sz w:val="24"/>
                <w:highlight w:val="none"/>
              </w:rPr>
            </w:pPr>
          </w:p>
        </w:tc>
        <w:tc>
          <w:tcPr>
            <w:tcW w:w="1260" w:type="dxa"/>
          </w:tcPr>
          <w:p>
            <w:pPr>
              <w:autoSpaceDE w:val="0"/>
              <w:autoSpaceDN w:val="0"/>
              <w:spacing w:line="360" w:lineRule="auto"/>
              <w:jc w:val="center"/>
              <w:rPr>
                <w:rFonts w:ascii="仿宋" w:hAnsi="仿宋" w:eastAsia="仿宋" w:cs="仿宋"/>
                <w:sz w:val="24"/>
                <w:highlight w:val="none"/>
              </w:rPr>
            </w:pPr>
          </w:p>
        </w:tc>
      </w:tr>
    </w:tbl>
    <w:p>
      <w:pPr>
        <w:autoSpaceDE w:val="0"/>
        <w:autoSpaceDN w:val="0"/>
        <w:rPr>
          <w:rFonts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highlight w:val="none"/>
              </w:rPr>
            </w:pPr>
          </w:p>
        </w:tc>
      </w:tr>
    </w:tbl>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十二、投标人售后服务能力证明材料</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（由投标人根据采购需求及磋商文件要求编制）</w:t>
      </w:r>
    </w:p>
    <w:p>
      <w:pPr>
        <w:spacing w:line="336" w:lineRule="auto"/>
        <w:ind w:firstLine="3600" w:firstLineChars="1500"/>
        <w:rPr>
          <w:rFonts w:ascii="仿宋" w:hAnsi="仿宋" w:eastAsia="仿宋" w:cs="仿宋"/>
          <w:sz w:val="24"/>
          <w:highlight w:val="none"/>
        </w:rPr>
      </w:pPr>
    </w:p>
    <w:p>
      <w:pPr>
        <w:pStyle w:val="81"/>
        <w:rPr>
          <w:rFonts w:ascii="仿宋" w:hAnsi="仿宋" w:eastAsia="仿宋" w:cs="仿宋"/>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十三、项目小组人员名单</w:t>
      </w:r>
    </w:p>
    <w:p>
      <w:pPr>
        <w:spacing w:line="360" w:lineRule="auto"/>
        <w:jc w:val="center"/>
        <w:rPr>
          <w:rFonts w:ascii="仿宋" w:hAnsi="仿宋" w:eastAsia="仿宋" w:cs="仿宋"/>
          <w:b/>
          <w:bCs/>
          <w:sz w:val="24"/>
          <w:highlight w:val="none"/>
        </w:rPr>
      </w:pPr>
      <w:r>
        <w:rPr>
          <w:rFonts w:hint="eastAsia" w:ascii="仿宋" w:hAnsi="仿宋" w:eastAsia="仿宋" w:cs="仿宋"/>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p>
        </w:tc>
      </w:tr>
    </w:tbl>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pStyle w:val="81"/>
        <w:rPr>
          <w:rFonts w:ascii="仿宋" w:hAnsi="仿宋" w:eastAsia="仿宋" w:cs="仿宋"/>
          <w:highlight w:val="none"/>
        </w:rPr>
      </w:pP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highlight w:val="none"/>
              </w:rPr>
            </w:pPr>
          </w:p>
        </w:tc>
      </w:tr>
    </w:tbl>
    <w:p>
      <w:pPr>
        <w:spacing w:line="360" w:lineRule="auto"/>
        <w:rPr>
          <w:rFonts w:ascii="仿宋" w:hAnsi="仿宋" w:eastAsia="仿宋" w:cs="仿宋"/>
          <w:b/>
          <w:sz w:val="24"/>
          <w:highlight w:val="none"/>
        </w:rPr>
      </w:pPr>
      <w:r>
        <w:rPr>
          <w:rFonts w:hint="eastAsia" w:ascii="仿宋" w:hAnsi="仿宋" w:eastAsia="仿宋" w:cs="仿宋"/>
          <w:b/>
          <w:sz w:val="24"/>
          <w:highlight w:val="none"/>
        </w:rPr>
        <w:t>注：投标人可按上述的格式自行编制，须随表提交相应的证书复印件并注明所在投标技术文件页码。</w:t>
      </w:r>
    </w:p>
    <w:p>
      <w:pPr>
        <w:pStyle w:val="81"/>
        <w:rPr>
          <w:rFonts w:ascii="仿宋" w:hAnsi="仿宋" w:eastAsia="仿宋" w:cs="仿宋"/>
          <w:highlight w:val="none"/>
        </w:rPr>
      </w:pPr>
    </w:p>
    <w:p>
      <w:pPr>
        <w:spacing w:line="360" w:lineRule="auto"/>
        <w:rPr>
          <w:rFonts w:ascii="仿宋" w:hAnsi="仿宋" w:eastAsia="仿宋" w:cs="仿宋"/>
          <w:b/>
          <w:bCs/>
          <w:sz w:val="24"/>
          <w:highlight w:val="none"/>
        </w:rPr>
      </w:pPr>
      <w:r>
        <w:rPr>
          <w:rFonts w:hint="eastAsia" w:ascii="仿宋" w:hAnsi="仿宋" w:eastAsia="仿宋" w:cs="仿宋"/>
          <w:b/>
          <w:sz w:val="24"/>
          <w:highlight w:val="none"/>
        </w:rPr>
        <w:t>附表C:本项目的项目负责人和小组人员社会保障资金记录情况表</w:t>
      </w:r>
      <w:r>
        <w:rPr>
          <w:rFonts w:hint="eastAsia" w:ascii="仿宋" w:hAnsi="仿宋" w:eastAsia="仿宋" w:cs="仿宋"/>
          <w:sz w:val="24"/>
          <w:highlight w:val="none"/>
        </w:rPr>
        <w:t>（以社保部门出具缴纳凭证作附件）</w:t>
      </w:r>
    </w:p>
    <w:p>
      <w:pPr>
        <w:spacing w:line="360" w:lineRule="auto"/>
        <w:ind w:firstLine="480" w:firstLineChars="200"/>
        <w:rPr>
          <w:rFonts w:ascii="仿宋" w:hAnsi="仿宋" w:eastAsia="仿宋" w:cs="仿宋"/>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 w:hAnsi="仿宋" w:eastAsia="仿宋" w:cs="仿宋"/>
          <w:b/>
          <w:bCs/>
          <w:sz w:val="32"/>
          <w:szCs w:val="32"/>
          <w:highlight w:val="none"/>
        </w:rPr>
      </w:pPr>
    </w:p>
    <w:p>
      <w:pPr>
        <w:snapToGrid w:val="0"/>
        <w:spacing w:line="360" w:lineRule="auto"/>
        <w:ind w:right="960"/>
        <w:rPr>
          <w:rFonts w:ascii="仿宋" w:hAnsi="仿宋" w:eastAsia="仿宋" w:cs="仿宋"/>
          <w:kern w:val="0"/>
          <w:sz w:val="24"/>
          <w:highlight w:val="none"/>
          <w:lang w:val="zh-CN"/>
        </w:rPr>
      </w:pPr>
    </w:p>
    <w:p>
      <w:pPr>
        <w:snapToGrid w:val="0"/>
        <w:spacing w:line="360" w:lineRule="auto"/>
        <w:ind w:right="960"/>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十四、</w:t>
      </w:r>
      <w:r>
        <w:rPr>
          <w:rFonts w:hint="eastAsia" w:ascii="仿宋" w:hAnsi="仿宋" w:eastAsia="仿宋" w:cs="仿宋"/>
          <w:b/>
          <w:kern w:val="0"/>
          <w:sz w:val="32"/>
          <w:szCs w:val="32"/>
          <w:highlight w:val="none"/>
          <w:lang w:val="zh-CN"/>
        </w:rPr>
        <w:t>优惠条件及特殊承诺</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 w:hAnsi="仿宋" w:eastAsia="仿宋" w:cs="仿宋"/>
          <w:b/>
          <w:bCs/>
          <w:sz w:val="18"/>
          <w:szCs w:val="18"/>
          <w:highlight w:val="none"/>
        </w:rPr>
      </w:pPr>
    </w:p>
    <w:p>
      <w:pPr>
        <w:spacing w:line="360" w:lineRule="auto"/>
        <w:rPr>
          <w:rFonts w:ascii="仿宋" w:hAnsi="仿宋" w:eastAsia="仿宋" w:cs="仿宋"/>
          <w:b/>
          <w:bCs/>
          <w:sz w:val="32"/>
          <w:szCs w:val="32"/>
          <w:highlight w:val="none"/>
        </w:rPr>
      </w:pPr>
    </w:p>
    <w:p>
      <w:pPr>
        <w:spacing w:line="360" w:lineRule="auto"/>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十五、</w:t>
      </w:r>
      <w:r>
        <w:rPr>
          <w:rFonts w:hint="eastAsia" w:ascii="仿宋" w:hAnsi="仿宋" w:eastAsia="仿宋" w:cs="仿宋"/>
          <w:b/>
          <w:kern w:val="0"/>
          <w:sz w:val="32"/>
          <w:szCs w:val="32"/>
          <w:highlight w:val="none"/>
          <w:lang w:val="zh-CN"/>
        </w:rPr>
        <w:t>备品备件及供选择的配套零部件清单</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napToGrid w:val="0"/>
        <w:spacing w:line="360" w:lineRule="auto"/>
        <w:ind w:right="960"/>
        <w:jc w:val="right"/>
        <w:rPr>
          <w:rFonts w:ascii="仿宋" w:hAnsi="仿宋" w:eastAsia="仿宋" w:cs="仿宋"/>
          <w:kern w:val="0"/>
          <w:sz w:val="24"/>
          <w:highlight w:val="none"/>
          <w:lang w:val="zh-CN"/>
        </w:rPr>
      </w:pPr>
    </w:p>
    <w:p>
      <w:pPr>
        <w:snapToGrid w:val="0"/>
        <w:spacing w:line="360" w:lineRule="auto"/>
        <w:ind w:right="960"/>
        <w:jc w:val="right"/>
        <w:rPr>
          <w:rFonts w:ascii="仿宋" w:hAnsi="仿宋" w:eastAsia="仿宋" w:cs="仿宋"/>
          <w:kern w:val="0"/>
          <w:sz w:val="24"/>
          <w:highlight w:val="none"/>
          <w:lang w:val="zh-CN"/>
        </w:rPr>
      </w:pPr>
    </w:p>
    <w:p>
      <w:pPr>
        <w:snapToGrid w:val="0"/>
        <w:spacing w:line="360" w:lineRule="auto"/>
        <w:ind w:right="960"/>
        <w:jc w:val="right"/>
        <w:rPr>
          <w:rFonts w:ascii="仿宋" w:hAnsi="仿宋" w:eastAsia="仿宋" w:cs="仿宋"/>
          <w:kern w:val="0"/>
          <w:sz w:val="24"/>
          <w:highlight w:val="none"/>
          <w:lang w:val="zh-CN"/>
        </w:rPr>
      </w:pPr>
    </w:p>
    <w:p>
      <w:pPr>
        <w:snapToGrid w:val="0"/>
        <w:spacing w:line="360" w:lineRule="auto"/>
        <w:ind w:right="960"/>
        <w:jc w:val="right"/>
        <w:rPr>
          <w:rFonts w:ascii="仿宋" w:hAnsi="仿宋" w:eastAsia="仿宋" w:cs="仿宋"/>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十六、</w:t>
      </w:r>
      <w:r>
        <w:rPr>
          <w:rFonts w:hint="eastAsia" w:ascii="仿宋" w:hAnsi="仿宋" w:eastAsia="仿宋" w:cs="仿宋"/>
          <w:b/>
          <w:kern w:val="0"/>
          <w:sz w:val="32"/>
          <w:szCs w:val="32"/>
          <w:highlight w:val="none"/>
          <w:lang w:val="zh-CN"/>
        </w:rPr>
        <w:t>培训计划</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keepNext/>
        <w:autoSpaceDE w:val="0"/>
        <w:autoSpaceDN w:val="0"/>
        <w:spacing w:line="360" w:lineRule="auto"/>
        <w:ind w:firstLine="477"/>
        <w:jc w:val="left"/>
        <w:rPr>
          <w:rFonts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ascii="仿宋" w:hAnsi="仿宋" w:eastAsia="仿宋" w:cs="仿宋"/>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十七、验收方案</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jc w:val="center"/>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30"/>
          <w:szCs w:val="30"/>
          <w:highlight w:val="none"/>
        </w:rPr>
      </w:pPr>
    </w:p>
    <w:p>
      <w:pPr>
        <w:spacing w:line="360" w:lineRule="auto"/>
        <w:jc w:val="center"/>
        <w:rPr>
          <w:rFonts w:ascii="仿宋" w:hAnsi="仿宋" w:eastAsia="仿宋" w:cs="仿宋"/>
          <w:b/>
          <w:bCs/>
          <w:sz w:val="24"/>
          <w:highlight w:val="none"/>
        </w:rPr>
      </w:pPr>
    </w:p>
    <w:p>
      <w:pPr>
        <w:spacing w:line="360" w:lineRule="auto"/>
        <w:jc w:val="center"/>
        <w:rPr>
          <w:rFonts w:ascii="仿宋" w:hAnsi="仿宋" w:eastAsia="仿宋" w:cs="仿宋"/>
          <w:b/>
          <w:bCs/>
          <w:sz w:val="24"/>
          <w:highlight w:val="none"/>
        </w:rPr>
      </w:pPr>
    </w:p>
    <w:p>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rPr>
        <w:t>十八、认为需要的</w:t>
      </w:r>
      <w:r>
        <w:rPr>
          <w:rFonts w:hint="eastAsia" w:ascii="仿宋" w:hAnsi="仿宋" w:eastAsia="仿宋" w:cs="仿宋"/>
          <w:b/>
          <w:kern w:val="0"/>
          <w:sz w:val="32"/>
          <w:szCs w:val="32"/>
          <w:highlight w:val="none"/>
          <w:lang w:val="zh-CN"/>
        </w:rPr>
        <w:t>其他商务技术（资信）文件或说明</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（由投标人根据采购需求自行编制）</w:t>
      </w:r>
    </w:p>
    <w:p>
      <w:pPr>
        <w:spacing w:line="360" w:lineRule="auto"/>
        <w:rPr>
          <w:rFonts w:ascii="仿宋" w:hAnsi="仿宋" w:eastAsia="仿宋" w:cs="仿宋"/>
          <w:sz w:val="24"/>
          <w:highlight w:val="none"/>
        </w:rPr>
      </w:pPr>
    </w:p>
    <w:p>
      <w:pPr>
        <w:pStyle w:val="81"/>
        <w:rPr>
          <w:rFonts w:ascii="仿宋" w:hAnsi="仿宋" w:eastAsia="仿宋" w:cs="仿宋"/>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2"/>
        <w:rPr>
          <w:rFonts w:ascii="仿宋" w:hAnsi="仿宋" w:eastAsia="仿宋" w:cs="仿宋"/>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jc w:val="center"/>
        <w:rPr>
          <w:rFonts w:ascii="仿宋" w:hAnsi="仿宋" w:eastAsia="仿宋" w:cs="仿宋"/>
          <w:b/>
          <w:kern w:val="0"/>
          <w:sz w:val="32"/>
          <w:szCs w:val="32"/>
          <w:highlight w:val="none"/>
        </w:rPr>
      </w:pPr>
    </w:p>
    <w:p>
      <w:pPr>
        <w:snapToGrid w:val="0"/>
        <w:spacing w:line="360" w:lineRule="auto"/>
        <w:ind w:right="480"/>
        <w:rPr>
          <w:rFonts w:ascii="仿宋" w:hAnsi="仿宋" w:eastAsia="仿宋" w:cs="仿宋"/>
          <w:b/>
          <w:kern w:val="0"/>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992"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sz w:val="24"/>
                <w:highlight w:val="none"/>
              </w:rPr>
            </w:pPr>
          </w:p>
        </w:tc>
        <w:tc>
          <w:tcPr>
            <w:tcW w:w="992"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410" w:type="dxa"/>
            <w:vAlign w:val="center"/>
          </w:tcPr>
          <w:p>
            <w:pPr>
              <w:snapToGrid w:val="0"/>
              <w:spacing w:line="360" w:lineRule="auto"/>
              <w:jc w:val="center"/>
              <w:rPr>
                <w:rFonts w:ascii="仿宋" w:hAnsi="仿宋" w:eastAsia="仿宋" w:cs="仿宋"/>
                <w:sz w:val="24"/>
                <w:highlight w:val="none"/>
              </w:rPr>
            </w:pPr>
          </w:p>
        </w:tc>
        <w:tc>
          <w:tcPr>
            <w:tcW w:w="2268" w:type="dxa"/>
            <w:vAlign w:val="center"/>
          </w:tcPr>
          <w:p>
            <w:pPr>
              <w:snapToGrid w:val="0"/>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c>
          <w:tcPr>
            <w:tcW w:w="2127" w:type="dxa"/>
          </w:tcPr>
          <w:p>
            <w:pPr>
              <w:spacing w:line="360" w:lineRule="auto"/>
              <w:jc w:val="center"/>
              <w:rPr>
                <w:rFonts w:ascii="仿宋" w:hAnsi="仿宋" w:eastAsia="仿宋" w:cs="仿宋"/>
                <w:sz w:val="24"/>
                <w:highlight w:val="none"/>
              </w:rPr>
            </w:pPr>
          </w:p>
        </w:tc>
        <w:tc>
          <w:tcPr>
            <w:tcW w:w="2126" w:type="dxa"/>
            <w:vAlign w:val="center"/>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投标折扣（小写）</w:t>
            </w:r>
          </w:p>
        </w:tc>
        <w:tc>
          <w:tcPr>
            <w:tcW w:w="8647" w:type="dxa"/>
            <w:gridSpan w:val="4"/>
          </w:tcPr>
          <w:p>
            <w:pPr>
              <w:spacing w:line="360"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投标折扣（大写）</w:t>
            </w:r>
          </w:p>
        </w:tc>
        <w:tc>
          <w:tcPr>
            <w:tcW w:w="8647" w:type="dxa"/>
            <w:gridSpan w:val="4"/>
          </w:tcPr>
          <w:p>
            <w:pPr>
              <w:spacing w:line="360" w:lineRule="auto"/>
              <w:jc w:val="center"/>
              <w:rPr>
                <w:rFonts w:ascii="仿宋" w:hAnsi="仿宋" w:eastAsia="仿宋" w:cs="仿宋"/>
                <w:sz w:val="24"/>
                <w:highlight w:val="none"/>
              </w:rPr>
            </w:pPr>
          </w:p>
        </w:tc>
      </w:tr>
    </w:tbl>
    <w:p>
      <w:pPr>
        <w:snapToGrid w:val="0"/>
        <w:spacing w:line="360" w:lineRule="auto"/>
        <w:ind w:left="480"/>
        <w:rPr>
          <w:rFonts w:ascii="仿宋" w:hAnsi="仿宋" w:eastAsia="仿宋" w:cs="仿宋"/>
          <w:b/>
          <w:color w:val="FF0000"/>
          <w:kern w:val="0"/>
          <w:sz w:val="24"/>
          <w:highlight w:val="none"/>
        </w:rPr>
      </w:pPr>
      <w:r>
        <w:rPr>
          <w:rFonts w:hint="eastAsia" w:ascii="仿宋" w:hAnsi="仿宋" w:eastAsia="仿宋" w:cs="仿宋"/>
          <w:b/>
          <w:color w:val="FF0000"/>
          <w:sz w:val="28"/>
          <w:szCs w:val="28"/>
          <w:highlight w:val="none"/>
        </w:rPr>
        <w:t>注1:</w:t>
      </w:r>
      <w:r>
        <w:rPr>
          <w:rFonts w:hint="eastAsia" w:ascii="仿宋" w:hAnsi="仿宋" w:eastAsia="仿宋" w:cs="仿宋"/>
          <w:b/>
          <w:color w:val="FF0000"/>
          <w:sz w:val="28"/>
          <w:szCs w:val="28"/>
          <w:highlight w:val="none"/>
        </w:rPr>
        <w:sym w:font="Wingdings" w:char="F0AB"/>
      </w:r>
      <w:r>
        <w:rPr>
          <w:rFonts w:hint="eastAsia" w:ascii="仿宋" w:hAnsi="仿宋" w:eastAsia="仿宋" w:cs="仿宋"/>
          <w:b/>
          <w:color w:val="FF0000"/>
          <w:kern w:val="0"/>
          <w:sz w:val="24"/>
          <w:highlight w:val="none"/>
        </w:rPr>
        <w:t>投标折扣不高于浙江省医疗服务行业物价收费标准的70%，否则视作无效投标。</w:t>
      </w:r>
    </w:p>
    <w:p>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
          <w:b/>
          <w:kern w:val="0"/>
          <w:sz w:val="24"/>
          <w:highlight w:val="none"/>
        </w:rPr>
        <w:t>2</w:t>
      </w:r>
      <w:r>
        <w:rPr>
          <w:rFonts w:hint="eastAsia" w:ascii="仿宋" w:hAnsi="仿宋" w:eastAsia="仿宋" w:cs="仿宋"/>
          <w:b/>
          <w:kern w:val="0"/>
          <w:sz w:val="24"/>
          <w:highlight w:val="none"/>
          <w:lang w:val="zh-CN"/>
        </w:rPr>
        <w:t>：</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sz w:val="24"/>
          <w:highlight w:val="none"/>
        </w:rPr>
      </w:pPr>
      <w:r>
        <w:rPr>
          <w:rFonts w:hint="eastAsia" w:ascii="仿宋" w:hAnsi="仿宋" w:eastAsia="仿宋" w:cs="仿宋"/>
          <w:sz w:val="24"/>
          <w:highlight w:val="none"/>
        </w:rPr>
        <w:t>投标人（电子签章）：</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法定代表人或其授权代表(签字或盖章)：</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：年</w:t>
      </w:r>
      <w:r>
        <w:rPr>
          <w:rFonts w:hint="eastAsia" w:ascii="仿宋" w:hAnsi="仿宋" w:eastAsia="仿宋" w:cs="仿宋"/>
          <w:kern w:val="0"/>
          <w:sz w:val="24"/>
          <w:highlight w:val="none"/>
          <w:lang w:val="zh-CN"/>
        </w:rPr>
        <w:t>月日</w:t>
      </w:r>
    </w:p>
    <w:p>
      <w:pPr>
        <w:spacing w:line="360" w:lineRule="auto"/>
        <w:ind w:firstLine="482" w:firstLineChars="200"/>
        <w:rPr>
          <w:rFonts w:ascii="仿宋" w:hAnsi="仿宋" w:eastAsia="仿宋" w:cs="仿宋"/>
          <w:b/>
          <w:kern w:val="0"/>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163" w:name="_Hlk101259491"/>
      <w:r>
        <w:rPr>
          <w:rFonts w:hint="eastAsia" w:ascii="仿宋" w:hAnsi="仿宋" w:eastAsia="仿宋" w:cs="仿宋"/>
          <w:sz w:val="32"/>
          <w:szCs w:val="32"/>
          <w:highlight w:val="none"/>
        </w:rPr>
        <w:t>（如果有）</w:t>
      </w:r>
      <w:bookmarkEnd w:id="163"/>
    </w:p>
    <w:p>
      <w:pPr>
        <w:widowControl/>
        <w:spacing w:line="360" w:lineRule="auto"/>
        <w:ind w:firstLine="120" w:firstLineChars="50"/>
        <w:jc w:val="left"/>
        <w:rPr>
          <w:rFonts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highlight w:val="none"/>
        </w:rPr>
      </w:pPr>
    </w:p>
    <w:p>
      <w:pPr>
        <w:pStyle w:val="82"/>
        <w:rPr>
          <w:rFonts w:ascii="仿宋" w:hAnsi="仿宋" w:eastAsia="仿宋" w:cs="仿宋"/>
          <w:b/>
          <w:sz w:val="24"/>
          <w:highlight w:val="none"/>
        </w:rPr>
      </w:pPr>
    </w:p>
    <w:p>
      <w:pPr>
        <w:rPr>
          <w:rFonts w:ascii="仿宋" w:hAnsi="仿宋" w:eastAsia="仿宋" w:cs="仿宋"/>
          <w:b/>
          <w:sz w:val="24"/>
          <w:highlight w:val="none"/>
        </w:rPr>
      </w:pPr>
    </w:p>
    <w:p>
      <w:pPr>
        <w:pStyle w:val="81"/>
        <w:rPr>
          <w:rFonts w:ascii="仿宋" w:hAnsi="仿宋" w:eastAsia="仿宋" w:cs="仿宋"/>
          <w:b/>
          <w:color w:val="auto"/>
          <w:highlight w:val="none"/>
        </w:rPr>
      </w:pPr>
    </w:p>
    <w:p>
      <w:pPr>
        <w:pStyle w:val="82"/>
        <w:rPr>
          <w:rFonts w:ascii="仿宋" w:hAnsi="仿宋" w:eastAsia="仿宋" w:cs="仿宋"/>
          <w:highlight w:val="none"/>
        </w:rPr>
      </w:pPr>
    </w:p>
    <w:p>
      <w:pPr>
        <w:pStyle w:val="82"/>
        <w:rPr>
          <w:rFonts w:ascii="仿宋" w:hAnsi="仿宋" w:eastAsia="仿宋" w:cs="仿宋"/>
          <w:highlight w:val="none"/>
        </w:rPr>
      </w:pPr>
    </w:p>
    <w:p>
      <w:pPr>
        <w:widowControl/>
        <w:spacing w:line="360" w:lineRule="auto"/>
        <w:ind w:firstLine="161" w:firstLineChars="50"/>
        <w:jc w:val="center"/>
        <w:rPr>
          <w:rFonts w:ascii="仿宋" w:hAnsi="仿宋" w:eastAsia="仿宋" w:cs="仿宋"/>
          <w:b/>
          <w:sz w:val="24"/>
          <w:highlight w:val="none"/>
        </w:rPr>
      </w:pPr>
      <w:r>
        <w:rPr>
          <w:rFonts w:hint="eastAsia" w:ascii="仿宋" w:hAnsi="仿宋" w:eastAsia="仿宋"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highlight w:val="none"/>
        </w:rPr>
      </w:pPr>
      <w:r>
        <w:rPr>
          <w:rFonts w:hint="eastAsia"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hint="eastAsia" w:ascii="仿宋" w:hAnsi="仿宋" w:eastAsia="仿宋" w:cs="仿宋"/>
          <w:b/>
          <w:bCs/>
          <w:snapToGrid w:val="0"/>
          <w:sz w:val="24"/>
          <w:szCs w:val="21"/>
          <w:highlight w:val="none"/>
          <w:lang w:val="zh-CN"/>
        </w:rPr>
        <w:t>)，否则不需要提供。]</w:t>
      </w:r>
    </w:p>
    <w:p>
      <w:pPr>
        <w:pStyle w:val="81"/>
        <w:widowControl/>
        <w:spacing w:line="360" w:lineRule="auto"/>
        <w:ind w:firstLine="120" w:firstLineChars="50"/>
        <w:rPr>
          <w:rFonts w:ascii="仿宋" w:hAnsi="仿宋" w:eastAsia="仿宋" w:cs="仿宋"/>
          <w:b/>
          <w:color w:val="FF0000"/>
          <w:highlight w:val="none"/>
        </w:rPr>
      </w:pPr>
    </w:p>
    <w:p>
      <w:pPr>
        <w:pStyle w:val="82"/>
        <w:spacing w:line="360" w:lineRule="auto"/>
        <w:ind w:left="0" w:firstLine="120" w:firstLineChars="50"/>
        <w:jc w:val="left"/>
        <w:rPr>
          <w:rFonts w:ascii="仿宋" w:hAnsi="仿宋" w:eastAsia="仿宋" w:cs="仿宋"/>
          <w:b/>
          <w:color w:val="FF0000"/>
          <w:sz w:val="24"/>
          <w:highlight w:val="none"/>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FF0000"/>
          <w:sz w:val="32"/>
          <w:szCs w:val="32"/>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spacing w:line="360" w:lineRule="auto"/>
        <w:ind w:right="420" w:firstLine="3614" w:firstLineChars="1000"/>
        <w:rPr>
          <w:rFonts w:ascii="仿宋" w:hAnsi="仿宋" w:eastAsia="仿宋" w:cs="仿宋"/>
          <w:b/>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164" w:name="_Toc465665161"/>
      <w:r>
        <w:rPr>
          <w:rFonts w:hint="eastAsia" w:ascii="仿宋" w:hAnsi="仿宋" w:eastAsia="仿宋" w:cs="仿宋"/>
          <w:highlight w:val="none"/>
        </w:rPr>
        <w:t>附件</w:t>
      </w:r>
      <w:bookmarkEnd w:id="164"/>
    </w:p>
    <w:p>
      <w:pPr>
        <w:spacing w:line="360" w:lineRule="auto"/>
        <w:rPr>
          <w:rFonts w:ascii="仿宋" w:hAnsi="仿宋" w:eastAsia="仿宋" w:cs="仿宋"/>
          <w:b/>
          <w:sz w:val="24"/>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 邮编：</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pPr>
        <w:snapToGrid w:val="0"/>
        <w:spacing w:line="360" w:lineRule="auto"/>
        <w:rPr>
          <w:rFonts w:ascii="仿宋" w:hAnsi="仿宋" w:eastAsia="仿宋" w:cs="仿宋"/>
          <w:sz w:val="24"/>
          <w:highlight w:val="none"/>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pPr>
        <w:snapToGrid w:val="0"/>
        <w:spacing w:line="360" w:lineRule="auto"/>
        <w:rPr>
          <w:rFonts w:ascii="仿宋" w:hAnsi="仿宋" w:eastAsia="仿宋" w:cs="仿宋"/>
          <w:sz w:val="24"/>
          <w:highlight w:val="none"/>
          <w:u w:val="dotted"/>
        </w:rPr>
      </w:pP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ascii="仿宋" w:hAnsi="仿宋" w:eastAsia="仿宋" w:cs="仿宋"/>
          <w:b/>
          <w:bCs/>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highlight w:val="none"/>
        </w:rPr>
      </w:pPr>
    </w:p>
    <w:p>
      <w:pPr>
        <w:spacing w:line="360" w:lineRule="auto"/>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p>
    <w:p>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投诉人：</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tabs>
          <w:tab w:val="left" w:pos="6510"/>
        </w:tabs>
        <w:spacing w:line="360"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pPr>
        <w:tabs>
          <w:tab w:val="left" w:pos="6510"/>
        </w:tabs>
        <w:spacing w:line="360" w:lineRule="auto"/>
        <w:rPr>
          <w:rFonts w:ascii="仿宋" w:hAnsi="仿宋" w:eastAsia="仿宋" w:cs="仿宋"/>
          <w:sz w:val="24"/>
          <w:highlight w:val="none"/>
          <w:u w:val="dotted"/>
        </w:rPr>
      </w:pPr>
      <w:r>
        <w:rPr>
          <w:rFonts w:hint="eastAsia" w:ascii="仿宋" w:hAnsi="仿宋" w:eastAsia="仿宋" w:cs="仿宋"/>
          <w:sz w:val="24"/>
          <w:highlight w:val="none"/>
        </w:rPr>
        <w:t>联系电话：</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被投诉人1：</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相关供应商：</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地     址：邮编：</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联系人：联系电话：</w:t>
      </w:r>
    </w:p>
    <w:p>
      <w:pPr>
        <w:spacing w:line="360"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采购项目编号：包号：</w:t>
      </w:r>
    </w:p>
    <w:p>
      <w:pPr>
        <w:spacing w:line="360" w:lineRule="auto"/>
        <w:rPr>
          <w:rFonts w:ascii="仿宋" w:hAnsi="仿宋" w:eastAsia="仿宋" w:cs="仿宋"/>
          <w:sz w:val="24"/>
          <w:highlight w:val="none"/>
        </w:rPr>
      </w:pPr>
      <w:r>
        <w:rPr>
          <w:rFonts w:hint="eastAsia" w:ascii="仿宋" w:hAnsi="仿宋" w:eastAsia="仿宋" w:cs="仿宋"/>
          <w:sz w:val="24"/>
          <w:highlight w:val="none"/>
        </w:rPr>
        <w:t>采购人名称：</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pPr>
        <w:spacing w:line="360"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pPr>
        <w:spacing w:line="360" w:lineRule="auto"/>
        <w:rPr>
          <w:rFonts w:ascii="仿宋" w:hAnsi="仿宋" w:eastAsia="仿宋" w:cs="仿宋"/>
          <w:sz w:val="24"/>
          <w:highlight w:val="none"/>
          <w:u w:val="dotted"/>
        </w:rPr>
      </w:pPr>
    </w:p>
    <w:p>
      <w:pPr>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pPr>
        <w:spacing w:line="360"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投诉事项 1：</w:t>
      </w:r>
    </w:p>
    <w:p>
      <w:pPr>
        <w:spacing w:line="360" w:lineRule="auto"/>
        <w:rPr>
          <w:rFonts w:ascii="仿宋" w:hAnsi="仿宋" w:eastAsia="仿宋" w:cs="仿宋"/>
          <w:sz w:val="24"/>
          <w:highlight w:val="none"/>
        </w:rPr>
      </w:pPr>
      <w:r>
        <w:rPr>
          <w:rFonts w:hint="eastAsia" w:ascii="仿宋" w:hAnsi="仿宋" w:eastAsia="仿宋" w:cs="仿宋"/>
          <w:sz w:val="24"/>
          <w:highlight w:val="none"/>
        </w:rPr>
        <w:t>事实依据：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u w:val="single"/>
        </w:rPr>
      </w:pPr>
      <w:r>
        <w:rPr>
          <w:rFonts w:hint="eastAsia" w:ascii="仿宋" w:hAnsi="仿宋" w:eastAsia="仿宋" w:cs="仿宋"/>
          <w:sz w:val="24"/>
          <w:highlight w:val="none"/>
        </w:rPr>
        <w:t>法律依据：</w:t>
      </w:r>
    </w:p>
    <w:p>
      <w:pPr>
        <w:spacing w:line="360" w:lineRule="auto"/>
        <w:rPr>
          <w:rFonts w:ascii="仿宋" w:hAnsi="仿宋" w:eastAsia="仿宋" w:cs="仿宋"/>
          <w:sz w:val="24"/>
          <w:highlight w:val="none"/>
          <w:u w:val="dotted"/>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ascii="仿宋" w:hAnsi="仿宋" w:eastAsia="仿宋" w:cs="仿宋"/>
          <w:sz w:val="24"/>
          <w:highlight w:val="none"/>
        </w:rPr>
      </w:pPr>
      <w:r>
        <w:rPr>
          <w:rFonts w:hint="eastAsia" w:ascii="仿宋" w:hAnsi="仿宋" w:eastAsia="仿宋" w:cs="仿宋"/>
          <w:sz w:val="24"/>
          <w:highlight w:val="none"/>
        </w:rPr>
        <w:t>请求：</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p>
    <w:p>
      <w:pPr>
        <w:spacing w:line="360"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ascii="仿宋" w:hAnsi="仿宋" w:eastAsia="仿宋" w:cs="仿宋"/>
          <w:sz w:val="24"/>
          <w:highlight w:val="none"/>
          <w:u w:val="single"/>
        </w:rPr>
      </w:pPr>
    </w:p>
    <w:p>
      <w:pPr>
        <w:spacing w:line="360" w:lineRule="auto"/>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pPr>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firstLine="494"/>
        <w:rPr>
          <w:rFonts w:ascii="仿宋" w:hAnsi="仿宋" w:eastAsia="仿宋" w:cs="仿宋"/>
          <w:sz w:val="24"/>
          <w:highlight w:val="none"/>
        </w:rPr>
      </w:pPr>
    </w:p>
    <w:p>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ascii="仿宋" w:hAnsi="仿宋" w:eastAsia="仿宋" w:cs="仿宋"/>
          <w:highlight w:val="none"/>
        </w:rPr>
      </w:pPr>
    </w:p>
    <w:p>
      <w:pPr>
        <w:rPr>
          <w:rFonts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61"/>
        <w:ind w:firstLine="0"/>
        <w:rPr>
          <w:rFonts w:ascii="仿宋" w:hAnsi="仿宋" w:eastAsia="仿宋" w:cs="仿宋"/>
          <w:highlight w:val="none"/>
        </w:rPr>
      </w:pPr>
    </w:p>
    <w:p>
      <w:pPr>
        <w:rPr>
          <w:rFonts w:ascii="仿宋" w:hAnsi="仿宋" w:eastAsia="仿宋" w:cs="仿宋"/>
          <w:highlight w:val="none"/>
        </w:rPr>
      </w:pPr>
    </w:p>
    <w:p>
      <w:pPr>
        <w:autoSpaceDE w:val="0"/>
        <w:autoSpaceDN w:val="0"/>
        <w:jc w:val="center"/>
        <w:rPr>
          <w:rFonts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65" w:name="_Hlk101131882"/>
      <w:r>
        <w:rPr>
          <w:rFonts w:hint="eastAsia" w:ascii="仿宋" w:hAnsi="仿宋" w:eastAsia="仿宋" w:cs="仿宋"/>
          <w:kern w:val="0"/>
          <w:sz w:val="24"/>
          <w:highlight w:val="none"/>
          <w:u w:val="single"/>
        </w:rPr>
        <w:t>联合体成员X,……</w:t>
      </w:r>
      <w:bookmarkEnd w:id="165"/>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66"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66"/>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67" w:name="_Hlk101133173"/>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67"/>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440" w:lineRule="exact"/>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napToGrid w:val="0"/>
        <w:spacing w:line="360" w:lineRule="auto"/>
        <w:ind w:firstLine="3666" w:firstLineChars="1100"/>
        <w:rPr>
          <w:rFonts w:ascii="仿宋" w:hAnsi="仿宋" w:eastAsia="仿宋" w:cs="仿宋"/>
          <w:b/>
          <w:spacing w:val="6"/>
          <w:sz w:val="32"/>
          <w:szCs w:val="32"/>
          <w:highlight w:val="none"/>
        </w:rPr>
      </w:pPr>
    </w:p>
    <w:p>
      <w:pPr>
        <w:widowControl/>
        <w:adjustRightInd/>
        <w:jc w:val="left"/>
        <w:rPr>
          <w:rFonts w:ascii="仿宋" w:hAnsi="仿宋" w:eastAsia="仿宋" w:cs="仿宋"/>
          <w:b/>
          <w:spacing w:val="6"/>
          <w:sz w:val="32"/>
          <w:szCs w:val="32"/>
          <w:highlight w:val="none"/>
        </w:rPr>
      </w:pPr>
    </w:p>
    <w:p>
      <w:pPr>
        <w:snapToGrid w:val="0"/>
        <w:spacing w:line="360"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440" w:lineRule="exact"/>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spacing w:line="440" w:lineRule="exact"/>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440" w:lineRule="exact"/>
        <w:rPr>
          <w:rFonts w:ascii="仿宋" w:hAnsi="仿宋" w:eastAsia="仿宋" w:cs="仿宋"/>
          <w:highlight w:val="none"/>
        </w:rPr>
      </w:pP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440" w:lineRule="exact"/>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440" w:lineRule="exact"/>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440" w:lineRule="exact"/>
        <w:ind w:firstLine="576"/>
        <w:rPr>
          <w:rFonts w:ascii="仿宋" w:hAnsi="仿宋" w:eastAsia="仿宋" w:cs="仿宋"/>
          <w:highlight w:val="none"/>
          <w:u w:val="single"/>
        </w:rPr>
      </w:pP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440" w:lineRule="exact"/>
        <w:ind w:firstLine="576"/>
        <w:rPr>
          <w:rFonts w:ascii="仿宋" w:hAnsi="仿宋" w:eastAsia="仿宋" w:cs="仿宋"/>
          <w:kern w:val="0"/>
          <w:sz w:val="24"/>
          <w:highlight w:val="none"/>
          <w:lang w:val="zh-CN"/>
        </w:rPr>
      </w:pP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440" w:lineRule="exact"/>
        <w:rPr>
          <w:rFonts w:ascii="仿宋" w:hAnsi="仿宋" w:eastAsia="仿宋" w:cs="仿宋"/>
          <w:kern w:val="0"/>
          <w:sz w:val="24"/>
          <w:highlight w:val="none"/>
          <w:lang w:val="zh-CN"/>
        </w:rPr>
      </w:pPr>
    </w:p>
    <w:p>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440" w:lineRule="exact"/>
        <w:ind w:firstLine="576"/>
        <w:rPr>
          <w:rFonts w:ascii="仿宋" w:hAnsi="仿宋" w:eastAsia="仿宋" w:cs="仿宋"/>
          <w:kern w:val="0"/>
          <w:sz w:val="24"/>
          <w:highlight w:val="none"/>
          <w:lang w:val="zh-CN"/>
        </w:rPr>
      </w:pP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440" w:lineRule="exact"/>
        <w:ind w:firstLine="576"/>
        <w:rPr>
          <w:rFonts w:ascii="仿宋" w:hAnsi="仿宋" w:eastAsia="仿宋" w:cs="仿宋"/>
          <w:kern w:val="0"/>
          <w:sz w:val="24"/>
          <w:highlight w:val="none"/>
          <w:lang w:val="zh-CN"/>
        </w:rPr>
      </w:pPr>
    </w:p>
    <w:p>
      <w:pPr>
        <w:snapToGrid w:val="0"/>
        <w:spacing w:line="440" w:lineRule="exact"/>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中小企业合同金额达到%，小微企业合同金额达到%</w:t>
      </w:r>
      <w:r>
        <w:rPr>
          <w:rFonts w:hint="eastAsia" w:ascii="仿宋" w:hAnsi="仿宋" w:eastAsia="仿宋" w:cs="仿宋"/>
          <w:kern w:val="0"/>
          <w:sz w:val="24"/>
          <w:highlight w:val="none"/>
          <w:lang w:val="zh-CN"/>
        </w:rPr>
        <w:t xml:space="preserve">  。                                           投标人名称(电子签名)：</w:t>
      </w:r>
    </w:p>
    <w:p>
      <w:pPr>
        <w:snapToGrid w:val="0"/>
        <w:spacing w:line="440" w:lineRule="exact"/>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440" w:lineRule="exact"/>
        <w:ind w:left="5040"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440" w:lineRule="exact"/>
        <w:rPr>
          <w:rFonts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b/>
          <w:spacing w:val="6"/>
          <w:sz w:val="32"/>
          <w:szCs w:val="32"/>
          <w:highlight w:val="none"/>
        </w:rPr>
      </w:pPr>
    </w:p>
    <w:p>
      <w:pPr>
        <w:pStyle w:val="82"/>
        <w:rPr>
          <w:rFonts w:ascii="仿宋" w:hAnsi="仿宋" w:eastAsia="仿宋" w:cs="仿宋"/>
          <w:b/>
          <w:spacing w:val="6"/>
          <w:sz w:val="32"/>
          <w:szCs w:val="32"/>
          <w:highlight w:val="none"/>
        </w:rPr>
      </w:pPr>
    </w:p>
    <w:p>
      <w:pPr>
        <w:rPr>
          <w:rFonts w:ascii="仿宋" w:hAnsi="仿宋" w:eastAsia="仿宋" w:cs="仿宋"/>
          <w:b/>
          <w:spacing w:val="6"/>
          <w:sz w:val="32"/>
          <w:szCs w:val="32"/>
          <w:highlight w:val="none"/>
        </w:rPr>
      </w:pPr>
    </w:p>
    <w:p>
      <w:pPr>
        <w:pStyle w:val="81"/>
        <w:rPr>
          <w:rFonts w:ascii="仿宋" w:hAnsi="仿宋" w:eastAsia="仿宋" w:cs="仿宋"/>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68" w:name="OLE_LINK14"/>
      <w:bookmarkStart w:id="169" w:name="OLE_LINK13"/>
      <w:r>
        <w:rPr>
          <w:rFonts w:hint="eastAsia" w:ascii="仿宋" w:hAnsi="仿宋" w:eastAsia="仿宋" w:cs="仿宋"/>
          <w:b/>
          <w:spacing w:val="6"/>
          <w:sz w:val="32"/>
          <w:szCs w:val="32"/>
          <w:highlight w:val="none"/>
        </w:rPr>
        <w:t>残疾人福利性单位声明函</w:t>
      </w:r>
    </w:p>
    <w:bookmarkEnd w:id="168"/>
    <w:bookmarkEnd w:id="169"/>
    <w:p>
      <w:pPr>
        <w:spacing w:line="360" w:lineRule="auto"/>
        <w:rPr>
          <w:rFonts w:ascii="仿宋" w:hAnsi="仿宋" w:eastAsia="仿宋" w:cs="仿宋"/>
          <w:b/>
          <w:spacing w:val="6"/>
          <w:sz w:val="30"/>
          <w:szCs w:val="30"/>
          <w:highlight w:val="none"/>
        </w:rPr>
      </w:pP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ascii="仿宋" w:hAnsi="仿宋" w:eastAsia="仿宋" w:cs="仿宋"/>
          <w:sz w:val="24"/>
          <w:highlight w:val="none"/>
        </w:rPr>
      </w:pPr>
    </w:p>
    <w:p>
      <w:pPr>
        <w:spacing w:line="360" w:lineRule="auto"/>
        <w:ind w:firstLine="480" w:firstLineChars="200"/>
        <w:rPr>
          <w:rFonts w:ascii="仿宋" w:hAnsi="仿宋" w:eastAsia="仿宋" w:cs="仿宋"/>
          <w:sz w:val="24"/>
          <w:highlight w:val="none"/>
        </w:rPr>
      </w:pP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autoSpaceDE w:val="0"/>
        <w:autoSpaceDN w:val="0"/>
        <w:jc w:val="center"/>
        <w:rPr>
          <w:rFonts w:ascii="仿宋" w:hAnsi="仿宋" w:eastAsia="仿宋" w:cs="仿宋"/>
          <w:b/>
          <w:spacing w:val="6"/>
          <w:sz w:val="32"/>
          <w:szCs w:val="32"/>
          <w:highlight w:val="none"/>
        </w:rPr>
      </w:pPr>
    </w:p>
    <w:p>
      <w:pPr>
        <w:pStyle w:val="23"/>
        <w:rPr>
          <w:rFonts w:ascii="仿宋" w:hAnsi="仿宋" w:eastAsia="仿宋" w:cs="仿宋"/>
          <w:highlight w:val="none"/>
        </w:rPr>
      </w:pPr>
    </w:p>
    <w:p>
      <w:pPr>
        <w:snapToGrid w:val="0"/>
        <w:spacing w:line="360" w:lineRule="auto"/>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spacing w:line="360" w:lineRule="auto"/>
        <w:jc w:val="center"/>
        <w:rPr>
          <w:rFonts w:ascii="仿宋" w:hAnsi="仿宋" w:eastAsia="仿宋" w:cs="仿宋"/>
          <w:sz w:val="24"/>
          <w:highlight w:val="none"/>
          <w:u w:val="single"/>
        </w:rPr>
      </w:pP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pPr>
        <w:spacing w:line="360"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（项目名称）</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60" w:lineRule="auto"/>
        <w:ind w:right="1760"/>
        <w:jc w:val="right"/>
        <w:rPr>
          <w:rFonts w:ascii="仿宋" w:hAnsi="仿宋" w:eastAsia="仿宋" w:cs="仿宋"/>
          <w:sz w:val="24"/>
          <w:highlight w:val="none"/>
        </w:rPr>
      </w:pPr>
      <w:r>
        <w:rPr>
          <w:rFonts w:hint="eastAsia" w:ascii="仿宋" w:hAnsi="仿宋" w:eastAsia="仿宋" w:cs="仿宋"/>
          <w:sz w:val="24"/>
          <w:highlight w:val="none"/>
        </w:rPr>
        <w:t>投标人名称（电子签名）：</w:t>
      </w:r>
    </w:p>
    <w:p>
      <w:pPr>
        <w:spacing w:line="360" w:lineRule="auto"/>
        <w:ind w:right="1120"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60"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sz w:val="24"/>
          <w:highlight w:val="none"/>
        </w:rPr>
      </w:pP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highlight w:val="none"/>
        </w:rPr>
      </w:pPr>
    </w:p>
    <w:p>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rPr>
          <w:rFonts w:ascii="仿宋" w:hAnsi="仿宋" w:eastAsia="仿宋" w:cs="仿宋"/>
          <w:highlight w:val="none"/>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highlight w:val="none"/>
              </w:rPr>
            </w:pP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ascii="仿宋" w:hAnsi="仿宋" w:eastAsia="仿宋" w:cs="仿宋"/>
          <w:kern w:val="0"/>
          <w:sz w:val="24"/>
          <w:highlight w:val="none"/>
        </w:rPr>
      </w:pPr>
    </w:p>
    <w:p>
      <w:pPr>
        <w:widowControl/>
        <w:jc w:val="left"/>
        <w:rPr>
          <w:rFonts w:ascii="仿宋" w:hAnsi="仿宋" w:eastAsia="仿宋" w:cs="仿宋"/>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jc w:val="left"/>
        <w:rPr>
          <w:rFonts w:ascii="仿宋" w:hAnsi="仿宋" w:eastAsia="仿宋" w:cs="仿宋"/>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highlight w:val="none"/>
              </w:rPr>
            </w:pPr>
          </w:p>
        </w:tc>
        <w:tc>
          <w:tcPr>
            <w:tcW w:w="1025" w:type="dxa"/>
            <w:vMerge w:val="continue"/>
            <w:vAlign w:val="center"/>
          </w:tcPr>
          <w:p>
            <w:pPr>
              <w:widowControl/>
              <w:jc w:val="left"/>
              <w:rPr>
                <w:rFonts w:ascii="仿宋" w:hAnsi="仿宋" w:eastAsia="仿宋" w:cs="仿宋"/>
                <w:kern w:val="0"/>
                <w:sz w:val="24"/>
                <w:highlight w:val="none"/>
              </w:rPr>
            </w:pPr>
          </w:p>
        </w:tc>
        <w:tc>
          <w:tcPr>
            <w:tcW w:w="2836" w:type="dxa"/>
            <w:vMerge w:val="continue"/>
            <w:vAlign w:val="center"/>
          </w:tcPr>
          <w:p>
            <w:pPr>
              <w:widowControl/>
              <w:jc w:val="left"/>
              <w:rPr>
                <w:rFonts w:ascii="仿宋" w:hAnsi="仿宋" w:eastAsia="仿宋" w:cs="仿宋"/>
                <w:kern w:val="0"/>
                <w:sz w:val="24"/>
                <w:highlight w:val="none"/>
              </w:rPr>
            </w:pPr>
          </w:p>
        </w:tc>
        <w:tc>
          <w:tcPr>
            <w:tcW w:w="60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 w:hAnsi="仿宋" w:eastAsia="仿宋" w:cs="仿宋"/>
          <w:sz w:val="24"/>
          <w:highlight w:val="none"/>
        </w:rPr>
      </w:pPr>
    </w:p>
    <w:p>
      <w:pPr>
        <w:ind w:firstLine="420" w:firstLineChars="200"/>
        <w:rPr>
          <w:rFonts w:ascii="仿宋" w:hAnsi="仿宋" w:eastAsia="仿宋" w:cs="仿宋"/>
          <w:highlight w:val="none"/>
        </w:rPr>
      </w:pPr>
    </w:p>
    <w:p>
      <w:pPr>
        <w:spacing w:line="360" w:lineRule="auto"/>
        <w:ind w:right="420"/>
        <w:rPr>
          <w:rFonts w:ascii="仿宋" w:hAnsi="仿宋" w:eastAsia="仿宋" w:cs="仿宋"/>
          <w:highlight w:val="none"/>
        </w:rPr>
      </w:pPr>
    </w:p>
    <w:p>
      <w:pPr>
        <w:spacing w:line="360" w:lineRule="auto"/>
        <w:rPr>
          <w:rFonts w:ascii="仿宋" w:hAnsi="仿宋" w:eastAsia="仿宋" w:cs="仿宋"/>
          <w:bCs/>
          <w:sz w:val="24"/>
          <w:highlight w:val="none"/>
        </w:rPr>
      </w:pPr>
    </w:p>
    <w:p>
      <w:pPr>
        <w:spacing w:line="360" w:lineRule="auto"/>
        <w:jc w:val="center"/>
        <w:rPr>
          <w:rFonts w:ascii="仿宋" w:hAnsi="仿宋" w:eastAsia="仿宋" w:cs="仿宋"/>
          <w:b/>
          <w:sz w:val="32"/>
          <w:szCs w:val="32"/>
          <w:highlight w:val="none"/>
        </w:rPr>
      </w:pPr>
    </w:p>
    <w:p>
      <w:pPr>
        <w:spacing w:line="360" w:lineRule="auto"/>
        <w:rPr>
          <w:rFonts w:ascii="仿宋" w:hAnsi="仿宋" w:eastAsia="仿宋" w:cs="仿宋"/>
          <w:bCs/>
          <w:sz w:val="24"/>
          <w:highlight w:val="none"/>
        </w:rPr>
      </w:pPr>
    </w:p>
    <w:bookmarkEnd w:id="170"/>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XowM0BAACoAwAADgAAAGRycy9lMm9Eb2MueG1srVPNjtMwEL4j8Q6W&#10;7zRpB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r+ijMnLD345fu3y49fl59f2fJl&#10;0qcPWFHZXaDCOLz1A23NHEcKJtpDCzZ9iRCjPKl7vqqrhshkurRerdclpSTlZofwi4frATC+U96y&#10;ZNQc6PmyquL0AeNYOpekbs7famPyExr3V4Awx4jKOzDdTkzGiZMVh/0w0dv75kzsetqDmjtae87M&#10;e0cyp5WZDZiN/WwcA+hDl3cqdcfw5hhppDxp6jDCEsPk0ANmrtOypQ35089VDz/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PbXowM0BAACoAwAADgAAAAAAAAABACAAAAAeAQAAZHJzL2Uy&#10;b0RvYy54bWxQSwUGAAAAAAYABgBZAQAAX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w0bs4BAACo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Now/60OWdSt3RvzlGGilPmjqMsMQwOfSAmeu0bGlDHvu56uEH2/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5MNG7OAQAAqAMAAA4AAAAAAAAAAQAgAAAAHgEAAGRycy9l&#10;Mm9Eb2MueG1sUEsFBgAAAAAGAAYAWQEAAF4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vzais4BAACo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Gfj6IM+dHmnUnf0b46RRsqTpg4jLDFMDj1g5jotW9qQx36uevjB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L82orOAQAAqAMAAA4AAAAAAAAAAQAgAAAAHgEAAGRycy9l&#10;Mm9Eb2MueG1sUEsFBgAAAAAGAAYAWQEAAF4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92</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BjEeKrOAQAAqAMAAA4AAAAAAAAAAQAgAAAAHgEAAGRycy9l&#10;Mm9Eb2MueG1sUEsFBgAAAAAGAAYAWQEAAF4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Y0p80BAACo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rNx8EHtu7xTqTv420PEkfKkqcMIiwyTgw+YuU7LljbkTz9XPf9g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gY0p80BAACoAwAADgAAAAAAAAABACAAAAAeAQAAZHJzL2Uy&#10;b0RvYy54bWxQSwUGAAAAAAYABgBZAQAAX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MmjFTLAQAAqAMAAA4AAAAAAAAAAQAgAAAAHgEAAGRycy9lMm9E&#10;b2MueG1sUEsFBgAAAAAGAAYAWQEAAFsFA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N9Q+s0BAACoAwAADgAAAAAAAAABACAAAAAeAQAAZHJzL2Uy&#10;b0RvYy54bWxQSwUGAAAAAAYABgBZAQAAX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G++Hs0BAACoAwAADgAAAGRycy9lMm9Eb2MueG1srVPNjtMwEL4j8Q6W&#10;7zRpk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1X&#10;SZ8+YEVlD4EK43DnB9qaOY4UTLSHFmz6EiFGeVL3fFVXDZHJdGm9Wq9LSknKzQ7hF4/XA2B8q7xl&#10;yag50PNlVcXpPcaxdC5J3Zy/18bkJzTurwBhjhGVd2C6nZiMEycrDvthorf3zZnY9bQHNXe09pyZ&#10;d45kTiszGzAb+9k4BtCHLu9U6o7h9hhppDxp6jDCEsPk0ANmrtOypQ35089Vjz/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G++Hs0BAACoAwAADgAAAAAAAAABACAAAAAeAQAAZHJzL2Uy&#10;b0RvYy54bWxQSwUGAAAAAAYABgBZAQAAX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yuYfM0BAACoAwAADgAAAGRycy9lMm9Eb2MueG1srVPNjtMwEL4j8Q6W&#10;7zRpQ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r+ijMnLD345fu3y49fl59f2fJl&#10;0qcPWFHZXaDCOLz1A23NHEcKJtpDCzZ9iRCjPKl7vqqrhshkurRerdclpSTlZofwi4frATC+U96y&#10;ZNQc6PmyquL0AeNYOpekbs7famPyExr3V4Awx4jKOzDdTkzGiZMVh/0w0dv75kzsetqDmjtae87M&#10;e0cyp5WZDZiN/WwcA+hDl3cqdcfw5hhppDxp6jDCEsPk0ANmrtOypQ35089VDz/Y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lyuYfM0BAACoAwAADgAAAAAAAAABACAAAAAeAQAAZHJzL2Uy&#10;b0RvYy54bWxQSwUGAAAAAAYABgBZAQAAXQUAAAAA&#10;">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329F79"/>
    <w:multiLevelType w:val="singleLevel"/>
    <w:tmpl w:val="F7329F79"/>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iMGZiMDUyMzAwNjhkMjRhMWY0NmRhNThjNzIxYWEifQ=="/>
    <w:docVar w:name="KY_MEDREF_DOCUID" w:val="{D139A438-43EB-42F5-B4B0-BA37FFA6356F}"/>
    <w:docVar w:name="KY_MEDREF_VERSION" w:val="3"/>
  </w:docVars>
  <w:rsids>
    <w:rsidRoot w:val="00FE19E4"/>
    <w:rsid w:val="00097980"/>
    <w:rsid w:val="00265606"/>
    <w:rsid w:val="0029229B"/>
    <w:rsid w:val="003136A4"/>
    <w:rsid w:val="003726DD"/>
    <w:rsid w:val="003D3809"/>
    <w:rsid w:val="004D3833"/>
    <w:rsid w:val="00544615"/>
    <w:rsid w:val="005E58EE"/>
    <w:rsid w:val="00606235"/>
    <w:rsid w:val="006065F2"/>
    <w:rsid w:val="00762AFD"/>
    <w:rsid w:val="007A04FE"/>
    <w:rsid w:val="00810E12"/>
    <w:rsid w:val="009666FA"/>
    <w:rsid w:val="00973001"/>
    <w:rsid w:val="009C0611"/>
    <w:rsid w:val="00A12C64"/>
    <w:rsid w:val="00A36AA3"/>
    <w:rsid w:val="00B0375D"/>
    <w:rsid w:val="00B43A77"/>
    <w:rsid w:val="00B5574D"/>
    <w:rsid w:val="00BE3742"/>
    <w:rsid w:val="00C05635"/>
    <w:rsid w:val="00C21384"/>
    <w:rsid w:val="00C3538A"/>
    <w:rsid w:val="00C44319"/>
    <w:rsid w:val="00F771C9"/>
    <w:rsid w:val="00FE19E4"/>
    <w:rsid w:val="01537FD5"/>
    <w:rsid w:val="018E25D5"/>
    <w:rsid w:val="02555ED9"/>
    <w:rsid w:val="02686C0F"/>
    <w:rsid w:val="02A464AF"/>
    <w:rsid w:val="033E089E"/>
    <w:rsid w:val="04A0304E"/>
    <w:rsid w:val="05EC0271"/>
    <w:rsid w:val="06293B3C"/>
    <w:rsid w:val="06D74677"/>
    <w:rsid w:val="09324EE4"/>
    <w:rsid w:val="0983157E"/>
    <w:rsid w:val="0B410AFB"/>
    <w:rsid w:val="0BE300B2"/>
    <w:rsid w:val="0CA23AC9"/>
    <w:rsid w:val="0DF56E34"/>
    <w:rsid w:val="0ED2440E"/>
    <w:rsid w:val="0FA0239A"/>
    <w:rsid w:val="0FFF466D"/>
    <w:rsid w:val="107B74BD"/>
    <w:rsid w:val="10C81F6C"/>
    <w:rsid w:val="11E20829"/>
    <w:rsid w:val="133236CD"/>
    <w:rsid w:val="14127BE9"/>
    <w:rsid w:val="15520D07"/>
    <w:rsid w:val="158D1A3D"/>
    <w:rsid w:val="15BD1974"/>
    <w:rsid w:val="160615DC"/>
    <w:rsid w:val="169E17AF"/>
    <w:rsid w:val="17044D8B"/>
    <w:rsid w:val="195210FF"/>
    <w:rsid w:val="1A3D47E6"/>
    <w:rsid w:val="1A756CC1"/>
    <w:rsid w:val="1A7E6E3B"/>
    <w:rsid w:val="1AF5395E"/>
    <w:rsid w:val="1DE03F03"/>
    <w:rsid w:val="1F4629DA"/>
    <w:rsid w:val="1FEF5F97"/>
    <w:rsid w:val="20A06A1E"/>
    <w:rsid w:val="26395128"/>
    <w:rsid w:val="27593B6D"/>
    <w:rsid w:val="27D03AD8"/>
    <w:rsid w:val="27FE126C"/>
    <w:rsid w:val="28412A56"/>
    <w:rsid w:val="287109F2"/>
    <w:rsid w:val="292E4C0A"/>
    <w:rsid w:val="2B8111D0"/>
    <w:rsid w:val="2C5B01CA"/>
    <w:rsid w:val="2CAC2788"/>
    <w:rsid w:val="2CDA6E57"/>
    <w:rsid w:val="2F6A71CD"/>
    <w:rsid w:val="312C03B7"/>
    <w:rsid w:val="326367BE"/>
    <w:rsid w:val="32887659"/>
    <w:rsid w:val="335F4CCE"/>
    <w:rsid w:val="35B3088B"/>
    <w:rsid w:val="360337E4"/>
    <w:rsid w:val="382314C3"/>
    <w:rsid w:val="38787C50"/>
    <w:rsid w:val="3B9925B2"/>
    <w:rsid w:val="3E02162D"/>
    <w:rsid w:val="3F326AC0"/>
    <w:rsid w:val="40711049"/>
    <w:rsid w:val="41AD1F74"/>
    <w:rsid w:val="42657940"/>
    <w:rsid w:val="445175A7"/>
    <w:rsid w:val="44CE3311"/>
    <w:rsid w:val="44D530D8"/>
    <w:rsid w:val="47B16CDB"/>
    <w:rsid w:val="48190115"/>
    <w:rsid w:val="4AB50890"/>
    <w:rsid w:val="4B4734B2"/>
    <w:rsid w:val="4BA45F7F"/>
    <w:rsid w:val="4BC90A28"/>
    <w:rsid w:val="4BEA27BB"/>
    <w:rsid w:val="4CC60E2B"/>
    <w:rsid w:val="4CC6399D"/>
    <w:rsid w:val="4DE4148C"/>
    <w:rsid w:val="4F400A92"/>
    <w:rsid w:val="4FAE554B"/>
    <w:rsid w:val="4FCB3F96"/>
    <w:rsid w:val="50C301CB"/>
    <w:rsid w:val="519D5BDA"/>
    <w:rsid w:val="51E15FA0"/>
    <w:rsid w:val="525C57CC"/>
    <w:rsid w:val="535D4B9C"/>
    <w:rsid w:val="54AE6E9B"/>
    <w:rsid w:val="551D06C8"/>
    <w:rsid w:val="56797191"/>
    <w:rsid w:val="57DAE6E1"/>
    <w:rsid w:val="599947F9"/>
    <w:rsid w:val="59CC5A1A"/>
    <w:rsid w:val="5A356F55"/>
    <w:rsid w:val="5B2F1F99"/>
    <w:rsid w:val="5BB833B1"/>
    <w:rsid w:val="5C2E3077"/>
    <w:rsid w:val="5DDC70C9"/>
    <w:rsid w:val="5EA17159"/>
    <w:rsid w:val="5F5E41E5"/>
    <w:rsid w:val="5F665FB3"/>
    <w:rsid w:val="5F847B5D"/>
    <w:rsid w:val="61077826"/>
    <w:rsid w:val="61476187"/>
    <w:rsid w:val="62582054"/>
    <w:rsid w:val="627A1383"/>
    <w:rsid w:val="62973D0C"/>
    <w:rsid w:val="642152E2"/>
    <w:rsid w:val="64E9765C"/>
    <w:rsid w:val="65077AE2"/>
    <w:rsid w:val="66682803"/>
    <w:rsid w:val="66FE5F4E"/>
    <w:rsid w:val="67530616"/>
    <w:rsid w:val="68102CDA"/>
    <w:rsid w:val="68F335BD"/>
    <w:rsid w:val="690A2A0B"/>
    <w:rsid w:val="6AEF1016"/>
    <w:rsid w:val="6B124017"/>
    <w:rsid w:val="6C2430E3"/>
    <w:rsid w:val="6E2C3950"/>
    <w:rsid w:val="6E875A5A"/>
    <w:rsid w:val="6F8151E6"/>
    <w:rsid w:val="725453F3"/>
    <w:rsid w:val="729E74BD"/>
    <w:rsid w:val="75814997"/>
    <w:rsid w:val="7BF4049A"/>
    <w:rsid w:val="7C5A5426"/>
    <w:rsid w:val="7C9E459A"/>
    <w:rsid w:val="7D133AE0"/>
    <w:rsid w:val="7D5A5359"/>
    <w:rsid w:val="7DC65163"/>
    <w:rsid w:val="7EB7B118"/>
    <w:rsid w:val="7EF4589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8247</Words>
  <Characters>47009</Characters>
  <Lines>391</Lines>
  <Paragraphs>110</Paragraphs>
  <TotalTime>54</TotalTime>
  <ScaleCrop>false</ScaleCrop>
  <LinksUpToDate>false</LinksUpToDate>
  <CharactersWithSpaces>55146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win10</cp:lastModifiedBy>
  <cp:lastPrinted>2021-12-28T11:06:00Z</cp:lastPrinted>
  <dcterms:modified xsi:type="dcterms:W3CDTF">2023-10-30T07:12:47Z</dcterms:modified>
  <dc:title>杭州市市民卡扩大发卡工程</dc:title>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ED210E99AFCE4913937A5989527577AD_13</vt:lpwstr>
  </property>
</Properties>
</file>