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pacing w:val="-12"/>
          <w:sz w:val="48"/>
          <w:szCs w:val="48"/>
        </w:rPr>
      </w:pPr>
    </w:p>
    <w:p>
      <w:pPr>
        <w:jc w:val="center"/>
        <w:outlineLvl w:val="0"/>
        <w:rPr>
          <w:rFonts w:hint="eastAsia" w:ascii="仿宋" w:hAnsi="仿宋" w:eastAsia="仿宋" w:cs="仿宋"/>
          <w:b/>
          <w:color w:val="auto"/>
          <w:spacing w:val="-12"/>
          <w:sz w:val="48"/>
          <w:szCs w:val="48"/>
        </w:rPr>
      </w:pPr>
      <w:r>
        <w:rPr>
          <w:rFonts w:hint="eastAsia" w:ascii="仿宋" w:hAnsi="仿宋" w:eastAsia="仿宋" w:cs="仿宋"/>
          <w:b/>
          <w:color w:val="auto"/>
          <w:spacing w:val="-12"/>
          <w:sz w:val="48"/>
          <w:szCs w:val="48"/>
        </w:rPr>
        <w:t>绍兴市人民医院</w:t>
      </w:r>
      <w:r>
        <w:rPr>
          <w:rFonts w:hint="eastAsia" w:ascii="仿宋" w:hAnsi="仿宋" w:eastAsia="仿宋" w:cs="仿宋"/>
          <w:b/>
          <w:color w:val="auto"/>
          <w:spacing w:val="-12"/>
          <w:sz w:val="48"/>
          <w:szCs w:val="48"/>
          <w:lang w:eastAsia="zh-Hans"/>
        </w:rPr>
        <w:t>移动护理手持终端</w:t>
      </w:r>
      <w:r>
        <w:rPr>
          <w:rFonts w:hint="eastAsia" w:ascii="仿宋" w:hAnsi="仿宋" w:eastAsia="仿宋" w:cs="仿宋"/>
          <w:b/>
          <w:color w:val="auto"/>
          <w:spacing w:val="-12"/>
          <w:sz w:val="48"/>
          <w:szCs w:val="48"/>
        </w:rPr>
        <w:t>采购</w:t>
      </w:r>
    </w:p>
    <w:p>
      <w:pPr>
        <w:jc w:val="center"/>
        <w:outlineLvl w:val="0"/>
        <w:rPr>
          <w:rFonts w:hint="eastAsia" w:ascii="仿宋" w:hAnsi="仿宋" w:eastAsia="仿宋" w:cs="仿宋"/>
          <w:color w:val="auto"/>
          <w:sz w:val="44"/>
        </w:rPr>
      </w:pPr>
      <w:r>
        <w:rPr>
          <w:rFonts w:hint="eastAsia" w:ascii="仿宋" w:hAnsi="仿宋" w:eastAsia="仿宋" w:cs="仿宋"/>
          <w:b/>
          <w:color w:val="auto"/>
          <w:spacing w:val="-12"/>
          <w:sz w:val="48"/>
          <w:szCs w:val="48"/>
        </w:rPr>
        <w:t>和双容灾数据中心采购项目</w:t>
      </w:r>
    </w:p>
    <w:p>
      <w:pPr>
        <w:outlineLvl w:val="0"/>
        <w:rPr>
          <w:rFonts w:hint="eastAsia" w:ascii="仿宋" w:hAnsi="仿宋" w:eastAsia="仿宋" w:cs="仿宋"/>
          <w:color w:val="auto"/>
          <w:sz w:val="44"/>
        </w:rPr>
      </w:pPr>
    </w:p>
    <w:p>
      <w:pPr>
        <w:outlineLvl w:val="0"/>
        <w:rPr>
          <w:rFonts w:hint="eastAsia" w:ascii="仿宋" w:hAnsi="仿宋" w:eastAsia="仿宋" w:cs="仿宋"/>
          <w:color w:val="auto"/>
          <w:sz w:val="44"/>
        </w:rPr>
      </w:pP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pPr>
        <w:jc w:val="center"/>
        <w:outlineLvl w:val="0"/>
        <w:rPr>
          <w:rFonts w:hint="eastAsia" w:ascii="仿宋" w:hAnsi="仿宋" w:eastAsia="仿宋" w:cs="仿宋"/>
          <w:color w:val="auto"/>
          <w:sz w:val="44"/>
        </w:rPr>
      </w:pPr>
      <w:r>
        <w:rPr>
          <w:rFonts w:hint="eastAsia" w:ascii="仿宋" w:hAnsi="仿宋" w:eastAsia="仿宋" w:cs="仿宋"/>
          <w:color w:val="auto"/>
          <w:sz w:val="44"/>
        </w:rPr>
        <w:t>（电子招投标）</w:t>
      </w:r>
    </w:p>
    <w:p>
      <w:pPr>
        <w:jc w:val="center"/>
        <w:outlineLvl w:val="0"/>
        <w:rPr>
          <w:rFonts w:hint="eastAsia" w:ascii="仿宋" w:hAnsi="仿宋" w:eastAsia="仿宋" w:cs="仿宋"/>
          <w:color w:val="auto"/>
          <w:sz w:val="44"/>
        </w:rPr>
      </w:pPr>
    </w:p>
    <w:p>
      <w:pPr>
        <w:jc w:val="center"/>
        <w:outlineLvl w:val="0"/>
        <w:rPr>
          <w:rFonts w:hint="eastAsia" w:ascii="仿宋" w:hAnsi="仿宋" w:eastAsia="仿宋" w:cs="仿宋"/>
          <w:color w:val="auto"/>
          <w:sz w:val="44"/>
        </w:rPr>
      </w:pPr>
    </w:p>
    <w:p>
      <w:pPr>
        <w:jc w:val="center"/>
        <w:outlineLvl w:val="0"/>
        <w:rPr>
          <w:rFonts w:hint="eastAsia" w:ascii="仿宋" w:hAnsi="仿宋" w:eastAsia="仿宋" w:cs="仿宋"/>
          <w:color w:val="auto"/>
          <w:sz w:val="44"/>
        </w:rPr>
      </w:pPr>
    </w:p>
    <w:p>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招标编号:HCSF</w:t>
      </w:r>
      <w:r>
        <w:rPr>
          <w:rFonts w:hint="eastAsia" w:ascii="仿宋" w:hAnsi="仿宋" w:eastAsia="仿宋" w:cs="仿宋"/>
          <w:color w:val="auto"/>
          <w:sz w:val="26"/>
        </w:rPr>
        <w:t>-2022-039</w:t>
      </w:r>
    </w:p>
    <w:tbl>
      <w:tblPr>
        <w:tblStyle w:val="4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pPr>
              <w:spacing w:line="320" w:lineRule="exact"/>
              <w:outlineLvl w:val="0"/>
              <w:rPr>
                <w:rFonts w:hint="eastAsia" w:ascii="仿宋" w:hAnsi="仿宋" w:eastAsia="仿宋" w:cs="仿宋"/>
                <w:color w:val="auto"/>
                <w:sz w:val="28"/>
                <w:szCs w:val="28"/>
              </w:rPr>
            </w:pPr>
            <w:r>
              <w:rPr>
                <w:rFonts w:hint="eastAsia" w:ascii="仿宋" w:hAnsi="仿宋" w:eastAsia="仿宋" w:cs="仿宋"/>
                <w:color w:val="auto"/>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0"/>
                <w:kern w:val="0"/>
                <w:sz w:val="28"/>
                <w:szCs w:val="28"/>
                <w:fitText w:val="1680" w:id="1"/>
              </w:rPr>
              <w:t>采购代理机构</w:t>
            </w:r>
            <w:r>
              <w:rPr>
                <w:rFonts w:hint="eastAsia" w:ascii="仿宋" w:hAnsi="仿宋" w:eastAsia="仿宋" w:cs="仿宋"/>
                <w:color w:val="auto"/>
                <w:sz w:val="28"/>
                <w:szCs w:val="28"/>
              </w:rPr>
              <w:t>：</w:t>
            </w:r>
          </w:p>
        </w:tc>
        <w:tc>
          <w:tcPr>
            <w:tcW w:w="5445" w:type="dxa"/>
          </w:tcPr>
          <w:p>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华诚工程咨询集团有限公司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fitText w:val="1680" w:id="2"/>
              </w:rPr>
              <w:t>监督单</w:t>
            </w:r>
            <w:r>
              <w:rPr>
                <w:rFonts w:hint="eastAsia" w:ascii="仿宋" w:hAnsi="仿宋" w:eastAsia="仿宋" w:cs="仿宋"/>
                <w:color w:val="auto"/>
                <w:spacing w:val="1"/>
                <w:kern w:val="0"/>
                <w:sz w:val="28"/>
                <w:szCs w:val="28"/>
                <w:fitText w:val="1680" w:id="2"/>
              </w:rPr>
              <w:t>位</w:t>
            </w:r>
            <w:r>
              <w:rPr>
                <w:rFonts w:hint="eastAsia" w:ascii="仿宋" w:hAnsi="仿宋" w:eastAsia="仿宋" w:cs="仿宋"/>
                <w:color w:val="auto"/>
                <w:sz w:val="28"/>
                <w:szCs w:val="28"/>
              </w:rPr>
              <w:t>：</w:t>
            </w:r>
          </w:p>
        </w:tc>
        <w:tc>
          <w:tcPr>
            <w:tcW w:w="5445" w:type="dxa"/>
          </w:tcPr>
          <w:p>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二○二二年 十一月</w:t>
            </w:r>
          </w:p>
        </w:tc>
      </w:tr>
    </w:tbl>
    <w:p>
      <w:pPr>
        <w:pageBreakBefore/>
        <w:jc w:val="center"/>
        <w:rPr>
          <w:rFonts w:hint="eastAsia" w:ascii="仿宋" w:hAnsi="仿宋" w:eastAsia="仿宋" w:cs="仿宋"/>
          <w:b/>
          <w:color w:val="auto"/>
          <w:sz w:val="44"/>
          <w:szCs w:val="44"/>
        </w:rPr>
      </w:pPr>
    </w:p>
    <w:p>
      <w:pPr>
        <w:jc w:val="center"/>
        <w:rPr>
          <w:rFonts w:hint="eastAsia" w:ascii="仿宋" w:hAnsi="仿宋" w:eastAsia="仿宋" w:cs="仿宋"/>
          <w:b/>
          <w:color w:val="auto"/>
          <w:sz w:val="44"/>
          <w:szCs w:val="44"/>
        </w:rPr>
      </w:pPr>
    </w:p>
    <w:p>
      <w:pPr>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目录</w:t>
      </w:r>
    </w:p>
    <w:p>
      <w:pPr>
        <w:jc w:val="center"/>
        <w:rPr>
          <w:rFonts w:hint="eastAsia" w:ascii="仿宋" w:hAnsi="仿宋" w:eastAsia="仿宋" w:cs="仿宋"/>
          <w:b/>
          <w:color w:val="auto"/>
          <w:sz w:val="44"/>
          <w:szCs w:val="44"/>
        </w:rPr>
      </w:pPr>
    </w:p>
    <w:p>
      <w:pPr>
        <w:jc w:val="center"/>
        <w:rPr>
          <w:rFonts w:hint="eastAsia" w:ascii="仿宋" w:hAnsi="仿宋" w:eastAsia="仿宋" w:cs="仿宋"/>
          <w:color w:val="auto"/>
        </w:rPr>
      </w:pP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第二部 分   投标须知</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pageBreakBefore/>
        <w:widowControl/>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tbl>
      <w:tblPr>
        <w:tblStyle w:val="43"/>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rPr>
                <w:rFonts w:hint="eastAsia" w:ascii="仿宋" w:hAnsi="仿宋" w:eastAsia="仿宋" w:cs="仿宋"/>
                <w:color w:val="auto"/>
              </w:rPr>
            </w:pPr>
            <w:r>
              <w:rPr>
                <w:rFonts w:hint="eastAsia" w:ascii="仿宋" w:hAnsi="仿宋" w:eastAsia="仿宋" w:cs="仿宋"/>
                <w:color w:val="auto"/>
              </w:rPr>
              <w:br w:type="page"/>
            </w:r>
          </w:p>
          <w:tbl>
            <w:tblPr>
              <w:tblStyle w:val="43"/>
              <w:tblW w:w="8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281" w:type="dxa"/>
                </w:tcPr>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项目概况：</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绍兴市人民医院移动护理手持终端采购和双容灾数据中心采购项目的潜在投标人应在</w:t>
                  </w:r>
                  <w:r>
                    <w:rPr>
                      <w:rStyle w:val="277"/>
                      <w:rFonts w:hint="eastAsia" w:ascii="仿宋" w:hAnsi="仿宋" w:eastAsia="仿宋" w:cs="仿宋"/>
                      <w:color w:val="auto"/>
                      <w:sz w:val="27"/>
                      <w:szCs w:val="27"/>
                    </w:rPr>
                    <w:t>https://www.zcygov.cn</w:t>
                  </w:r>
                  <w:r>
                    <w:rPr>
                      <w:rFonts w:hint="eastAsia" w:ascii="仿宋" w:hAnsi="仿宋" w:eastAsia="仿宋" w:cs="仿宋"/>
                      <w:color w:val="auto"/>
                      <w:szCs w:val="24"/>
                    </w:rPr>
                    <w:t>获取（下载）招标文件，并于2022年12月</w:t>
                  </w:r>
                  <w:r>
                    <w:rPr>
                      <w:rFonts w:hint="eastAsia" w:ascii="仿宋" w:hAnsi="仿宋" w:eastAsia="仿宋" w:cs="仿宋"/>
                      <w:color w:val="auto"/>
                      <w:szCs w:val="24"/>
                      <w:lang w:val="en-US" w:eastAsia="zh-CN"/>
                    </w:rPr>
                    <w:t>13</w:t>
                  </w:r>
                  <w:r>
                    <w:rPr>
                      <w:rFonts w:hint="eastAsia" w:ascii="仿宋" w:hAnsi="仿宋" w:eastAsia="仿宋" w:cs="仿宋"/>
                      <w:color w:val="auto"/>
                      <w:szCs w:val="24"/>
                    </w:rPr>
                    <w:t xml:space="preserve"> 日</w:t>
                  </w:r>
                  <w:r>
                    <w:rPr>
                      <w:rFonts w:hint="eastAsia" w:ascii="仿宋" w:hAnsi="仿宋" w:eastAsia="仿宋" w:cs="仿宋"/>
                      <w:color w:val="auto"/>
                      <w:szCs w:val="24"/>
                      <w:lang w:val="en-US" w:eastAsia="zh-CN"/>
                    </w:rPr>
                    <w:t>14:30</w:t>
                  </w:r>
                  <w:bookmarkStart w:id="172" w:name="_GoBack"/>
                  <w:bookmarkEnd w:id="172"/>
                  <w:r>
                    <w:rPr>
                      <w:rFonts w:hint="eastAsia" w:ascii="仿宋" w:hAnsi="仿宋" w:eastAsia="仿宋" w:cs="仿宋"/>
                      <w:color w:val="auto"/>
                      <w:szCs w:val="24"/>
                    </w:rPr>
                    <w:t xml:space="preserve"> （北京时间）前递交（上传）投标文件。</w:t>
                  </w:r>
                </w:p>
              </w:tc>
            </w:tr>
          </w:tbl>
          <w:p>
            <w:pPr>
              <w:pStyle w:val="69"/>
              <w:spacing w:afterLines="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一、项目基本情况</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项目编号：HCSF-2022-039</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项目名称：绍兴市人民医院移动护理手持终端采购和双容灾数据中心采购项目</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采购方式：公开招标</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预算金额（元）： 3520000</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最高限价（元）： 1120000;2400000</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采购需求：</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标项一:</w:t>
            </w:r>
            <w:r>
              <w:rPr>
                <w:rFonts w:hint="eastAsia" w:ascii="仿宋" w:hAnsi="仿宋" w:eastAsia="仿宋" w:cs="仿宋"/>
                <w:color w:val="auto"/>
                <w:szCs w:val="24"/>
              </w:rPr>
              <w:br w:type="textWrapping"/>
            </w:r>
            <w:r>
              <w:rPr>
                <w:rFonts w:hint="eastAsia" w:ascii="仿宋" w:hAnsi="仿宋" w:eastAsia="仿宋" w:cs="仿宋"/>
                <w:color w:val="auto"/>
                <w:szCs w:val="24"/>
              </w:rPr>
              <w:t>  标项名称:绍兴市人民医院移动护理手持终端采购项目</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数量:1</w:t>
            </w:r>
            <w:r>
              <w:rPr>
                <w:rFonts w:hint="eastAsia" w:ascii="仿宋" w:hAnsi="仿宋" w:eastAsia="仿宋" w:cs="仿宋"/>
                <w:color w:val="auto"/>
                <w:szCs w:val="24"/>
              </w:rPr>
              <w:br w:type="textWrapping"/>
            </w:r>
            <w:r>
              <w:rPr>
                <w:rFonts w:hint="eastAsia" w:ascii="仿宋" w:hAnsi="仿宋" w:eastAsia="仿宋" w:cs="仿宋"/>
                <w:color w:val="auto"/>
                <w:szCs w:val="24"/>
              </w:rPr>
              <w:t>  预算金额（元）:  1120000</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标项二:</w:t>
            </w:r>
            <w:r>
              <w:rPr>
                <w:rFonts w:hint="eastAsia" w:ascii="仿宋" w:hAnsi="仿宋" w:eastAsia="仿宋" w:cs="仿宋"/>
                <w:color w:val="auto"/>
                <w:szCs w:val="24"/>
              </w:rPr>
              <w:br w:type="textWrapping"/>
            </w:r>
            <w:r>
              <w:rPr>
                <w:rFonts w:hint="eastAsia" w:ascii="仿宋" w:hAnsi="仿宋" w:eastAsia="仿宋" w:cs="仿宋"/>
                <w:color w:val="auto"/>
                <w:szCs w:val="24"/>
              </w:rPr>
              <w:t>  标项名称:绍兴市人民医院双容灾数据中心采购项目</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数量:1</w:t>
            </w:r>
            <w:r>
              <w:rPr>
                <w:rFonts w:hint="eastAsia" w:ascii="仿宋" w:hAnsi="仿宋" w:eastAsia="仿宋" w:cs="仿宋"/>
                <w:color w:val="auto"/>
                <w:szCs w:val="24"/>
              </w:rPr>
              <w:br w:type="textWrapping"/>
            </w:r>
            <w:r>
              <w:rPr>
                <w:rFonts w:hint="eastAsia" w:ascii="仿宋" w:hAnsi="仿宋" w:eastAsia="仿宋" w:cs="仿宋"/>
                <w:color w:val="auto"/>
                <w:szCs w:val="24"/>
              </w:rPr>
              <w:t>  预算金额（元）:  2400000</w:t>
            </w:r>
            <w:r>
              <w:rPr>
                <w:rFonts w:hint="eastAsia" w:ascii="仿宋" w:hAnsi="仿宋" w:eastAsia="仿宋" w:cs="仿宋"/>
                <w:color w:val="auto"/>
                <w:szCs w:val="24"/>
              </w:rPr>
              <w:br w:type="textWrapping"/>
            </w:r>
            <w:r>
              <w:rPr>
                <w:rFonts w:hint="eastAsia" w:ascii="仿宋" w:hAnsi="仿宋" w:eastAsia="仿宋" w:cs="仿宋"/>
                <w:color w:val="auto"/>
                <w:szCs w:val="24"/>
              </w:rPr>
              <w:br w:type="textWrapping"/>
            </w:r>
            <w:r>
              <w:rPr>
                <w:rFonts w:hint="eastAsia" w:ascii="仿宋" w:hAnsi="仿宋" w:eastAsia="仿宋" w:cs="仿宋"/>
                <w:color w:val="auto"/>
                <w:szCs w:val="24"/>
              </w:rPr>
              <w:t>  简要规格描述或项目基本概况介绍、用途：详见采购文件 </w:t>
            </w:r>
            <w:r>
              <w:rPr>
                <w:rFonts w:hint="eastAsia" w:ascii="仿宋" w:hAnsi="仿宋" w:eastAsia="仿宋" w:cs="仿宋"/>
                <w:color w:val="auto"/>
                <w:szCs w:val="24"/>
              </w:rPr>
              <w:br w:type="textWrapping"/>
            </w:r>
            <w:r>
              <w:rPr>
                <w:rFonts w:hint="eastAsia" w:ascii="仿宋" w:hAnsi="仿宋" w:eastAsia="仿宋" w:cs="仿宋"/>
                <w:color w:val="auto"/>
                <w:szCs w:val="24"/>
              </w:rPr>
              <w:t>  备注：无</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合同履约期限：按双方合同约定条款执行。</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本项目（是）接受联合体投标。</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二、申请人的资格要求：</w:t>
            </w:r>
          </w:p>
          <w:p>
            <w:pPr>
              <w:pStyle w:val="69"/>
              <w:spacing w:after="12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9"/>
              <w:spacing w:after="12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2.以联合体形式投标的，提供联合体协议（本项目不接受联合体投标或者投标人不以联合体形式投标的，则不需要提供）；</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3.落实政府采购政策需满足的资格要求：</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标项一：</w:t>
            </w:r>
          </w:p>
          <w:p>
            <w:pPr>
              <w:pStyle w:val="69"/>
              <w:spacing w:afterLines="0" w:line="440" w:lineRule="exact"/>
              <w:ind w:firstLine="420"/>
              <w:rPr>
                <w:rFonts w:hint="eastAsia" w:ascii="仿宋" w:hAnsi="仿宋" w:eastAsia="仿宋" w:cs="仿宋"/>
                <w:color w:val="auto"/>
                <w:szCs w:val="24"/>
              </w:rPr>
            </w:pPr>
            <w:sdt>
              <w:sdtPr>
                <w:rPr>
                  <w:rFonts w:hint="eastAsia" w:ascii="仿宋" w:hAnsi="仿宋" w:eastAsia="仿宋" w:cs="仿宋"/>
                  <w:color w:val="auto"/>
                  <w:sz w:val="21"/>
                  <w:szCs w:val="21"/>
                </w:rPr>
                <w:id w:val="725337177"/>
              </w:sdtPr>
              <w:sdtEndPr>
                <w:rPr>
                  <w:rFonts w:hint="eastAsia" w:ascii="仿宋" w:hAnsi="仿宋" w:eastAsia="仿宋" w:cs="仿宋"/>
                  <w:color w:val="auto"/>
                  <w:sz w:val="21"/>
                  <w:szCs w:val="21"/>
                </w:rPr>
              </w:sdtEndPr>
              <w:sdtContent>
                <w:r>
                  <w:rPr>
                    <w:rFonts w:hint="eastAsia" w:ascii="仿宋" w:hAnsi="仿宋" w:eastAsia="仿宋" w:cs="仿宋"/>
                    <w:color w:val="auto"/>
                  </w:rPr>
                  <w:sym w:font="Wingdings" w:char="00A8"/>
                </w:r>
              </w:sdtContent>
            </w:sdt>
            <w:r>
              <w:rPr>
                <w:rFonts w:hint="eastAsia" w:ascii="仿宋" w:hAnsi="仿宋" w:eastAsia="仿宋" w:cs="仿宋"/>
                <w:color w:val="auto"/>
              </w:rPr>
              <w:t>无；</w:t>
            </w:r>
          </w:p>
          <w:p>
            <w:pPr>
              <w:spacing w:line="360" w:lineRule="auto"/>
              <w:ind w:firstLine="420" w:firstLineChars="200"/>
              <w:rPr>
                <w:rFonts w:hint="eastAsia" w:ascii="仿宋" w:hAnsi="仿宋" w:eastAsia="仿宋" w:cs="仿宋"/>
                <w:color w:val="auto"/>
                <w:sz w:val="24"/>
              </w:rPr>
            </w:pPr>
            <w:sdt>
              <w:sdtPr>
                <w:rPr>
                  <w:rFonts w:hint="eastAsia" w:ascii="仿宋" w:hAnsi="仿宋" w:eastAsia="仿宋" w:cs="仿宋"/>
                  <w:color w:val="auto"/>
                  <w:szCs w:val="21"/>
                </w:rPr>
                <w:id w:val="314388503"/>
              </w:sdtPr>
              <w:sdtEndPr>
                <w:rPr>
                  <w:rFonts w:hint="eastAsia" w:ascii="仿宋" w:hAnsi="仿宋" w:eastAsia="仿宋" w:cs="仿宋"/>
                  <w:color w:val="auto"/>
                  <w:szCs w:val="21"/>
                </w:rPr>
              </w:sdtEndPr>
              <w:sdtContent>
                <w:r>
                  <w:rPr>
                    <w:rFonts w:hint="eastAsia" w:ascii="仿宋" w:hAnsi="仿宋" w:eastAsia="仿宋" w:cs="仿宋"/>
                    <w:color w:val="auto"/>
                  </w:rPr>
                  <w:sym w:font="Wingdings" w:char="00FE"/>
                </w:r>
              </w:sdtContent>
            </w:sdt>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spacing w:line="360" w:lineRule="auto"/>
              <w:ind w:firstLine="785" w:firstLineChars="374"/>
              <w:rPr>
                <w:rFonts w:hint="eastAsia" w:ascii="仿宋" w:hAnsi="仿宋" w:eastAsia="仿宋" w:cs="仿宋"/>
                <w:color w:val="auto"/>
                <w:sz w:val="24"/>
              </w:rPr>
            </w:pPr>
            <w:sdt>
              <w:sdtPr>
                <w:rPr>
                  <w:rFonts w:hint="eastAsia" w:ascii="仿宋" w:hAnsi="仿宋" w:eastAsia="仿宋" w:cs="仿宋"/>
                  <w:color w:val="auto"/>
                  <w:szCs w:val="21"/>
                </w:rPr>
                <w:id w:val="927550081"/>
              </w:sdtPr>
              <w:sdtEndPr>
                <w:rPr>
                  <w:rFonts w:hint="eastAsia" w:ascii="仿宋" w:hAnsi="仿宋" w:eastAsia="仿宋" w:cs="仿宋"/>
                  <w:color w:val="auto"/>
                  <w:szCs w:val="21"/>
                </w:rPr>
              </w:sdtEndPr>
              <w:sdtContent>
                <w:r>
                  <w:rPr>
                    <w:rFonts w:hint="eastAsia" w:ascii="仿宋" w:hAnsi="仿宋" w:eastAsia="仿宋" w:cs="仿宋"/>
                    <w:color w:val="auto"/>
                  </w:rPr>
                  <w:sym w:font="Wingdings" w:char="00FE"/>
                </w:r>
              </w:sdtContent>
            </w:sdt>
            <w:r>
              <w:rPr>
                <w:rFonts w:hint="eastAsia" w:ascii="仿宋" w:hAnsi="仿宋" w:eastAsia="仿宋" w:cs="仿宋"/>
                <w:color w:val="auto"/>
                <w:sz w:val="24"/>
              </w:rPr>
              <w:t>货物全部由符合政策要求的中小企业制造，提供中小企业声明函；</w:t>
            </w:r>
          </w:p>
          <w:p>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323659898"/>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09"/>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货物全部由符合政策要求的小微企业制造，提供中小企业声明函；</w:t>
            </w:r>
          </w:p>
          <w:p>
            <w:pPr>
              <w:spacing w:line="360" w:lineRule="auto"/>
              <w:ind w:firstLine="785" w:firstLineChars="374"/>
              <w:rPr>
                <w:rFonts w:hint="eastAsia" w:ascii="仿宋" w:hAnsi="仿宋" w:eastAsia="仿宋" w:cs="仿宋"/>
                <w:color w:val="auto"/>
                <w:sz w:val="24"/>
              </w:rPr>
            </w:pPr>
            <w:sdt>
              <w:sdtPr>
                <w:rPr>
                  <w:rFonts w:hint="eastAsia" w:ascii="仿宋" w:hAnsi="仿宋" w:eastAsia="仿宋" w:cs="仿宋"/>
                  <w:color w:val="auto"/>
                  <w:szCs w:val="21"/>
                </w:rPr>
                <w:id w:val="-1770931742"/>
              </w:sdtPr>
              <w:sdtEndPr>
                <w:rPr>
                  <w:rFonts w:hint="eastAsia" w:ascii="仿宋" w:hAnsi="仿宋" w:eastAsia="仿宋" w:cs="仿宋"/>
                  <w:color w:val="auto"/>
                  <w:szCs w:val="21"/>
                </w:rPr>
              </w:sdtEndPr>
              <w:sdtContent>
                <w:r>
                  <w:rPr>
                    <w:rFonts w:hint="eastAsia" w:ascii="仿宋" w:hAnsi="仿宋" w:eastAsia="仿宋" w:cs="仿宋"/>
                    <w:color w:val="auto"/>
                  </w:rPr>
                  <w:sym w:font="Wingdings" w:char="00A8"/>
                </w:r>
              </w:sdtContent>
            </w:sdt>
            <w:sdt>
              <w:sdtPr>
                <w:rPr>
                  <w:rFonts w:hint="eastAsia" w:ascii="仿宋" w:hAnsi="仿宋" w:eastAsia="仿宋" w:cs="仿宋"/>
                  <w:color w:val="auto"/>
                  <w:kern w:val="0"/>
                  <w:sz w:val="24"/>
                </w:rPr>
                <w:id w:val="306902902"/>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1"/>
                    <w:showingPlcHdr/>
                  </w:sdtPr>
                  <w:sdtEndPr>
                    <w:rPr>
                      <w:rFonts w:hint="eastAsia" w:ascii="仿宋" w:hAnsi="仿宋" w:eastAsia="仿宋" w:cs="仿宋"/>
                      <w:color w:val="auto"/>
                      <w:kern w:val="0"/>
                      <w:sz w:val="24"/>
                    </w:rPr>
                  </w:sdtEndPr>
                  <w:sdtContent/>
                </w:sdt>
              </w:sdtContent>
            </w:sdt>
            <w:r>
              <w:rPr>
                <w:rFonts w:hint="eastAsia" w:ascii="仿宋" w:hAnsi="仿宋" w:eastAsia="仿宋" w:cs="仿宋"/>
                <w:color w:val="auto"/>
                <w:sz w:val="24"/>
              </w:rPr>
              <w:t>服务全部由符合政策要求的中小企业承接，提供中小企业声明函；</w:t>
            </w:r>
          </w:p>
          <w:p>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469594122"/>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3"/>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服务全部由符合政策要求的小微企业承接，提供中小企业声明函；</w:t>
            </w:r>
          </w:p>
          <w:p>
            <w:pPr>
              <w:spacing w:line="36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603697228"/>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要求以联合体形式参加，提供联合协议和中小企业声明函，联合协议中中小企业合同金额应当达到%，小微企业合同金额应当达到%;</w:t>
            </w:r>
            <w:r>
              <w:rPr>
                <w:rFonts w:hint="eastAsia" w:ascii="仿宋" w:hAnsi="仿宋" w:eastAsia="仿宋" w:cs="仿宋"/>
                <w:color w:val="auto"/>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rPr>
              <w:t>；</w:t>
            </w:r>
          </w:p>
          <w:p>
            <w:pPr>
              <w:spacing w:line="360" w:lineRule="auto"/>
              <w:ind w:firstLine="480" w:firstLineChars="200"/>
              <w:rPr>
                <w:rFonts w:hint="eastAsia" w:ascii="仿宋" w:hAnsi="仿宋" w:eastAsia="仿宋" w:cs="仿宋"/>
                <w:color w:val="auto"/>
              </w:rPr>
            </w:pPr>
            <w:sdt>
              <w:sdtPr>
                <w:rPr>
                  <w:rFonts w:hint="eastAsia" w:ascii="仿宋" w:hAnsi="仿宋" w:eastAsia="仿宋" w:cs="仿宋"/>
                  <w:color w:val="auto"/>
                  <w:kern w:val="0"/>
                  <w:sz w:val="24"/>
                </w:rPr>
                <w:id w:val="34630645"/>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7"/>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要求合同分包，提供分包意向协议和中小企业声明函，分包意向协议中中小企业合同金额应当达到达到% ，小微企业合同金额应当达到% ;</w:t>
            </w:r>
            <w:r>
              <w:rPr>
                <w:rFonts w:hint="eastAsia" w:ascii="仿宋" w:hAnsi="仿宋" w:eastAsia="仿宋" w:cs="仿宋"/>
                <w:color w:val="auto"/>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rPr>
              <w:t>；</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标项二：</w:t>
            </w:r>
          </w:p>
          <w:p>
            <w:pPr>
              <w:pStyle w:val="69"/>
              <w:spacing w:afterLines="0" w:line="440" w:lineRule="exact"/>
              <w:ind w:firstLine="420"/>
              <w:rPr>
                <w:rFonts w:hint="eastAsia" w:ascii="仿宋" w:hAnsi="仿宋" w:eastAsia="仿宋" w:cs="仿宋"/>
                <w:color w:val="auto"/>
                <w:szCs w:val="24"/>
              </w:rPr>
            </w:pPr>
            <w:sdt>
              <w:sdtPr>
                <w:rPr>
                  <w:rFonts w:hint="eastAsia" w:ascii="仿宋" w:hAnsi="仿宋" w:eastAsia="仿宋" w:cs="仿宋"/>
                  <w:color w:val="auto"/>
                  <w:sz w:val="21"/>
                  <w:szCs w:val="21"/>
                </w:rPr>
                <w:id w:val="2087108391"/>
              </w:sdtPr>
              <w:sdtEndPr>
                <w:rPr>
                  <w:rFonts w:hint="eastAsia" w:ascii="仿宋" w:hAnsi="仿宋" w:eastAsia="仿宋" w:cs="仿宋"/>
                  <w:color w:val="auto"/>
                  <w:sz w:val="21"/>
                  <w:szCs w:val="21"/>
                </w:rPr>
              </w:sdtEndPr>
              <w:sdtContent>
                <w:r>
                  <w:rPr>
                    <w:rFonts w:hint="eastAsia" w:ascii="仿宋" w:hAnsi="仿宋" w:eastAsia="仿宋" w:cs="仿宋"/>
                    <w:color w:val="auto"/>
                  </w:rPr>
                  <w:sym w:font="Wingdings" w:char="00FE"/>
                </w:r>
              </w:sdtContent>
            </w:sdt>
            <w:r>
              <w:rPr>
                <w:rFonts w:hint="eastAsia" w:ascii="仿宋" w:hAnsi="仿宋" w:eastAsia="仿宋" w:cs="仿宋"/>
                <w:color w:val="auto"/>
              </w:rPr>
              <w:t>无；</w:t>
            </w:r>
          </w:p>
          <w:p>
            <w:pPr>
              <w:spacing w:line="360" w:lineRule="auto"/>
              <w:ind w:firstLine="420" w:firstLineChars="200"/>
              <w:rPr>
                <w:rFonts w:hint="eastAsia" w:ascii="仿宋" w:hAnsi="仿宋" w:eastAsia="仿宋" w:cs="仿宋"/>
                <w:color w:val="auto"/>
                <w:sz w:val="24"/>
              </w:rPr>
            </w:pPr>
            <w:sdt>
              <w:sdtPr>
                <w:rPr>
                  <w:rFonts w:hint="eastAsia" w:ascii="仿宋" w:hAnsi="仿宋" w:eastAsia="仿宋" w:cs="仿宋"/>
                  <w:color w:val="auto"/>
                  <w:szCs w:val="21"/>
                </w:rPr>
                <w:id w:val="-1595478372"/>
              </w:sdtPr>
              <w:sdtEndPr>
                <w:rPr>
                  <w:rFonts w:hint="eastAsia" w:ascii="仿宋" w:hAnsi="仿宋" w:eastAsia="仿宋" w:cs="仿宋"/>
                  <w:color w:val="auto"/>
                  <w:szCs w:val="21"/>
                </w:rPr>
              </w:sdtEndPr>
              <w:sdtContent>
                <w:r>
                  <w:rPr>
                    <w:rFonts w:hint="eastAsia" w:ascii="仿宋" w:hAnsi="仿宋" w:eastAsia="仿宋" w:cs="仿宋"/>
                    <w:color w:val="auto"/>
                  </w:rPr>
                  <w:sym w:font="Wingdings" w:char="00A8"/>
                </w:r>
              </w:sdtContent>
            </w:sdt>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spacing w:line="360" w:lineRule="auto"/>
              <w:ind w:firstLine="897" w:firstLineChars="374"/>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货物全部由符合政策要求的中小企业制造，提供中小企业声明函；</w:t>
            </w:r>
          </w:p>
          <w:p>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1451442038"/>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13599208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货物全部由符合政策要求的小微企业制造，提供中小企业声明函；</w:t>
            </w:r>
          </w:p>
          <w:p>
            <w:pPr>
              <w:spacing w:line="360" w:lineRule="auto"/>
              <w:ind w:firstLine="785" w:firstLineChars="374"/>
              <w:rPr>
                <w:rFonts w:hint="eastAsia" w:ascii="仿宋" w:hAnsi="仿宋" w:eastAsia="仿宋" w:cs="仿宋"/>
                <w:color w:val="auto"/>
                <w:sz w:val="24"/>
              </w:rPr>
            </w:pPr>
            <w:sdt>
              <w:sdtPr>
                <w:rPr>
                  <w:rFonts w:hint="eastAsia" w:ascii="仿宋" w:hAnsi="仿宋" w:eastAsia="仿宋" w:cs="仿宋"/>
                  <w:color w:val="auto"/>
                  <w:szCs w:val="21"/>
                </w:rPr>
                <w:id w:val="-232937209"/>
              </w:sdtPr>
              <w:sdtEndPr>
                <w:rPr>
                  <w:rFonts w:hint="eastAsia" w:ascii="仿宋" w:hAnsi="仿宋" w:eastAsia="仿宋" w:cs="仿宋"/>
                  <w:color w:val="auto"/>
                  <w:szCs w:val="21"/>
                </w:rPr>
              </w:sdtEndPr>
              <w:sdtContent>
                <w:r>
                  <w:rPr>
                    <w:rFonts w:hint="eastAsia" w:ascii="仿宋" w:hAnsi="仿宋" w:eastAsia="仿宋" w:cs="仿宋"/>
                    <w:color w:val="auto"/>
                  </w:rPr>
                  <w:sym w:font="Wingdings" w:char="00A8"/>
                </w:r>
              </w:sdtContent>
            </w:sdt>
            <w:sdt>
              <w:sdtPr>
                <w:rPr>
                  <w:rFonts w:hint="eastAsia" w:ascii="仿宋" w:hAnsi="仿宋" w:eastAsia="仿宋" w:cs="仿宋"/>
                  <w:color w:val="auto"/>
                  <w:kern w:val="0"/>
                  <w:sz w:val="24"/>
                </w:rPr>
                <w:id w:val="1363019029"/>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494494645"/>
                    <w:showingPlcHdr/>
                  </w:sdtPr>
                  <w:sdtEndPr>
                    <w:rPr>
                      <w:rFonts w:hint="eastAsia" w:ascii="仿宋" w:hAnsi="仿宋" w:eastAsia="仿宋" w:cs="仿宋"/>
                      <w:color w:val="auto"/>
                      <w:kern w:val="0"/>
                      <w:sz w:val="24"/>
                    </w:rPr>
                  </w:sdtEndPr>
                  <w:sdtContent/>
                </w:sdt>
              </w:sdtContent>
            </w:sdt>
            <w:r>
              <w:rPr>
                <w:rFonts w:hint="eastAsia" w:ascii="仿宋" w:hAnsi="仿宋" w:eastAsia="仿宋" w:cs="仿宋"/>
                <w:color w:val="auto"/>
                <w:sz w:val="24"/>
              </w:rPr>
              <w:t>服务全部由符合政策要求的中小企业承接，提供中小企业声明函；</w:t>
            </w:r>
          </w:p>
          <w:p>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1726881230"/>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771207736"/>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服务全部由符合政策要求的小微企业承接，提供中小企业声明函；</w:t>
            </w:r>
          </w:p>
          <w:p>
            <w:pPr>
              <w:spacing w:line="36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152725940"/>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47559525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要求以联合体形式参加，提供联合协议和中小企业声明函，联合协议中中小企业合同金额应当达到%，小微企业合同金额应当达到%;</w:t>
            </w:r>
            <w:r>
              <w:rPr>
                <w:rFonts w:hint="eastAsia" w:ascii="仿宋" w:hAnsi="仿宋" w:eastAsia="仿宋" w:cs="仿宋"/>
                <w:color w:val="auto"/>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rPr>
              <w:t>；</w:t>
            </w:r>
          </w:p>
          <w:p>
            <w:pPr>
              <w:spacing w:line="36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193814357"/>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910726982"/>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要求合同分包，提供分包意向协议和中小企业声明函，分包意向协议中中小企业合同金额应当达到达到% ，小微企业合同金额应当达到% ;</w:t>
            </w:r>
            <w:r>
              <w:rPr>
                <w:rFonts w:hint="eastAsia" w:ascii="仿宋" w:hAnsi="仿宋" w:eastAsia="仿宋" w:cs="仿宋"/>
                <w:color w:val="auto"/>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rPr>
              <w:t>；</w:t>
            </w:r>
          </w:p>
          <w:p>
            <w:pPr>
              <w:pStyle w:val="69"/>
              <w:numPr>
                <w:ilvl w:val="0"/>
                <w:numId w:val="5"/>
              </w:numP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本项目的特定资格要求：无。</w:t>
            </w:r>
          </w:p>
          <w:p>
            <w:pPr>
              <w:pStyle w:val="69"/>
              <w:numPr>
                <w:ilvl w:val="0"/>
                <w:numId w:val="5"/>
              </w:numP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三、获取招标文件 </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时间：/至2022年 12 月</w:t>
            </w:r>
            <w:r>
              <w:rPr>
                <w:rFonts w:hint="eastAsia" w:ascii="仿宋" w:hAnsi="仿宋" w:eastAsia="仿宋" w:cs="仿宋"/>
                <w:color w:val="auto"/>
                <w:szCs w:val="24"/>
                <w:lang w:val="en-US" w:eastAsia="zh-CN"/>
              </w:rPr>
              <w:t>13</w:t>
            </w:r>
            <w:r>
              <w:rPr>
                <w:rFonts w:hint="eastAsia" w:ascii="仿宋" w:hAnsi="仿宋" w:eastAsia="仿宋" w:cs="仿宋"/>
                <w:color w:val="auto"/>
                <w:szCs w:val="24"/>
              </w:rPr>
              <w:t xml:space="preserve"> 日，每天上午00:00至12:00 ，下午12:00至23:59（北京时间，线上获取法定节假日均可，线下获取文件法定节假日除外）</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地点（网址）：</w:t>
            </w:r>
            <w:r>
              <w:rPr>
                <w:rFonts w:hint="eastAsia" w:ascii="仿宋" w:hAnsi="仿宋" w:eastAsia="仿宋" w:cs="仿宋"/>
                <w:bCs/>
                <w:color w:val="auto"/>
              </w:rPr>
              <w:t>http://www.zcygov.cn/</w:t>
            </w:r>
            <w:r>
              <w:rPr>
                <w:rFonts w:hint="eastAsia" w:ascii="仿宋" w:hAnsi="仿宋" w:eastAsia="仿宋" w:cs="仿宋"/>
                <w:color w:val="auto"/>
                <w:szCs w:val="24"/>
              </w:rPr>
              <w:t> </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方式：</w:t>
            </w:r>
            <w:r>
              <w:rPr>
                <w:rFonts w:hint="eastAsia" w:ascii="仿宋" w:hAnsi="仿宋" w:eastAsia="仿宋" w:cs="仿宋"/>
                <w:bCs/>
                <w:color w:val="auto"/>
              </w:rPr>
              <w:t>供应商登陆政采云平台http://www.zcygov.cn/，在线申请获取采购文件（进入“项目采购”应用，在获取采购文件菜单中选择项目，申请获取采购文件）。</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售价（元）：0 </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四、提交投标文件截止时间、开标时间和地点</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提交投标文件截止时间：2022年12月</w:t>
            </w:r>
            <w:r>
              <w:rPr>
                <w:rFonts w:hint="eastAsia" w:ascii="仿宋" w:hAnsi="仿宋" w:eastAsia="仿宋" w:cs="仿宋"/>
                <w:color w:val="auto"/>
                <w:szCs w:val="24"/>
                <w:lang w:val="en-US" w:eastAsia="zh-CN"/>
              </w:rPr>
              <w:t>13</w:t>
            </w:r>
            <w:r>
              <w:rPr>
                <w:rFonts w:hint="eastAsia" w:ascii="仿宋" w:hAnsi="仿宋" w:eastAsia="仿宋" w:cs="仿宋"/>
                <w:color w:val="auto"/>
                <w:szCs w:val="24"/>
              </w:rPr>
              <w:t xml:space="preserve"> 日14:30（北京时间）</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投标地点（网址）：政采云平台</w:t>
            </w:r>
            <w:r>
              <w:rPr>
                <w:rFonts w:hint="eastAsia" w:ascii="仿宋" w:hAnsi="仿宋" w:eastAsia="仿宋" w:cs="仿宋"/>
                <w:bCs/>
                <w:color w:val="auto"/>
              </w:rPr>
              <w:t>http://www.zcygov.cn/</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开标时间：2022年12月</w:t>
            </w:r>
            <w:r>
              <w:rPr>
                <w:rFonts w:hint="eastAsia" w:ascii="仿宋" w:hAnsi="仿宋" w:eastAsia="仿宋" w:cs="仿宋"/>
                <w:color w:val="auto"/>
                <w:szCs w:val="24"/>
                <w:lang w:val="en-US" w:eastAsia="zh-CN"/>
              </w:rPr>
              <w:t>13</w:t>
            </w:r>
            <w:r>
              <w:rPr>
                <w:rFonts w:hint="eastAsia" w:ascii="仿宋" w:hAnsi="仿宋" w:eastAsia="仿宋" w:cs="仿宋"/>
                <w:color w:val="auto"/>
                <w:szCs w:val="24"/>
              </w:rPr>
              <w:t>日14:30（北京时间）</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开标地点（网址）：绍兴市越城区越西路800号金德隆商业中心8幢二楼华诚工程咨询集团有限公司二楼开标室，在政府采购云平台（www.zcygov.cn）上开启响应文件。  </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五、公告期限 </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自本公告发布之日起5个工作日。</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六、其他补充事宜</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2.其他事项：（1）需要落实的政府采购政策：包括节约资源、保护环境、支持创新、促进中小企业发展等。详见招标文件的第二部分总则。（2）</w:t>
            </w:r>
            <w:r>
              <w:rPr>
                <w:rFonts w:hint="eastAsia" w:ascii="仿宋" w:hAnsi="仿宋" w:eastAsia="仿宋" w:cs="仿宋"/>
                <w:color w:val="auto"/>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color w:val="auto"/>
              </w:rPr>
              <w:t>（投标人应特别注意CA锁有效性，CA锁延期、补办后，虽硬件介质不变，但锁的证书Key号发生改变，视为不同锁，会导致开标时无法解密投标文件）</w:t>
            </w:r>
            <w:r>
              <w:rPr>
                <w:rFonts w:hint="eastAsia" w:ascii="仿宋" w:hAnsi="仿宋" w:eastAsia="仿宋" w:cs="仿宋"/>
                <w:color w:val="auto"/>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color w:val="auto"/>
                <w:szCs w:val="24"/>
              </w:rPr>
              <w:t>  </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七、对本次采购提出询问、质疑、投诉，请按以下方式联系</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1.采购人信息</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名称：绍兴市人民医院 </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地址：绍兴市越城区中兴北路568号 </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传真：/  </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项目联系人（询问）： 钱国良</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项目联系方式（询问）：0575-88558842</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质疑联系人：徐爱琴</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质疑联系方式：0575-88558842</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2.采购代理机构信息       </w:t>
            </w:r>
          </w:p>
          <w:p>
            <w:pPr>
              <w:pStyle w:val="69"/>
              <w:spacing w:afterLines="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名称：华诚工程咨询集团有限公司       </w:t>
            </w:r>
          </w:p>
          <w:p>
            <w:pPr>
              <w:pStyle w:val="69"/>
              <w:spacing w:afterLines="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地址：绍兴市越城区越西路800号金德隆商业中心8幢二楼</w:t>
            </w:r>
          </w:p>
          <w:p>
            <w:pPr>
              <w:pStyle w:val="69"/>
              <w:spacing w:afterLines="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传真：/      </w:t>
            </w:r>
          </w:p>
          <w:p>
            <w:pPr>
              <w:pStyle w:val="69"/>
              <w:spacing w:afterLines="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项目联系人（询问）：毕龙梅</w:t>
            </w:r>
          </w:p>
          <w:p>
            <w:pPr>
              <w:pStyle w:val="69"/>
              <w:spacing w:afterLines="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项目联系方式（询问）：15068545458</w:t>
            </w:r>
          </w:p>
          <w:p>
            <w:pPr>
              <w:pStyle w:val="69"/>
              <w:spacing w:afterLines="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质疑联系人：柯翔郎</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质疑联系方式：18267575010　　　　　　　　   </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3.同级政府采购监督管理部门       </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名称：绍兴市财政局       </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地址：绍兴市越城区凤林西路151号       </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传真：0575-85209697       </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联系人 ：宋晓林       </w:t>
            </w:r>
          </w:p>
          <w:p>
            <w:pPr>
              <w:pStyle w:val="69"/>
              <w:spacing w:afterLines="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监督投诉电话：0575-85209697    </w:t>
            </w:r>
            <w:r>
              <w:rPr>
                <w:rFonts w:hint="eastAsia" w:ascii="仿宋" w:hAnsi="仿宋" w:eastAsia="仿宋" w:cs="仿宋"/>
                <w:color w:val="auto"/>
                <w:szCs w:val="24"/>
              </w:rPr>
              <w:br w:type="textWrapping"/>
            </w:r>
            <w:r>
              <w:rPr>
                <w:rFonts w:hint="eastAsia" w:ascii="仿宋" w:hAnsi="仿宋" w:eastAsia="仿宋" w:cs="仿宋"/>
                <w:color w:val="auto"/>
                <w:szCs w:val="24"/>
              </w:rPr>
              <w:t>  若对项目采购电子交易系统操作有疑问，可登录政采云（https://www.zcygov.cn/），点击右侧咨询小采，获取采小蜜智能服务管家帮助，或拨打政采云服务热线400-881-7190获取热线服务帮助。</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CA问题联系电话（人工）：汇信CA 400-888-4636；天谷CA 400-087-8198。</w:t>
            </w:r>
          </w:p>
        </w:tc>
      </w:tr>
      <w:tr>
        <w:tblPrEx>
          <w:tblCellMar>
            <w:top w:w="0" w:type="dxa"/>
            <w:left w:w="0" w:type="dxa"/>
            <w:bottom w:w="0" w:type="dxa"/>
            <w:right w:w="0" w:type="dxa"/>
          </w:tblCellMar>
        </w:tblPrEx>
        <w:tc>
          <w:tcPr>
            <w:tcW w:w="8279" w:type="dxa"/>
            <w:vAlign w:val="center"/>
          </w:tcPr>
          <w:p>
            <w:pPr>
              <w:rPr>
                <w:rFonts w:hint="eastAsia" w:ascii="仿宋" w:hAnsi="仿宋" w:eastAsia="仿宋" w:cs="仿宋"/>
                <w:color w:val="auto"/>
              </w:rPr>
            </w:pPr>
            <w:r>
              <w:rPr>
                <w:rFonts w:hint="eastAsia" w:ascii="仿宋" w:hAnsi="仿宋" w:eastAsia="仿宋" w:cs="仿宋"/>
                <w:color w:val="auto"/>
              </w:rPr>
              <w:t>·</w:t>
            </w:r>
          </w:p>
        </w:tc>
      </w:tr>
    </w:tbl>
    <w:p>
      <w:pPr>
        <w:widowControl/>
        <w:jc w:val="left"/>
        <w:rPr>
          <w:rFonts w:hint="eastAsia" w:ascii="仿宋" w:hAnsi="仿宋" w:eastAsia="仿宋" w:cs="仿宋"/>
          <w:color w:val="auto"/>
          <w:kern w:val="0"/>
          <w:sz w:val="24"/>
        </w:rPr>
      </w:pPr>
      <w:r>
        <w:rPr>
          <w:rFonts w:hint="eastAsia" w:ascii="仿宋" w:hAnsi="仿宋" w:eastAsia="仿宋" w:cs="仿宋"/>
          <w:color w:val="auto"/>
        </w:rPr>
        <w:br w:type="page"/>
      </w:r>
    </w:p>
    <w:p>
      <w:pPr>
        <w:pageBreakBefore/>
        <w:ind w:left="238"/>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第二部分 投标须知</w:t>
      </w:r>
    </w:p>
    <w:p>
      <w:pPr>
        <w:ind w:left="238"/>
        <w:jc w:val="center"/>
        <w:rPr>
          <w:rFonts w:hint="eastAsia" w:ascii="仿宋" w:hAnsi="仿宋" w:eastAsia="仿宋" w:cs="仿宋"/>
          <w:b/>
          <w:color w:val="auto"/>
          <w:sz w:val="30"/>
          <w:szCs w:val="36"/>
        </w:rPr>
      </w:pPr>
      <w:bookmarkStart w:id="0" w:name="_Hlk47616320"/>
      <w:r>
        <w:rPr>
          <w:rFonts w:hint="eastAsia" w:ascii="仿宋" w:hAnsi="仿宋" w:eastAsia="仿宋" w:cs="仿宋"/>
          <w:b/>
          <w:color w:val="auto"/>
          <w:sz w:val="30"/>
          <w:szCs w:val="36"/>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sym w:font="Wingdings" w:char="F0FE"/>
            </w:r>
            <w:r>
              <w:rPr>
                <w:rFonts w:hint="eastAsia" w:ascii="仿宋" w:hAnsi="仿宋" w:eastAsia="仿宋" w:cs="仿宋"/>
                <w:color w:val="auto"/>
                <w:kern w:val="0"/>
                <w:sz w:val="24"/>
              </w:rPr>
              <w:t>B</w:t>
            </w:r>
            <w:r>
              <w:rPr>
                <w:rFonts w:hint="eastAsia" w:ascii="仿宋" w:hAnsi="仿宋" w:eastAsia="仿宋" w:cs="仿宋"/>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26322061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color w:val="auto"/>
                <w:kern w:val="0"/>
                <w:sz w:val="24"/>
              </w:rPr>
              <w:t>A</w:t>
            </w:r>
            <w:r>
              <w:rPr>
                <w:rFonts w:hint="eastAsia" w:ascii="仿宋" w:hAnsi="仿宋" w:eastAsia="仿宋" w:cs="仿宋"/>
                <w:color w:val="auto"/>
                <w:sz w:val="24"/>
              </w:rPr>
              <w:t>不组织。</w:t>
            </w:r>
          </w:p>
          <w:p>
            <w:pPr>
              <w:autoSpaceDE w:val="0"/>
              <w:autoSpaceDN w:val="0"/>
              <w:spacing w:line="440" w:lineRule="exact"/>
              <w:textAlignment w:val="bottom"/>
              <w:rPr>
                <w:rFonts w:hint="eastAsia" w:ascii="仿宋" w:hAnsi="仿宋" w:eastAsia="仿宋" w:cs="仿宋"/>
                <w:b/>
                <w:color w:val="auto"/>
                <w:sz w:val="24"/>
              </w:rPr>
            </w:pPr>
            <w:sdt>
              <w:sdtPr>
                <w:rPr>
                  <w:rFonts w:hint="eastAsia" w:ascii="仿宋" w:hAnsi="仿宋" w:eastAsia="仿宋" w:cs="仿宋"/>
                  <w:color w:val="auto"/>
                  <w:kern w:val="0"/>
                  <w:sz w:val="24"/>
                </w:rPr>
                <w:id w:val="-94006690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740788832"/>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02683198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sdtContent>
            </w:sdt>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□B要求提供，</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sdt>
              <w:sdtPr>
                <w:rPr>
                  <w:rFonts w:hint="eastAsia" w:ascii="仿宋" w:hAnsi="仿宋" w:eastAsia="仿宋" w:cs="仿宋"/>
                  <w:color w:val="auto"/>
                  <w:kern w:val="0"/>
                  <w:sz w:val="24"/>
                </w:rPr>
                <w:id w:val="1303421454"/>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69604611"/>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69604612"/>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sdtContent>
            </w:sdt>
            <w:r>
              <w:rPr>
                <w:rFonts w:hint="eastAsia" w:ascii="仿宋" w:hAnsi="仿宋" w:eastAsia="仿宋" w:cs="仿宋"/>
                <w:color w:val="auto"/>
                <w:kern w:val="0"/>
                <w:sz w:val="24"/>
              </w:rPr>
              <w:t>否；</w:t>
            </w:r>
            <w:sdt>
              <w:sdtPr>
                <w:rPr>
                  <w:rFonts w:hint="eastAsia" w:ascii="仿宋" w:hAnsi="仿宋" w:eastAsia="仿宋" w:cs="仿宋"/>
                  <w:color w:val="auto"/>
                  <w:kern w:val="0"/>
                  <w:sz w:val="24"/>
                </w:rPr>
                <w:id w:val="1621728433"/>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41474232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kern w:val="0"/>
                <w:sz w:val="24"/>
              </w:rPr>
              <w:t>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kern w:val="0"/>
                <w:sz w:val="24"/>
              </w:rPr>
              <w:t>；地点：；联系人</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pPr>
              <w:spacing w:line="440" w:lineRule="exact"/>
              <w:rPr>
                <w:rFonts w:hint="eastAsia" w:ascii="仿宋" w:hAnsi="仿宋" w:eastAsia="仿宋" w:cs="仿宋"/>
                <w:b/>
                <w:bCs/>
                <w:color w:val="auto"/>
                <w:sz w:val="24"/>
                <w:lang w:val="zh-CN"/>
              </w:rPr>
            </w:pPr>
            <w:r>
              <w:rPr>
                <w:rFonts w:hint="eastAsia" w:ascii="仿宋" w:hAnsi="仿宋" w:eastAsia="仿宋" w:cs="仿宋"/>
                <w:b/>
                <w:bCs/>
                <w:color w:val="auto"/>
                <w:sz w:val="24"/>
                <w:lang w:val="zh-CN"/>
              </w:rPr>
              <w:t>方案讲解演示：</w:t>
            </w:r>
          </w:p>
          <w:p>
            <w:pPr>
              <w:spacing w:line="440" w:lineRule="exact"/>
              <w:rPr>
                <w:rFonts w:hint="eastAsia" w:ascii="仿宋" w:hAnsi="仿宋" w:eastAsia="仿宋" w:cs="仿宋"/>
                <w:b/>
                <w:bCs/>
                <w:color w:val="auto"/>
                <w:sz w:val="24"/>
              </w:rPr>
            </w:pPr>
            <w:r>
              <w:rPr>
                <w:rFonts w:hint="eastAsia" w:ascii="仿宋" w:hAnsi="仿宋" w:eastAsia="仿宋" w:cs="仿宋"/>
                <w:b/>
                <w:bCs/>
                <w:color w:val="auto"/>
                <w:sz w:val="24"/>
              </w:rPr>
              <w:t>标项一：</w:t>
            </w:r>
          </w:p>
          <w:p>
            <w:pPr>
              <w:spacing w:line="440" w:lineRule="exact"/>
              <w:rPr>
                <w:rFonts w:hint="eastAsia" w:ascii="仿宋" w:hAnsi="仿宋" w:eastAsia="仿宋" w:cs="仿宋"/>
                <w:b/>
                <w:bCs/>
                <w:color w:val="auto"/>
                <w:sz w:val="24"/>
                <w:lang w:val="zh-CN"/>
              </w:rPr>
            </w:pPr>
            <w:sdt>
              <w:sdtPr>
                <w:rPr>
                  <w:rFonts w:hint="eastAsia" w:ascii="仿宋" w:hAnsi="仿宋" w:eastAsia="仿宋" w:cs="仿宋"/>
                  <w:color w:val="auto"/>
                  <w:sz w:val="24"/>
                  <w:lang w:val="zh-CN"/>
                </w:rPr>
                <w:id w:val="801731539"/>
              </w:sdtPr>
              <w:sdtEndPr>
                <w:rPr>
                  <w:rFonts w:hint="eastAsia" w:ascii="仿宋" w:hAnsi="仿宋" w:eastAsia="仿宋" w:cs="仿宋"/>
                  <w:b/>
                  <w:bCs/>
                  <w:color w:val="auto"/>
                  <w:sz w:val="24"/>
                  <w:lang w:val="zh-CN"/>
                </w:rPr>
              </w:sdtEndPr>
              <w:sdtContent>
                <w:r>
                  <w:rPr>
                    <w:rFonts w:hint="eastAsia" w:ascii="仿宋" w:hAnsi="仿宋" w:eastAsia="仿宋" w:cs="仿宋"/>
                    <w:b/>
                    <w:bCs/>
                    <w:color w:val="auto"/>
                    <w:sz w:val="24"/>
                    <w:lang w:val="zh-CN"/>
                  </w:rPr>
                  <w:t>□</w:t>
                </w:r>
              </w:sdtContent>
            </w:sdt>
            <w:r>
              <w:rPr>
                <w:rFonts w:hint="eastAsia" w:ascii="仿宋" w:hAnsi="仿宋" w:eastAsia="仿宋" w:cs="仿宋"/>
                <w:b/>
                <w:bCs/>
                <w:color w:val="auto"/>
                <w:sz w:val="24"/>
                <w:lang w:val="zh-CN"/>
              </w:rPr>
              <w:t>A无方案讲解演示。</w:t>
            </w:r>
          </w:p>
          <w:p>
            <w:pPr>
              <w:spacing w:line="440" w:lineRule="exact"/>
              <w:rPr>
                <w:rFonts w:hint="eastAsia" w:ascii="仿宋" w:hAnsi="仿宋" w:eastAsia="仿宋" w:cs="仿宋"/>
                <w:b/>
                <w:bCs/>
                <w:color w:val="auto"/>
                <w:sz w:val="24"/>
                <w:lang w:val="zh-CN"/>
              </w:rPr>
            </w:pPr>
            <w:r>
              <w:rPr>
                <w:rFonts w:hint="eastAsia" w:ascii="仿宋" w:hAnsi="仿宋" w:eastAsia="仿宋" w:cs="仿宋"/>
                <w:b/>
                <w:bCs/>
                <w:color w:val="auto"/>
                <w:sz w:val="24"/>
                <w:lang w:val="zh-CN"/>
              </w:rPr>
              <w:sym w:font="Wingdings" w:char="F0FE"/>
            </w:r>
            <w:r>
              <w:rPr>
                <w:rFonts w:hint="eastAsia" w:ascii="仿宋" w:hAnsi="仿宋" w:eastAsia="仿宋" w:cs="仿宋"/>
                <w:b/>
                <w:bCs/>
                <w:color w:val="auto"/>
                <w:sz w:val="24"/>
                <w:lang w:val="zh-CN"/>
              </w:rPr>
              <w:t xml:space="preserve"> B有方案讲解演示：</w:t>
            </w:r>
          </w:p>
          <w:p>
            <w:pPr>
              <w:spacing w:line="440" w:lineRule="exact"/>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lang w:val="zh-CN"/>
              </w:rPr>
              <w:t>在评标时安排每个投标人进行</w:t>
            </w:r>
            <w:r>
              <w:rPr>
                <w:rFonts w:hint="eastAsia" w:ascii="仿宋" w:hAnsi="仿宋" w:eastAsia="仿宋" w:cs="仿宋"/>
                <w:color w:val="auto"/>
                <w:sz w:val="24"/>
              </w:rPr>
              <w:t>方案讲解演示</w:t>
            </w:r>
            <w:r>
              <w:rPr>
                <w:rFonts w:hint="eastAsia" w:ascii="仿宋" w:hAnsi="仿宋" w:eastAsia="仿宋" w:cs="仿宋"/>
                <w:color w:val="auto"/>
                <w:sz w:val="24"/>
                <w:lang w:val="zh-CN"/>
              </w:rPr>
              <w:t>，讲解</w:t>
            </w:r>
            <w:r>
              <w:rPr>
                <w:rFonts w:hint="eastAsia" w:ascii="仿宋" w:hAnsi="仿宋" w:eastAsia="仿宋" w:cs="仿宋"/>
                <w:color w:val="auto"/>
                <w:sz w:val="24"/>
              </w:rPr>
              <w:t>演示结束</w:t>
            </w:r>
            <w:r>
              <w:rPr>
                <w:rFonts w:hint="eastAsia" w:ascii="仿宋" w:hAnsi="仿宋" w:eastAsia="仿宋" w:cs="仿宋"/>
                <w:color w:val="auto"/>
                <w:sz w:val="24"/>
                <w:lang w:val="zh-CN"/>
              </w:rPr>
              <w:t>后按要求解答评标委员会的提问。</w:t>
            </w:r>
          </w:p>
          <w:p>
            <w:pPr>
              <w:spacing w:line="440" w:lineRule="exact"/>
              <w:rPr>
                <w:rFonts w:hint="eastAsia" w:ascii="仿宋" w:hAnsi="仿宋" w:eastAsia="仿宋" w:cs="仿宋"/>
                <w:color w:val="auto"/>
                <w:sz w:val="24"/>
              </w:rPr>
            </w:pPr>
            <w:r>
              <w:rPr>
                <w:rFonts w:hint="eastAsia" w:ascii="仿宋" w:hAnsi="仿宋" w:eastAsia="仿宋" w:cs="仿宋"/>
                <w:color w:val="auto"/>
                <w:sz w:val="24"/>
                <w:lang w:val="zh-CN"/>
              </w:rPr>
              <w:t>讲解演示设备：讲解</w:t>
            </w:r>
            <w:r>
              <w:rPr>
                <w:rFonts w:hint="eastAsia" w:ascii="仿宋" w:hAnsi="仿宋" w:eastAsia="仿宋" w:cs="仿宋"/>
                <w:color w:val="auto"/>
                <w:sz w:val="24"/>
              </w:rPr>
              <w:t>演示所需设备由投标人自行准备。</w:t>
            </w:r>
          </w:p>
          <w:p>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讲解演示时间：每个投标人讲解演示前的调试准备时间不超过15分钟，讲解演示时间不超过15分钟，</w:t>
            </w:r>
            <w:r>
              <w:rPr>
                <w:rFonts w:hint="eastAsia" w:ascii="仿宋" w:hAnsi="仿宋" w:eastAsia="仿宋" w:cs="仿宋"/>
                <w:color w:val="auto"/>
                <w:sz w:val="24"/>
              </w:rPr>
              <w:t>不包含评标委员会提问解答时间。</w:t>
            </w:r>
          </w:p>
          <w:p>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讲解演示次序：以政采云平台中</w:t>
            </w:r>
            <w:r>
              <w:rPr>
                <w:rFonts w:hint="eastAsia" w:ascii="仿宋" w:hAnsi="仿宋" w:eastAsia="仿宋" w:cs="仿宋"/>
                <w:color w:val="auto"/>
                <w:sz w:val="24"/>
              </w:rPr>
              <w:t>投标</w:t>
            </w:r>
            <w:r>
              <w:rPr>
                <w:rFonts w:hint="eastAsia" w:ascii="仿宋" w:hAnsi="仿宋" w:eastAsia="仿宋" w:cs="仿宋"/>
                <w:color w:val="auto"/>
                <w:sz w:val="24"/>
                <w:lang w:val="zh-CN"/>
              </w:rPr>
              <w:t>文件解密时间的先后顺序为准。</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注：（1）参加演示的投标人人数不超过2人。不得派遣有中高风险地区旅居史的代表参加本次演示；</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（2）投标人拟派省外演示代表的需提供当地48H核酸阴性证明，同时到绍后于绍兴本地核酸检测机构进行检测；</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(3)投标人拟派省内演示代表的需提供3日内核酸阴性证明。</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（4）具体要求按照绍兴市政务服务办公室发布的《关于做好疫情防控期间公共资源交易相关工作的通知》文件执行。</w:t>
            </w:r>
          </w:p>
          <w:p>
            <w:pPr>
              <w:pStyle w:val="2"/>
              <w:ind w:firstLine="240"/>
              <w:rPr>
                <w:rFonts w:hint="eastAsia" w:ascii="仿宋" w:hAnsi="仿宋" w:eastAsia="仿宋" w:cs="仿宋"/>
                <w:color w:val="auto"/>
                <w:sz w:val="24"/>
              </w:rPr>
            </w:pPr>
          </w:p>
          <w:p>
            <w:pPr>
              <w:pStyle w:val="2"/>
              <w:ind w:firstLine="241"/>
              <w:rPr>
                <w:rFonts w:hint="eastAsia" w:ascii="仿宋" w:hAnsi="仿宋" w:eastAsia="仿宋" w:cs="仿宋"/>
                <w:b/>
                <w:color w:val="auto"/>
              </w:rPr>
            </w:pPr>
            <w:r>
              <w:rPr>
                <w:rFonts w:hint="eastAsia" w:ascii="仿宋" w:hAnsi="仿宋" w:eastAsia="仿宋" w:cs="仿宋"/>
                <w:b/>
                <w:color w:val="auto"/>
                <w:sz w:val="24"/>
              </w:rPr>
              <w:t>标项二：</w:t>
            </w:r>
          </w:p>
          <w:p>
            <w:pPr>
              <w:spacing w:line="440" w:lineRule="exact"/>
              <w:rPr>
                <w:rFonts w:hint="eastAsia" w:ascii="仿宋" w:hAnsi="仿宋" w:eastAsia="仿宋" w:cs="仿宋"/>
                <w:b/>
                <w:color w:val="auto"/>
                <w:sz w:val="24"/>
              </w:rPr>
            </w:pPr>
            <w:sdt>
              <w:sdtPr>
                <w:rPr>
                  <w:rFonts w:hint="eastAsia" w:ascii="仿宋" w:hAnsi="仿宋" w:eastAsia="仿宋" w:cs="仿宋"/>
                  <w:b/>
                  <w:color w:val="auto"/>
                  <w:kern w:val="0"/>
                  <w:sz w:val="24"/>
                </w:rPr>
                <w:id w:val="-1439832650"/>
              </w:sdtPr>
              <w:sdtEndPr>
                <w:rPr>
                  <w:rFonts w:hint="eastAsia" w:ascii="仿宋" w:hAnsi="仿宋" w:eastAsia="仿宋" w:cs="仿宋"/>
                  <w:b/>
                  <w:color w:val="auto"/>
                  <w:kern w:val="0"/>
                  <w:sz w:val="24"/>
                </w:rPr>
              </w:sdtEndPr>
              <w:sdtContent>
                <w:r>
                  <w:rPr>
                    <w:rFonts w:hint="eastAsia" w:ascii="仿宋" w:hAnsi="仿宋" w:eastAsia="仿宋" w:cs="仿宋"/>
                    <w:b/>
                    <w:color w:val="auto"/>
                    <w:kern w:val="0"/>
                    <w:sz w:val="24"/>
                  </w:rPr>
                  <w:sym w:font="Wingdings 2" w:char="0052"/>
                </w:r>
              </w:sdtContent>
            </w:sdt>
            <w:r>
              <w:rPr>
                <w:rFonts w:hint="eastAsia" w:ascii="仿宋" w:hAnsi="仿宋" w:eastAsia="仿宋" w:cs="仿宋"/>
                <w:b/>
                <w:color w:val="auto"/>
                <w:kern w:val="0"/>
                <w:sz w:val="24"/>
              </w:rPr>
              <w:t>A</w:t>
            </w:r>
            <w:r>
              <w:rPr>
                <w:rFonts w:hint="eastAsia" w:ascii="仿宋" w:hAnsi="仿宋" w:eastAsia="仿宋" w:cs="仿宋"/>
                <w:b/>
                <w:color w:val="auto"/>
                <w:sz w:val="24"/>
              </w:rPr>
              <w:t>无方案讲解演示。</w:t>
            </w:r>
          </w:p>
          <w:p>
            <w:pPr>
              <w:spacing w:line="440" w:lineRule="exact"/>
              <w:rPr>
                <w:rFonts w:hint="eastAsia" w:ascii="仿宋" w:hAnsi="仿宋" w:eastAsia="仿宋" w:cs="仿宋"/>
                <w:b/>
                <w:bCs/>
                <w:color w:val="auto"/>
                <w:sz w:val="24"/>
                <w:lang w:val="zh-CN"/>
              </w:rPr>
            </w:pPr>
            <w:r>
              <w:rPr>
                <w:rFonts w:hint="eastAsia" w:ascii="仿宋" w:hAnsi="仿宋" w:eastAsia="仿宋" w:cs="仿宋"/>
                <w:b/>
                <w:bCs/>
                <w:color w:val="auto"/>
                <w:sz w:val="24"/>
                <w:lang w:val="zh-CN"/>
              </w:rPr>
              <w:sym w:font="Wingdings" w:char="00A8"/>
            </w:r>
            <w:r>
              <w:rPr>
                <w:rFonts w:hint="eastAsia" w:ascii="仿宋" w:hAnsi="仿宋" w:eastAsia="仿宋" w:cs="仿宋"/>
                <w:b/>
                <w:bCs/>
                <w:color w:val="auto"/>
                <w:sz w:val="24"/>
                <w:lang w:val="zh-CN"/>
              </w:rPr>
              <w:t xml:space="preserve"> B有方案讲解演示。</w:t>
            </w:r>
          </w:p>
          <w:p>
            <w:pPr>
              <w:pStyle w:val="2"/>
              <w:ind w:firstLine="0" w:firstLineChars="0"/>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pPr>
              <w:spacing w:line="360" w:lineRule="auto"/>
              <w:rPr>
                <w:rFonts w:hint="eastAsia" w:ascii="仿宋" w:hAnsi="仿宋" w:eastAsia="仿宋" w:cs="仿宋"/>
                <w:color w:val="auto"/>
                <w:kern w:val="0"/>
                <w:sz w:val="24"/>
              </w:rPr>
            </w:pPr>
            <w:sdt>
              <w:sdtPr>
                <w:rPr>
                  <w:rFonts w:hint="eastAsia" w:ascii="仿宋" w:hAnsi="仿宋" w:eastAsia="仿宋" w:cs="仿宋"/>
                  <w:color w:val="auto"/>
                  <w:kern w:val="0"/>
                  <w:sz w:val="24"/>
                </w:rPr>
                <w:id w:val="-751813434"/>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color w:val="auto"/>
                <w:kern w:val="0"/>
                <w:sz w:val="24"/>
              </w:rPr>
              <w:t>本项目不允许采购进口产品。</w:t>
            </w:r>
          </w:p>
          <w:p>
            <w:pPr>
              <w:snapToGrid w:val="0"/>
              <w:spacing w:line="440" w:lineRule="exact"/>
              <w:rPr>
                <w:rFonts w:hint="eastAsia" w:ascii="仿宋" w:hAnsi="仿宋" w:eastAsia="仿宋" w:cs="仿宋"/>
                <w:b/>
                <w:color w:val="auto"/>
                <w:sz w:val="24"/>
              </w:rPr>
            </w:pPr>
            <w:sdt>
              <w:sdtPr>
                <w:rPr>
                  <w:rFonts w:hint="eastAsia" w:ascii="仿宋" w:hAnsi="仿宋" w:eastAsia="仿宋" w:cs="仿宋"/>
                  <w:color w:val="auto"/>
                  <w:kern w:val="0"/>
                  <w:sz w:val="24"/>
                </w:rPr>
                <w:id w:val="-833212847"/>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pPr>
              <w:snapToGrid w:val="0"/>
              <w:ind w:left="-3" w:leftChars="-8" w:right="-50" w:rightChars="-24"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1872786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标项一：</w:t>
                </w:r>
                <w:r>
                  <w:rPr>
                    <w:rFonts w:hint="eastAsia" w:ascii="仿宋" w:hAnsi="仿宋" w:eastAsia="仿宋" w:cs="仿宋"/>
                    <w:color w:val="auto"/>
                    <w:kern w:val="0"/>
                    <w:sz w:val="24"/>
                  </w:rPr>
                  <w:sym w:font="Wingdings" w:char="00FE"/>
                </w:r>
              </w:sdtContent>
            </w:sdt>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kern w:val="0"/>
                <w:sz w:val="24"/>
                <w:u w:val="single"/>
              </w:rPr>
              <w:t xml:space="preserve">  移动护理手持终端 </w:t>
            </w:r>
            <w:r>
              <w:rPr>
                <w:rFonts w:hint="eastAsia" w:ascii="仿宋" w:hAnsi="仿宋" w:eastAsia="仿宋" w:cs="仿宋"/>
                <w:color w:val="auto"/>
                <w:sz w:val="24"/>
              </w:rPr>
              <w:t>。</w:t>
            </w:r>
          </w:p>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474885559"/>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681041712"/>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A8"/>
                    </w:r>
                  </w:sdtContent>
                </w:sdt>
              </w:sdtContent>
            </w:sdt>
            <w:r>
              <w:rPr>
                <w:rFonts w:hint="eastAsia" w:ascii="仿宋" w:hAnsi="仿宋" w:eastAsia="仿宋" w:cs="仿宋"/>
                <w:color w:val="auto"/>
                <w:kern w:val="0"/>
                <w:sz w:val="24"/>
              </w:rPr>
              <w:t>B</w:t>
            </w:r>
            <w:r>
              <w:rPr>
                <w:rFonts w:hint="eastAsia" w:ascii="仿宋" w:hAnsi="仿宋" w:eastAsia="仿宋" w:cs="仿宋"/>
                <w:color w:val="auto"/>
                <w:sz w:val="24"/>
              </w:rPr>
              <w:t>服务类。</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标项二：</w:t>
            </w:r>
            <w:sdt>
              <w:sdtPr>
                <w:rPr>
                  <w:rFonts w:hint="eastAsia" w:ascii="仿宋" w:hAnsi="仿宋" w:eastAsia="仿宋" w:cs="仿宋"/>
                  <w:color w:val="auto"/>
                  <w:kern w:val="0"/>
                  <w:sz w:val="24"/>
                </w:rPr>
                <w:id w:val="74946564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r>
                  <w:rPr>
                    <w:rFonts w:hint="eastAsia" w:ascii="仿宋" w:hAnsi="仿宋" w:eastAsia="仿宋" w:cs="仿宋"/>
                    <w:color w:val="auto"/>
                    <w:kern w:val="0"/>
                    <w:sz w:val="24"/>
                  </w:rPr>
                  <w:sym w:font="Wingdings" w:char="00FE"/>
                </w:r>
              </w:sdtContent>
            </w:sdt>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kern w:val="0"/>
                <w:sz w:val="24"/>
                <w:u w:val="single"/>
              </w:rPr>
              <w:t xml:space="preserve">  数据库存储       </w:t>
            </w:r>
            <w:r>
              <w:rPr>
                <w:rFonts w:hint="eastAsia" w:ascii="仿宋" w:hAnsi="仿宋" w:eastAsia="仿宋" w:cs="仿宋"/>
                <w:color w:val="auto"/>
                <w:sz w:val="24"/>
              </w:rPr>
              <w:t>。</w:t>
            </w:r>
          </w:p>
          <w:p>
            <w:pPr>
              <w:snapToGrid w:val="0"/>
              <w:spacing w:line="440" w:lineRule="exact"/>
              <w:rPr>
                <w:rFonts w:hint="eastAsia" w:ascii="仿宋" w:hAnsi="仿宋" w:eastAsia="仿宋" w:cs="仿宋"/>
                <w:color w:val="auto"/>
                <w:sz w:val="24"/>
              </w:rPr>
            </w:pPr>
            <w:sdt>
              <w:sdtPr>
                <w:rPr>
                  <w:rFonts w:hint="eastAsia" w:ascii="仿宋" w:hAnsi="仿宋" w:eastAsia="仿宋" w:cs="仿宋"/>
                  <w:color w:val="auto"/>
                  <w:kern w:val="0"/>
                  <w:sz w:val="24"/>
                </w:rPr>
                <w:id w:val="1040554656"/>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509643220"/>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A8"/>
                    </w:r>
                  </w:sdtContent>
                </w:sdt>
              </w:sdtContent>
            </w:sdt>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pPr>
              <w:snapToGrid w:val="0"/>
              <w:ind w:left="-18" w:leftChars="-9" w:right="-50" w:rightChars="-24"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pPr>
              <w:numPr>
                <w:ilvl w:val="0"/>
                <w:numId w:val="6"/>
              </w:num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标的：01标，属于</w:t>
            </w:r>
            <w:r>
              <w:rPr>
                <w:rFonts w:hint="eastAsia" w:ascii="仿宋" w:hAnsi="仿宋" w:eastAsia="仿宋" w:cs="仿宋"/>
                <w:color w:val="auto"/>
                <w:kern w:val="0"/>
                <w:sz w:val="24"/>
                <w:u w:val="single"/>
              </w:rPr>
              <w:t xml:space="preserve">其他未名列  </w:t>
            </w:r>
            <w:r>
              <w:rPr>
                <w:rFonts w:hint="eastAsia" w:ascii="仿宋" w:hAnsi="仿宋" w:eastAsia="仿宋" w:cs="仿宋"/>
                <w:color w:val="auto"/>
                <w:kern w:val="0"/>
                <w:sz w:val="24"/>
                <w:u w:val="single"/>
              </w:rPr>
              <w:t>行业</w:t>
            </w:r>
            <w:r>
              <w:rPr>
                <w:rFonts w:hint="eastAsia" w:ascii="仿宋" w:hAnsi="仿宋" w:eastAsia="仿宋" w:cs="仿宋"/>
                <w:color w:val="auto"/>
                <w:kern w:val="0"/>
                <w:sz w:val="24"/>
              </w:rPr>
              <w:t>。</w:t>
            </w:r>
          </w:p>
          <w:p>
            <w:pPr>
              <w:numPr>
                <w:ilvl w:val="0"/>
                <w:numId w:val="6"/>
              </w:numPr>
              <w:snapToGrid w:val="0"/>
              <w:spacing w:line="360" w:lineRule="auto"/>
              <w:rPr>
                <w:rFonts w:hint="eastAsia" w:ascii="仿宋" w:hAnsi="仿宋" w:eastAsia="仿宋" w:cs="仿宋"/>
                <w:color w:val="auto"/>
              </w:rPr>
            </w:pPr>
            <w:r>
              <w:rPr>
                <w:rFonts w:hint="eastAsia" w:ascii="仿宋" w:hAnsi="仿宋" w:eastAsia="仿宋" w:cs="仿宋"/>
                <w:color w:val="auto"/>
                <w:kern w:val="0"/>
                <w:sz w:val="24"/>
              </w:rPr>
              <w:t>标的：02标，属于</w:t>
            </w:r>
            <w:r>
              <w:rPr>
                <w:rFonts w:hint="eastAsia" w:ascii="仿宋" w:hAnsi="仿宋" w:eastAsia="仿宋" w:cs="仿宋"/>
                <w:color w:val="auto"/>
                <w:kern w:val="0"/>
                <w:sz w:val="24"/>
                <w:u w:val="single"/>
              </w:rPr>
              <w:t xml:space="preserve">其他未名列 </w:t>
            </w:r>
            <w:r>
              <w:rPr>
                <w:rFonts w:hint="eastAsia" w:ascii="仿宋" w:hAnsi="仿宋" w:eastAsia="仿宋" w:cs="仿宋"/>
                <w:color w:val="auto"/>
                <w:kern w:val="0"/>
                <w:sz w:val="24"/>
                <w:u w:val="single"/>
              </w:rPr>
              <w:t xml:space="preserve">     行业</w:t>
            </w:r>
            <w:r>
              <w:rPr>
                <w:rFonts w:hint="eastAsia" w:ascii="仿宋" w:hAnsi="仿宋" w:eastAsia="仿宋" w:cs="仿宋"/>
                <w:color w:val="auto"/>
                <w:kern w:val="0"/>
                <w:sz w:val="24"/>
              </w:rPr>
              <w:t>。</w:t>
            </w:r>
          </w:p>
          <w:p>
            <w:pPr>
              <w:snapToGrid w:val="0"/>
              <w:spacing w:line="360" w:lineRule="auto"/>
              <w:rPr>
                <w:rFonts w:hint="eastAsia" w:ascii="仿宋" w:hAnsi="仿宋" w:eastAsia="仿宋" w:cs="仿宋"/>
                <w:color w:val="auto"/>
              </w:rPr>
            </w:pPr>
          </w:p>
          <w:p>
            <w:pPr>
              <w:snapToGrid w:val="0"/>
              <w:spacing w:line="360" w:lineRule="auto"/>
              <w:rPr>
                <w:rFonts w:hint="eastAsia" w:ascii="仿宋" w:hAnsi="仿宋" w:eastAsia="仿宋" w:cs="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rPr>
            </w:pPr>
          </w:p>
        </w:tc>
        <w:tc>
          <w:tcPr>
            <w:tcW w:w="855" w:type="dxa"/>
            <w:vMerge w:val="continue"/>
            <w:vAlign w:val="center"/>
          </w:tcPr>
          <w:p>
            <w:pPr>
              <w:snapToGrid w:val="0"/>
              <w:spacing w:line="440" w:lineRule="exact"/>
              <w:rPr>
                <w:rFonts w:hint="eastAsia" w:ascii="仿宋" w:hAnsi="仿宋" w:eastAsia="仿宋" w:cs="仿宋"/>
                <w:b/>
                <w:color w:val="auto"/>
                <w:sz w:val="24"/>
              </w:rPr>
            </w:pPr>
          </w:p>
        </w:tc>
        <w:tc>
          <w:tcPr>
            <w:tcW w:w="751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rPr>
            </w:pPr>
          </w:p>
        </w:tc>
        <w:tc>
          <w:tcPr>
            <w:tcW w:w="855" w:type="dxa"/>
            <w:vMerge w:val="continue"/>
            <w:vAlign w:val="center"/>
          </w:tcPr>
          <w:p>
            <w:pPr>
              <w:snapToGrid w:val="0"/>
              <w:spacing w:line="440" w:lineRule="exact"/>
              <w:rPr>
                <w:rFonts w:hint="eastAsia" w:ascii="仿宋" w:hAnsi="仿宋" w:eastAsia="仿宋" w:cs="仿宋"/>
                <w:b/>
                <w:color w:val="auto"/>
                <w:sz w:val="24"/>
              </w:rPr>
            </w:pPr>
          </w:p>
        </w:tc>
        <w:tc>
          <w:tcPr>
            <w:tcW w:w="7515" w:type="dxa"/>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扰乱公共资源交易市场秩序行为：</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 xml:space="preserve">17                                                                                                                                                                                                                                                                                                                                                                                                                                                                                                                                                                                                                                                                                                                                                                                                                                                                                                                                                                                                                                                                                                                                                                                                                                                                                                                                        </w:t>
            </w:r>
          </w:p>
        </w:tc>
        <w:tc>
          <w:tcPr>
            <w:tcW w:w="8370"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投标与开标注意事项：</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3.投标文件制作、递交、解密：</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hint="eastAsia" w:ascii="仿宋" w:hAnsi="仿宋" w:eastAsia="仿宋" w:cs="仿宋"/>
                <w:color w:val="auto"/>
                <w:sz w:val="24"/>
              </w:rPr>
            </w:pPr>
          </w:p>
        </w:tc>
        <w:tc>
          <w:tcPr>
            <w:tcW w:w="8370" w:type="dxa"/>
            <w:gridSpan w:val="2"/>
            <w:vAlign w:val="center"/>
          </w:tcPr>
          <w:p>
            <w:pPr>
              <w:adjustRightInd w:val="0"/>
              <w:spacing w:line="440" w:lineRule="exact"/>
              <w:rPr>
                <w:rFonts w:hint="eastAsia" w:ascii="仿宋" w:hAnsi="仿宋" w:eastAsia="仿宋" w:cs="仿宋"/>
                <w:snapToGrid w:val="0"/>
                <w:color w:val="auto"/>
                <w:kern w:val="28"/>
                <w:sz w:val="24"/>
              </w:rPr>
            </w:pPr>
            <w:sdt>
              <w:sdtPr>
                <w:rPr>
                  <w:rFonts w:hint="eastAsia" w:ascii="仿宋" w:hAnsi="仿宋" w:eastAsia="仿宋" w:cs="仿宋"/>
                  <w:color w:val="auto"/>
                  <w:kern w:val="0"/>
                  <w:sz w:val="24"/>
                  <w:szCs w:val="21"/>
                </w:rPr>
                <w:id w:val="-1816336663"/>
              </w:sdtPr>
              <w:sdtEndPr>
                <w:rPr>
                  <w:rFonts w:hint="eastAsia" w:ascii="仿宋" w:hAnsi="仿宋" w:eastAsia="仿宋" w:cs="仿宋"/>
                  <w:color w:val="auto"/>
                  <w:kern w:val="0"/>
                  <w:sz w:val="24"/>
                  <w:szCs w:val="21"/>
                </w:rPr>
              </w:sdtEndPr>
              <w:sdtContent>
                <w:sdt>
                  <w:sdtPr>
                    <w:rPr>
                      <w:rFonts w:hint="eastAsia" w:ascii="仿宋" w:hAnsi="仿宋" w:eastAsia="仿宋" w:cs="仿宋"/>
                      <w:color w:val="auto"/>
                      <w:kern w:val="0"/>
                      <w:sz w:val="24"/>
                      <w:szCs w:val="21"/>
                    </w:rPr>
                    <w:id w:val="-232311894"/>
                  </w:sdtPr>
                  <w:sdtEndPr>
                    <w:rPr>
                      <w:rFonts w:hint="eastAsia" w:ascii="仿宋" w:hAnsi="仿宋" w:eastAsia="仿宋" w:cs="仿宋"/>
                      <w:color w:val="auto"/>
                      <w:kern w:val="0"/>
                      <w:sz w:val="24"/>
                      <w:szCs w:val="21"/>
                    </w:rPr>
                  </w:sdtEndPr>
                  <w:sdtContent>
                    <w:r>
                      <w:rPr>
                        <w:rFonts w:hint="eastAsia" w:ascii="仿宋" w:hAnsi="仿宋" w:eastAsia="仿宋" w:cs="仿宋"/>
                        <w:color w:val="auto"/>
                        <w:kern w:val="0"/>
                        <w:sz w:val="24"/>
                      </w:rPr>
                      <w:sym w:font="Wingdings" w:char="00A8"/>
                    </w:r>
                  </w:sdtContent>
                </w:sdt>
              </w:sdtContent>
            </w:sdt>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color w:val="auto"/>
                <w:sz w:val="24"/>
              </w:rPr>
            </w:pPr>
            <w:sdt>
              <w:sdtPr>
                <w:rPr>
                  <w:rFonts w:hint="eastAsia" w:ascii="仿宋" w:hAnsi="仿宋" w:eastAsia="仿宋" w:cs="仿宋"/>
                  <w:color w:val="auto"/>
                  <w:kern w:val="0"/>
                  <w:sz w:val="24"/>
                  <w:szCs w:val="21"/>
                </w:rPr>
                <w:id w:val="721330010"/>
              </w:sdtPr>
              <w:sdtEndPr>
                <w:rPr>
                  <w:rFonts w:hint="eastAsia" w:ascii="仿宋" w:hAnsi="仿宋" w:eastAsia="仿宋" w:cs="仿宋"/>
                  <w:color w:val="auto"/>
                  <w:kern w:val="0"/>
                  <w:sz w:val="24"/>
                  <w:szCs w:val="21"/>
                </w:rPr>
              </w:sdtEndPr>
              <w:sdtContent>
                <w:r>
                  <w:rPr>
                    <w:rFonts w:hint="eastAsia" w:ascii="仿宋" w:hAnsi="仿宋" w:eastAsia="仿宋" w:cs="仿宋"/>
                    <w:color w:val="auto"/>
                    <w:kern w:val="0"/>
                    <w:sz w:val="24"/>
                  </w:rPr>
                  <w:sym w:font="Wingdings" w:char="00FE"/>
                </w:r>
              </w:sdtContent>
            </w:sdt>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rPr>
                <w:rFonts w:hint="eastAsia" w:ascii="仿宋" w:hAnsi="仿宋" w:eastAsia="仿宋" w:cs="仿宋"/>
                <w:color w:val="auto"/>
                <w:sz w:val="24"/>
              </w:rPr>
            </w:pPr>
            <w:r>
              <w:rPr>
                <w:rFonts w:hint="eastAsia" w:ascii="仿宋" w:hAnsi="仿宋" w:eastAsia="仿宋" w:cs="仿宋"/>
                <w:color w:val="auto"/>
                <w:sz w:val="24"/>
              </w:rPr>
              <w:t>19</w:t>
            </w:r>
          </w:p>
        </w:tc>
        <w:tc>
          <w:tcPr>
            <w:tcW w:w="8370" w:type="dxa"/>
            <w:gridSpan w:val="2"/>
            <w:vAlign w:val="center"/>
          </w:tcPr>
          <w:p>
            <w:pPr>
              <w:spacing w:line="340" w:lineRule="exact"/>
              <w:rPr>
                <w:rFonts w:hint="eastAsia" w:ascii="仿宋" w:hAnsi="仿宋" w:eastAsia="仿宋" w:cs="仿宋"/>
                <w:color w:val="auto"/>
                <w:sz w:val="24"/>
              </w:rPr>
            </w:pPr>
            <w:r>
              <w:rPr>
                <w:rFonts w:hint="eastAsia" w:ascii="仿宋" w:hAnsi="仿宋" w:eastAsia="仿宋" w:cs="仿宋"/>
                <w:b/>
                <w:bCs/>
                <w:color w:val="auto"/>
                <w:sz w:val="24"/>
              </w:rPr>
              <w:t>采购代理服务费：</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（1）参考《招标代理服务收费管理暂行办法》计价格[2002]1980号文和发改价格[2011]534号文件收费标准*60%计取，不足2000元按2000元计取，超过15000元按15000元计取。</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（2）招标代理服务费的交纳方式：</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公司名称：华诚工程咨询集团有限公司</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账  号：95220078801100000315</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解释：凡涉及本招标文件的解释权属于采购人和采购代理机构。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0"/>
    </w:tbl>
    <w:p>
      <w:pPr>
        <w:pageBreakBefore/>
        <w:snapToGrid w:val="0"/>
        <w:spacing w:line="30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一、总则</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 项目说明</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1.4本招标文件所称公章是指单位法定名称章或者冠以法定名称的投标业务专用章或单位法定名称电子公章。</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 定义</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2.1政府采购当事人及监管部门</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2.1.1“采购人”系指采购公告中载明的本项目的采购人，即绍兴市人民医院（合同中的甲方）。</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2.1.2“采购代理机构”系指采购公告中载明的本项目的采购代理机构，即华诚工程咨询集团有限公司。</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2.1.3“供应商”系指响应招标、参加投标竞争的法人、其他组织或者自然人为投标人，或经评审产生的中标候选人，或发布中标公告后并签订合同的中标人（合同中的乙方），</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2.1.4“监督单位”系指政府采购法定义监督管理部门，即绍兴市财政局。</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2.4“项目”系指投标人按招标文件规定向采购人提供的产品和服务。</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2.5“授权代表”系指法定代表人的被授权委托人。</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2.6“电子交易平台”是指本项目政府采购活动所依托的政府采购云平台（https://www.zcygov.cn/）。</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2.7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sz w:val="24"/>
        </w:rPr>
        <w:t>“</w:t>
      </w:r>
      <w:sdt>
        <w:sdtPr>
          <w:rPr>
            <w:rFonts w:hint="eastAsia" w:ascii="仿宋" w:hAnsi="仿宋" w:eastAsia="仿宋" w:cs="仿宋"/>
            <w:color w:val="auto"/>
            <w:kern w:val="0"/>
            <w:sz w:val="24"/>
          </w:rPr>
          <w:id w:val="512970236"/>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szCs w:val="21"/>
              </w:rPr>
              <w:id w:val="-1369824568"/>
            </w:sdtPr>
            <w:sdtEndPr>
              <w:rPr>
                <w:rFonts w:hint="eastAsia" w:ascii="仿宋" w:hAnsi="仿宋" w:eastAsia="仿宋" w:cs="仿宋"/>
                <w:color w:val="auto"/>
                <w:kern w:val="0"/>
                <w:sz w:val="24"/>
                <w:szCs w:val="21"/>
              </w:rPr>
            </w:sdtEndPr>
            <w:sdtContent>
              <w:r>
                <w:rPr>
                  <w:rFonts w:hint="eastAsia" w:ascii="仿宋" w:hAnsi="仿宋" w:eastAsia="仿宋" w:cs="仿宋"/>
                  <w:color w:val="auto"/>
                  <w:kern w:val="0"/>
                  <w:sz w:val="24"/>
                </w:rPr>
                <w:sym w:font="Wingdings" w:char="00FE"/>
              </w:r>
            </w:sdtContent>
          </w:sdt>
        </w:sdtContent>
      </w:sdt>
      <w:r>
        <w:rPr>
          <w:rFonts w:hint="eastAsia" w:ascii="仿宋" w:hAnsi="仿宋" w:eastAsia="仿宋" w:cs="仿宋"/>
          <w:color w:val="auto"/>
          <w:sz w:val="24"/>
        </w:rPr>
        <w:t>”</w:t>
      </w:r>
      <w:r>
        <w:rPr>
          <w:rFonts w:hint="eastAsia" w:ascii="仿宋" w:hAnsi="仿宋" w:eastAsia="仿宋" w:cs="仿宋"/>
          <w:color w:val="auto"/>
          <w:sz w:val="24"/>
        </w:rPr>
        <w:t>系指适用本项目的要求，“</w:t>
      </w:r>
      <w:sdt>
        <w:sdtPr>
          <w:rPr>
            <w:rFonts w:hint="eastAsia" w:ascii="仿宋" w:hAnsi="仿宋" w:eastAsia="仿宋" w:cs="仿宋"/>
            <w:color w:val="auto"/>
            <w:kern w:val="0"/>
            <w:sz w:val="24"/>
          </w:rPr>
          <w:id w:val="40488885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”系指不适用本项目的要求。</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2.8因特殊原因需要使用冠以法定名称的业务专用章的，投标时须提供《业务专用章使用说明函》(详见附件)。</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3.2.3修缮、装修类项目采购建材的，采购人应将绿色建筑和绿色建材性能、指标等作为实质性条件纳入招标文件和合同。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企业价格扣除（2022年7月1日至2022年12月31日期间发布采购公告或者发出采购邀请的货物、服务采购项目按照下列规定执行,到期后按财库〔2022]19号文件规定执行。）</w:t>
      </w:r>
    </w:p>
    <w:p>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支持科技创新创新发展</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★4.特别说明：</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120" w:beforeLines="50" w:after="120" w:afterLines="50"/>
        <w:jc w:val="center"/>
        <w:rPr>
          <w:rFonts w:hint="eastAsia" w:ascii="仿宋" w:hAnsi="仿宋" w:eastAsia="仿宋" w:cs="仿宋"/>
          <w:color w:val="auto"/>
          <w:sz w:val="24"/>
        </w:rPr>
      </w:pPr>
      <w:r>
        <w:rPr>
          <w:rFonts w:hint="eastAsia" w:ascii="仿宋" w:hAnsi="仿宋" w:eastAsia="仿宋" w:cs="仿宋"/>
          <w:b/>
          <w:color w:val="auto"/>
          <w:sz w:val="36"/>
          <w:szCs w:val="36"/>
        </w:rPr>
        <w:t>二、招标文件</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1．招标方式</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 本次招标采用</w:t>
      </w:r>
      <w:r>
        <w:rPr>
          <w:rFonts w:hint="eastAsia" w:ascii="仿宋" w:hAnsi="仿宋" w:eastAsia="仿宋" w:cs="仿宋"/>
          <w:b/>
          <w:color w:val="auto"/>
          <w:kern w:val="0"/>
          <w:sz w:val="24"/>
        </w:rPr>
        <w:t>公开招标</w:t>
      </w:r>
      <w:r>
        <w:rPr>
          <w:rFonts w:hint="eastAsia" w:ascii="仿宋" w:hAnsi="仿宋" w:eastAsia="仿宋" w:cs="仿宋"/>
          <w:color w:val="auto"/>
          <w:sz w:val="24"/>
        </w:rPr>
        <w:t>方式进行。</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pPr>
        <w:pStyle w:val="20"/>
        <w:snapToGrid w:val="0"/>
        <w:spacing w:after="0" w:line="440" w:lineRule="exact"/>
        <w:ind w:left="0" w:leftChars="0"/>
        <w:jc w:val="left"/>
        <w:rPr>
          <w:rFonts w:hint="eastAsia" w:ascii="仿宋" w:hAnsi="仿宋" w:eastAsia="仿宋" w:cs="仿宋"/>
          <w:b/>
          <w:color w:val="auto"/>
          <w:sz w:val="24"/>
        </w:rPr>
      </w:pPr>
      <w:r>
        <w:rPr>
          <w:rFonts w:hint="eastAsia" w:ascii="仿宋" w:hAnsi="仿宋" w:eastAsia="仿宋" w:cs="仿宋"/>
          <w:b/>
          <w:color w:val="auto"/>
          <w:sz w:val="24"/>
        </w:rPr>
        <w:t>2.授权委托</w:t>
      </w:r>
    </w:p>
    <w:p>
      <w:pPr>
        <w:pStyle w:val="16"/>
        <w:tabs>
          <w:tab w:val="clear" w:pos="454"/>
        </w:tabs>
        <w:spacing w:afterLines="0" w:line="440" w:lineRule="exact"/>
        <w:ind w:left="0" w:firstLine="480" w:firstLineChars="200"/>
        <w:rPr>
          <w:rFonts w:hint="eastAsia" w:ascii="仿宋" w:hAnsi="仿宋" w:eastAsia="仿宋" w:cs="仿宋"/>
          <w:color w:val="auto"/>
        </w:rPr>
      </w:pPr>
      <w:r>
        <w:rPr>
          <w:rFonts w:hint="eastAsia" w:ascii="仿宋" w:hAnsi="仿宋" w:eastAsia="仿宋" w:cs="仿宋"/>
          <w:color w:val="auto"/>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pPr>
        <w:pStyle w:val="16"/>
        <w:tabs>
          <w:tab w:val="clear" w:pos="454"/>
        </w:tabs>
        <w:spacing w:afterLines="0" w:line="440" w:lineRule="exact"/>
        <w:ind w:left="0" w:firstLine="480" w:firstLineChars="200"/>
        <w:rPr>
          <w:rFonts w:hint="eastAsia" w:ascii="仿宋" w:hAnsi="仿宋" w:eastAsia="仿宋" w:cs="仿宋"/>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投标人应自行承担编制投标文件及参加本次投标所涉及的一切费用。不管投标结果如何，招标人对上述费用不负任何责任。中标人需支付政府采购代理服务费，详见前附表。</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 xml:space="preserve">4.1 </w:t>
      </w:r>
      <w:r>
        <w:rPr>
          <w:rFonts w:hint="eastAsia" w:ascii="仿宋" w:hAnsi="仿宋" w:eastAsia="仿宋" w:cs="仿宋"/>
          <w:bCs/>
          <w:color w:val="auto"/>
          <w:sz w:val="24"/>
        </w:rPr>
        <w:t>招标文件包括本招标文件及所有的招标答疑记录（澄清、修改）和发出的补充通知</w:t>
      </w:r>
      <w:r>
        <w:rPr>
          <w:rFonts w:hint="eastAsia" w:ascii="仿宋" w:hAnsi="仿宋" w:eastAsia="仿宋" w:cs="仿宋"/>
          <w:color w:val="auto"/>
          <w:sz w:val="24"/>
        </w:rPr>
        <w:t>。</w:t>
      </w:r>
    </w:p>
    <w:p>
      <w:pPr>
        <w:pStyle w:val="16"/>
        <w:widowControl w:val="0"/>
        <w:tabs>
          <w:tab w:val="clear" w:pos="454"/>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 xml:space="preserve">4.2招标文件的澄清 </w:t>
      </w:r>
    </w:p>
    <w:p>
      <w:pPr>
        <w:pStyle w:val="16"/>
        <w:widowControl w:val="0"/>
        <w:tabs>
          <w:tab w:val="clear" w:pos="454"/>
        </w:tabs>
        <w:spacing w:afterLines="0" w:line="440" w:lineRule="exact"/>
        <w:ind w:left="0" w:firstLine="480" w:firstLineChars="200"/>
        <w:rPr>
          <w:rFonts w:hint="eastAsia" w:ascii="仿宋" w:hAnsi="仿宋" w:eastAsia="仿宋" w:cs="仿宋"/>
          <w:color w:val="auto"/>
        </w:rPr>
      </w:pPr>
      <w:r>
        <w:rPr>
          <w:rFonts w:hint="eastAsia" w:ascii="仿宋" w:hAnsi="仿宋" w:eastAsia="仿宋" w:cs="仿宋"/>
          <w:color w:val="auto"/>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6"/>
        <w:tabs>
          <w:tab w:val="clear" w:pos="454"/>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4.3招标文件的修改</w:t>
      </w:r>
    </w:p>
    <w:p>
      <w:pPr>
        <w:pStyle w:val="16"/>
        <w:tabs>
          <w:tab w:val="clear" w:pos="454"/>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pPr>
        <w:snapToGrid w:val="0"/>
        <w:spacing w:line="44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三、投标文件</w:t>
      </w:r>
    </w:p>
    <w:p>
      <w:pPr>
        <w:numPr>
          <w:ilvl w:val="0"/>
          <w:numId w:val="7"/>
        </w:num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投标文件的语言、计量单位、形式及效力</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pPr>
        <w:snapToGrid w:val="0"/>
        <w:spacing w:line="440" w:lineRule="exact"/>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pPr>
        <w:snapToGrid w:val="0"/>
        <w:spacing w:line="440" w:lineRule="exact"/>
        <w:ind w:firstLine="472" w:firstLineChars="196"/>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 投标文件的组成</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投标文件由“报价文件资料”、“商务技术（资信）文件资料”两部分组成，其中</w:t>
      </w:r>
      <w:r>
        <w:rPr>
          <w:rFonts w:hint="eastAsia" w:ascii="仿宋" w:hAnsi="仿宋" w:eastAsia="仿宋" w:cs="仿宋"/>
          <w:b/>
          <w:color w:val="auto"/>
          <w:sz w:val="24"/>
        </w:rPr>
        <w:t>电子投标文件中所须加盖公章部分均应采用电子签章。</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 “报价文件资料”应包含以下内容：</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 xml:space="preserve">2.1.1投标响应函（格式见第六部分附件）； </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2.1.2开标一览表（格式见第六部分附件）；</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2.1.3中小企业声明函（如有，格式见第六部分附件）；</w:t>
      </w:r>
    </w:p>
    <w:p>
      <w:pPr>
        <w:pStyle w:val="26"/>
        <w:spacing w:line="440" w:lineRule="exact"/>
        <w:rPr>
          <w:rFonts w:hint="eastAsia" w:ascii="仿宋" w:hAnsi="仿宋" w:eastAsia="仿宋" w:cs="仿宋"/>
          <w:b w:val="0"/>
          <w:color w:val="auto"/>
          <w:sz w:val="24"/>
        </w:rPr>
      </w:pPr>
      <w:r>
        <w:rPr>
          <w:rFonts w:hint="eastAsia" w:ascii="仿宋" w:hAnsi="仿宋" w:eastAsia="仿宋" w:cs="仿宋"/>
          <w:b w:val="0"/>
          <w:color w:val="auto"/>
          <w:sz w:val="24"/>
        </w:rPr>
        <w:t>2.1.4残疾人福利性单位声明函（如有，格式见第六部分附件）。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 “商务技术（资信）文件资料”应包括以下内容（正本用原件）：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2.2.1法定代表人授权委托书(格式见第六部分附件)；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2.2.2授权代表社保证明和身份证复印件（格式见第六部分附件）；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2.2.3法定代表人身份证复印件和身份证明书（格式见第六部分附件）；</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sz w:val="24"/>
        </w:rPr>
        <w:t>2.2.4</w:t>
      </w:r>
      <w:r>
        <w:rPr>
          <w:rFonts w:hint="eastAsia" w:ascii="仿宋" w:hAnsi="仿宋" w:eastAsia="仿宋" w:cs="仿宋"/>
          <w:color w:val="auto"/>
          <w:kern w:val="0"/>
          <w:sz w:val="24"/>
        </w:rPr>
        <w:t>供应商基本资格条件</w:t>
      </w:r>
      <w:r>
        <w:rPr>
          <w:rFonts w:hint="eastAsia" w:ascii="仿宋" w:hAnsi="仿宋" w:eastAsia="仿宋" w:cs="仿宋"/>
          <w:color w:val="auto"/>
          <w:sz w:val="24"/>
        </w:rPr>
        <w:t>书面承诺函（格式见第六部分附件）</w:t>
      </w:r>
      <w:r>
        <w:rPr>
          <w:rFonts w:hint="eastAsia" w:ascii="仿宋" w:hAnsi="仿宋" w:eastAsia="仿宋" w:cs="仿宋"/>
          <w:color w:val="auto"/>
          <w:kern w:val="0"/>
          <w:sz w:val="24"/>
        </w:rPr>
        <w:t>；</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2.2.5供应商</w:t>
      </w:r>
      <w:r>
        <w:rPr>
          <w:rFonts w:hint="eastAsia" w:ascii="仿宋" w:hAnsi="仿宋" w:eastAsia="仿宋" w:cs="仿宋"/>
          <w:color w:val="auto"/>
          <w:sz w:val="24"/>
        </w:rPr>
        <w:t>特定资格条件（如项目要求）的有关证明材料（复印件）；</w:t>
      </w:r>
    </w:p>
    <w:p>
      <w:pPr>
        <w:pStyle w:val="25"/>
        <w:snapToGrid w:val="0"/>
        <w:spacing w:line="440" w:lineRule="exact"/>
        <w:rPr>
          <w:rFonts w:hint="eastAsia" w:ascii="仿宋" w:hAnsi="仿宋" w:eastAsia="仿宋" w:cs="仿宋"/>
          <w:color w:val="auto"/>
          <w:sz w:val="24"/>
          <w:lang w:val="zh-CN"/>
        </w:rPr>
      </w:pPr>
      <w:bookmarkStart w:id="1" w:name="_Hlt68403820"/>
      <w:bookmarkEnd w:id="1"/>
      <w:bookmarkStart w:id="2" w:name="_Hlt68073093"/>
      <w:bookmarkEnd w:id="2"/>
      <w:bookmarkStart w:id="3" w:name="_Hlt68072998"/>
      <w:bookmarkEnd w:id="3"/>
      <w:r>
        <w:rPr>
          <w:rFonts w:hint="eastAsia" w:ascii="仿宋" w:hAnsi="仿宋" w:eastAsia="仿宋" w:cs="仿宋"/>
          <w:color w:val="auto"/>
          <w:sz w:val="24"/>
        </w:rPr>
        <w:t>2.2.6</w:t>
      </w:r>
      <w:r>
        <w:rPr>
          <w:rFonts w:hint="eastAsia" w:ascii="仿宋" w:hAnsi="仿宋" w:eastAsia="仿宋" w:cs="仿宋"/>
          <w:color w:val="auto"/>
          <w:sz w:val="24"/>
          <w:lang w:val="zh-CN"/>
        </w:rPr>
        <w:t>投标人应提供针对项目的完整技术解决方案：</w:t>
      </w:r>
    </w:p>
    <w:p>
      <w:pPr>
        <w:snapToGrid w:val="0"/>
        <w:spacing w:line="440" w:lineRule="exact"/>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如果本项目涉及硬件设备采购，还需提供相关设备完整配置方案（设备名称、品牌、规格型号、数量、主要技术参数等）</w:t>
      </w:r>
      <w:r>
        <w:rPr>
          <w:rFonts w:hint="eastAsia" w:ascii="仿宋" w:hAnsi="仿宋" w:eastAsia="仿宋" w:cs="仿宋"/>
          <w:color w:val="auto"/>
          <w:sz w:val="24"/>
        </w:rPr>
        <w:t>，</w:t>
      </w:r>
      <w:r>
        <w:rPr>
          <w:rFonts w:hint="eastAsia" w:ascii="仿宋" w:hAnsi="仿宋" w:eastAsia="仿宋" w:cs="仿宋"/>
          <w:b/>
          <w:color w:val="auto"/>
          <w:sz w:val="24"/>
        </w:rPr>
        <w:t>提供主要投标产品的技术参数证明材料（如原厂技术说明、官网截图、产品彩页等），</w:t>
      </w:r>
      <w:r>
        <w:rPr>
          <w:rFonts w:hint="eastAsia" w:ascii="仿宋" w:hAnsi="仿宋" w:eastAsia="仿宋" w:cs="仿宋"/>
          <w:color w:val="auto"/>
          <w:sz w:val="24"/>
        </w:rPr>
        <w:t>明确表示该项指标所涉及的软硬件是标准配置还是选择配置</w:t>
      </w:r>
      <w:r>
        <w:rPr>
          <w:rFonts w:hint="eastAsia" w:ascii="仿宋" w:hAnsi="仿宋" w:eastAsia="仿宋" w:cs="仿宋"/>
          <w:b/>
          <w:color w:val="auto"/>
          <w:sz w:val="24"/>
        </w:rPr>
        <w:t>（所有技术指标表述均应采用中文，如当前公布的技术指标只有英文表述的，必须由投标人作出中文注释，否则</w:t>
      </w:r>
      <w:r>
        <w:rPr>
          <w:rFonts w:hint="eastAsia" w:ascii="仿宋" w:hAnsi="仿宋" w:eastAsia="仿宋" w:cs="仿宋"/>
          <w:b/>
          <w:color w:val="auto"/>
          <w:kern w:val="0"/>
          <w:sz w:val="24"/>
          <w:lang w:val="zh-CN"/>
        </w:rPr>
        <w:t>任何含糊不清的</w:t>
      </w:r>
      <w:r>
        <w:rPr>
          <w:rFonts w:hint="eastAsia" w:ascii="仿宋" w:hAnsi="仿宋" w:eastAsia="仿宋" w:cs="仿宋"/>
          <w:b/>
          <w:color w:val="auto"/>
          <w:sz w:val="24"/>
        </w:rPr>
        <w:t>表述导致</w:t>
      </w:r>
      <w:r>
        <w:rPr>
          <w:rFonts w:hint="eastAsia" w:ascii="仿宋" w:hAnsi="仿宋" w:eastAsia="仿宋" w:cs="仿宋"/>
          <w:b/>
          <w:color w:val="auto"/>
          <w:kern w:val="0"/>
          <w:sz w:val="24"/>
          <w:lang w:val="zh-CN"/>
        </w:rPr>
        <w:t>评标委员会技术扣分直至认定为投标无效都将是投标人的责任）</w:t>
      </w:r>
      <w:r>
        <w:rPr>
          <w:rFonts w:hint="eastAsia" w:ascii="仿宋" w:hAnsi="仿宋" w:eastAsia="仿宋" w:cs="仿宋"/>
          <w:color w:val="auto"/>
          <w:sz w:val="24"/>
        </w:rPr>
        <w:t>。</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rPr>
        <w:t>2.2.9</w:t>
      </w:r>
      <w:r>
        <w:rPr>
          <w:rFonts w:hint="eastAsia" w:ascii="仿宋" w:hAnsi="仿宋" w:eastAsia="仿宋" w:cs="仿宋"/>
          <w:color w:val="auto"/>
          <w:sz w:val="24"/>
        </w:rPr>
        <w:t>投标人在投标文件技术偏离说明表中，</w:t>
      </w:r>
      <w:r>
        <w:rPr>
          <w:rFonts w:hint="eastAsia" w:ascii="仿宋" w:hAnsi="仿宋" w:eastAsia="仿宋" w:cs="仿宋"/>
          <w:color w:val="auto"/>
          <w:kern w:val="0"/>
          <w:sz w:val="24"/>
          <w:lang w:val="zh-CN"/>
        </w:rPr>
        <w:t>应对</w:t>
      </w:r>
      <w:r>
        <w:rPr>
          <w:rFonts w:hint="eastAsia" w:ascii="仿宋" w:hAnsi="仿宋" w:eastAsia="仿宋" w:cs="仿宋"/>
          <w:color w:val="auto"/>
          <w:sz w:val="24"/>
        </w:rPr>
        <w:t>项目技术规范和服务要求</w:t>
      </w:r>
      <w:r>
        <w:rPr>
          <w:rFonts w:hint="eastAsia" w:ascii="仿宋" w:hAnsi="仿宋" w:eastAsia="仿宋" w:cs="仿宋"/>
          <w:color w:val="auto"/>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sz w:val="24"/>
        </w:rPr>
        <w:t>2.2.14</w:t>
      </w:r>
      <w:r>
        <w:rPr>
          <w:rFonts w:hint="eastAsia" w:ascii="仿宋" w:hAnsi="仿宋" w:eastAsia="仿宋" w:cs="仿宋"/>
          <w:color w:val="auto"/>
          <w:kern w:val="0"/>
          <w:sz w:val="24"/>
          <w:lang w:val="zh-CN"/>
        </w:rPr>
        <w:t>培训计划（如有）；</w:t>
      </w:r>
    </w:p>
    <w:p>
      <w:pPr>
        <w:tabs>
          <w:tab w:val="left" w:pos="0"/>
          <w:tab w:val="left" w:pos="840"/>
        </w:tabs>
        <w:autoSpaceDE w:val="0"/>
        <w:autoSpaceDN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2.2.15验收方案；</w:t>
      </w:r>
    </w:p>
    <w:p>
      <w:pPr>
        <w:snapToGrid w:val="0"/>
        <w:spacing w:line="440" w:lineRule="exact"/>
        <w:rPr>
          <w:rFonts w:hint="eastAsia" w:ascii="仿宋" w:hAnsi="仿宋" w:eastAsia="仿宋" w:cs="仿宋"/>
          <w:color w:val="auto"/>
          <w:sz w:val="24"/>
          <w:lang w:val="zh-CN"/>
        </w:rPr>
      </w:pPr>
      <w:r>
        <w:rPr>
          <w:rFonts w:hint="eastAsia" w:ascii="仿宋" w:hAnsi="仿宋" w:eastAsia="仿宋" w:cs="仿宋"/>
          <w:color w:val="auto"/>
          <w:kern w:val="0"/>
          <w:sz w:val="24"/>
        </w:rPr>
        <w:t>2.2.16</w:t>
      </w:r>
      <w:r>
        <w:rPr>
          <w:rFonts w:hint="eastAsia" w:ascii="仿宋" w:hAnsi="仿宋" w:eastAsia="仿宋" w:cs="仿宋"/>
          <w:snapToGrid w:val="0"/>
          <w:color w:val="auto"/>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lang w:val="zh-CN"/>
        </w:rPr>
        <w:t>；</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sz w:val="24"/>
          <w:lang w:val="zh-CN"/>
        </w:rPr>
        <w:t>2.2.17廉政承诺书</w:t>
      </w:r>
      <w:r>
        <w:rPr>
          <w:rFonts w:hint="eastAsia" w:ascii="仿宋" w:hAnsi="仿宋" w:eastAsia="仿宋" w:cs="仿宋"/>
          <w:color w:val="auto"/>
          <w:sz w:val="24"/>
        </w:rPr>
        <w:t>（格式见第六部分附件）；</w:t>
      </w:r>
    </w:p>
    <w:p>
      <w:pPr>
        <w:pStyle w:val="21"/>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2.2.18联合协议（如有）；</w:t>
      </w:r>
    </w:p>
    <w:p>
      <w:pPr>
        <w:pStyle w:val="21"/>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2.2.19分包意向协议（如有）；</w:t>
      </w:r>
    </w:p>
    <w:p>
      <w:pPr>
        <w:pStyle w:val="21"/>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2.2.20中小企业声明函（如有）；</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2.2.21</w:t>
      </w:r>
      <w:r>
        <w:rPr>
          <w:rFonts w:hint="eastAsia" w:ascii="仿宋" w:hAnsi="仿宋" w:eastAsia="仿宋" w:cs="仿宋"/>
          <w:color w:val="auto"/>
          <w:sz w:val="24"/>
          <w:u w:val="wave"/>
        </w:rPr>
        <w:t>未尽事宜请各投标单位按评分标准和相对应标项相关要求制作</w:t>
      </w:r>
      <w:r>
        <w:rPr>
          <w:rFonts w:hint="eastAsia" w:ascii="仿宋" w:hAnsi="仿宋" w:eastAsia="仿宋" w:cs="仿宋"/>
          <w:color w:val="auto"/>
          <w:sz w:val="24"/>
        </w:rPr>
        <w:t>；</w:t>
      </w:r>
    </w:p>
    <w:p>
      <w:pPr>
        <w:pStyle w:val="21"/>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2.2.22投标人需要说明的其他文件和说明（格式自拟）。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以上文件组成“商务技术（资信）文件资料”。投标人在“商务技术（资信）文件资料”中应对招标文件作实质性响应，该项内容将作为评标重要指标。</w:t>
      </w:r>
    </w:p>
    <w:p>
      <w:pPr>
        <w:pStyle w:val="21"/>
        <w:tabs>
          <w:tab w:val="left" w:pos="1854"/>
          <w:tab w:val="clear" w:pos="482"/>
        </w:tabs>
        <w:spacing w:afterLines="0" w:line="440" w:lineRule="exact"/>
        <w:ind w:left="0" w:right="-78" w:rightChars="-37" w:firstLine="480" w:firstLineChars="200"/>
        <w:rPr>
          <w:rFonts w:hint="eastAsia" w:ascii="仿宋" w:hAnsi="仿宋" w:eastAsia="仿宋" w:cs="仿宋"/>
          <w:b/>
          <w:color w:val="auto"/>
        </w:rPr>
      </w:pPr>
      <w:r>
        <w:rPr>
          <w:rFonts w:hint="eastAsia" w:ascii="仿宋" w:hAnsi="仿宋" w:eastAsia="仿宋" w:cs="仿宋"/>
          <w:color w:val="auto"/>
        </w:rPr>
        <w:t>投标人不按招标文件的要求提供的投标文件，可能会被评标委员会视为未实质性响应，其风险应由投标人自行承担。</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投标报价</w:t>
      </w:r>
    </w:p>
    <w:p>
      <w:pPr>
        <w:pStyle w:val="25"/>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3.1投标人应按招标文件中《开标一览表》等附表要求填写。</w:t>
      </w:r>
    </w:p>
    <w:p>
      <w:pPr>
        <w:pStyle w:val="25"/>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3.2报价为采购人可以合格使用产品的价格，包括货款、包装、运输、保险、货到就位以及安装、调试、培训、保修及产品知识产权等一切费用。</w:t>
      </w:r>
    </w:p>
    <w:p>
      <w:pPr>
        <w:pStyle w:val="25"/>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3.3招标文件未列明，而投标人认为必需的费用也需列入报价。</w:t>
      </w:r>
    </w:p>
    <w:p>
      <w:pPr>
        <w:tabs>
          <w:tab w:val="left" w:pos="52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
          <w:color w:val="auto"/>
          <w:sz w:val="24"/>
        </w:rPr>
        <w:t>投标报价只允许有一个报价，有选择的报价将不予接受（除指定外）。</w:t>
      </w:r>
    </w:p>
    <w:p>
      <w:pPr>
        <w:pStyle w:val="16"/>
        <w:widowControl w:val="0"/>
        <w:tabs>
          <w:tab w:val="clear" w:pos="454"/>
        </w:tabs>
        <w:spacing w:afterLines="0" w:line="440" w:lineRule="atLeast"/>
        <w:ind w:left="0" w:firstLine="0"/>
        <w:rPr>
          <w:rFonts w:hint="eastAsia" w:ascii="仿宋" w:hAnsi="仿宋" w:eastAsia="仿宋" w:cs="仿宋"/>
          <w:b/>
          <w:color w:val="auto"/>
          <w:szCs w:val="24"/>
        </w:rPr>
      </w:pPr>
      <w:r>
        <w:rPr>
          <w:rFonts w:hint="eastAsia" w:ascii="仿宋" w:hAnsi="仿宋" w:eastAsia="仿宋" w:cs="仿宋"/>
          <w:b/>
          <w:color w:val="auto"/>
          <w:szCs w:val="24"/>
        </w:rPr>
        <w:t>4.投标文件的有效期</w:t>
      </w:r>
    </w:p>
    <w:p>
      <w:pPr>
        <w:pStyle w:val="16"/>
        <w:widowControl w:val="0"/>
        <w:tabs>
          <w:tab w:val="clear" w:pos="454"/>
        </w:tabs>
        <w:spacing w:afterLines="0" w:line="440" w:lineRule="atLeast"/>
        <w:ind w:left="0" w:firstLine="0"/>
        <w:rPr>
          <w:rFonts w:hint="eastAsia" w:ascii="仿宋" w:hAnsi="仿宋" w:eastAsia="仿宋" w:cs="仿宋"/>
          <w:color w:val="auto"/>
          <w:szCs w:val="24"/>
        </w:rPr>
      </w:pPr>
      <w:r>
        <w:rPr>
          <w:rFonts w:hint="eastAsia" w:ascii="仿宋" w:hAnsi="仿宋" w:eastAsia="仿宋" w:cs="仿宋"/>
          <w:color w:val="auto"/>
          <w:szCs w:val="24"/>
        </w:rPr>
        <w:t>4.1</w:t>
      </w:r>
      <w:r>
        <w:rPr>
          <w:rFonts w:hint="eastAsia" w:ascii="仿宋" w:hAnsi="仿宋" w:eastAsia="仿宋" w:cs="仿宋"/>
          <w:color w:val="auto"/>
        </w:rPr>
        <w:t>投标有效期为从提交投标文件的截止之日起90天。</w:t>
      </w:r>
      <w:r>
        <w:rPr>
          <w:rFonts w:hint="eastAsia" w:ascii="仿宋" w:hAnsi="仿宋" w:eastAsia="仿宋" w:cs="仿宋"/>
          <w:b/>
          <w:color w:val="auto"/>
        </w:rPr>
        <w:t>投标人的投标文件中承</w:t>
      </w:r>
      <w:r>
        <w:rPr>
          <w:rFonts w:hint="eastAsia" w:ascii="仿宋" w:hAnsi="仿宋" w:eastAsia="仿宋" w:cs="仿宋"/>
          <w:b/>
          <w:color w:val="auto"/>
          <w:szCs w:val="21"/>
        </w:rPr>
        <w:t>诺的投标有效期少于招标文件中载明的投标有效期的，投标无效。</w:t>
      </w:r>
    </w:p>
    <w:p>
      <w:pPr>
        <w:pStyle w:val="16"/>
        <w:widowControl w:val="0"/>
        <w:tabs>
          <w:tab w:val="clear" w:pos="454"/>
        </w:tabs>
        <w:spacing w:afterLines="0" w:line="440" w:lineRule="atLeast"/>
        <w:ind w:left="0" w:firstLine="0"/>
        <w:rPr>
          <w:rFonts w:hint="eastAsia" w:ascii="仿宋" w:hAnsi="仿宋" w:eastAsia="仿宋" w:cs="仿宋"/>
          <w:color w:val="auto"/>
          <w:szCs w:val="24"/>
        </w:rPr>
      </w:pPr>
      <w:r>
        <w:rPr>
          <w:rFonts w:hint="eastAsia" w:ascii="仿宋" w:hAnsi="仿宋" w:eastAsia="仿宋" w:cs="仿宋"/>
          <w:color w:val="auto"/>
          <w:szCs w:val="24"/>
        </w:rPr>
        <w:t>4.2在特殊情况下，招标人可与投标人协商延长投标书的有效期，这种要求和答复均以书面形式进行。</w:t>
      </w:r>
    </w:p>
    <w:p>
      <w:pPr>
        <w:pStyle w:val="16"/>
        <w:widowControl w:val="0"/>
        <w:tabs>
          <w:tab w:val="clear" w:pos="454"/>
        </w:tabs>
        <w:spacing w:afterLines="0" w:line="440" w:lineRule="atLeast"/>
        <w:ind w:left="0" w:firstLine="0"/>
        <w:rPr>
          <w:rFonts w:hint="eastAsia" w:ascii="仿宋" w:hAnsi="仿宋" w:eastAsia="仿宋" w:cs="仿宋"/>
          <w:color w:val="auto"/>
          <w:szCs w:val="24"/>
        </w:rPr>
      </w:pPr>
      <w:r>
        <w:rPr>
          <w:rFonts w:hint="eastAsia" w:ascii="仿宋" w:hAnsi="仿宋" w:eastAsia="仿宋" w:cs="仿宋"/>
          <w:color w:val="auto"/>
          <w:szCs w:val="24"/>
        </w:rPr>
        <w:t>4.3投标人可拒绝接受延期要求而不会导致投标保证金被没收。同意延长有效期的投标人不能修改投标文件。</w:t>
      </w:r>
    </w:p>
    <w:p>
      <w:pPr>
        <w:snapToGrid w:val="0"/>
        <w:spacing w:line="440" w:lineRule="exact"/>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5.投标文件的规定</w:t>
      </w:r>
    </w:p>
    <w:p>
      <w:pPr>
        <w:pStyle w:val="25"/>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5.1投标文件由“商务技术（资信）文件资料”、“报价文件资料”两部分文件组成，应按统一格式填写。</w:t>
      </w:r>
    </w:p>
    <w:p>
      <w:pPr>
        <w:pStyle w:val="25"/>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5.2投标文件须按附件格式要求进行电子签章，投标人应写全称。</w:t>
      </w:r>
    </w:p>
    <w:p>
      <w:pPr>
        <w:pStyle w:val="25"/>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5.3投标文件不得涂改，若有修改错漏处，须加盖单位公章（或电子签章）或者法定代表人或其授权代表签字或盖章。</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5.4投标文件因字迹潦草或表达不清所引起的后果由投标人负责。</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5.5投标人应认真阅读招标文件中所有的内容。如果投标人编制的投标文件实质上不响应招标文件的要求，其投标文件将被招标人拒绝。</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6.投标文件的提交</w:t>
      </w:r>
    </w:p>
    <w:p>
      <w:pPr>
        <w:snapToGrid w:val="0"/>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投标人应按“招标公告”规定的时间、方式将投标文件提交给采购机构，</w:t>
      </w:r>
      <w:r>
        <w:rPr>
          <w:rFonts w:hint="eastAsia" w:ascii="仿宋" w:hAnsi="仿宋" w:eastAsia="仿宋" w:cs="仿宋"/>
          <w:b/>
          <w:color w:val="auto"/>
          <w:sz w:val="24"/>
        </w:rPr>
        <w:t>采购机构将拒绝接受逾期提交的投标文件。</w:t>
      </w:r>
    </w:p>
    <w:p>
      <w:pPr>
        <w:widowControl/>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sz w:val="24"/>
        </w:rPr>
        <w:t>7．</w:t>
      </w:r>
      <w:r>
        <w:rPr>
          <w:rFonts w:hint="eastAsia" w:ascii="仿宋" w:hAnsi="仿宋" w:eastAsia="仿宋" w:cs="仿宋"/>
          <w:b/>
          <w:color w:val="auto"/>
          <w:kern w:val="0"/>
          <w:sz w:val="24"/>
        </w:rPr>
        <w:t>投标文件的补充和修改</w:t>
      </w:r>
    </w:p>
    <w:p>
      <w:pPr>
        <w:spacing w:line="44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四、开标和评标</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1.1投标截止时间后，主持人宣布开标会开始。</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1.7主持人公布评标结果。</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3．评标</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3.3评标委员会负责对投标人资格的最终审定。</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3.6评</w:t>
      </w:r>
      <w:r>
        <w:rPr>
          <w:rFonts w:hint="eastAsia" w:ascii="仿宋" w:hAnsi="仿宋" w:eastAsia="仿宋" w:cs="仿宋"/>
          <w:color w:val="auto"/>
          <w:sz w:val="24"/>
        </w:rPr>
        <w:t>标委员会</w:t>
      </w:r>
      <w:r>
        <w:rPr>
          <w:rFonts w:hint="eastAsia" w:ascii="仿宋" w:hAnsi="仿宋" w:eastAsia="仿宋" w:cs="仿宋"/>
          <w:color w:val="auto"/>
          <w:kern w:val="0"/>
          <w:sz w:val="24"/>
        </w:rPr>
        <w:t>对投标文件的判定，只依据投标文件和招标文件内容本身，不依据任何外来证明。</w:t>
      </w:r>
    </w:p>
    <w:p>
      <w:pPr>
        <w:widowControl/>
        <w:snapToGrid w:val="0"/>
        <w:spacing w:line="440" w:lineRule="exact"/>
        <w:rPr>
          <w:rFonts w:hint="eastAsia"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4.1资格性审查</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4.1.1依据法律、法规和招标文件规定，采购人或采购人代表对投标人进行资格审查，以确定投标人是否具备投标资格。</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4.2符合性审查</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pPr>
        <w:spacing w:line="44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w:t>
      </w:r>
      <w:r>
        <w:rPr>
          <w:rFonts w:hint="eastAsia" w:ascii="仿宋" w:hAnsi="仿宋" w:eastAsia="仿宋" w:cs="仿宋"/>
          <w:bCs/>
          <w:color w:val="auto"/>
          <w:sz w:val="24"/>
        </w:rPr>
        <w:t>修正后的报价按照财政部公布第87号令 《政府采购货物和服务招标投标管理办法》</w:t>
      </w:r>
      <w:r>
        <w:rPr>
          <w:rFonts w:hint="eastAsia" w:ascii="仿宋" w:hAnsi="仿宋" w:eastAsia="仿宋" w:cs="仿宋"/>
          <w:color w:val="auto"/>
          <w:sz w:val="24"/>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6.7.2根据财政部发布的《政府采购促进中小企业发展管理办法》规定，对于非专门面向中小企业的项目，对小型和微型企业产品的价格给予一定的扣除，用扣除后的价格参与评审。</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6.8评标委员会依据招标文件规定的评标标准和方法，对投标文件进行评审和比较后，向采购人提供书面评标报告，并按得分高低排序推荐中标候选供应商。</w:t>
      </w:r>
    </w:p>
    <w:p>
      <w:pPr>
        <w:pStyle w:val="16"/>
        <w:widowControl w:val="0"/>
        <w:tabs>
          <w:tab w:val="clear" w:pos="454"/>
        </w:tabs>
        <w:spacing w:afterLines="0" w:line="440" w:lineRule="exact"/>
        <w:ind w:left="0" w:firstLine="0"/>
        <w:rPr>
          <w:rFonts w:hint="eastAsia" w:ascii="仿宋" w:hAnsi="仿宋" w:eastAsia="仿宋" w:cs="仿宋"/>
          <w:b/>
          <w:color w:val="auto"/>
        </w:rPr>
      </w:pPr>
      <w:r>
        <w:rPr>
          <w:rFonts w:hint="eastAsia" w:ascii="仿宋" w:hAnsi="仿宋" w:eastAsia="仿宋" w:cs="仿宋"/>
          <w:b/>
          <w:color w:val="auto"/>
        </w:rPr>
        <w:t>7.投标文件的澄清</w:t>
      </w:r>
    </w:p>
    <w:p>
      <w:pPr>
        <w:pStyle w:val="16"/>
        <w:widowControl w:val="0"/>
        <w:tabs>
          <w:tab w:val="clear" w:pos="454"/>
        </w:tabs>
        <w:spacing w:afterLines="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5"/>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8.5《法定代表人身份证明书》与提供的身份证复印件信息不符的；《法定代表人授权委托书》与提供的身份证复印件信息不符的；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8.7授权代表非投标单位正式职工的（以社保证明为准，如授权代表为离退休返聘人员的，需提供退休证明及单位聘用证明），法定代表人及个体工商户除外；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pPr>
        <w:tabs>
          <w:tab w:val="left" w:pos="3870"/>
          <w:tab w:val="left" w:pos="4085"/>
        </w:tabs>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8.9报</w:t>
      </w:r>
      <w:r>
        <w:rPr>
          <w:rFonts w:hint="eastAsia" w:ascii="仿宋" w:hAnsi="仿宋" w:eastAsia="仿宋" w:cs="仿宋"/>
          <w:b/>
          <w:color w:val="auto"/>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8.10</w:t>
      </w:r>
      <w:r>
        <w:rPr>
          <w:rFonts w:hint="eastAsia" w:ascii="仿宋" w:hAnsi="仿宋" w:eastAsia="仿宋" w:cs="仿宋"/>
          <w:b/>
          <w:color w:val="auto"/>
          <w:sz w:val="24"/>
        </w:rPr>
        <w:t>未按招标文件规定的格式填写，或</w:t>
      </w:r>
      <w:r>
        <w:rPr>
          <w:rFonts w:hint="eastAsia" w:ascii="仿宋" w:hAnsi="仿宋" w:eastAsia="仿宋" w:cs="仿宋"/>
          <w:b/>
          <w:color w:val="auto"/>
          <w:sz w:val="24"/>
          <w:szCs w:val="20"/>
        </w:rPr>
        <w:t>对招标</w:t>
      </w:r>
      <w:r>
        <w:rPr>
          <w:rFonts w:hint="eastAsia" w:ascii="仿宋" w:hAnsi="仿宋" w:eastAsia="仿宋" w:cs="仿宋"/>
          <w:b/>
          <w:color w:val="auto"/>
          <w:sz w:val="24"/>
        </w:rPr>
        <w:t>服务或技术或产品等要求</w:t>
      </w:r>
      <w:r>
        <w:rPr>
          <w:rFonts w:hint="eastAsia" w:ascii="仿宋" w:hAnsi="仿宋" w:eastAsia="仿宋" w:cs="仿宋"/>
          <w:b/>
          <w:color w:val="auto"/>
          <w:sz w:val="24"/>
          <w:szCs w:val="20"/>
        </w:rPr>
        <w:t>未详细应答或应答</w:t>
      </w:r>
      <w:r>
        <w:rPr>
          <w:rFonts w:hint="eastAsia" w:ascii="仿宋" w:hAnsi="仿宋" w:eastAsia="仿宋" w:cs="仿宋"/>
          <w:b/>
          <w:color w:val="auto"/>
          <w:sz w:val="24"/>
        </w:rPr>
        <w:t>内容不全、有缺失的,经评标委员会认定为无法评审的；</w:t>
      </w:r>
    </w:p>
    <w:p>
      <w:pPr>
        <w:pStyle w:val="25"/>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8.11出现同一标的物或本次招标产品(服务)内的主要产品(重要组成部分)出现</w:t>
      </w:r>
      <w:r>
        <w:rPr>
          <w:rFonts w:hint="eastAsia" w:ascii="仿宋" w:hAnsi="仿宋" w:eastAsia="仿宋" w:cs="仿宋"/>
          <w:b/>
          <w:color w:val="auto"/>
          <w:sz w:val="24"/>
        </w:rPr>
        <w:t>商务技术（资信）文件资料</w:t>
      </w:r>
      <w:r>
        <w:rPr>
          <w:rFonts w:hint="eastAsia" w:ascii="仿宋" w:hAnsi="仿宋" w:eastAsia="仿宋" w:cs="仿宋"/>
          <w:b/>
          <w:color w:val="auto"/>
          <w:sz w:val="24"/>
          <w:szCs w:val="24"/>
        </w:rPr>
        <w:t>、</w:t>
      </w:r>
      <w:r>
        <w:rPr>
          <w:rFonts w:hint="eastAsia" w:ascii="仿宋" w:hAnsi="仿宋" w:eastAsia="仿宋" w:cs="仿宋"/>
          <w:b/>
          <w:color w:val="auto"/>
          <w:sz w:val="24"/>
        </w:rPr>
        <w:t>报价文件资料</w:t>
      </w:r>
      <w:r>
        <w:rPr>
          <w:rFonts w:hint="eastAsia" w:ascii="仿宋" w:hAnsi="仿宋" w:eastAsia="仿宋" w:cs="仿宋"/>
          <w:b/>
          <w:color w:val="auto"/>
          <w:sz w:val="24"/>
          <w:szCs w:val="24"/>
        </w:rPr>
        <w:t>描述不一致或前后描述不一致，经评标委员会认定后为无法评审的；</w:t>
      </w:r>
    </w:p>
    <w:p>
      <w:pPr>
        <w:pStyle w:val="25"/>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8.12《技</w:t>
      </w:r>
      <w:r>
        <w:rPr>
          <w:rFonts w:hint="eastAsia" w:ascii="仿宋" w:hAnsi="仿宋" w:eastAsia="仿宋" w:cs="仿宋"/>
          <w:b/>
          <w:color w:val="auto"/>
          <w:sz w:val="24"/>
        </w:rPr>
        <w:t>术偏离说明表</w:t>
      </w:r>
      <w:r>
        <w:rPr>
          <w:rFonts w:hint="eastAsia" w:ascii="仿宋" w:hAnsi="仿宋" w:eastAsia="仿宋" w:cs="仿宋"/>
          <w:b/>
          <w:color w:val="auto"/>
          <w:sz w:val="24"/>
          <w:szCs w:val="24"/>
        </w:rPr>
        <w:t>》</w:t>
      </w:r>
      <w:r>
        <w:rPr>
          <w:rFonts w:hint="eastAsia" w:ascii="仿宋" w:hAnsi="仿宋" w:eastAsia="仿宋" w:cs="仿宋"/>
          <w:b/>
          <w:color w:val="auto"/>
          <w:sz w:val="24"/>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sz w:val="24"/>
        </w:rPr>
        <w:t>8.13投</w:t>
      </w:r>
      <w:r>
        <w:rPr>
          <w:rFonts w:hint="eastAsia" w:ascii="仿宋" w:hAnsi="仿宋" w:eastAsia="仿宋" w:cs="仿宋"/>
          <w:b/>
          <w:color w:val="auto"/>
          <w:kern w:val="0"/>
          <w:sz w:val="24"/>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8.14评</w:t>
      </w:r>
      <w:r>
        <w:rPr>
          <w:rFonts w:hint="eastAsia" w:ascii="仿宋" w:hAnsi="仿宋" w:eastAsia="仿宋" w:cs="仿宋"/>
          <w:b/>
          <w:color w:val="auto"/>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rPr>
      </w:pPr>
      <w:r>
        <w:rPr>
          <w:rFonts w:hint="eastAsia" w:ascii="仿宋" w:hAnsi="仿宋" w:eastAsia="仿宋" w:cs="仿宋"/>
          <w:b/>
          <w:color w:val="auto"/>
          <w:sz w:val="24"/>
          <w:szCs w:val="21"/>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8.20.4提供虚假的信用状况；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8.20.5其他弄虚作假的行为。</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8.22.2供应商按照采购人或者采购机构的授意撤换、修改投标文件或者响应文件；</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8.22.3供应商之间协商报价、技术方案等投标文件或者响应文件的实质性内容；</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8.22.4属于同一集团、协会、商会等组织成员的供应商按照该组织要求协同参加政府采购活动；</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8.22.5供应商之间事先约定由某一特定供应商中标、成交；</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szCs w:val="21"/>
        </w:rPr>
      </w:pPr>
      <w:r>
        <w:rPr>
          <w:rFonts w:hint="eastAsia" w:ascii="仿宋" w:hAnsi="仿宋" w:eastAsia="仿宋" w:cs="仿宋"/>
          <w:color w:val="auto"/>
          <w:sz w:val="24"/>
          <w:szCs w:val="21"/>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szCs w:val="21"/>
        </w:rPr>
        <w:t>8.23</w:t>
      </w:r>
      <w:r>
        <w:rPr>
          <w:rFonts w:hint="eastAsia" w:ascii="仿宋" w:hAnsi="仿宋" w:eastAsia="仿宋" w:cs="仿宋"/>
          <w:b/>
          <w:color w:val="auto"/>
          <w:sz w:val="24"/>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pPr>
        <w:spacing w:line="440" w:lineRule="exact"/>
        <w:rPr>
          <w:rFonts w:hint="eastAsia" w:ascii="仿宋" w:hAnsi="仿宋" w:eastAsia="仿宋" w:cs="仿宋"/>
          <w:color w:val="auto"/>
        </w:rPr>
      </w:pPr>
      <w:r>
        <w:rPr>
          <w:rFonts w:hint="eastAsia" w:ascii="仿宋" w:hAnsi="仿宋" w:eastAsia="仿宋" w:cs="仿宋"/>
          <w:b/>
          <w:color w:val="auto"/>
          <w:sz w:val="24"/>
        </w:rPr>
        <w:t>8.25其他违反法律、法规的情形。</w:t>
      </w:r>
    </w:p>
    <w:p>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pPr>
        <w:pStyle w:val="25"/>
        <w:spacing w:line="800" w:lineRule="exact"/>
        <w:ind w:firstLine="726"/>
        <w:jc w:val="center"/>
        <w:rPr>
          <w:rFonts w:hint="eastAsia" w:ascii="仿宋" w:hAnsi="仿宋" w:eastAsia="仿宋" w:cs="仿宋"/>
          <w:b/>
          <w:color w:val="auto"/>
          <w:sz w:val="36"/>
          <w:szCs w:val="36"/>
        </w:rPr>
      </w:pPr>
      <w:bookmarkStart w:id="4" w:name="_Toc81372776"/>
      <w:bookmarkStart w:id="5" w:name="_Toc81372953"/>
      <w:bookmarkStart w:id="6" w:name="_Toc84325929"/>
      <w:r>
        <w:rPr>
          <w:rFonts w:hint="eastAsia" w:ascii="仿宋" w:hAnsi="仿宋" w:eastAsia="仿宋" w:cs="仿宋"/>
          <w:b/>
          <w:color w:val="auto"/>
          <w:sz w:val="36"/>
          <w:szCs w:val="36"/>
        </w:rPr>
        <w:t>五、授予合同</w:t>
      </w:r>
    </w:p>
    <w:p>
      <w:pPr>
        <w:pStyle w:val="16"/>
        <w:tabs>
          <w:tab w:val="clear" w:pos="454"/>
        </w:tabs>
        <w:spacing w:afterLines="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1.中标条件</w:t>
      </w:r>
    </w:p>
    <w:p>
      <w:pPr>
        <w:pStyle w:val="16"/>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1.1投标文件基本符合招标文件要求；</w:t>
      </w:r>
    </w:p>
    <w:p>
      <w:pPr>
        <w:pStyle w:val="16"/>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1.2投标人有很好的执行合同的能力；</w:t>
      </w:r>
    </w:p>
    <w:p>
      <w:pPr>
        <w:pStyle w:val="16"/>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1.3实施方案最合理并对招标人最为有利，最大限度满足招标文件的要求；</w:t>
      </w:r>
    </w:p>
    <w:p>
      <w:pPr>
        <w:pStyle w:val="16"/>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1.4投标人能够提供质量技术、商务经济占综合优势的系统及服务。</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bookmarkEnd w:id="4"/>
    <w:bookmarkEnd w:id="5"/>
    <w:bookmarkEnd w:id="6"/>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pPr>
        <w:pStyle w:val="152"/>
        <w:tabs>
          <w:tab w:val="left" w:pos="0"/>
        </w:tabs>
        <w:spacing w:before="0" w:line="44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3.1</w:t>
      </w:r>
      <w:r>
        <w:rPr>
          <w:rFonts w:hint="eastAsia" w:ascii="仿宋" w:hAnsi="仿宋" w:eastAsia="仿宋" w:cs="仿宋"/>
          <w:color w:val="auto"/>
          <w:kern w:val="0"/>
        </w:rPr>
        <w:t>采购代理机构</w:t>
      </w:r>
      <w:r>
        <w:rPr>
          <w:rFonts w:hint="eastAsia" w:ascii="仿宋" w:hAnsi="仿宋" w:eastAsia="仿宋" w:cs="仿宋"/>
          <w:color w:val="auto"/>
        </w:rPr>
        <w:t>对中标结果在指定媒体</w:t>
      </w:r>
      <w:r>
        <w:rPr>
          <w:rFonts w:hint="eastAsia" w:ascii="仿宋" w:hAnsi="仿宋" w:eastAsia="仿宋" w:cs="仿宋"/>
          <w:color w:val="auto"/>
          <w:kern w:val="0"/>
        </w:rPr>
        <w:t>（浙江政府采购网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Style w:val="50"/>
          <w:rFonts w:hint="eastAsia" w:ascii="仿宋" w:hAnsi="仿宋" w:eastAsia="仿宋" w:cs="仿宋"/>
          <w:color w:val="auto"/>
          <w:kern w:val="0"/>
        </w:rPr>
        <w:t>http://zfcg.czt.zj.gov.cn/</w:t>
      </w:r>
      <w:r>
        <w:rPr>
          <w:rStyle w:val="50"/>
          <w:rFonts w:hint="eastAsia" w:ascii="仿宋" w:hAnsi="仿宋" w:eastAsia="仿宋" w:cs="仿宋"/>
          <w:color w:val="auto"/>
          <w:kern w:val="0"/>
        </w:rPr>
        <w:fldChar w:fldCharType="end"/>
      </w:r>
      <w:r>
        <w:rPr>
          <w:rFonts w:hint="eastAsia" w:ascii="仿宋" w:hAnsi="仿宋" w:eastAsia="仿宋" w:cs="仿宋"/>
          <w:color w:val="auto"/>
          <w:kern w:val="0"/>
        </w:rPr>
        <w:t>、绍兴公共资源交易网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"http://ggb.sx.gov.cn" </w:instrText>
      </w:r>
      <w:r>
        <w:rPr>
          <w:rFonts w:hint="eastAsia" w:ascii="仿宋" w:hAnsi="仿宋" w:eastAsia="仿宋" w:cs="仿宋"/>
          <w:color w:val="auto"/>
        </w:rPr>
        <w:fldChar w:fldCharType="separate"/>
      </w:r>
      <w:r>
        <w:rPr>
          <w:rStyle w:val="50"/>
          <w:rFonts w:hint="eastAsia" w:ascii="仿宋" w:hAnsi="仿宋" w:eastAsia="仿宋" w:cs="仿宋"/>
          <w:color w:val="auto"/>
        </w:rPr>
        <w:t>http://ggb.sx.gov.cn</w:t>
      </w:r>
      <w:r>
        <w:rPr>
          <w:rStyle w:val="50"/>
          <w:rFonts w:hint="eastAsia" w:ascii="仿宋" w:hAnsi="仿宋" w:eastAsia="仿宋" w:cs="仿宋"/>
          <w:color w:val="auto"/>
        </w:rPr>
        <w:fldChar w:fldCharType="end"/>
      </w:r>
      <w:r>
        <w:rPr>
          <w:rFonts w:hint="eastAsia" w:ascii="仿宋" w:hAnsi="仿宋" w:eastAsia="仿宋" w:cs="仿宋"/>
          <w:color w:val="auto"/>
          <w:kern w:val="0"/>
        </w:rPr>
        <w:t>）发布中标公告，中标公告期限为1个工作日。</w:t>
      </w:r>
    </w:p>
    <w:p>
      <w:pPr>
        <w:tabs>
          <w:tab w:val="left" w:pos="0"/>
        </w:tabs>
        <w:spacing w:line="440" w:lineRule="exact"/>
        <w:rPr>
          <w:rFonts w:hint="eastAsia" w:ascii="仿宋" w:hAnsi="仿宋" w:eastAsia="仿宋" w:cs="仿宋"/>
          <w:color w:val="auto"/>
          <w:kern w:val="0"/>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lang w:val="zh-CN"/>
        </w:rPr>
        <w:t>。</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color w:val="auto"/>
          <w:sz w:val="24"/>
        </w:rPr>
        <w:t>3个工作日内</w:t>
      </w:r>
      <w:r>
        <w:rPr>
          <w:rFonts w:hint="eastAsia" w:ascii="仿宋" w:hAnsi="仿宋" w:eastAsia="仿宋" w:cs="仿宋"/>
          <w:color w:val="auto"/>
          <w:sz w:val="24"/>
        </w:rPr>
        <w:t>，通过电子交易平台进行备案。</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 售后服务考核</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六、质疑与投诉</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1.供应商询问</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2.供应商质疑</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（2）对采购过程提出质疑的，质疑期限为各采购程序环节结束之日起计算。</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（3）对采购结果提出质疑的，质疑期限自采购结果公告（包括公示、预公告、结果变更公告等）期限届满之日起计算。</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（4）供应商应在法定质疑期内一次性提出针对同一采购程序环节的质疑。</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3.供应商提交提出质疑应当提交质疑书和必要的证明材料，质疑书需一式三份，质疑书至少应包括下列主要内容：</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（1）质疑人的名称、地址、邮政编码、联系人、联系电话，以及被质疑人名称及联系方式；</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（2）被质疑采购项目名称、编号及采购内容；</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（3）具体、明确的质疑事项和与质疑事项相关的请求</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（4）事实依据；</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（5）必要的法律依据；</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（6）认为自己合法权益受到损害或可能受到损害的相关证据材料；</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（7）提出质疑的日期。</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（8） 质疑书应当署名。质疑人为自然人的，应当由本人签字并附有效身份证明；质疑人为法人或其他组织的，应当由法定代表人或主要负责人签字（或盖章）并加盖单位公章。</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（9） 质疑人因故不能自行办理质疑事项的，可以委托代理人办理质疑事宜，但应当向被质疑人提交授权委托书，并载明委托代理的具体权限和事项。</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（10）质疑人提供的相关材料中有外文资料的，应当将与质疑相关的外文资料完整、客观、真实地翻译为中文，并注明翻译人员姓名、工作单位、联系方式等信息。</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rPr>
        <w:tab/>
      </w:r>
      <w:r>
        <w:rPr>
          <w:rFonts w:hint="eastAsia" w:ascii="仿宋" w:hAnsi="仿宋" w:eastAsia="仿宋" w:cs="仿宋"/>
          <w:color w:val="auto"/>
          <w:sz w:val="24"/>
        </w:rPr>
        <w:t>原则上由采购人回复的质疑：</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（1）对采购文件中特定资格条件、采购需求、评分办法提出的质疑；</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（2）对采购过程中有关现场考察或开标前答疑会事项提出的质疑。</w:t>
      </w:r>
    </w:p>
    <w:p>
      <w:pPr>
        <w:pStyle w:val="25"/>
        <w:spacing w:line="360"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原则上由采购代理机构回复的质疑：</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（1）除特定资格条件、采购需求、评分办法外，对采购文件中其他内容提出的质疑；</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（2）除有关现场考察或开标前答疑会事项外，对采购过程中其它事项提出的质疑；</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（3）对采购结果提出的质疑。</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6.询问或者质疑事项可能影响采购结果的，采购人应当暂停签订合同，已经签订合同的，应当中止履行合同。</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7.质疑函范本、投诉书范本请到浙江政府采购网下载专区下载。</w:t>
      </w:r>
    </w:p>
    <w:p>
      <w:pPr>
        <w:pageBreakBefore/>
        <w:snapToGrid w:val="0"/>
        <w:spacing w:line="800" w:lineRule="exact"/>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pacing w:before="120" w:beforeLines="50" w:line="440" w:lineRule="exact"/>
        <w:ind w:right="420"/>
        <w:rPr>
          <w:rFonts w:hint="eastAsia" w:ascii="仿宋" w:hAnsi="仿宋" w:eastAsia="仿宋" w:cs="仿宋"/>
          <w:b/>
          <w:bCs/>
          <w:color w:val="auto"/>
          <w:sz w:val="24"/>
        </w:rPr>
      </w:pPr>
      <w:bookmarkStart w:id="7" w:name="_Toc151354173"/>
      <w:bookmarkStart w:id="8" w:name="_Toc81372964"/>
      <w:bookmarkStart w:id="9" w:name="_Toc84325981"/>
      <w:bookmarkStart w:id="10" w:name="_Toc80157775"/>
      <w:bookmarkStart w:id="11" w:name="_Toc81372787"/>
      <w:r>
        <w:rPr>
          <w:rFonts w:hint="eastAsia" w:ascii="仿宋" w:hAnsi="仿宋" w:eastAsia="仿宋" w:cs="仿宋"/>
          <w:b/>
          <w:bCs/>
          <w:color w:val="auto"/>
          <w:sz w:val="24"/>
          <w:bdr w:val="single" w:color="auto" w:sz="4" w:space="0"/>
        </w:rPr>
        <w:t>01标</w:t>
      </w:r>
      <w:r>
        <w:rPr>
          <w:rFonts w:hint="eastAsia" w:ascii="仿宋" w:hAnsi="仿宋" w:eastAsia="仿宋" w:cs="仿宋"/>
          <w:b/>
          <w:bCs/>
          <w:color w:val="auto"/>
          <w:sz w:val="24"/>
        </w:rPr>
        <w:t>绍兴市人民医院</w:t>
      </w:r>
      <w:bookmarkStart w:id="12" w:name="_Toc32678"/>
      <w:bookmarkStart w:id="13" w:name="_Toc7206"/>
      <w:r>
        <w:rPr>
          <w:rFonts w:hint="eastAsia" w:ascii="仿宋" w:hAnsi="仿宋" w:eastAsia="仿宋" w:cs="仿宋"/>
          <w:b/>
          <w:bCs/>
          <w:color w:val="auto"/>
          <w:sz w:val="24"/>
        </w:rPr>
        <w:t>移动护理手持终端采购项目（预算 112万）</w:t>
      </w:r>
    </w:p>
    <w:bookmarkEnd w:id="7"/>
    <w:bookmarkEnd w:id="12"/>
    <w:bookmarkEnd w:id="13"/>
    <w:p>
      <w:pPr>
        <w:spacing w:line="440" w:lineRule="exact"/>
        <w:ind w:left="181" w:hanging="181" w:hangingChars="75"/>
        <w:rPr>
          <w:rFonts w:hint="eastAsia" w:ascii="仿宋" w:hAnsi="仿宋" w:eastAsia="仿宋" w:cs="仿宋"/>
          <w:b/>
          <w:color w:val="auto"/>
          <w:sz w:val="24"/>
        </w:rPr>
      </w:pPr>
      <w:r>
        <w:rPr>
          <w:rFonts w:hint="eastAsia" w:ascii="仿宋" w:hAnsi="仿宋" w:eastAsia="仿宋" w:cs="仿宋"/>
          <w:b/>
          <w:color w:val="auto"/>
          <w:sz w:val="24"/>
        </w:rPr>
        <w:t>（一）设备清单</w:t>
      </w:r>
    </w:p>
    <w:tbl>
      <w:tblPr>
        <w:tblStyle w:val="43"/>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953"/>
        <w:gridCol w:w="1138"/>
        <w:gridCol w:w="3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tcPr>
          <w:p>
            <w:pPr>
              <w:snapToGrid w:val="0"/>
              <w:spacing w:line="360" w:lineRule="auto"/>
              <w:jc w:val="left"/>
              <w:rPr>
                <w:rFonts w:hint="eastAsia" w:ascii="仿宋" w:hAnsi="仿宋" w:eastAsia="仿宋" w:cs="仿宋"/>
                <w:color w:val="auto"/>
                <w:sz w:val="24"/>
              </w:rPr>
            </w:pPr>
            <w:r>
              <w:rPr>
                <w:rFonts w:hint="eastAsia" w:ascii="仿宋" w:hAnsi="仿宋" w:eastAsia="仿宋" w:cs="仿宋"/>
                <w:color w:val="auto"/>
                <w:sz w:val="24"/>
              </w:rPr>
              <w:t>序号</w:t>
            </w:r>
          </w:p>
        </w:tc>
        <w:tc>
          <w:tcPr>
            <w:tcW w:w="3953" w:type="dxa"/>
          </w:tcPr>
          <w:p>
            <w:pPr>
              <w:snapToGrid w:val="0"/>
              <w:spacing w:line="360" w:lineRule="auto"/>
              <w:jc w:val="left"/>
              <w:rPr>
                <w:rFonts w:hint="eastAsia" w:ascii="仿宋" w:hAnsi="仿宋" w:eastAsia="仿宋" w:cs="仿宋"/>
                <w:color w:val="auto"/>
                <w:sz w:val="24"/>
              </w:rPr>
            </w:pPr>
            <w:r>
              <w:rPr>
                <w:rFonts w:hint="eastAsia" w:ascii="仿宋" w:hAnsi="仿宋" w:eastAsia="仿宋" w:cs="仿宋"/>
                <w:color w:val="auto"/>
                <w:sz w:val="24"/>
              </w:rPr>
              <w:t>项目</w:t>
            </w:r>
          </w:p>
        </w:tc>
        <w:tc>
          <w:tcPr>
            <w:tcW w:w="1138" w:type="dxa"/>
          </w:tcPr>
          <w:p>
            <w:pPr>
              <w:snapToGrid w:val="0"/>
              <w:spacing w:line="360" w:lineRule="auto"/>
              <w:jc w:val="left"/>
              <w:rPr>
                <w:rFonts w:hint="eastAsia" w:ascii="仿宋" w:hAnsi="仿宋" w:eastAsia="仿宋" w:cs="仿宋"/>
                <w:color w:val="auto"/>
                <w:sz w:val="24"/>
              </w:rPr>
            </w:pPr>
            <w:r>
              <w:rPr>
                <w:rFonts w:hint="eastAsia" w:ascii="仿宋" w:hAnsi="仿宋" w:eastAsia="仿宋" w:cs="仿宋"/>
                <w:color w:val="auto"/>
                <w:sz w:val="24"/>
              </w:rPr>
              <w:t>数量</w:t>
            </w:r>
          </w:p>
        </w:tc>
        <w:tc>
          <w:tcPr>
            <w:tcW w:w="3414" w:type="dxa"/>
          </w:tcPr>
          <w:p>
            <w:pPr>
              <w:snapToGrid w:val="0"/>
              <w:spacing w:line="360" w:lineRule="auto"/>
              <w:jc w:val="left"/>
              <w:rPr>
                <w:rFonts w:hint="eastAsia" w:ascii="仿宋" w:hAnsi="仿宋" w:eastAsia="仿宋" w:cs="仿宋"/>
                <w:color w:val="auto"/>
                <w:sz w:val="24"/>
              </w:rPr>
            </w:pPr>
            <w:r>
              <w:rPr>
                <w:rFonts w:hint="eastAsia" w:ascii="仿宋" w:hAnsi="仿宋" w:eastAsia="仿宋" w:cs="仿宋"/>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tcPr>
          <w:p>
            <w:pPr>
              <w:snapToGrid w:val="0"/>
              <w:spacing w:line="360" w:lineRule="auto"/>
              <w:jc w:val="left"/>
              <w:rPr>
                <w:rFonts w:hint="eastAsia" w:ascii="仿宋" w:hAnsi="仿宋" w:eastAsia="仿宋" w:cs="仿宋"/>
                <w:color w:val="auto"/>
                <w:sz w:val="24"/>
              </w:rPr>
            </w:pPr>
            <w:r>
              <w:rPr>
                <w:rFonts w:hint="eastAsia" w:ascii="仿宋" w:hAnsi="仿宋" w:eastAsia="仿宋" w:cs="仿宋"/>
                <w:color w:val="auto"/>
                <w:sz w:val="24"/>
              </w:rPr>
              <w:t>1</w:t>
            </w:r>
          </w:p>
        </w:tc>
        <w:tc>
          <w:tcPr>
            <w:tcW w:w="3953" w:type="dxa"/>
          </w:tcPr>
          <w:p>
            <w:pPr>
              <w:snapToGrid w:val="0"/>
              <w:spacing w:line="360" w:lineRule="auto"/>
              <w:jc w:val="left"/>
              <w:rPr>
                <w:rFonts w:hint="eastAsia" w:ascii="仿宋" w:hAnsi="仿宋" w:eastAsia="仿宋" w:cs="仿宋"/>
                <w:color w:val="auto"/>
                <w:sz w:val="24"/>
              </w:rPr>
            </w:pPr>
            <w:r>
              <w:rPr>
                <w:rFonts w:hint="eastAsia" w:ascii="仿宋" w:hAnsi="仿宋" w:eastAsia="仿宋" w:cs="仿宋"/>
                <w:color w:val="auto"/>
                <w:sz w:val="24"/>
                <w:lang w:eastAsia="zh-Hans"/>
              </w:rPr>
              <w:t>移动护理手持终端</w:t>
            </w:r>
            <w:r>
              <w:rPr>
                <w:rFonts w:hint="eastAsia" w:ascii="仿宋" w:hAnsi="仿宋" w:eastAsia="仿宋" w:cs="仿宋"/>
                <w:color w:val="auto"/>
                <w:sz w:val="24"/>
              </w:rPr>
              <w:t>（核心产品）</w:t>
            </w:r>
          </w:p>
        </w:tc>
        <w:tc>
          <w:tcPr>
            <w:tcW w:w="1138" w:type="dxa"/>
          </w:tcPr>
          <w:p>
            <w:pPr>
              <w:snapToGrid w:val="0"/>
              <w:spacing w:line="360" w:lineRule="auto"/>
              <w:jc w:val="left"/>
              <w:rPr>
                <w:rFonts w:hint="eastAsia" w:ascii="仿宋" w:hAnsi="仿宋" w:eastAsia="仿宋" w:cs="仿宋"/>
                <w:color w:val="auto"/>
                <w:sz w:val="24"/>
              </w:rPr>
            </w:pPr>
            <w:r>
              <w:rPr>
                <w:rFonts w:hint="eastAsia" w:ascii="仿宋" w:hAnsi="仿宋" w:eastAsia="仿宋" w:cs="仿宋"/>
                <w:color w:val="auto"/>
                <w:sz w:val="24"/>
              </w:rPr>
              <w:t>280台</w:t>
            </w:r>
          </w:p>
        </w:tc>
        <w:tc>
          <w:tcPr>
            <w:tcW w:w="3414" w:type="dxa"/>
          </w:tcPr>
          <w:p>
            <w:pPr>
              <w:snapToGrid w:val="0"/>
              <w:spacing w:line="360" w:lineRule="auto"/>
              <w:jc w:val="left"/>
              <w:rPr>
                <w:rFonts w:hint="eastAsia" w:ascii="仿宋" w:hAnsi="仿宋" w:eastAsia="仿宋" w:cs="仿宋"/>
                <w:color w:val="auto"/>
                <w:sz w:val="24"/>
              </w:rPr>
            </w:pPr>
          </w:p>
        </w:tc>
      </w:tr>
    </w:tbl>
    <w:p>
      <w:pPr>
        <w:spacing w:before="120" w:beforeLines="50"/>
        <w:ind w:left="181" w:hanging="181" w:hangingChars="75"/>
        <w:rPr>
          <w:rFonts w:hint="eastAsia" w:ascii="仿宋" w:hAnsi="仿宋" w:eastAsia="仿宋" w:cs="仿宋"/>
          <w:b/>
          <w:color w:val="auto"/>
          <w:sz w:val="24"/>
        </w:rPr>
      </w:pPr>
      <w:r>
        <w:rPr>
          <w:rFonts w:hint="eastAsia" w:ascii="仿宋" w:hAnsi="仿宋" w:eastAsia="仿宋" w:cs="仿宋"/>
          <w:b/>
          <w:color w:val="auto"/>
          <w:sz w:val="24"/>
        </w:rPr>
        <w:t>（二）详细技术参数</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1. </w:t>
      </w:r>
      <w:r>
        <w:rPr>
          <w:rFonts w:hint="eastAsia" w:ascii="仿宋" w:hAnsi="仿宋" w:eastAsia="仿宋" w:cs="仿宋"/>
          <w:color w:val="auto"/>
          <w:sz w:val="24"/>
          <w:lang w:eastAsia="zh-Hans"/>
        </w:rPr>
        <w:t>移动护理手持终端</w:t>
      </w:r>
      <w:r>
        <w:rPr>
          <w:rFonts w:hint="eastAsia" w:ascii="仿宋" w:hAnsi="仿宋" w:eastAsia="仿宋" w:cs="仿宋"/>
          <w:color w:val="auto"/>
          <w:sz w:val="24"/>
        </w:rPr>
        <w:t>技术指标要求（280台）：</w:t>
      </w:r>
    </w:p>
    <w:tbl>
      <w:tblPr>
        <w:tblStyle w:val="43"/>
        <w:tblW w:w="96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548"/>
        <w:gridCol w:w="7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94" w:type="dxa"/>
            <w:vAlign w:val="center"/>
          </w:tcPr>
          <w:p>
            <w:pPr>
              <w:spacing w:line="240" w:lineRule="atLeast"/>
              <w:jc w:val="center"/>
              <w:rPr>
                <w:rFonts w:hint="eastAsia" w:ascii="仿宋" w:hAnsi="仿宋" w:eastAsia="仿宋" w:cs="仿宋"/>
                <w:color w:val="auto"/>
                <w:kern w:val="0"/>
                <w:sz w:val="24"/>
              </w:rPr>
            </w:pPr>
            <w:r>
              <w:rPr>
                <w:rFonts w:hint="eastAsia" w:ascii="仿宋" w:hAnsi="仿宋" w:eastAsia="仿宋" w:cs="仿宋"/>
                <w:color w:val="auto"/>
                <w:kern w:val="0"/>
                <w:sz w:val="24"/>
              </w:rPr>
              <w:t>序号</w:t>
            </w:r>
          </w:p>
        </w:tc>
        <w:tc>
          <w:tcPr>
            <w:tcW w:w="1548" w:type="dxa"/>
            <w:vAlign w:val="center"/>
          </w:tcPr>
          <w:p>
            <w:pPr>
              <w:spacing w:line="240" w:lineRule="atLeast"/>
              <w:rPr>
                <w:rFonts w:hint="eastAsia" w:ascii="仿宋" w:hAnsi="仿宋" w:eastAsia="仿宋" w:cs="仿宋"/>
                <w:color w:val="auto"/>
                <w:kern w:val="0"/>
                <w:sz w:val="24"/>
              </w:rPr>
            </w:pPr>
            <w:r>
              <w:rPr>
                <w:rFonts w:hint="eastAsia" w:ascii="仿宋" w:hAnsi="仿宋" w:eastAsia="仿宋" w:cs="仿宋"/>
                <w:color w:val="auto"/>
                <w:kern w:val="0"/>
                <w:sz w:val="24"/>
              </w:rPr>
              <w:t>指标项</w:t>
            </w:r>
          </w:p>
        </w:tc>
        <w:tc>
          <w:tcPr>
            <w:tcW w:w="7261" w:type="dxa"/>
            <w:vAlign w:val="center"/>
          </w:tcPr>
          <w:p>
            <w:pPr>
              <w:spacing w:line="240" w:lineRule="atLeast"/>
              <w:rPr>
                <w:rFonts w:hint="eastAsia" w:ascii="仿宋" w:hAnsi="仿宋" w:eastAsia="仿宋" w:cs="仿宋"/>
                <w:color w:val="auto"/>
                <w:kern w:val="0"/>
                <w:sz w:val="24"/>
              </w:rPr>
            </w:pPr>
            <w:r>
              <w:rPr>
                <w:rFonts w:hint="eastAsia" w:ascii="仿宋" w:hAnsi="仿宋" w:eastAsia="仿宋" w:cs="仿宋"/>
                <w:color w:val="auto"/>
                <w:kern w:val="0"/>
                <w:sz w:val="24"/>
              </w:rPr>
              <w:t>技术规格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94" w:type="dxa"/>
            <w:vAlign w:val="center"/>
          </w:tcPr>
          <w:p>
            <w:pPr>
              <w:numPr>
                <w:ilvl w:val="0"/>
                <w:numId w:val="8"/>
              </w:numPr>
              <w:spacing w:line="240" w:lineRule="atLeast"/>
              <w:jc w:val="center"/>
              <w:rPr>
                <w:rFonts w:hint="eastAsia" w:ascii="仿宋" w:hAnsi="仿宋" w:eastAsia="仿宋" w:cs="仿宋"/>
                <w:color w:val="auto"/>
                <w:kern w:val="0"/>
                <w:sz w:val="24"/>
              </w:rPr>
            </w:pPr>
          </w:p>
        </w:tc>
        <w:tc>
          <w:tcPr>
            <w:tcW w:w="1548" w:type="dxa"/>
            <w:vAlign w:val="center"/>
          </w:tcPr>
          <w:p>
            <w:pPr>
              <w:spacing w:line="240" w:lineRule="atLeast"/>
              <w:rPr>
                <w:rFonts w:hint="eastAsia" w:ascii="仿宋" w:hAnsi="仿宋" w:eastAsia="仿宋" w:cs="仿宋"/>
                <w:color w:val="auto"/>
                <w:sz w:val="24"/>
                <w:lang w:bidi="en-US"/>
              </w:rPr>
            </w:pPr>
            <w:r>
              <w:rPr>
                <w:rFonts w:hint="eastAsia" w:ascii="仿宋" w:hAnsi="仿宋" w:eastAsia="仿宋" w:cs="仿宋"/>
                <w:color w:val="auto"/>
                <w:sz w:val="24"/>
              </w:rPr>
              <w:t>▲</w:t>
            </w:r>
            <w:r>
              <w:rPr>
                <w:rFonts w:hint="eastAsia" w:ascii="仿宋" w:hAnsi="仿宋" w:eastAsia="仿宋" w:cs="仿宋"/>
                <w:color w:val="auto"/>
                <w:sz w:val="24"/>
                <w:lang w:bidi="en-US"/>
              </w:rPr>
              <w:t>操作系统</w:t>
            </w:r>
          </w:p>
        </w:tc>
        <w:tc>
          <w:tcPr>
            <w:tcW w:w="7261" w:type="dxa"/>
            <w:vAlign w:val="center"/>
          </w:tcPr>
          <w:p>
            <w:pPr>
              <w:spacing w:line="240" w:lineRule="atLeast"/>
              <w:rPr>
                <w:rFonts w:hint="eastAsia" w:ascii="仿宋" w:hAnsi="仿宋" w:eastAsia="仿宋" w:cs="仿宋"/>
                <w:color w:val="auto"/>
                <w:sz w:val="24"/>
                <w:lang w:bidi="en-US"/>
              </w:rPr>
            </w:pPr>
            <w:r>
              <w:rPr>
                <w:rFonts w:hint="eastAsia" w:ascii="仿宋" w:hAnsi="仿宋" w:eastAsia="仿宋" w:cs="仿宋"/>
                <w:color w:val="auto"/>
                <w:sz w:val="24"/>
              </w:rPr>
              <w:t>原厂预装Android 10以上操作系统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94" w:type="dxa"/>
            <w:vAlign w:val="center"/>
          </w:tcPr>
          <w:p>
            <w:pPr>
              <w:numPr>
                <w:ilvl w:val="0"/>
                <w:numId w:val="8"/>
              </w:numPr>
              <w:spacing w:line="240" w:lineRule="atLeast"/>
              <w:jc w:val="center"/>
              <w:rPr>
                <w:rFonts w:hint="eastAsia" w:ascii="仿宋" w:hAnsi="仿宋" w:eastAsia="仿宋" w:cs="仿宋"/>
                <w:color w:val="auto"/>
                <w:kern w:val="0"/>
                <w:sz w:val="24"/>
              </w:rPr>
            </w:pPr>
          </w:p>
        </w:tc>
        <w:tc>
          <w:tcPr>
            <w:tcW w:w="1548" w:type="dxa"/>
            <w:vAlign w:val="center"/>
          </w:tcPr>
          <w:p>
            <w:pPr>
              <w:spacing w:before="60" w:after="60" w:line="240" w:lineRule="atLeast"/>
              <w:rPr>
                <w:rFonts w:hint="eastAsia" w:ascii="仿宋" w:hAnsi="仿宋" w:eastAsia="仿宋" w:cs="仿宋"/>
                <w:color w:val="auto"/>
                <w:kern w:val="0"/>
                <w:sz w:val="24"/>
              </w:rPr>
            </w:pPr>
            <w:r>
              <w:rPr>
                <w:rFonts w:hint="eastAsia" w:ascii="仿宋" w:hAnsi="仿宋" w:eastAsia="仿宋" w:cs="仿宋"/>
                <w:color w:val="auto"/>
                <w:kern w:val="0"/>
                <w:sz w:val="24"/>
              </w:rPr>
              <w:t>CPU</w:t>
            </w:r>
          </w:p>
        </w:tc>
        <w:tc>
          <w:tcPr>
            <w:tcW w:w="7261" w:type="dxa"/>
            <w:vAlign w:val="center"/>
          </w:tcPr>
          <w:p>
            <w:pPr>
              <w:spacing w:before="60" w:after="60" w:line="240" w:lineRule="atLeast"/>
              <w:rPr>
                <w:rFonts w:hint="eastAsia" w:ascii="仿宋" w:hAnsi="仿宋" w:eastAsia="仿宋" w:cs="仿宋"/>
                <w:color w:val="auto"/>
                <w:sz w:val="24"/>
                <w:lang w:bidi="en-US"/>
              </w:rPr>
            </w:pPr>
            <w:r>
              <w:rPr>
                <w:rFonts w:hint="eastAsia" w:ascii="仿宋" w:hAnsi="仿宋" w:eastAsia="仿宋" w:cs="仿宋"/>
                <w:color w:val="auto"/>
                <w:kern w:val="0"/>
                <w:sz w:val="24"/>
              </w:rPr>
              <w:t>八核处理器</w:t>
            </w:r>
            <w:r>
              <w:rPr>
                <w:rFonts w:hint="eastAsia" w:ascii="仿宋" w:hAnsi="仿宋" w:eastAsia="仿宋" w:cs="仿宋"/>
                <w:color w:val="auto"/>
                <w:sz w:val="24"/>
                <w:lang w:bidi="en-US"/>
              </w:rPr>
              <w:t>、主频≥2.0GHz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94" w:type="dxa"/>
            <w:vAlign w:val="center"/>
          </w:tcPr>
          <w:p>
            <w:pPr>
              <w:numPr>
                <w:ilvl w:val="0"/>
                <w:numId w:val="8"/>
              </w:numPr>
              <w:spacing w:line="240" w:lineRule="atLeast"/>
              <w:jc w:val="center"/>
              <w:rPr>
                <w:rFonts w:hint="eastAsia" w:ascii="仿宋" w:hAnsi="仿宋" w:eastAsia="仿宋" w:cs="仿宋"/>
                <w:color w:val="auto"/>
                <w:sz w:val="24"/>
                <w:lang w:bidi="en-US"/>
              </w:rPr>
            </w:pPr>
          </w:p>
        </w:tc>
        <w:tc>
          <w:tcPr>
            <w:tcW w:w="1548" w:type="dxa"/>
            <w:vAlign w:val="center"/>
          </w:tcPr>
          <w:p>
            <w:pPr>
              <w:spacing w:before="60" w:after="60" w:line="240" w:lineRule="atLeast"/>
              <w:rPr>
                <w:rFonts w:hint="eastAsia" w:ascii="仿宋" w:hAnsi="仿宋" w:eastAsia="仿宋" w:cs="仿宋"/>
                <w:color w:val="auto"/>
                <w:kern w:val="0"/>
                <w:sz w:val="24"/>
              </w:rPr>
            </w:pPr>
            <w:r>
              <w:rPr>
                <w:rFonts w:hint="eastAsia" w:ascii="仿宋" w:hAnsi="仿宋" w:eastAsia="仿宋" w:cs="仿宋"/>
                <w:color w:val="auto"/>
                <w:kern w:val="0"/>
                <w:sz w:val="24"/>
              </w:rPr>
              <w:t>存储</w:t>
            </w:r>
          </w:p>
        </w:tc>
        <w:tc>
          <w:tcPr>
            <w:tcW w:w="7261" w:type="dxa"/>
            <w:vAlign w:val="center"/>
          </w:tcPr>
          <w:p>
            <w:pPr>
              <w:spacing w:before="60" w:after="60" w:line="240" w:lineRule="atLeast"/>
              <w:rPr>
                <w:rFonts w:hint="eastAsia" w:ascii="仿宋" w:hAnsi="仿宋" w:eastAsia="仿宋" w:cs="仿宋"/>
                <w:color w:val="auto"/>
                <w:kern w:val="0"/>
                <w:sz w:val="24"/>
              </w:rPr>
            </w:pPr>
            <w:r>
              <w:rPr>
                <w:rFonts w:hint="eastAsia" w:ascii="仿宋" w:hAnsi="仿宋" w:eastAsia="仿宋" w:cs="仿宋"/>
                <w:color w:val="auto"/>
                <w:sz w:val="24"/>
                <w:lang w:bidi="en-US"/>
              </w:rPr>
              <w:t>内存≥2GB；</w:t>
            </w:r>
            <w:r>
              <w:rPr>
                <w:rFonts w:hint="eastAsia" w:ascii="仿宋" w:hAnsi="仿宋" w:eastAsia="仿宋" w:cs="仿宋"/>
                <w:color w:val="auto"/>
                <w:kern w:val="0"/>
                <w:sz w:val="24"/>
              </w:rPr>
              <w:t>存储≥16GB，支持SD卡扩充到128GB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94" w:type="dxa"/>
            <w:vAlign w:val="center"/>
          </w:tcPr>
          <w:p>
            <w:pPr>
              <w:numPr>
                <w:ilvl w:val="0"/>
                <w:numId w:val="8"/>
              </w:numPr>
              <w:spacing w:line="240" w:lineRule="atLeast"/>
              <w:jc w:val="center"/>
              <w:rPr>
                <w:rFonts w:hint="eastAsia" w:ascii="仿宋" w:hAnsi="仿宋" w:eastAsia="仿宋" w:cs="仿宋"/>
                <w:color w:val="auto"/>
                <w:kern w:val="0"/>
                <w:sz w:val="24"/>
              </w:rPr>
            </w:pPr>
          </w:p>
        </w:tc>
        <w:tc>
          <w:tcPr>
            <w:tcW w:w="1548" w:type="dxa"/>
            <w:vAlign w:val="center"/>
          </w:tcPr>
          <w:p>
            <w:pPr>
              <w:spacing w:before="60" w:after="60" w:line="240" w:lineRule="atLeast"/>
              <w:rPr>
                <w:rFonts w:hint="eastAsia" w:ascii="仿宋" w:hAnsi="仿宋" w:eastAsia="仿宋" w:cs="仿宋"/>
                <w:color w:val="auto"/>
                <w:kern w:val="0"/>
                <w:sz w:val="24"/>
              </w:rPr>
            </w:pPr>
            <w:r>
              <w:rPr>
                <w:rFonts w:hint="eastAsia" w:ascii="仿宋" w:hAnsi="仿宋" w:eastAsia="仿宋" w:cs="仿宋"/>
                <w:color w:val="auto"/>
                <w:sz w:val="24"/>
              </w:rPr>
              <w:t>▲</w:t>
            </w:r>
            <w:r>
              <w:rPr>
                <w:rFonts w:hint="eastAsia" w:ascii="仿宋" w:hAnsi="仿宋" w:eastAsia="仿宋" w:cs="仿宋"/>
                <w:color w:val="auto"/>
                <w:sz w:val="24"/>
                <w:lang w:bidi="en-US"/>
              </w:rPr>
              <w:t>电池容量</w:t>
            </w:r>
          </w:p>
        </w:tc>
        <w:tc>
          <w:tcPr>
            <w:tcW w:w="7261" w:type="dxa"/>
            <w:vAlign w:val="center"/>
          </w:tcPr>
          <w:p>
            <w:pPr>
              <w:spacing w:before="60" w:after="60" w:line="240" w:lineRule="atLeast"/>
              <w:rPr>
                <w:rFonts w:hint="eastAsia" w:ascii="仿宋" w:hAnsi="仿宋" w:eastAsia="仿宋" w:cs="仿宋"/>
                <w:color w:val="auto"/>
                <w:kern w:val="0"/>
                <w:sz w:val="24"/>
              </w:rPr>
            </w:pPr>
            <w:r>
              <w:rPr>
                <w:rFonts w:hint="eastAsia" w:ascii="仿宋" w:hAnsi="仿宋" w:eastAsia="仿宋" w:cs="仿宋"/>
                <w:color w:val="auto"/>
                <w:sz w:val="24"/>
                <w:lang w:bidi="en-US"/>
              </w:rPr>
              <w:t>≥4000mAh，一体化设计，不可拆卸 提供电池CQC认证和UN38.3危险货物运输认证，提供证书复印件并加盖原厂商公章。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94" w:type="dxa"/>
            <w:vAlign w:val="center"/>
          </w:tcPr>
          <w:p>
            <w:pPr>
              <w:numPr>
                <w:ilvl w:val="0"/>
                <w:numId w:val="8"/>
              </w:numPr>
              <w:spacing w:line="240" w:lineRule="atLeast"/>
              <w:jc w:val="center"/>
              <w:rPr>
                <w:rFonts w:hint="eastAsia" w:ascii="仿宋" w:hAnsi="仿宋" w:eastAsia="仿宋" w:cs="仿宋"/>
                <w:color w:val="auto"/>
                <w:kern w:val="0"/>
                <w:sz w:val="24"/>
              </w:rPr>
            </w:pPr>
          </w:p>
        </w:tc>
        <w:tc>
          <w:tcPr>
            <w:tcW w:w="1548" w:type="dxa"/>
            <w:vAlign w:val="center"/>
          </w:tcPr>
          <w:p>
            <w:pPr>
              <w:spacing w:before="60" w:after="60" w:line="240" w:lineRule="atLeast"/>
              <w:rPr>
                <w:rFonts w:hint="eastAsia" w:ascii="仿宋" w:hAnsi="仿宋" w:eastAsia="仿宋" w:cs="仿宋"/>
                <w:color w:val="auto"/>
                <w:sz w:val="24"/>
                <w:lang w:bidi="en-US"/>
              </w:rPr>
            </w:pPr>
            <w:r>
              <w:rPr>
                <w:rFonts w:hint="eastAsia" w:ascii="仿宋" w:hAnsi="仿宋" w:eastAsia="仿宋" w:cs="仿宋"/>
                <w:color w:val="auto"/>
                <w:sz w:val="24"/>
              </w:rPr>
              <w:t>▲</w:t>
            </w:r>
            <w:r>
              <w:rPr>
                <w:rFonts w:hint="eastAsia" w:ascii="仿宋" w:hAnsi="仿宋" w:eastAsia="仿宋" w:cs="仿宋"/>
                <w:color w:val="auto"/>
                <w:sz w:val="24"/>
                <w:lang w:bidi="en-US"/>
              </w:rPr>
              <w:t>外观尺寸</w:t>
            </w:r>
          </w:p>
        </w:tc>
        <w:tc>
          <w:tcPr>
            <w:tcW w:w="7261" w:type="dxa"/>
            <w:vAlign w:val="center"/>
          </w:tcPr>
          <w:p>
            <w:pPr>
              <w:spacing w:before="60" w:after="60" w:line="240" w:lineRule="atLeast"/>
              <w:rPr>
                <w:rFonts w:hint="eastAsia" w:ascii="仿宋" w:hAnsi="仿宋" w:eastAsia="仿宋" w:cs="仿宋"/>
                <w:color w:val="auto"/>
                <w:sz w:val="24"/>
                <w:lang w:bidi="en-US"/>
              </w:rPr>
            </w:pPr>
            <w:r>
              <w:rPr>
                <w:rFonts w:hint="eastAsia" w:ascii="仿宋" w:hAnsi="仿宋" w:eastAsia="仿宋" w:cs="仿宋"/>
                <w:color w:val="auto"/>
                <w:sz w:val="24"/>
              </w:rPr>
              <w:t>尺寸：≤158mm(长)x 74mm(宽)x13mm(厚)  且屏幕</w:t>
            </w:r>
            <w:r>
              <w:rPr>
                <w:rFonts w:hint="eastAsia" w:ascii="仿宋" w:hAnsi="仿宋" w:eastAsia="仿宋" w:cs="仿宋"/>
                <w:color w:val="auto"/>
                <w:sz w:val="24"/>
                <w:lang w:bidi="en-US"/>
              </w:rPr>
              <w:t>≥5.4寸彩色1440X720多点触控屏，整机重量</w:t>
            </w:r>
            <w:r>
              <w:rPr>
                <w:rFonts w:hint="eastAsia" w:ascii="仿宋" w:hAnsi="仿宋" w:eastAsia="仿宋" w:cs="仿宋"/>
                <w:color w:val="auto"/>
                <w:sz w:val="24"/>
              </w:rPr>
              <w:t>≤220克（含电池）。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94" w:type="dxa"/>
            <w:vAlign w:val="center"/>
          </w:tcPr>
          <w:p>
            <w:pPr>
              <w:numPr>
                <w:ilvl w:val="0"/>
                <w:numId w:val="8"/>
              </w:numPr>
              <w:spacing w:line="240" w:lineRule="atLeast"/>
              <w:jc w:val="center"/>
              <w:rPr>
                <w:rFonts w:hint="eastAsia" w:ascii="仿宋" w:hAnsi="仿宋" w:eastAsia="仿宋" w:cs="仿宋"/>
                <w:color w:val="auto"/>
                <w:sz w:val="24"/>
                <w:lang w:bidi="en-US"/>
              </w:rPr>
            </w:pPr>
          </w:p>
        </w:tc>
        <w:tc>
          <w:tcPr>
            <w:tcW w:w="1548" w:type="dxa"/>
            <w:vAlign w:val="center"/>
          </w:tcPr>
          <w:p>
            <w:pPr>
              <w:spacing w:before="60" w:after="60" w:line="240" w:lineRule="atLeast"/>
              <w:rPr>
                <w:rFonts w:hint="eastAsia" w:ascii="仿宋" w:hAnsi="仿宋" w:eastAsia="仿宋" w:cs="仿宋"/>
                <w:color w:val="auto"/>
                <w:sz w:val="24"/>
                <w:lang w:bidi="en-US"/>
              </w:rPr>
            </w:pPr>
            <w:r>
              <w:rPr>
                <w:rFonts w:hint="eastAsia" w:ascii="仿宋" w:hAnsi="仿宋" w:eastAsia="仿宋" w:cs="仿宋"/>
                <w:color w:val="auto"/>
                <w:sz w:val="24"/>
                <w:lang w:bidi="en-US"/>
              </w:rPr>
              <w:t>操作方式</w:t>
            </w:r>
          </w:p>
        </w:tc>
        <w:tc>
          <w:tcPr>
            <w:tcW w:w="7261" w:type="dxa"/>
            <w:vAlign w:val="center"/>
          </w:tcPr>
          <w:p>
            <w:pPr>
              <w:spacing w:before="60" w:after="60" w:line="240" w:lineRule="atLeast"/>
              <w:rPr>
                <w:rFonts w:hint="eastAsia" w:ascii="仿宋" w:hAnsi="仿宋" w:eastAsia="仿宋" w:cs="仿宋"/>
                <w:color w:val="auto"/>
                <w:sz w:val="24"/>
                <w:lang w:bidi="en-US"/>
              </w:rPr>
            </w:pPr>
            <w:r>
              <w:rPr>
                <w:rFonts w:hint="eastAsia" w:ascii="仿宋" w:hAnsi="仿宋" w:eastAsia="仿宋" w:cs="仿宋"/>
                <w:color w:val="auto"/>
                <w:sz w:val="24"/>
                <w:lang w:bidi="en-US"/>
              </w:rPr>
              <w:t>电容式多点触摸屏，支持湿手和手套模式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94" w:type="dxa"/>
            <w:vAlign w:val="center"/>
          </w:tcPr>
          <w:p>
            <w:pPr>
              <w:numPr>
                <w:ilvl w:val="0"/>
                <w:numId w:val="8"/>
              </w:numPr>
              <w:spacing w:line="240" w:lineRule="atLeast"/>
              <w:jc w:val="center"/>
              <w:rPr>
                <w:rFonts w:hint="eastAsia" w:ascii="仿宋" w:hAnsi="仿宋" w:eastAsia="仿宋" w:cs="仿宋"/>
                <w:color w:val="auto"/>
                <w:sz w:val="24"/>
                <w:lang w:bidi="en-US"/>
              </w:rPr>
            </w:pPr>
          </w:p>
        </w:tc>
        <w:tc>
          <w:tcPr>
            <w:tcW w:w="1548" w:type="dxa"/>
            <w:vAlign w:val="center"/>
          </w:tcPr>
          <w:p>
            <w:pPr>
              <w:spacing w:before="60" w:after="60" w:line="240" w:lineRule="atLeast"/>
              <w:rPr>
                <w:rFonts w:hint="eastAsia" w:ascii="仿宋" w:hAnsi="仿宋" w:eastAsia="仿宋" w:cs="仿宋"/>
                <w:color w:val="auto"/>
                <w:sz w:val="24"/>
                <w:lang w:bidi="en-US"/>
              </w:rPr>
            </w:pPr>
            <w:r>
              <w:rPr>
                <w:rFonts w:hint="eastAsia" w:ascii="仿宋" w:hAnsi="仿宋" w:eastAsia="仿宋" w:cs="仿宋"/>
                <w:color w:val="auto"/>
                <w:sz w:val="24"/>
                <w:lang w:bidi="en-US"/>
              </w:rPr>
              <w:t>摄像头</w:t>
            </w:r>
          </w:p>
        </w:tc>
        <w:tc>
          <w:tcPr>
            <w:tcW w:w="7261" w:type="dxa"/>
            <w:vAlign w:val="center"/>
          </w:tcPr>
          <w:p>
            <w:pPr>
              <w:spacing w:before="60" w:after="60" w:line="240" w:lineRule="atLeast"/>
              <w:rPr>
                <w:rFonts w:hint="eastAsia" w:ascii="仿宋" w:hAnsi="仿宋" w:eastAsia="仿宋" w:cs="仿宋"/>
                <w:color w:val="auto"/>
                <w:sz w:val="24"/>
                <w:lang w:bidi="en-US"/>
              </w:rPr>
            </w:pPr>
            <w:r>
              <w:rPr>
                <w:rFonts w:hint="eastAsia" w:ascii="仿宋" w:hAnsi="仿宋" w:eastAsia="仿宋" w:cs="仿宋"/>
                <w:color w:val="auto"/>
                <w:sz w:val="24"/>
                <w:lang w:bidi="en-US"/>
              </w:rPr>
              <w:t>≥1300万后置摄像头和200万前置摄像头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94" w:type="dxa"/>
            <w:vAlign w:val="center"/>
          </w:tcPr>
          <w:p>
            <w:pPr>
              <w:numPr>
                <w:ilvl w:val="0"/>
                <w:numId w:val="8"/>
              </w:numPr>
              <w:spacing w:line="240" w:lineRule="atLeast"/>
              <w:jc w:val="center"/>
              <w:rPr>
                <w:rFonts w:hint="eastAsia" w:ascii="仿宋" w:hAnsi="仿宋" w:eastAsia="仿宋" w:cs="仿宋"/>
                <w:color w:val="auto"/>
                <w:sz w:val="24"/>
                <w:lang w:bidi="en-US"/>
              </w:rPr>
            </w:pPr>
          </w:p>
        </w:tc>
        <w:tc>
          <w:tcPr>
            <w:tcW w:w="1548" w:type="dxa"/>
            <w:vAlign w:val="center"/>
          </w:tcPr>
          <w:p>
            <w:pPr>
              <w:spacing w:before="60" w:after="60" w:line="240" w:lineRule="atLeast"/>
              <w:rPr>
                <w:rFonts w:hint="eastAsia" w:ascii="仿宋" w:hAnsi="仿宋" w:eastAsia="仿宋" w:cs="仿宋"/>
                <w:color w:val="auto"/>
                <w:sz w:val="24"/>
                <w:lang w:bidi="en-US"/>
              </w:rPr>
            </w:pPr>
            <w:r>
              <w:rPr>
                <w:rFonts w:hint="eastAsia" w:ascii="仿宋" w:hAnsi="仿宋" w:eastAsia="仿宋" w:cs="仿宋"/>
                <w:color w:val="auto"/>
                <w:sz w:val="24"/>
              </w:rPr>
              <w:t>▲</w:t>
            </w:r>
            <w:r>
              <w:rPr>
                <w:rFonts w:hint="eastAsia" w:ascii="仿宋" w:hAnsi="仿宋" w:eastAsia="仿宋" w:cs="仿宋"/>
                <w:color w:val="auto"/>
                <w:sz w:val="24"/>
                <w:lang w:bidi="en-US"/>
              </w:rPr>
              <w:t>按键</w:t>
            </w:r>
          </w:p>
        </w:tc>
        <w:tc>
          <w:tcPr>
            <w:tcW w:w="7261" w:type="dxa"/>
            <w:vAlign w:val="center"/>
          </w:tcPr>
          <w:p>
            <w:pPr>
              <w:spacing w:before="60" w:after="60" w:line="240" w:lineRule="atLeast"/>
              <w:rPr>
                <w:rFonts w:hint="eastAsia" w:ascii="仿宋" w:hAnsi="仿宋" w:eastAsia="仿宋" w:cs="仿宋"/>
                <w:color w:val="auto"/>
                <w:sz w:val="24"/>
                <w:lang w:bidi="en-US"/>
              </w:rPr>
            </w:pPr>
            <w:r>
              <w:rPr>
                <w:rFonts w:hint="eastAsia" w:ascii="仿宋" w:hAnsi="仿宋" w:eastAsia="仿宋" w:cs="仿宋"/>
                <w:color w:val="auto"/>
                <w:sz w:val="24"/>
                <w:lang w:bidi="en-US"/>
              </w:rPr>
              <w:t>机身左右两个扫描按键，满足医护工作者操作便利性需求；机身正面要求无物理按键，便于清洁消毒和防水防尘，满足医疗环境日常使用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2" w:hRule="atLeast"/>
          <w:jc w:val="center"/>
        </w:trPr>
        <w:tc>
          <w:tcPr>
            <w:tcW w:w="794" w:type="dxa"/>
            <w:vAlign w:val="center"/>
          </w:tcPr>
          <w:p>
            <w:pPr>
              <w:numPr>
                <w:ilvl w:val="0"/>
                <w:numId w:val="8"/>
              </w:numPr>
              <w:spacing w:line="240" w:lineRule="atLeast"/>
              <w:jc w:val="center"/>
              <w:rPr>
                <w:rFonts w:hint="eastAsia" w:ascii="仿宋" w:hAnsi="仿宋" w:eastAsia="仿宋" w:cs="仿宋"/>
                <w:color w:val="auto"/>
                <w:kern w:val="0"/>
                <w:sz w:val="24"/>
              </w:rPr>
            </w:pPr>
          </w:p>
        </w:tc>
        <w:tc>
          <w:tcPr>
            <w:tcW w:w="1548" w:type="dxa"/>
            <w:vAlign w:val="center"/>
          </w:tcPr>
          <w:p>
            <w:pPr>
              <w:spacing w:before="60" w:after="60" w:line="240" w:lineRule="atLeast"/>
              <w:rPr>
                <w:rFonts w:hint="eastAsia" w:ascii="仿宋" w:hAnsi="仿宋" w:eastAsia="仿宋" w:cs="仿宋"/>
                <w:color w:val="auto"/>
                <w:sz w:val="24"/>
                <w:lang w:bidi="en-US"/>
              </w:rPr>
            </w:pPr>
            <w:r>
              <w:rPr>
                <w:rFonts w:hint="eastAsia" w:ascii="仿宋" w:hAnsi="仿宋" w:eastAsia="仿宋" w:cs="仿宋"/>
                <w:color w:val="auto"/>
                <w:sz w:val="24"/>
                <w:lang w:bidi="en-US"/>
              </w:rPr>
              <w:t>条码扫描引擎</w:t>
            </w:r>
          </w:p>
        </w:tc>
        <w:tc>
          <w:tcPr>
            <w:tcW w:w="7261" w:type="dxa"/>
            <w:vAlign w:val="center"/>
          </w:tcPr>
          <w:p>
            <w:pPr>
              <w:spacing w:before="60" w:after="60" w:line="240" w:lineRule="atLeast"/>
              <w:rPr>
                <w:rFonts w:hint="eastAsia" w:ascii="仿宋" w:hAnsi="仿宋" w:eastAsia="仿宋" w:cs="仿宋"/>
                <w:color w:val="auto"/>
                <w:sz w:val="24"/>
                <w:lang w:bidi="en-US"/>
              </w:rPr>
            </w:pPr>
            <w:r>
              <w:rPr>
                <w:rFonts w:hint="eastAsia" w:ascii="仿宋" w:hAnsi="仿宋" w:eastAsia="仿宋" w:cs="仿宋"/>
                <w:color w:val="auto"/>
                <w:sz w:val="24"/>
                <w:lang w:bidi="en-US"/>
              </w:rPr>
              <w:t>支持各类1D/2D条码,支持手机屏幕扫描。采用十字扫描头和LED补光技术，提高条码识别率。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94" w:type="dxa"/>
            <w:vAlign w:val="center"/>
          </w:tcPr>
          <w:p>
            <w:pPr>
              <w:numPr>
                <w:ilvl w:val="0"/>
                <w:numId w:val="8"/>
              </w:numPr>
              <w:spacing w:line="240" w:lineRule="atLeast"/>
              <w:jc w:val="center"/>
              <w:rPr>
                <w:rFonts w:hint="eastAsia" w:ascii="仿宋" w:hAnsi="仿宋" w:eastAsia="仿宋" w:cs="仿宋"/>
                <w:color w:val="auto"/>
                <w:kern w:val="0"/>
                <w:sz w:val="24"/>
              </w:rPr>
            </w:pPr>
          </w:p>
        </w:tc>
        <w:tc>
          <w:tcPr>
            <w:tcW w:w="1548" w:type="dxa"/>
            <w:vAlign w:val="center"/>
          </w:tcPr>
          <w:p>
            <w:pPr>
              <w:spacing w:before="60" w:after="60" w:line="240" w:lineRule="atLeast"/>
              <w:rPr>
                <w:rFonts w:hint="eastAsia" w:ascii="仿宋" w:hAnsi="仿宋" w:eastAsia="仿宋" w:cs="仿宋"/>
                <w:color w:val="auto"/>
                <w:sz w:val="24"/>
                <w:lang w:bidi="en-US"/>
              </w:rPr>
            </w:pPr>
            <w:r>
              <w:rPr>
                <w:rFonts w:hint="eastAsia" w:ascii="仿宋" w:hAnsi="仿宋" w:eastAsia="仿宋" w:cs="仿宋"/>
                <w:color w:val="auto"/>
                <w:sz w:val="24"/>
                <w:lang w:bidi="en-US"/>
              </w:rPr>
              <w:t>无线局域网</w:t>
            </w:r>
          </w:p>
        </w:tc>
        <w:tc>
          <w:tcPr>
            <w:tcW w:w="7261" w:type="dxa"/>
            <w:vAlign w:val="center"/>
          </w:tcPr>
          <w:p>
            <w:pPr>
              <w:spacing w:before="60" w:after="60" w:line="240" w:lineRule="atLeast"/>
              <w:rPr>
                <w:rFonts w:hint="eastAsia" w:ascii="仿宋" w:hAnsi="仿宋" w:eastAsia="仿宋" w:cs="仿宋"/>
                <w:color w:val="auto"/>
                <w:sz w:val="24"/>
                <w:lang w:bidi="en-US"/>
              </w:rPr>
            </w:pPr>
            <w:r>
              <w:rPr>
                <w:rFonts w:hint="eastAsia" w:ascii="仿宋" w:hAnsi="仿宋" w:eastAsia="仿宋" w:cs="仿宋"/>
                <w:color w:val="auto"/>
                <w:sz w:val="24"/>
                <w:lang w:bidi="en-US"/>
              </w:rPr>
              <w:t>IEEE 802.11a/b/g/n/ac，支持2.4G及5G频段，通过WIFI联盟认证。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94" w:type="dxa"/>
            <w:vAlign w:val="center"/>
          </w:tcPr>
          <w:p>
            <w:pPr>
              <w:numPr>
                <w:ilvl w:val="0"/>
                <w:numId w:val="8"/>
              </w:numPr>
              <w:spacing w:line="240" w:lineRule="atLeast"/>
              <w:jc w:val="center"/>
              <w:rPr>
                <w:rFonts w:hint="eastAsia" w:ascii="仿宋" w:hAnsi="仿宋" w:eastAsia="仿宋" w:cs="仿宋"/>
                <w:color w:val="auto"/>
                <w:kern w:val="0"/>
                <w:sz w:val="24"/>
              </w:rPr>
            </w:pPr>
          </w:p>
        </w:tc>
        <w:tc>
          <w:tcPr>
            <w:tcW w:w="1548" w:type="dxa"/>
            <w:vAlign w:val="center"/>
          </w:tcPr>
          <w:p>
            <w:pPr>
              <w:spacing w:before="60" w:after="60" w:line="240" w:lineRule="atLeast"/>
              <w:rPr>
                <w:rFonts w:hint="eastAsia" w:ascii="仿宋" w:hAnsi="仿宋" w:eastAsia="仿宋" w:cs="仿宋"/>
                <w:color w:val="auto"/>
                <w:sz w:val="24"/>
                <w:lang w:bidi="en-US"/>
              </w:rPr>
            </w:pPr>
            <w:r>
              <w:rPr>
                <w:rFonts w:hint="eastAsia" w:ascii="仿宋" w:hAnsi="仿宋" w:eastAsia="仿宋" w:cs="仿宋"/>
                <w:color w:val="auto"/>
                <w:sz w:val="24"/>
                <w:lang w:bidi="en-US"/>
              </w:rPr>
              <w:t>无线网络安全性</w:t>
            </w:r>
          </w:p>
        </w:tc>
        <w:tc>
          <w:tcPr>
            <w:tcW w:w="7261" w:type="dxa"/>
            <w:vAlign w:val="center"/>
          </w:tcPr>
          <w:p>
            <w:pPr>
              <w:spacing w:before="60" w:after="60" w:line="240" w:lineRule="atLeast"/>
              <w:rPr>
                <w:rFonts w:hint="eastAsia" w:ascii="仿宋" w:hAnsi="仿宋" w:eastAsia="仿宋" w:cs="仿宋"/>
                <w:color w:val="auto"/>
                <w:sz w:val="24"/>
                <w:lang w:bidi="en-US"/>
              </w:rPr>
            </w:pPr>
            <w:r>
              <w:rPr>
                <w:rFonts w:hint="eastAsia" w:ascii="仿宋" w:hAnsi="仿宋" w:eastAsia="仿宋" w:cs="仿宋"/>
                <w:color w:val="auto"/>
                <w:sz w:val="24"/>
                <w:lang w:bidi="en-US"/>
              </w:rPr>
              <w:t xml:space="preserve">WEP, 802.1x, TKIP, AES, LEAP, PEAPv0, PEAPv1, EAP-M, SCHAPv2 </w:t>
            </w:r>
          </w:p>
          <w:p>
            <w:pPr>
              <w:spacing w:before="60" w:after="60" w:line="240" w:lineRule="atLeast"/>
              <w:rPr>
                <w:rFonts w:hint="eastAsia" w:ascii="仿宋" w:hAnsi="仿宋" w:eastAsia="仿宋" w:cs="仿宋"/>
                <w:color w:val="auto"/>
                <w:sz w:val="24"/>
                <w:lang w:bidi="en-US"/>
              </w:rPr>
            </w:pPr>
            <w:r>
              <w:rPr>
                <w:rFonts w:hint="eastAsia" w:ascii="仿宋" w:hAnsi="仿宋" w:eastAsia="仿宋" w:cs="仿宋"/>
                <w:color w:val="auto"/>
                <w:sz w:val="24"/>
                <w:lang w:bidi="en-US"/>
              </w:rPr>
              <w:t>EAP-GTC, EAP-TLS, EAP-TTLS, WPA-PSK, WPA2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94" w:type="dxa"/>
            <w:vAlign w:val="center"/>
          </w:tcPr>
          <w:p>
            <w:pPr>
              <w:numPr>
                <w:ilvl w:val="0"/>
                <w:numId w:val="8"/>
              </w:numPr>
              <w:spacing w:line="240" w:lineRule="atLeast"/>
              <w:jc w:val="center"/>
              <w:rPr>
                <w:rFonts w:hint="eastAsia" w:ascii="仿宋" w:hAnsi="仿宋" w:eastAsia="仿宋" w:cs="仿宋"/>
                <w:color w:val="auto"/>
                <w:kern w:val="0"/>
                <w:sz w:val="24"/>
              </w:rPr>
            </w:pPr>
          </w:p>
        </w:tc>
        <w:tc>
          <w:tcPr>
            <w:tcW w:w="1548" w:type="dxa"/>
            <w:vAlign w:val="center"/>
          </w:tcPr>
          <w:p>
            <w:pPr>
              <w:spacing w:before="60" w:after="60" w:line="240" w:lineRule="atLeast"/>
              <w:rPr>
                <w:rFonts w:hint="eastAsia" w:ascii="仿宋" w:hAnsi="仿宋" w:eastAsia="仿宋" w:cs="仿宋"/>
                <w:color w:val="auto"/>
                <w:sz w:val="24"/>
                <w:lang w:bidi="en-US"/>
              </w:rPr>
            </w:pPr>
            <w:r>
              <w:rPr>
                <w:rFonts w:hint="eastAsia" w:ascii="仿宋" w:hAnsi="仿宋" w:eastAsia="仿宋" w:cs="仿宋"/>
                <w:color w:val="auto"/>
                <w:sz w:val="24"/>
                <w:lang w:bidi="en-US"/>
              </w:rPr>
              <w:t>蓝牙</w:t>
            </w:r>
          </w:p>
        </w:tc>
        <w:tc>
          <w:tcPr>
            <w:tcW w:w="7261" w:type="dxa"/>
            <w:vAlign w:val="center"/>
          </w:tcPr>
          <w:p>
            <w:pPr>
              <w:rPr>
                <w:rFonts w:hint="eastAsia" w:ascii="仿宋" w:hAnsi="仿宋" w:eastAsia="仿宋" w:cs="仿宋"/>
                <w:color w:val="auto"/>
                <w:sz w:val="24"/>
                <w:lang w:bidi="en-US"/>
              </w:rPr>
            </w:pPr>
            <w:r>
              <w:rPr>
                <w:rFonts w:hint="eastAsia" w:ascii="仿宋" w:hAnsi="仿宋" w:eastAsia="仿宋" w:cs="仿宋"/>
                <w:color w:val="auto"/>
                <w:sz w:val="24"/>
                <w:lang w:bidi="en-US"/>
              </w:rPr>
              <w:t>支持BT5.0以上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4" w:type="dxa"/>
            <w:vAlign w:val="center"/>
          </w:tcPr>
          <w:p>
            <w:pPr>
              <w:numPr>
                <w:ilvl w:val="0"/>
                <w:numId w:val="8"/>
              </w:numPr>
              <w:spacing w:line="240" w:lineRule="atLeast"/>
              <w:jc w:val="center"/>
              <w:rPr>
                <w:rFonts w:hint="eastAsia" w:ascii="仿宋" w:hAnsi="仿宋" w:eastAsia="仿宋" w:cs="仿宋"/>
                <w:color w:val="auto"/>
                <w:kern w:val="0"/>
                <w:sz w:val="24"/>
              </w:rPr>
            </w:pPr>
          </w:p>
        </w:tc>
        <w:tc>
          <w:tcPr>
            <w:tcW w:w="1548" w:type="dxa"/>
            <w:vAlign w:val="center"/>
          </w:tcPr>
          <w:p>
            <w:pPr>
              <w:spacing w:before="60" w:after="60" w:line="240" w:lineRule="atLeast"/>
              <w:rPr>
                <w:rFonts w:hint="eastAsia" w:ascii="仿宋" w:hAnsi="仿宋" w:eastAsia="仿宋" w:cs="仿宋"/>
                <w:color w:val="auto"/>
                <w:sz w:val="24"/>
                <w:lang w:bidi="en-US"/>
              </w:rPr>
            </w:pPr>
            <w:r>
              <w:rPr>
                <w:rFonts w:hint="eastAsia" w:ascii="仿宋" w:hAnsi="仿宋" w:eastAsia="仿宋" w:cs="仿宋"/>
                <w:color w:val="auto"/>
                <w:sz w:val="24"/>
                <w:lang w:bidi="en-US"/>
              </w:rPr>
              <w:t>外壳材料</w:t>
            </w:r>
          </w:p>
        </w:tc>
        <w:tc>
          <w:tcPr>
            <w:tcW w:w="7261" w:type="dxa"/>
            <w:vAlign w:val="center"/>
          </w:tcPr>
          <w:p>
            <w:pPr>
              <w:spacing w:before="60" w:after="60" w:line="240" w:lineRule="atLeast"/>
              <w:rPr>
                <w:rFonts w:hint="eastAsia" w:ascii="仿宋" w:hAnsi="仿宋" w:eastAsia="仿宋" w:cs="仿宋"/>
                <w:color w:val="auto"/>
                <w:sz w:val="24"/>
                <w:lang w:bidi="en-US"/>
              </w:rPr>
            </w:pPr>
            <w:r>
              <w:rPr>
                <w:rFonts w:hint="eastAsia" w:ascii="仿宋" w:hAnsi="仿宋" w:eastAsia="仿宋" w:cs="仿宋"/>
                <w:color w:val="auto"/>
                <w:sz w:val="24"/>
                <w:lang w:bidi="en-US"/>
              </w:rPr>
              <w:t>可耐受酒精、过氧化氢、丙乙醇、聚维酮碘等化学品擦拭消毒（含屏幕部分）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794" w:type="dxa"/>
            <w:vAlign w:val="center"/>
          </w:tcPr>
          <w:p>
            <w:pPr>
              <w:numPr>
                <w:ilvl w:val="0"/>
                <w:numId w:val="8"/>
              </w:numPr>
              <w:spacing w:line="240" w:lineRule="atLeast"/>
              <w:jc w:val="center"/>
              <w:rPr>
                <w:rFonts w:hint="eastAsia" w:ascii="仿宋" w:hAnsi="仿宋" w:eastAsia="仿宋" w:cs="仿宋"/>
                <w:color w:val="auto"/>
                <w:kern w:val="0"/>
                <w:sz w:val="24"/>
              </w:rPr>
            </w:pPr>
          </w:p>
        </w:tc>
        <w:tc>
          <w:tcPr>
            <w:tcW w:w="1548" w:type="dxa"/>
            <w:vAlign w:val="center"/>
          </w:tcPr>
          <w:p>
            <w:pPr>
              <w:spacing w:before="60" w:after="60" w:line="240" w:lineRule="atLeast"/>
              <w:rPr>
                <w:rFonts w:hint="eastAsia" w:ascii="仿宋" w:hAnsi="仿宋" w:eastAsia="仿宋" w:cs="仿宋"/>
                <w:color w:val="auto"/>
                <w:sz w:val="24"/>
                <w:lang w:bidi="en-US"/>
              </w:rPr>
            </w:pPr>
            <w:r>
              <w:rPr>
                <w:rFonts w:hint="eastAsia" w:ascii="仿宋" w:hAnsi="仿宋" w:eastAsia="仿宋" w:cs="仿宋"/>
                <w:color w:val="auto"/>
                <w:sz w:val="24"/>
                <w:lang w:bidi="en-US"/>
              </w:rPr>
              <w:t>工业防护等级</w:t>
            </w:r>
          </w:p>
        </w:tc>
        <w:tc>
          <w:tcPr>
            <w:tcW w:w="7261" w:type="dxa"/>
            <w:vAlign w:val="center"/>
          </w:tcPr>
          <w:p>
            <w:pPr>
              <w:spacing w:before="60" w:after="60" w:line="240" w:lineRule="atLeast"/>
              <w:rPr>
                <w:rFonts w:hint="eastAsia" w:ascii="仿宋" w:hAnsi="仿宋" w:eastAsia="仿宋" w:cs="仿宋"/>
                <w:color w:val="auto"/>
                <w:sz w:val="24"/>
                <w:lang w:bidi="en-US"/>
              </w:rPr>
            </w:pPr>
            <w:r>
              <w:rPr>
                <w:rFonts w:hint="eastAsia" w:ascii="仿宋" w:hAnsi="仿宋" w:eastAsia="仿宋" w:cs="仿宋"/>
                <w:color w:val="auto"/>
                <w:sz w:val="24"/>
                <w:lang w:bidi="en-US"/>
              </w:rPr>
              <w:t>≥IP67或以上，提供权威机构检测报告。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94" w:type="dxa"/>
            <w:vAlign w:val="center"/>
          </w:tcPr>
          <w:p>
            <w:pPr>
              <w:numPr>
                <w:ilvl w:val="0"/>
                <w:numId w:val="8"/>
              </w:numPr>
              <w:spacing w:line="240" w:lineRule="atLeast"/>
              <w:jc w:val="center"/>
              <w:rPr>
                <w:rFonts w:hint="eastAsia" w:ascii="仿宋" w:hAnsi="仿宋" w:eastAsia="仿宋" w:cs="仿宋"/>
                <w:color w:val="auto"/>
                <w:sz w:val="24"/>
                <w:lang w:bidi="en-US"/>
              </w:rPr>
            </w:pPr>
          </w:p>
        </w:tc>
        <w:tc>
          <w:tcPr>
            <w:tcW w:w="1548" w:type="dxa"/>
            <w:vAlign w:val="center"/>
          </w:tcPr>
          <w:p>
            <w:pPr>
              <w:spacing w:line="240" w:lineRule="atLeast"/>
              <w:rPr>
                <w:rFonts w:hint="eastAsia" w:ascii="仿宋" w:hAnsi="仿宋" w:eastAsia="仿宋" w:cs="仿宋"/>
                <w:color w:val="auto"/>
                <w:sz w:val="24"/>
                <w:lang w:bidi="en-US"/>
              </w:rPr>
            </w:pPr>
            <w:r>
              <w:rPr>
                <w:rFonts w:hint="eastAsia" w:ascii="仿宋" w:hAnsi="仿宋" w:eastAsia="仿宋" w:cs="仿宋"/>
                <w:color w:val="auto"/>
                <w:sz w:val="24"/>
                <w:lang w:bidi="en-US"/>
              </w:rPr>
              <w:t>防腐（盐雾）认证</w:t>
            </w:r>
          </w:p>
        </w:tc>
        <w:tc>
          <w:tcPr>
            <w:tcW w:w="7261" w:type="dxa"/>
            <w:vAlign w:val="center"/>
          </w:tcPr>
          <w:p>
            <w:pPr>
              <w:spacing w:line="240" w:lineRule="atLeast"/>
              <w:rPr>
                <w:rFonts w:hint="eastAsia" w:ascii="仿宋" w:hAnsi="仿宋" w:eastAsia="仿宋" w:cs="仿宋"/>
                <w:color w:val="auto"/>
                <w:sz w:val="24"/>
              </w:rPr>
            </w:pPr>
            <w:r>
              <w:rPr>
                <w:rFonts w:hint="eastAsia" w:ascii="仿宋" w:hAnsi="仿宋" w:eastAsia="仿宋" w:cs="仿宋"/>
                <w:color w:val="auto"/>
                <w:sz w:val="24"/>
                <w:lang w:bidi="en-US"/>
              </w:rPr>
              <w:t>投标产品通过GB/T2423.17-2008防腐（盐雾）检测（需提供第三方机构出具的测试报告或证书并加投标人公章）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94" w:type="dxa"/>
            <w:vAlign w:val="center"/>
          </w:tcPr>
          <w:p>
            <w:pPr>
              <w:numPr>
                <w:ilvl w:val="0"/>
                <w:numId w:val="8"/>
              </w:numPr>
              <w:spacing w:line="240" w:lineRule="atLeast"/>
              <w:jc w:val="center"/>
              <w:rPr>
                <w:rFonts w:hint="eastAsia" w:ascii="仿宋" w:hAnsi="仿宋" w:eastAsia="仿宋" w:cs="仿宋"/>
                <w:color w:val="auto"/>
                <w:kern w:val="0"/>
                <w:sz w:val="24"/>
              </w:rPr>
            </w:pPr>
          </w:p>
        </w:tc>
        <w:tc>
          <w:tcPr>
            <w:tcW w:w="1548" w:type="dxa"/>
            <w:vAlign w:val="center"/>
          </w:tcPr>
          <w:p>
            <w:pPr>
              <w:spacing w:line="240" w:lineRule="atLeast"/>
              <w:rPr>
                <w:rFonts w:hint="eastAsia" w:ascii="仿宋" w:hAnsi="仿宋" w:eastAsia="仿宋" w:cs="仿宋"/>
                <w:color w:val="auto"/>
                <w:sz w:val="24"/>
                <w:lang w:bidi="en-US"/>
              </w:rPr>
            </w:pPr>
            <w:r>
              <w:rPr>
                <w:rFonts w:hint="eastAsia" w:ascii="仿宋" w:hAnsi="仿宋" w:eastAsia="仿宋" w:cs="仿宋"/>
                <w:color w:val="auto"/>
                <w:sz w:val="24"/>
                <w:lang w:bidi="en-US"/>
              </w:rPr>
              <w:t>温度</w:t>
            </w:r>
          </w:p>
        </w:tc>
        <w:tc>
          <w:tcPr>
            <w:tcW w:w="7261" w:type="dxa"/>
            <w:vAlign w:val="center"/>
          </w:tcPr>
          <w:p>
            <w:pPr>
              <w:spacing w:line="240" w:lineRule="atLeast"/>
              <w:rPr>
                <w:rFonts w:hint="eastAsia" w:ascii="仿宋" w:hAnsi="仿宋" w:eastAsia="仿宋" w:cs="仿宋"/>
                <w:color w:val="auto"/>
                <w:sz w:val="24"/>
                <w:lang w:bidi="en-US"/>
              </w:rPr>
            </w:pPr>
            <w:r>
              <w:rPr>
                <w:rFonts w:hint="eastAsia" w:ascii="仿宋" w:hAnsi="仿宋" w:eastAsia="仿宋" w:cs="仿宋"/>
                <w:color w:val="auto"/>
                <w:sz w:val="24"/>
                <w:lang w:bidi="en-US"/>
              </w:rPr>
              <w:t>操作温度：-20°C 至 +60°C</w:t>
            </w:r>
          </w:p>
          <w:p>
            <w:pPr>
              <w:pStyle w:val="25"/>
              <w:rPr>
                <w:rFonts w:hint="eastAsia" w:ascii="仿宋" w:hAnsi="仿宋" w:eastAsia="仿宋" w:cs="仿宋"/>
                <w:color w:val="auto"/>
                <w:sz w:val="24"/>
                <w:szCs w:val="24"/>
                <w:lang w:bidi="en-US"/>
              </w:rPr>
            </w:pPr>
            <w:r>
              <w:rPr>
                <w:rFonts w:hint="eastAsia" w:ascii="仿宋" w:hAnsi="仿宋" w:eastAsia="仿宋" w:cs="仿宋"/>
                <w:color w:val="auto"/>
                <w:sz w:val="24"/>
                <w:szCs w:val="24"/>
                <w:lang w:bidi="en-US"/>
              </w:rPr>
              <w:t>存储温度：-20°C 至 +60°C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94" w:type="dxa"/>
            <w:vAlign w:val="center"/>
          </w:tcPr>
          <w:p>
            <w:pPr>
              <w:numPr>
                <w:ilvl w:val="0"/>
                <w:numId w:val="8"/>
              </w:numPr>
              <w:spacing w:line="240" w:lineRule="atLeast"/>
              <w:jc w:val="center"/>
              <w:rPr>
                <w:rFonts w:hint="eastAsia" w:ascii="仿宋" w:hAnsi="仿宋" w:eastAsia="仿宋" w:cs="仿宋"/>
                <w:color w:val="auto"/>
                <w:sz w:val="24"/>
                <w:lang w:bidi="en-US"/>
              </w:rPr>
            </w:pPr>
          </w:p>
        </w:tc>
        <w:tc>
          <w:tcPr>
            <w:tcW w:w="1548" w:type="dxa"/>
            <w:vAlign w:val="center"/>
          </w:tcPr>
          <w:p>
            <w:pPr>
              <w:spacing w:line="240" w:lineRule="atLeast"/>
              <w:rPr>
                <w:rFonts w:hint="eastAsia" w:ascii="仿宋" w:hAnsi="仿宋" w:eastAsia="仿宋" w:cs="仿宋"/>
                <w:color w:val="auto"/>
                <w:sz w:val="24"/>
                <w:lang w:bidi="en-US"/>
              </w:rPr>
            </w:pPr>
            <w:r>
              <w:rPr>
                <w:rFonts w:hint="eastAsia" w:ascii="仿宋" w:hAnsi="仿宋" w:eastAsia="仿宋" w:cs="仿宋"/>
                <w:color w:val="auto"/>
                <w:sz w:val="24"/>
                <w:lang w:bidi="en-US"/>
              </w:rPr>
              <w:t>湿度</w:t>
            </w:r>
          </w:p>
        </w:tc>
        <w:tc>
          <w:tcPr>
            <w:tcW w:w="7261" w:type="dxa"/>
            <w:vAlign w:val="center"/>
          </w:tcPr>
          <w:p>
            <w:pPr>
              <w:spacing w:line="240" w:lineRule="atLeast"/>
              <w:rPr>
                <w:rFonts w:hint="eastAsia" w:ascii="仿宋" w:hAnsi="仿宋" w:eastAsia="仿宋" w:cs="仿宋"/>
                <w:color w:val="auto"/>
                <w:sz w:val="24"/>
                <w:lang w:bidi="en-US"/>
              </w:rPr>
            </w:pPr>
            <w:r>
              <w:rPr>
                <w:rFonts w:hint="eastAsia" w:ascii="仿宋" w:hAnsi="仿宋" w:eastAsia="仿宋" w:cs="仿宋"/>
                <w:color w:val="auto"/>
                <w:sz w:val="24"/>
                <w:lang w:bidi="en-US"/>
              </w:rPr>
              <w:t>湿度10至90% （无冷凝）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94" w:type="dxa"/>
            <w:vAlign w:val="center"/>
          </w:tcPr>
          <w:p>
            <w:pPr>
              <w:numPr>
                <w:ilvl w:val="0"/>
                <w:numId w:val="8"/>
              </w:numPr>
              <w:spacing w:line="240" w:lineRule="atLeast"/>
              <w:jc w:val="center"/>
              <w:rPr>
                <w:rFonts w:hint="eastAsia" w:ascii="仿宋" w:hAnsi="仿宋" w:eastAsia="仿宋" w:cs="仿宋"/>
                <w:color w:val="auto"/>
                <w:sz w:val="24"/>
                <w:lang w:bidi="en-US"/>
              </w:rPr>
            </w:pPr>
          </w:p>
        </w:tc>
        <w:tc>
          <w:tcPr>
            <w:tcW w:w="1548" w:type="dxa"/>
            <w:vAlign w:val="center"/>
          </w:tcPr>
          <w:p>
            <w:pPr>
              <w:spacing w:line="240" w:lineRule="atLeast"/>
              <w:rPr>
                <w:rFonts w:hint="eastAsia" w:ascii="仿宋" w:hAnsi="仿宋" w:eastAsia="仿宋" w:cs="仿宋"/>
                <w:color w:val="auto"/>
                <w:sz w:val="24"/>
                <w:lang w:bidi="en-US"/>
              </w:rPr>
            </w:pPr>
            <w:r>
              <w:rPr>
                <w:rFonts w:hint="eastAsia" w:ascii="仿宋" w:hAnsi="仿宋" w:eastAsia="仿宋" w:cs="仿宋"/>
                <w:color w:val="auto"/>
                <w:sz w:val="24"/>
              </w:rPr>
              <w:t>★</w:t>
            </w:r>
            <w:r>
              <w:rPr>
                <w:rFonts w:hint="eastAsia" w:ascii="仿宋" w:hAnsi="仿宋" w:eastAsia="仿宋" w:cs="仿宋"/>
                <w:color w:val="auto"/>
                <w:sz w:val="24"/>
                <w:lang w:bidi="en-US"/>
              </w:rPr>
              <w:t>保修</w:t>
            </w:r>
          </w:p>
        </w:tc>
        <w:tc>
          <w:tcPr>
            <w:tcW w:w="7261" w:type="dxa"/>
            <w:vAlign w:val="center"/>
          </w:tcPr>
          <w:p>
            <w:pPr>
              <w:spacing w:line="240" w:lineRule="atLeast"/>
              <w:rPr>
                <w:rFonts w:hint="eastAsia" w:ascii="仿宋" w:hAnsi="仿宋" w:eastAsia="仿宋" w:cs="仿宋"/>
                <w:color w:val="auto"/>
                <w:sz w:val="24"/>
                <w:lang w:bidi="en-US"/>
              </w:rPr>
            </w:pPr>
            <w:r>
              <w:rPr>
                <w:rFonts w:hint="eastAsia" w:ascii="仿宋" w:hAnsi="仿宋" w:eastAsia="仿宋" w:cs="仿宋"/>
                <w:color w:val="auto"/>
                <w:sz w:val="24"/>
                <w:lang w:bidi="en-US"/>
              </w:rPr>
              <w:t>主机5年全保，（包含人为损坏，电池保证在质保期内使用续航时间在6-8小时以上）提供原厂售后服务承诺函并加盖公章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94" w:type="dxa"/>
            <w:vAlign w:val="center"/>
          </w:tcPr>
          <w:p>
            <w:pPr>
              <w:numPr>
                <w:ilvl w:val="0"/>
                <w:numId w:val="8"/>
              </w:numPr>
              <w:spacing w:line="240" w:lineRule="atLeast"/>
              <w:jc w:val="center"/>
              <w:rPr>
                <w:rFonts w:hint="eastAsia" w:ascii="仿宋" w:hAnsi="仿宋" w:eastAsia="仿宋" w:cs="仿宋"/>
                <w:color w:val="auto"/>
                <w:sz w:val="24"/>
                <w:lang w:bidi="en-US"/>
              </w:rPr>
            </w:pPr>
          </w:p>
        </w:tc>
        <w:tc>
          <w:tcPr>
            <w:tcW w:w="1548" w:type="dxa"/>
            <w:vAlign w:val="center"/>
          </w:tcPr>
          <w:p>
            <w:pPr>
              <w:spacing w:line="240" w:lineRule="atLeast"/>
              <w:rPr>
                <w:rFonts w:hint="eastAsia" w:ascii="仿宋" w:hAnsi="仿宋" w:eastAsia="仿宋" w:cs="仿宋"/>
                <w:color w:val="auto"/>
                <w:sz w:val="24"/>
                <w:lang w:bidi="en-US"/>
              </w:rPr>
            </w:pPr>
            <w:r>
              <w:rPr>
                <w:rFonts w:hint="eastAsia" w:ascii="仿宋" w:hAnsi="仿宋" w:eastAsia="仿宋" w:cs="仿宋"/>
                <w:color w:val="auto"/>
                <w:sz w:val="24"/>
                <w:lang w:bidi="en-US"/>
              </w:rPr>
              <w:t>自带软件</w:t>
            </w:r>
          </w:p>
        </w:tc>
        <w:tc>
          <w:tcPr>
            <w:tcW w:w="7261" w:type="dxa"/>
            <w:vAlign w:val="center"/>
          </w:tcPr>
          <w:p>
            <w:pPr>
              <w:spacing w:line="240" w:lineRule="atLeas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rPr>
              <w:t xml:space="preserve"> </w:t>
            </w:r>
            <w:r>
              <w:rPr>
                <w:rFonts w:hint="eastAsia" w:ascii="仿宋" w:hAnsi="仿宋" w:eastAsia="仿宋" w:cs="仿宋"/>
                <w:color w:val="auto"/>
                <w:sz w:val="24"/>
              </w:rPr>
              <w:t>锁屏管理软件：除管理员外,设备工作用户不能修改系统、安装或卸载任何第三方应用。</w:t>
            </w:r>
          </w:p>
          <w:p>
            <w:pPr>
              <w:pStyle w:val="25"/>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rPr>
              <w:t>▲</w:t>
            </w:r>
            <w:r>
              <w:rPr>
                <w:rFonts w:hint="eastAsia" w:ascii="仿宋" w:hAnsi="仿宋" w:eastAsia="仿宋" w:cs="仿宋"/>
                <w:color w:val="auto"/>
                <w:sz w:val="24"/>
                <w:szCs w:val="24"/>
              </w:rPr>
              <w:t>. 通过扫描二维码快速实现个性化桌面与参数项设置，满足不同的应用场景要求。（需</w:t>
            </w:r>
            <w:r>
              <w:rPr>
                <w:rFonts w:hint="eastAsia" w:ascii="仿宋" w:hAnsi="仿宋" w:eastAsia="仿宋" w:cs="仿宋"/>
                <w:color w:val="auto"/>
                <w:kern w:val="0"/>
                <w:sz w:val="24"/>
                <w:szCs w:val="24"/>
              </w:rPr>
              <w:t>提供国家权威部门出具的</w:t>
            </w:r>
            <w:r>
              <w:rPr>
                <w:rFonts w:hint="eastAsia" w:ascii="仿宋" w:hAnsi="仿宋" w:eastAsia="仿宋" w:cs="仿宋"/>
                <w:color w:val="auto"/>
                <w:sz w:val="24"/>
                <w:szCs w:val="24"/>
              </w:rPr>
              <w:t>相关个性化桌面著作权证书复印件并加盖原厂商公章，其获证单位必须为投标产品原厂商）</w:t>
            </w:r>
          </w:p>
          <w:p>
            <w:pPr>
              <w:rPr>
                <w:rFonts w:hint="eastAsia" w:ascii="仿宋" w:hAnsi="仿宋" w:eastAsia="仿宋" w:cs="仿宋"/>
                <w:color w:val="auto"/>
                <w:sz w:val="24"/>
              </w:rPr>
            </w:pPr>
            <w:r>
              <w:rPr>
                <w:rFonts w:hint="eastAsia" w:ascii="仿宋" w:hAnsi="仿宋" w:eastAsia="仿宋" w:cs="仿宋"/>
                <w:color w:val="auto"/>
                <w:sz w:val="24"/>
              </w:rPr>
              <w:t>3.</w:t>
            </w:r>
            <w:r>
              <w:rPr>
                <w:rFonts w:hint="eastAsia" w:ascii="仿宋" w:hAnsi="仿宋" w:eastAsia="仿宋" w:cs="仿宋"/>
                <w:color w:val="auto"/>
                <w:sz w:val="24"/>
                <w:lang w:bidi="en-US"/>
              </w:rPr>
              <w:t xml:space="preserve"> 连续扫描：可支持条码自动连续扫描，速度分快速、中速、慢速（需提供功能截图证明文件）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94" w:type="dxa"/>
            <w:vAlign w:val="center"/>
          </w:tcPr>
          <w:p>
            <w:pPr>
              <w:numPr>
                <w:ilvl w:val="0"/>
                <w:numId w:val="8"/>
              </w:numPr>
              <w:spacing w:line="240" w:lineRule="atLeast"/>
              <w:jc w:val="center"/>
              <w:rPr>
                <w:rFonts w:hint="eastAsia" w:ascii="仿宋" w:hAnsi="仿宋" w:eastAsia="仿宋" w:cs="仿宋"/>
                <w:color w:val="auto"/>
                <w:sz w:val="24"/>
                <w:lang w:bidi="en-US"/>
              </w:rPr>
            </w:pPr>
            <w:r>
              <w:rPr>
                <w:rFonts w:hint="eastAsia" w:ascii="仿宋" w:hAnsi="仿宋" w:eastAsia="仿宋" w:cs="仿宋"/>
                <w:color w:val="auto"/>
                <w:sz w:val="24"/>
                <w:lang w:bidi="en-US"/>
              </w:rPr>
              <w:t xml:space="preserve"> </w:t>
            </w:r>
          </w:p>
        </w:tc>
        <w:tc>
          <w:tcPr>
            <w:tcW w:w="1548" w:type="dxa"/>
            <w:vAlign w:val="center"/>
          </w:tcPr>
          <w:p>
            <w:pPr>
              <w:spacing w:line="240" w:lineRule="atLeast"/>
              <w:rPr>
                <w:rFonts w:hint="eastAsia" w:ascii="仿宋" w:hAnsi="仿宋" w:eastAsia="仿宋" w:cs="仿宋"/>
                <w:color w:val="auto"/>
                <w:sz w:val="24"/>
                <w:lang w:bidi="en-US"/>
              </w:rPr>
            </w:pPr>
            <w:r>
              <w:rPr>
                <w:rFonts w:hint="eastAsia" w:ascii="仿宋" w:hAnsi="仿宋" w:eastAsia="仿宋" w:cs="仿宋"/>
                <w:color w:val="auto"/>
                <w:sz w:val="24"/>
                <w:lang w:bidi="en-US"/>
              </w:rPr>
              <w:t>配件</w:t>
            </w:r>
          </w:p>
        </w:tc>
        <w:tc>
          <w:tcPr>
            <w:tcW w:w="7261" w:type="dxa"/>
            <w:vAlign w:val="center"/>
          </w:tcPr>
          <w:p>
            <w:pPr>
              <w:spacing w:line="240" w:lineRule="atLeast"/>
              <w:rPr>
                <w:rFonts w:hint="eastAsia" w:ascii="仿宋" w:hAnsi="仿宋" w:eastAsia="仿宋" w:cs="仿宋"/>
                <w:color w:val="auto"/>
                <w:sz w:val="24"/>
                <w:lang w:bidi="en-US"/>
              </w:rPr>
            </w:pPr>
            <w:r>
              <w:rPr>
                <w:rFonts w:hint="eastAsia" w:ascii="仿宋" w:hAnsi="仿宋" w:eastAsia="仿宋" w:cs="仿宋"/>
                <w:color w:val="auto"/>
                <w:sz w:val="24"/>
                <w:lang w:bidi="en-US"/>
              </w:rPr>
              <w:t>每台PDA配备手挂绳，充电头及充电线。</w:t>
            </w:r>
          </w:p>
        </w:tc>
      </w:tr>
    </w:tbl>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相关要求：</w:t>
      </w:r>
    </w:p>
    <w:p>
      <w:pPr>
        <w:spacing w:line="4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投标供应商必须保证所有设备为原装正规渠道行货,有原厂服务，如有需要供货时提供正规渠道证明，所有产品均原包装到用户，当场开箱验货.同时提供该设备相关技术参数说明，如与所投产品技术要求不符,买方有权退货并且一切后果由中标人承担。</w:t>
      </w:r>
    </w:p>
    <w:p>
      <w:pPr>
        <w:spacing w:line="4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2.承诺中标后签订合同前提供本项目硬件原厂质保承诺函</w:t>
      </w:r>
      <w:r>
        <w:rPr>
          <w:rFonts w:hint="eastAsia" w:ascii="仿宋" w:hAnsi="仿宋" w:eastAsia="仿宋" w:cs="仿宋"/>
          <w:color w:val="auto"/>
          <w:sz w:val="24"/>
        </w:rPr>
        <w:t>、</w:t>
      </w:r>
      <w:r>
        <w:rPr>
          <w:rFonts w:hint="eastAsia" w:ascii="仿宋" w:hAnsi="仿宋" w:eastAsia="仿宋" w:cs="仿宋"/>
          <w:color w:val="auto"/>
          <w:sz w:val="24"/>
        </w:rPr>
        <w:t>原厂商授权书 。</w:t>
      </w:r>
    </w:p>
    <w:p>
      <w:pPr>
        <w:spacing w:line="4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3.安装要求:项目实施时中标单位须指定多名工程师到现场负责安装 。</w:t>
      </w:r>
    </w:p>
    <w:p>
      <w:pPr>
        <w:spacing w:line="360" w:lineRule="auto"/>
        <w:rPr>
          <w:rFonts w:hint="eastAsia" w:ascii="仿宋" w:hAnsi="仿宋" w:eastAsia="仿宋" w:cs="仿宋"/>
          <w:b/>
          <w:color w:val="auto"/>
          <w:sz w:val="24"/>
        </w:rPr>
      </w:pPr>
      <w:r>
        <w:rPr>
          <w:rFonts w:hint="eastAsia" w:ascii="仿宋" w:hAnsi="仿宋" w:eastAsia="仿宋" w:cs="仿宋"/>
          <w:b/>
          <w:color w:val="auto"/>
          <w:sz w:val="24"/>
        </w:rPr>
        <w:t>三、项目实施进度要求:</w:t>
      </w:r>
    </w:p>
    <w:p>
      <w:pPr>
        <w:pStyle w:val="22"/>
        <w:ind w:left="0" w:leftChars="0" w:firstLine="480" w:firstLineChars="200"/>
        <w:rPr>
          <w:rFonts w:hint="eastAsia" w:ascii="仿宋" w:hAnsi="仿宋" w:eastAsia="仿宋" w:cs="仿宋"/>
          <w:color w:val="auto"/>
          <w:sz w:val="24"/>
        </w:rPr>
      </w:pPr>
      <w:r>
        <w:rPr>
          <w:rFonts w:hint="eastAsia" w:ascii="仿宋" w:hAnsi="仿宋" w:eastAsia="仿宋" w:cs="仿宋"/>
          <w:color w:val="auto"/>
          <w:sz w:val="24"/>
        </w:rPr>
        <w:t>(1)、签订合同后60个工作日内，中标方需将全部货物送到采购方指定场所，并完成安装调试。</w:t>
      </w:r>
    </w:p>
    <w:p>
      <w:pPr>
        <w:pStyle w:val="22"/>
        <w:ind w:left="0" w:leftChars="0" w:firstLine="480" w:firstLineChars="200"/>
        <w:rPr>
          <w:rFonts w:hint="eastAsia" w:ascii="仿宋" w:hAnsi="仿宋" w:eastAsia="仿宋" w:cs="仿宋"/>
          <w:b/>
          <w:color w:val="auto"/>
          <w:sz w:val="24"/>
        </w:rPr>
      </w:pPr>
      <w:r>
        <w:rPr>
          <w:rFonts w:hint="eastAsia" w:ascii="仿宋" w:hAnsi="仿宋" w:eastAsia="仿宋" w:cs="仿宋"/>
          <w:color w:val="auto"/>
          <w:sz w:val="24"/>
        </w:rPr>
        <w:t>(2)、安装地址：绍兴市人民医院。</w:t>
      </w:r>
    </w:p>
    <w:p>
      <w:pPr>
        <w:spacing w:line="360" w:lineRule="auto"/>
        <w:rPr>
          <w:rFonts w:hint="eastAsia" w:ascii="仿宋" w:hAnsi="仿宋" w:eastAsia="仿宋" w:cs="仿宋"/>
          <w:b/>
          <w:color w:val="auto"/>
          <w:sz w:val="24"/>
        </w:rPr>
      </w:pPr>
      <w:r>
        <w:rPr>
          <w:rFonts w:hint="eastAsia" w:ascii="仿宋" w:hAnsi="仿宋" w:eastAsia="仿宋" w:cs="仿宋"/>
          <w:b/>
          <w:color w:val="auto"/>
          <w:sz w:val="24"/>
        </w:rPr>
        <w:t>四、项目培训要求:</w:t>
      </w:r>
    </w:p>
    <w:p>
      <w:pPr>
        <w:spacing w:line="360" w:lineRule="auto"/>
        <w:ind w:firstLine="480" w:firstLineChars="200"/>
        <w:rPr>
          <w:rFonts w:hint="eastAsia" w:ascii="仿宋" w:hAnsi="仿宋" w:eastAsia="仿宋" w:cs="仿宋"/>
          <w:b/>
          <w:color w:val="auto"/>
          <w:sz w:val="24"/>
        </w:rPr>
      </w:pPr>
      <w:r>
        <w:rPr>
          <w:rFonts w:hint="eastAsia" w:ascii="仿宋" w:hAnsi="仿宋" w:eastAsia="仿宋" w:cs="仿宋"/>
          <w:color w:val="auto"/>
          <w:sz w:val="24"/>
        </w:rPr>
        <w:t>系统操作培训：主要面向使用人员，提供操作培训及文档；</w:t>
      </w:r>
    </w:p>
    <w:p>
      <w:pPr>
        <w:spacing w:line="360" w:lineRule="auto"/>
        <w:rPr>
          <w:rFonts w:hint="eastAsia" w:ascii="仿宋" w:hAnsi="仿宋" w:eastAsia="仿宋" w:cs="仿宋"/>
          <w:b/>
          <w:color w:val="auto"/>
          <w:sz w:val="24"/>
        </w:rPr>
      </w:pPr>
      <w:r>
        <w:rPr>
          <w:rFonts w:hint="eastAsia" w:ascii="仿宋" w:hAnsi="仿宋" w:eastAsia="仿宋" w:cs="仿宋"/>
          <w:b/>
          <w:color w:val="auto"/>
          <w:sz w:val="24"/>
        </w:rPr>
        <w:t>五、项目售后服务要求:</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(1)投标人必须根据本次招标文件所制定的目标和范围，提出相应的售后服务方案。</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提供7*24小时日常服务，通过提供邮件、电话、QQ、VPN远程连接等技术支持方式，以解决日常系统出现的问题咨询和故障处理。当甲方出现紧急故障情况时，立即向投标方电话报修，要求投标方10分钟内响应，积极配合诊断并进行处理。</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(3)要求针对本项目成立软件开发实施项目组，明确项目经理及其他具体人员组成和分工。项目经理负责定期每月向甲方提交工作计划月报以及每周提交工作周报总结，监管项目按进度和计划有效开展。</w:t>
      </w:r>
    </w:p>
    <w:p>
      <w:pPr>
        <w:rPr>
          <w:rFonts w:hint="eastAsia" w:ascii="仿宋" w:hAnsi="仿宋" w:eastAsia="仿宋" w:cs="仿宋"/>
          <w:b/>
          <w:color w:val="auto"/>
          <w:sz w:val="24"/>
        </w:rPr>
      </w:pPr>
      <w:r>
        <w:rPr>
          <w:rFonts w:hint="eastAsia" w:ascii="仿宋" w:hAnsi="仿宋" w:eastAsia="仿宋" w:cs="仿宋"/>
          <w:b/>
          <w:color w:val="auto"/>
          <w:sz w:val="24"/>
        </w:rPr>
        <w:t>六、项目验收要求:</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项目的工作内容及成果文档的提交应覆盖以下内容，电子文档是成果不可分割的部分。</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(1)实施确认书；</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 使用操作手册；</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(3)硬件设备需提供原厂质保函。</w:t>
      </w:r>
    </w:p>
    <w:p>
      <w:pPr>
        <w:spacing w:line="360" w:lineRule="auto"/>
        <w:ind w:firstLine="480" w:firstLineChars="200"/>
        <w:rPr>
          <w:rFonts w:hint="eastAsia" w:ascii="仿宋" w:hAnsi="仿宋" w:eastAsia="仿宋" w:cs="仿宋"/>
          <w:b/>
          <w:color w:val="auto"/>
          <w:sz w:val="24"/>
        </w:rPr>
      </w:pPr>
      <w:r>
        <w:rPr>
          <w:rFonts w:hint="eastAsia" w:ascii="仿宋" w:hAnsi="仿宋" w:eastAsia="仿宋" w:cs="仿宋"/>
          <w:color w:val="auto"/>
          <w:sz w:val="24"/>
        </w:rPr>
        <w:t>(4)项目验收报告。</w:t>
      </w:r>
    </w:p>
    <w:p>
      <w:pPr>
        <w:spacing w:line="360" w:lineRule="auto"/>
        <w:rPr>
          <w:rFonts w:hint="eastAsia" w:ascii="仿宋" w:hAnsi="仿宋" w:eastAsia="仿宋" w:cs="仿宋"/>
          <w:b/>
          <w:color w:val="auto"/>
          <w:sz w:val="24"/>
        </w:rPr>
      </w:pPr>
      <w:r>
        <w:rPr>
          <w:rFonts w:hint="eastAsia" w:ascii="仿宋" w:hAnsi="仿宋" w:eastAsia="仿宋" w:cs="仿宋"/>
          <w:b/>
          <w:color w:val="auto"/>
          <w:sz w:val="24"/>
        </w:rPr>
        <w:t>七、付款方式：</w:t>
      </w:r>
    </w:p>
    <w:p>
      <w:pPr>
        <w:widowControl/>
        <w:snapToGrid w:val="0"/>
        <w:spacing w:line="360" w:lineRule="auto"/>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lang w:val="zh-CN"/>
        </w:rPr>
        <w:t>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pStyle w:val="25"/>
        <w:rPr>
          <w:rFonts w:hint="eastAsia" w:ascii="仿宋" w:hAnsi="仿宋" w:eastAsia="仿宋" w:cs="仿宋"/>
          <w:color w:val="auto"/>
          <w:sz w:val="24"/>
          <w:lang w:val="zh-CN"/>
        </w:rPr>
      </w:pPr>
    </w:p>
    <w:p>
      <w:pPr>
        <w:rPr>
          <w:rFonts w:hint="eastAsia" w:ascii="仿宋" w:hAnsi="仿宋" w:eastAsia="仿宋" w:cs="仿宋"/>
          <w:color w:val="auto"/>
          <w:sz w:val="24"/>
          <w:lang w:val="zh-CN"/>
        </w:rPr>
      </w:pPr>
    </w:p>
    <w:p>
      <w:pPr>
        <w:pStyle w:val="25"/>
        <w:rPr>
          <w:rFonts w:hint="eastAsia" w:ascii="仿宋" w:hAnsi="仿宋" w:eastAsia="仿宋" w:cs="仿宋"/>
          <w:color w:val="auto"/>
          <w:sz w:val="24"/>
          <w:lang w:val="zh-CN"/>
        </w:rPr>
      </w:pPr>
    </w:p>
    <w:p>
      <w:pPr>
        <w:spacing w:line="440" w:lineRule="exact"/>
        <w:ind w:left="181" w:hanging="181" w:hangingChars="75"/>
        <w:rPr>
          <w:rFonts w:hint="eastAsia" w:ascii="仿宋" w:hAnsi="仿宋" w:eastAsia="仿宋" w:cs="仿宋"/>
          <w:b/>
          <w:color w:val="auto"/>
          <w:sz w:val="24"/>
        </w:rPr>
      </w:pPr>
      <w:r>
        <w:rPr>
          <w:rFonts w:hint="eastAsia" w:ascii="仿宋" w:hAnsi="仿宋" w:eastAsia="仿宋" w:cs="仿宋"/>
          <w:b/>
          <w:color w:val="auto"/>
          <w:sz w:val="24"/>
          <w:bdr w:val="single" w:color="auto" w:sz="4" w:space="0"/>
        </w:rPr>
        <w:t>02标</w:t>
      </w:r>
      <w:r>
        <w:rPr>
          <w:rFonts w:hint="eastAsia" w:ascii="仿宋" w:hAnsi="仿宋" w:eastAsia="仿宋" w:cs="仿宋"/>
          <w:b/>
          <w:color w:val="auto"/>
          <w:sz w:val="24"/>
        </w:rPr>
        <w:t>双容灾数据中心采购项目（预算 240万）</w:t>
      </w:r>
    </w:p>
    <w:p>
      <w:pPr>
        <w:spacing w:line="440" w:lineRule="exact"/>
        <w:ind w:left="181" w:hanging="181" w:hangingChars="75"/>
        <w:rPr>
          <w:rFonts w:hint="eastAsia" w:ascii="仿宋" w:hAnsi="仿宋" w:eastAsia="仿宋" w:cs="仿宋"/>
          <w:b/>
          <w:color w:val="auto"/>
          <w:sz w:val="24"/>
        </w:rPr>
      </w:pPr>
      <w:r>
        <w:rPr>
          <w:rFonts w:hint="eastAsia" w:ascii="仿宋" w:hAnsi="仿宋" w:eastAsia="仿宋" w:cs="仿宋"/>
          <w:b/>
          <w:color w:val="auto"/>
          <w:sz w:val="24"/>
        </w:rPr>
        <w:t>（一）设备清单</w:t>
      </w:r>
    </w:p>
    <w:tbl>
      <w:tblPr>
        <w:tblStyle w:val="43"/>
        <w:tblW w:w="8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189"/>
        <w:gridCol w:w="1205"/>
        <w:gridCol w:w="3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3189" w:type="dxa"/>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tc>
        <w:tc>
          <w:tcPr>
            <w:tcW w:w="1205" w:type="dxa"/>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数量</w:t>
            </w:r>
          </w:p>
        </w:tc>
        <w:tc>
          <w:tcPr>
            <w:tcW w:w="3322" w:type="dxa"/>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04" w:type="dxa"/>
          </w:tcPr>
          <w:p>
            <w:pPr>
              <w:snapToGrid w:val="0"/>
              <w:spacing w:line="360" w:lineRule="auto"/>
              <w:jc w:val="left"/>
              <w:rPr>
                <w:rFonts w:hint="eastAsia" w:ascii="仿宋" w:hAnsi="仿宋" w:eastAsia="仿宋" w:cs="仿宋"/>
                <w:color w:val="auto"/>
                <w:sz w:val="24"/>
              </w:rPr>
            </w:pPr>
            <w:r>
              <w:rPr>
                <w:rFonts w:hint="eastAsia" w:ascii="仿宋" w:hAnsi="仿宋" w:eastAsia="仿宋" w:cs="仿宋"/>
                <w:color w:val="auto"/>
                <w:sz w:val="24"/>
              </w:rPr>
              <w:t>1</w:t>
            </w:r>
          </w:p>
        </w:tc>
        <w:tc>
          <w:tcPr>
            <w:tcW w:w="3189" w:type="dxa"/>
            <w:vAlign w:val="center"/>
          </w:tcPr>
          <w:p>
            <w:pPr>
              <w:snapToGrid w:val="0"/>
              <w:spacing w:before="120" w:beforeLines="50" w:line="360" w:lineRule="auto"/>
              <w:jc w:val="center"/>
              <w:rPr>
                <w:rFonts w:hint="eastAsia" w:ascii="仿宋" w:hAnsi="仿宋" w:eastAsia="仿宋" w:cs="仿宋"/>
                <w:color w:val="auto"/>
                <w:sz w:val="24"/>
              </w:rPr>
            </w:pPr>
            <w:r>
              <w:rPr>
                <w:rFonts w:hint="eastAsia" w:ascii="仿宋" w:hAnsi="仿宋" w:eastAsia="仿宋" w:cs="仿宋"/>
                <w:color w:val="auto"/>
                <w:sz w:val="24"/>
              </w:rPr>
              <w:t>存储虚拟化设备</w:t>
            </w:r>
          </w:p>
        </w:tc>
        <w:tc>
          <w:tcPr>
            <w:tcW w:w="1205" w:type="dxa"/>
            <w:vAlign w:val="center"/>
          </w:tcPr>
          <w:p>
            <w:pPr>
              <w:tabs>
                <w:tab w:val="left" w:pos="1106"/>
                <w:tab w:val="left" w:pos="2211"/>
                <w:tab w:val="left" w:pos="3317"/>
                <w:tab w:val="left" w:pos="4423"/>
                <w:tab w:val="left" w:pos="5528"/>
                <w:tab w:val="left" w:pos="6634"/>
                <w:tab w:val="left" w:pos="7740"/>
              </w:tabs>
              <w:jc w:val="center"/>
              <w:rPr>
                <w:rFonts w:hint="eastAsia" w:ascii="仿宋" w:hAnsi="仿宋" w:eastAsia="仿宋" w:cs="仿宋"/>
                <w:color w:val="auto"/>
              </w:rPr>
            </w:pPr>
            <w:r>
              <w:rPr>
                <w:rFonts w:hint="eastAsia" w:ascii="仿宋" w:hAnsi="仿宋" w:eastAsia="仿宋" w:cs="仿宋"/>
                <w:color w:val="auto"/>
                <w:sz w:val="24"/>
              </w:rPr>
              <w:t>2台</w:t>
            </w:r>
          </w:p>
        </w:tc>
        <w:tc>
          <w:tcPr>
            <w:tcW w:w="3322" w:type="dxa"/>
          </w:tcPr>
          <w:p>
            <w:pPr>
              <w:snapToGrid w:val="0"/>
              <w:spacing w:line="360" w:lineRule="auto"/>
              <w:jc w:val="left"/>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04" w:type="dxa"/>
          </w:tcPr>
          <w:p>
            <w:pPr>
              <w:snapToGrid w:val="0"/>
              <w:spacing w:line="360" w:lineRule="auto"/>
              <w:jc w:val="left"/>
              <w:rPr>
                <w:rFonts w:hint="eastAsia" w:ascii="仿宋" w:hAnsi="仿宋" w:eastAsia="仿宋" w:cs="仿宋"/>
                <w:color w:val="auto"/>
                <w:sz w:val="24"/>
              </w:rPr>
            </w:pPr>
            <w:r>
              <w:rPr>
                <w:rFonts w:hint="eastAsia" w:ascii="仿宋" w:hAnsi="仿宋" w:eastAsia="仿宋" w:cs="仿宋"/>
                <w:color w:val="auto"/>
                <w:sz w:val="24"/>
              </w:rPr>
              <w:t>2</w:t>
            </w:r>
          </w:p>
        </w:tc>
        <w:tc>
          <w:tcPr>
            <w:tcW w:w="3189" w:type="dxa"/>
            <w:vAlign w:val="center"/>
          </w:tcPr>
          <w:p>
            <w:pPr>
              <w:snapToGrid w:val="0"/>
              <w:spacing w:before="120" w:beforeLines="50" w:line="360" w:lineRule="auto"/>
              <w:jc w:val="center"/>
              <w:rPr>
                <w:rFonts w:hint="eastAsia" w:ascii="仿宋" w:hAnsi="仿宋" w:eastAsia="仿宋" w:cs="仿宋"/>
                <w:color w:val="auto"/>
                <w:sz w:val="24"/>
              </w:rPr>
            </w:pPr>
            <w:r>
              <w:rPr>
                <w:rFonts w:hint="eastAsia" w:ascii="仿宋" w:hAnsi="仿宋" w:eastAsia="仿宋" w:cs="仿宋"/>
                <w:color w:val="auto"/>
                <w:sz w:val="24"/>
              </w:rPr>
              <w:t>数据库存储</w:t>
            </w:r>
          </w:p>
        </w:tc>
        <w:tc>
          <w:tcPr>
            <w:tcW w:w="1205" w:type="dxa"/>
            <w:vAlign w:val="center"/>
          </w:tcPr>
          <w:p>
            <w:pPr>
              <w:tabs>
                <w:tab w:val="left" w:pos="1106"/>
                <w:tab w:val="left" w:pos="2211"/>
                <w:tab w:val="left" w:pos="3317"/>
                <w:tab w:val="left" w:pos="4423"/>
                <w:tab w:val="left" w:pos="5528"/>
                <w:tab w:val="left" w:pos="6634"/>
                <w:tab w:val="left" w:pos="7740"/>
              </w:tabs>
              <w:jc w:val="center"/>
              <w:rPr>
                <w:rFonts w:hint="eastAsia" w:ascii="仿宋" w:hAnsi="仿宋" w:eastAsia="仿宋" w:cs="仿宋"/>
                <w:color w:val="auto"/>
              </w:rPr>
            </w:pPr>
            <w:r>
              <w:rPr>
                <w:rFonts w:hint="eastAsia" w:ascii="仿宋" w:hAnsi="仿宋" w:eastAsia="仿宋" w:cs="仿宋"/>
                <w:color w:val="auto"/>
                <w:sz w:val="24"/>
              </w:rPr>
              <w:t>2台</w:t>
            </w:r>
          </w:p>
        </w:tc>
        <w:tc>
          <w:tcPr>
            <w:tcW w:w="3322" w:type="dxa"/>
          </w:tcPr>
          <w:p>
            <w:pPr>
              <w:snapToGrid w:val="0"/>
              <w:spacing w:before="120" w:beforeLines="50" w:line="360" w:lineRule="auto"/>
              <w:jc w:val="center"/>
              <w:rPr>
                <w:rFonts w:hint="eastAsia" w:ascii="仿宋" w:hAnsi="仿宋" w:eastAsia="仿宋" w:cs="仿宋"/>
                <w:color w:val="auto"/>
                <w:sz w:val="24"/>
              </w:rPr>
            </w:pPr>
            <w:r>
              <w:rPr>
                <w:rFonts w:hint="eastAsia" w:ascii="仿宋" w:hAnsi="仿宋" w:eastAsia="仿宋" w:cs="仿宋"/>
                <w:color w:val="auto"/>
                <w:sz w:val="24"/>
              </w:rPr>
              <w:t>核心产品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tcPr>
          <w:p>
            <w:pPr>
              <w:snapToGrid w:val="0"/>
              <w:spacing w:line="360" w:lineRule="auto"/>
              <w:jc w:val="left"/>
              <w:rPr>
                <w:rFonts w:hint="eastAsia" w:ascii="仿宋" w:hAnsi="仿宋" w:eastAsia="仿宋" w:cs="仿宋"/>
                <w:color w:val="auto"/>
                <w:sz w:val="24"/>
              </w:rPr>
            </w:pPr>
            <w:r>
              <w:rPr>
                <w:rFonts w:hint="eastAsia" w:ascii="仿宋" w:hAnsi="仿宋" w:eastAsia="仿宋" w:cs="仿宋"/>
                <w:color w:val="auto"/>
                <w:sz w:val="24"/>
              </w:rPr>
              <w:t>3</w:t>
            </w:r>
          </w:p>
        </w:tc>
        <w:tc>
          <w:tcPr>
            <w:tcW w:w="3189" w:type="dxa"/>
            <w:vAlign w:val="center"/>
          </w:tcPr>
          <w:p>
            <w:pPr>
              <w:snapToGrid w:val="0"/>
              <w:spacing w:before="120" w:beforeLines="50" w:line="360" w:lineRule="auto"/>
              <w:jc w:val="center"/>
              <w:rPr>
                <w:rFonts w:hint="eastAsia" w:ascii="仿宋" w:hAnsi="仿宋" w:eastAsia="仿宋" w:cs="仿宋"/>
                <w:color w:val="auto"/>
                <w:sz w:val="24"/>
              </w:rPr>
            </w:pPr>
            <w:r>
              <w:rPr>
                <w:rFonts w:hint="eastAsia" w:ascii="仿宋" w:hAnsi="仿宋" w:eastAsia="仿宋" w:cs="仿宋"/>
                <w:color w:val="auto"/>
                <w:sz w:val="24"/>
              </w:rPr>
              <w:t>数据双活容灾资源</w:t>
            </w:r>
          </w:p>
        </w:tc>
        <w:tc>
          <w:tcPr>
            <w:tcW w:w="1205" w:type="dxa"/>
            <w:vAlign w:val="center"/>
          </w:tcPr>
          <w:p>
            <w:pPr>
              <w:tabs>
                <w:tab w:val="left" w:pos="1106"/>
                <w:tab w:val="left" w:pos="2211"/>
                <w:tab w:val="left" w:pos="3317"/>
                <w:tab w:val="left" w:pos="4423"/>
                <w:tab w:val="left" w:pos="5528"/>
                <w:tab w:val="left" w:pos="6634"/>
                <w:tab w:val="left" w:pos="7740"/>
              </w:tabs>
              <w:jc w:val="center"/>
              <w:rPr>
                <w:rFonts w:hint="eastAsia" w:ascii="仿宋" w:hAnsi="仿宋" w:eastAsia="仿宋" w:cs="仿宋"/>
                <w:color w:val="auto"/>
              </w:rPr>
            </w:pPr>
            <w:r>
              <w:rPr>
                <w:rFonts w:hint="eastAsia" w:ascii="仿宋" w:hAnsi="仿宋" w:eastAsia="仿宋" w:cs="仿宋"/>
                <w:color w:val="auto"/>
                <w:sz w:val="24"/>
              </w:rPr>
              <w:t>1批</w:t>
            </w:r>
          </w:p>
        </w:tc>
        <w:tc>
          <w:tcPr>
            <w:tcW w:w="3322" w:type="dxa"/>
          </w:tcPr>
          <w:p>
            <w:pPr>
              <w:snapToGrid w:val="0"/>
              <w:spacing w:before="120" w:beforeLines="50" w:line="360" w:lineRule="auto"/>
              <w:jc w:val="center"/>
              <w:rPr>
                <w:rFonts w:hint="eastAsia" w:ascii="仿宋" w:hAnsi="仿宋" w:eastAsia="仿宋" w:cs="仿宋"/>
                <w:color w:val="auto"/>
                <w:sz w:val="24"/>
              </w:rPr>
            </w:pPr>
          </w:p>
        </w:tc>
      </w:tr>
    </w:tbl>
    <w:p>
      <w:pPr>
        <w:spacing w:before="120" w:beforeLines="50"/>
        <w:ind w:left="181" w:hanging="181" w:hangingChars="75"/>
        <w:rPr>
          <w:rFonts w:hint="eastAsia" w:ascii="仿宋" w:hAnsi="仿宋" w:eastAsia="仿宋" w:cs="仿宋"/>
          <w:b/>
          <w:color w:val="auto"/>
          <w:sz w:val="24"/>
        </w:rPr>
      </w:pPr>
      <w:r>
        <w:rPr>
          <w:rFonts w:hint="eastAsia" w:ascii="仿宋" w:hAnsi="仿宋" w:eastAsia="仿宋" w:cs="仿宋"/>
          <w:b/>
          <w:color w:val="auto"/>
          <w:sz w:val="24"/>
        </w:rPr>
        <w:t>（二）项目背景</w:t>
      </w:r>
    </w:p>
    <w:p>
      <w:pPr>
        <w:snapToGrid w:val="0"/>
        <w:spacing w:before="120" w:beforeLines="50"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绍兴市人民医院信息化建设不断发展，覆盖HIS、EMR、PACS、LIS等多套业务系统，随着业务的快速发展，业务系统服务器资源要求庞大。随着院区的改造，未来数据中心将由两个院区内两个数据中心对外提供医疗服务，最终建设双活数据中心，形成核心业务平台所需的设备扩充列表、业务平台优化完善策略，为进一步提高整体信息系统安全性，须采购信息化设备一批，设备参数详见如下。</w:t>
      </w:r>
    </w:p>
    <w:p>
      <w:pPr>
        <w:spacing w:before="120" w:beforeLines="50"/>
        <w:ind w:left="181" w:hanging="181" w:hangingChars="75"/>
        <w:rPr>
          <w:rFonts w:hint="eastAsia" w:ascii="仿宋" w:hAnsi="仿宋" w:eastAsia="仿宋" w:cs="仿宋"/>
          <w:b/>
          <w:color w:val="auto"/>
          <w:sz w:val="24"/>
        </w:rPr>
      </w:pPr>
      <w:r>
        <w:rPr>
          <w:rFonts w:hint="eastAsia" w:ascii="仿宋" w:hAnsi="仿宋" w:eastAsia="仿宋" w:cs="仿宋"/>
          <w:b/>
          <w:color w:val="auto"/>
          <w:sz w:val="24"/>
        </w:rPr>
        <w:t>（三）详细技术参数</w:t>
      </w:r>
    </w:p>
    <w:p>
      <w:pPr>
        <w:snapToGrid w:val="0"/>
        <w:spacing w:before="120" w:beforeLines="50" w:line="360" w:lineRule="auto"/>
        <w:jc w:val="left"/>
        <w:rPr>
          <w:rFonts w:hint="eastAsia" w:ascii="仿宋" w:hAnsi="仿宋" w:eastAsia="仿宋" w:cs="仿宋"/>
          <w:color w:val="auto"/>
          <w:sz w:val="24"/>
        </w:rPr>
      </w:pPr>
      <w:r>
        <w:rPr>
          <w:rFonts w:hint="eastAsia" w:ascii="仿宋" w:hAnsi="仿宋" w:eastAsia="仿宋" w:cs="仿宋"/>
          <w:color w:val="auto"/>
          <w:sz w:val="24"/>
        </w:rPr>
        <w:t>1. 存储虚拟化设备技术指标要求（2台）：</w:t>
      </w:r>
    </w:p>
    <w:tbl>
      <w:tblPr>
        <w:tblStyle w:val="44"/>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9"/>
        <w:gridCol w:w="6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指标项</w:t>
            </w:r>
          </w:p>
        </w:tc>
        <w:tc>
          <w:tcPr>
            <w:tcW w:w="7399" w:type="dxa"/>
          </w:tcPr>
          <w:p>
            <w:pPr>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品牌</w:t>
            </w:r>
          </w:p>
        </w:tc>
        <w:tc>
          <w:tcPr>
            <w:tcW w:w="7399"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国际知名存储品牌．原厂研发非OEM，最近一年任意一个季度的IDC全球外部存储市场全球排名前5位，投标时提供IDC网站截图证明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restart"/>
          </w:tcPr>
          <w:p>
            <w:pPr>
              <w:rPr>
                <w:rFonts w:hint="eastAsia" w:ascii="仿宋" w:hAnsi="仿宋" w:eastAsia="仿宋" w:cs="仿宋"/>
                <w:color w:val="auto"/>
                <w:kern w:val="0"/>
                <w:sz w:val="24"/>
              </w:rPr>
            </w:pPr>
            <w:r>
              <w:rPr>
                <w:rFonts w:hint="eastAsia" w:ascii="仿宋" w:hAnsi="仿宋" w:eastAsia="仿宋" w:cs="仿宋"/>
                <w:color w:val="auto"/>
                <w:kern w:val="0"/>
                <w:sz w:val="24"/>
              </w:rPr>
              <w:t>体系结构</w:t>
            </w:r>
          </w:p>
        </w:tc>
        <w:tc>
          <w:tcPr>
            <w:tcW w:w="7399"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 xml:space="preserve">全冗余模块化体系结构，存储虚拟化的实现必须使用非阵列计算资源，支持多控制器并行及灵活的横向扩展体系架构，支持全局缓存功能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continue"/>
          </w:tcPr>
          <w:p>
            <w:pPr>
              <w:rPr>
                <w:rFonts w:hint="eastAsia" w:ascii="仿宋" w:hAnsi="仿宋" w:eastAsia="仿宋" w:cs="仿宋"/>
                <w:color w:val="auto"/>
                <w:kern w:val="0"/>
                <w:sz w:val="24"/>
              </w:rPr>
            </w:pPr>
          </w:p>
        </w:tc>
        <w:tc>
          <w:tcPr>
            <w:tcW w:w="7399"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新增加的引擎可以与原来的引擎进行在线的联合和合并，提供统一的处理能力；每个虚拟LUN可以通过任意一个引擎的任意一个控制器被访问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控制器</w:t>
            </w:r>
          </w:p>
        </w:tc>
        <w:tc>
          <w:tcPr>
            <w:tcW w:w="7399"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▲当前配置≥1个引擎（2个控制器），最大可扩展至≥4个引擎，引擎之间必须采用Infiniband或PCIE总线进行互连；每个控制器配置≥2颗6核Intel CPU，单核主频≥2.3GHz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连接端口支持</w:t>
            </w:r>
          </w:p>
        </w:tc>
        <w:tc>
          <w:tcPr>
            <w:tcW w:w="7399"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配置连接主机、存储的端口数≥16个16Gb/s FC 接口，最大支持连接端口数≥64个16Gb/s FC后端阵列接口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集群间通讯</w:t>
            </w:r>
          </w:p>
        </w:tc>
        <w:tc>
          <w:tcPr>
            <w:tcW w:w="7399"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配置额外光纤端口用于多控制器间通讯构成集群时，不占用当前配置的用于连接主机和存储阵列的FC端口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存储缓存</w:t>
            </w:r>
          </w:p>
        </w:tc>
        <w:tc>
          <w:tcPr>
            <w:tcW w:w="7399"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配置缓存≥256GB（非用于压缩等功能的缓存），最大缓存可扩展到≥1024GB全局共享缓存（非SSD或Flash卡模拟缓存）；</w:t>
            </w:r>
          </w:p>
          <w:p>
            <w:pPr>
              <w:rPr>
                <w:rFonts w:hint="eastAsia" w:ascii="仿宋" w:hAnsi="仿宋" w:eastAsia="仿宋" w:cs="仿宋"/>
                <w:color w:val="auto"/>
                <w:kern w:val="0"/>
                <w:sz w:val="24"/>
              </w:rPr>
            </w:pPr>
            <w:r>
              <w:rPr>
                <w:rFonts w:hint="eastAsia" w:ascii="仿宋" w:hAnsi="仿宋" w:eastAsia="仿宋" w:cs="仿宋"/>
                <w:color w:val="auto"/>
                <w:kern w:val="0"/>
                <w:sz w:val="24"/>
              </w:rPr>
              <w:t>在异常断电情况下，保证数据完全写到磁盘中，保证数据的可用性；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主机及LUN数量</w:t>
            </w:r>
          </w:p>
        </w:tc>
        <w:tc>
          <w:tcPr>
            <w:tcW w:w="7399"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通过FC端口连接主机，最大支持主机数量≥3200</w:t>
            </w:r>
          </w:p>
          <w:p>
            <w:pPr>
              <w:rPr>
                <w:rFonts w:hint="eastAsia" w:ascii="仿宋" w:hAnsi="仿宋" w:eastAsia="仿宋" w:cs="仿宋"/>
                <w:color w:val="auto"/>
                <w:kern w:val="0"/>
                <w:sz w:val="24"/>
              </w:rPr>
            </w:pPr>
            <w:bookmarkStart w:id="14" w:name="RANGE!B12"/>
            <w:r>
              <w:rPr>
                <w:rFonts w:hint="eastAsia" w:ascii="仿宋" w:hAnsi="仿宋" w:eastAsia="仿宋" w:cs="仿宋"/>
                <w:color w:val="auto"/>
                <w:kern w:val="0"/>
                <w:sz w:val="24"/>
              </w:rPr>
              <w:t>最大可管理的存储LUN数量≥12000</w:t>
            </w:r>
            <w:bookmarkEnd w:id="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配置多种灵活的卷虚拟化封装方式</w:t>
            </w:r>
          </w:p>
        </w:tc>
        <w:tc>
          <w:tcPr>
            <w:tcW w:w="7399"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支持在逻辑设备上封装建立类RAID 0的逻辑卷，通过跨LUN进行I/O分条以提升性能；</w:t>
            </w:r>
          </w:p>
          <w:p>
            <w:pPr>
              <w:rPr>
                <w:rFonts w:hint="eastAsia" w:ascii="仿宋" w:hAnsi="仿宋" w:eastAsia="仿宋" w:cs="仿宋"/>
                <w:color w:val="auto"/>
                <w:kern w:val="0"/>
                <w:sz w:val="24"/>
              </w:rPr>
            </w:pPr>
            <w:r>
              <w:rPr>
                <w:rFonts w:hint="eastAsia" w:ascii="仿宋" w:hAnsi="仿宋" w:eastAsia="仿宋" w:cs="仿宋"/>
                <w:color w:val="auto"/>
                <w:kern w:val="0"/>
                <w:sz w:val="24"/>
              </w:rPr>
              <w:t>支持在逻辑设备上封装建立类RAID 1的逻辑卷，通过跨分布在不同阵列的LUN进行镜像以提供后端阵列的高可用性；</w:t>
            </w:r>
          </w:p>
          <w:p>
            <w:pPr>
              <w:rPr>
                <w:rFonts w:hint="eastAsia" w:ascii="仿宋" w:hAnsi="仿宋" w:eastAsia="仿宋" w:cs="仿宋"/>
                <w:color w:val="auto"/>
                <w:kern w:val="0"/>
                <w:sz w:val="24"/>
              </w:rPr>
            </w:pPr>
            <w:r>
              <w:rPr>
                <w:rFonts w:hint="eastAsia" w:ascii="仿宋" w:hAnsi="仿宋" w:eastAsia="仿宋" w:cs="仿宋"/>
                <w:color w:val="auto"/>
                <w:kern w:val="0"/>
                <w:sz w:val="24"/>
              </w:rPr>
              <w:t>支持在逻辑设备上封装拼接的逻辑卷，提供一种通过组合两个或多个较小设备来创建较大设备的方法；</w:t>
            </w:r>
          </w:p>
          <w:p>
            <w:pPr>
              <w:rPr>
                <w:rFonts w:hint="eastAsia" w:ascii="仿宋" w:hAnsi="仿宋" w:eastAsia="仿宋" w:cs="仿宋"/>
                <w:color w:val="auto"/>
                <w:kern w:val="0"/>
                <w:sz w:val="24"/>
              </w:rPr>
            </w:pPr>
            <w:r>
              <w:rPr>
                <w:rFonts w:hint="eastAsia" w:ascii="仿宋" w:hAnsi="仿宋" w:eastAsia="仿宋" w:cs="仿宋"/>
                <w:color w:val="auto"/>
                <w:kern w:val="0"/>
                <w:sz w:val="24"/>
              </w:rPr>
              <w:t>逻辑设备可以在以上三种虚拟化封装方式上嵌套，为应用提供灵活的树状封装结构。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虚拟化容量</w:t>
            </w:r>
          </w:p>
        </w:tc>
        <w:tc>
          <w:tcPr>
            <w:tcW w:w="7399"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系统最大可支持和管理虚拟化容量≥8PB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远程支持能力</w:t>
            </w:r>
          </w:p>
        </w:tc>
        <w:tc>
          <w:tcPr>
            <w:tcW w:w="7399"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所投产品必须具备高级预警机制，免费配置Call Home功能软件。在系统发生故障前能将系统存在的潜在问题自动反馈到设备厂商技术响应中心。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restart"/>
          </w:tcPr>
          <w:p>
            <w:pPr>
              <w:rPr>
                <w:rFonts w:hint="eastAsia" w:ascii="仿宋" w:hAnsi="仿宋" w:eastAsia="仿宋" w:cs="仿宋"/>
                <w:color w:val="auto"/>
                <w:kern w:val="0"/>
                <w:sz w:val="24"/>
              </w:rPr>
            </w:pPr>
            <w:r>
              <w:rPr>
                <w:rFonts w:hint="eastAsia" w:ascii="仿宋" w:hAnsi="仿宋" w:eastAsia="仿宋" w:cs="仿宋"/>
                <w:color w:val="auto"/>
                <w:kern w:val="0"/>
                <w:sz w:val="24"/>
              </w:rPr>
              <w:t>配置数据双活功能</w:t>
            </w:r>
          </w:p>
        </w:tc>
        <w:tc>
          <w:tcPr>
            <w:tcW w:w="7399"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★实现跨异构阵列、跨距离的存储资源整合池化功能；要求所投存储虚拟化设备可纳管医院原有EMC VNX5800、EMC VNX5500F存储；</w:t>
            </w:r>
          </w:p>
          <w:p>
            <w:pPr>
              <w:rPr>
                <w:rFonts w:hint="eastAsia" w:ascii="仿宋" w:hAnsi="仿宋" w:eastAsia="仿宋" w:cs="仿宋"/>
                <w:color w:val="auto"/>
                <w:kern w:val="0"/>
                <w:sz w:val="24"/>
              </w:rPr>
            </w:pPr>
            <w:r>
              <w:rPr>
                <w:rFonts w:hint="eastAsia" w:ascii="仿宋" w:hAnsi="仿宋" w:eastAsia="仿宋" w:cs="仿宋"/>
                <w:color w:val="auto"/>
                <w:kern w:val="0"/>
                <w:sz w:val="24"/>
              </w:rPr>
              <w:t>实现跨同步距离的数据中心之间的存储虚拟化，可以实现跨同步距离的数据快速迁移；</w:t>
            </w:r>
          </w:p>
          <w:p>
            <w:pPr>
              <w:rPr>
                <w:rFonts w:hint="eastAsia" w:ascii="仿宋" w:hAnsi="仿宋" w:eastAsia="仿宋" w:cs="仿宋"/>
                <w:color w:val="auto"/>
                <w:kern w:val="0"/>
                <w:sz w:val="24"/>
              </w:rPr>
            </w:pPr>
            <w:r>
              <w:rPr>
                <w:rFonts w:hint="eastAsia" w:ascii="仿宋" w:hAnsi="仿宋" w:eastAsia="仿宋" w:cs="仿宋"/>
                <w:color w:val="auto"/>
                <w:kern w:val="0"/>
                <w:sz w:val="24"/>
              </w:rPr>
              <w:t>实现跨同步距离的数据共享卷，同一个共享卷可以被不同数据中心的主机同时挂载；读写</w:t>
            </w:r>
          </w:p>
          <w:p>
            <w:pPr>
              <w:rPr>
                <w:rFonts w:hint="eastAsia" w:ascii="仿宋" w:hAnsi="仿宋" w:eastAsia="仿宋" w:cs="仿宋"/>
                <w:color w:val="auto"/>
                <w:kern w:val="0"/>
                <w:sz w:val="24"/>
              </w:rPr>
            </w:pPr>
            <w:r>
              <w:rPr>
                <w:rFonts w:hint="eastAsia" w:ascii="仿宋" w:hAnsi="仿宋" w:eastAsia="仿宋" w:cs="仿宋"/>
                <w:color w:val="auto"/>
                <w:kern w:val="0"/>
                <w:sz w:val="24"/>
              </w:rPr>
              <w:t>实现跨数据中心的双活，数据被同步读写。配合数据库集群技术，可以实现两个站点的主机同时对同一数据库进行读写操作。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continue"/>
          </w:tcPr>
          <w:p>
            <w:pPr>
              <w:rPr>
                <w:rFonts w:hint="eastAsia" w:ascii="仿宋" w:hAnsi="仿宋" w:eastAsia="仿宋" w:cs="仿宋"/>
                <w:color w:val="auto"/>
                <w:kern w:val="0"/>
                <w:sz w:val="24"/>
              </w:rPr>
            </w:pPr>
          </w:p>
        </w:tc>
        <w:tc>
          <w:tcPr>
            <w:tcW w:w="7399"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存储引擎需放置在同城内不同机房，构建两地存储双活系统并能够结合vSphere Metro Storage Cluster和Oracle RAC构建双活数据中心；每双活集群系统最大支持配置≥16个控制器。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性能影响</w:t>
            </w:r>
          </w:p>
        </w:tc>
        <w:tc>
          <w:tcPr>
            <w:tcW w:w="7399"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要求独立于主机和存储，虚拟化的实现不影响主机性能和存储设备的性能，不会消耗主机和存储的资源；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存储虚拟化支持</w:t>
            </w:r>
          </w:p>
        </w:tc>
        <w:tc>
          <w:tcPr>
            <w:tcW w:w="7399"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配置存储虚拟化功能，可将DELLEMC，Netapp，IBM，HPE，HDS等阵列实现虚拟化管理，可以进行不同存储系统间的卷镜像保护，实现任意数据卷损坏时，都有完全同步的镜像保护数据。虚拟化必须能够实现对存储设备的透传模式管理，接入和脱离虚拟引擎均无需存储数据迁移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可用性</w:t>
            </w:r>
          </w:p>
        </w:tc>
        <w:tc>
          <w:tcPr>
            <w:tcW w:w="7399"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增加新引擎的时候不影响正常的生产作业；</w:t>
            </w:r>
          </w:p>
          <w:p>
            <w:pPr>
              <w:rPr>
                <w:rFonts w:hint="eastAsia" w:ascii="仿宋" w:hAnsi="仿宋" w:eastAsia="仿宋" w:cs="仿宋"/>
                <w:color w:val="auto"/>
                <w:kern w:val="0"/>
                <w:sz w:val="24"/>
              </w:rPr>
            </w:pPr>
            <w:r>
              <w:rPr>
                <w:rFonts w:hint="eastAsia" w:ascii="仿宋" w:hAnsi="仿宋" w:eastAsia="仿宋" w:cs="仿宋"/>
                <w:color w:val="auto"/>
                <w:kern w:val="0"/>
                <w:sz w:val="24"/>
              </w:rPr>
              <w:t>提供高冗余的硬件组件；</w:t>
            </w:r>
          </w:p>
          <w:p>
            <w:pPr>
              <w:rPr>
                <w:rFonts w:hint="eastAsia" w:ascii="仿宋" w:hAnsi="仿宋" w:eastAsia="仿宋" w:cs="仿宋"/>
                <w:color w:val="auto"/>
                <w:kern w:val="0"/>
                <w:sz w:val="24"/>
              </w:rPr>
            </w:pPr>
            <w:r>
              <w:rPr>
                <w:rFonts w:hint="eastAsia" w:ascii="仿宋" w:hAnsi="仿宋" w:eastAsia="仿宋" w:cs="仿宋"/>
                <w:color w:val="auto"/>
                <w:kern w:val="0"/>
                <w:sz w:val="24"/>
              </w:rPr>
              <w:t>在虚拟化环境中增加新的存储设备和主机设备不需要停机；</w:t>
            </w:r>
          </w:p>
          <w:p>
            <w:pPr>
              <w:rPr>
                <w:rFonts w:hint="eastAsia" w:ascii="仿宋" w:hAnsi="仿宋" w:eastAsia="仿宋" w:cs="仿宋"/>
                <w:color w:val="auto"/>
                <w:kern w:val="0"/>
                <w:sz w:val="24"/>
              </w:rPr>
            </w:pPr>
            <w:r>
              <w:rPr>
                <w:rFonts w:hint="eastAsia" w:ascii="仿宋" w:hAnsi="仿宋" w:eastAsia="仿宋" w:cs="仿宋"/>
                <w:color w:val="auto"/>
                <w:kern w:val="0"/>
                <w:sz w:val="24"/>
              </w:rPr>
              <w:t>控制器失败不能影响正常的I/O请求；</w:t>
            </w:r>
          </w:p>
          <w:p>
            <w:pPr>
              <w:rPr>
                <w:rFonts w:hint="eastAsia" w:ascii="仿宋" w:hAnsi="仿宋" w:eastAsia="仿宋" w:cs="仿宋"/>
                <w:color w:val="auto"/>
                <w:kern w:val="0"/>
                <w:sz w:val="24"/>
              </w:rPr>
            </w:pPr>
            <w:r>
              <w:rPr>
                <w:rFonts w:hint="eastAsia" w:ascii="仿宋" w:hAnsi="仿宋" w:eastAsia="仿宋" w:cs="仿宋"/>
                <w:color w:val="auto"/>
                <w:kern w:val="0"/>
                <w:sz w:val="24"/>
              </w:rPr>
              <w:t>对现有虚拟化容量扩容时不需要停机；</w:t>
            </w:r>
          </w:p>
          <w:p>
            <w:pPr>
              <w:rPr>
                <w:rFonts w:hint="eastAsia" w:ascii="仿宋" w:hAnsi="仿宋" w:eastAsia="仿宋" w:cs="仿宋"/>
                <w:color w:val="auto"/>
                <w:kern w:val="0"/>
                <w:sz w:val="24"/>
              </w:rPr>
            </w:pPr>
            <w:r>
              <w:rPr>
                <w:rFonts w:hint="eastAsia" w:ascii="仿宋" w:hAnsi="仿宋" w:eastAsia="仿宋" w:cs="仿宋"/>
                <w:color w:val="auto"/>
                <w:kern w:val="0"/>
                <w:sz w:val="24"/>
              </w:rPr>
              <w:t>支持在线调整（包括软、硬件升级、扩容、设备更换等操作）；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与Oracle RAC的结合</w:t>
            </w:r>
          </w:p>
        </w:tc>
        <w:tc>
          <w:tcPr>
            <w:tcW w:w="7399"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▲支持跨数据中心的双活，配合Oracle数据库的跨距离RAC集群技术，可以实现两个站点的主机同时对同一Oracle数据库进行读写操作；该技术必须得到Oracle官方认证支持，提供Oracle网站截屏作为证明。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与虚拟化的支持</w:t>
            </w:r>
          </w:p>
        </w:tc>
        <w:tc>
          <w:tcPr>
            <w:tcW w:w="7399"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要求为VMware全球合作伙伴联盟成员，投标时提供VMWARE官网截图；</w:t>
            </w:r>
          </w:p>
          <w:p>
            <w:pPr>
              <w:rPr>
                <w:rFonts w:hint="eastAsia" w:ascii="仿宋" w:hAnsi="仿宋" w:eastAsia="仿宋" w:cs="仿宋"/>
                <w:color w:val="auto"/>
                <w:kern w:val="0"/>
                <w:sz w:val="24"/>
              </w:rPr>
            </w:pPr>
            <w:r>
              <w:rPr>
                <w:rFonts w:hint="eastAsia" w:ascii="仿宋" w:hAnsi="仿宋" w:eastAsia="仿宋" w:cs="仿宋"/>
                <w:color w:val="auto"/>
                <w:kern w:val="0"/>
                <w:sz w:val="24"/>
              </w:rPr>
              <w:t>支持vSphere Metro Storage Cluster，Vmware HA、Vmotion并提供VMware管网认证截图。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主机多路径管理软件</w:t>
            </w:r>
          </w:p>
        </w:tc>
        <w:tc>
          <w:tcPr>
            <w:tcW w:w="7399"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支持主流的多路径管理软件：PowerPath、VMware NMP和MPIO等；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操作系统支持</w:t>
            </w:r>
          </w:p>
        </w:tc>
        <w:tc>
          <w:tcPr>
            <w:tcW w:w="7399"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支持主流操作系统，如Solaris、IBM AIX、HP-UX、Linux和 Windows等。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连续数据保护</w:t>
            </w:r>
          </w:p>
        </w:tc>
        <w:tc>
          <w:tcPr>
            <w:tcW w:w="7399"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▲存储系统内置I/O拆分器，支持连续数据保护功能，数据的捕获的最小颗粒度是每个I/O级别，且数据可以回滚到预先定义的时间窗口内的任意时间点，投标时提供产品彩页复印件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管理</w:t>
            </w:r>
          </w:p>
        </w:tc>
        <w:tc>
          <w:tcPr>
            <w:tcW w:w="7399"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提供专门的管理软件；</w:t>
            </w:r>
          </w:p>
          <w:p>
            <w:pPr>
              <w:rPr>
                <w:rFonts w:hint="eastAsia" w:ascii="仿宋" w:hAnsi="仿宋" w:eastAsia="仿宋" w:cs="仿宋"/>
                <w:color w:val="auto"/>
                <w:kern w:val="0"/>
                <w:sz w:val="24"/>
              </w:rPr>
            </w:pPr>
            <w:r>
              <w:rPr>
                <w:rFonts w:hint="eastAsia" w:ascii="仿宋" w:hAnsi="仿宋" w:eastAsia="仿宋" w:cs="仿宋"/>
                <w:color w:val="auto"/>
                <w:kern w:val="0"/>
                <w:sz w:val="24"/>
              </w:rPr>
              <w:t>支持图形化和命令方式的管理方式；</w:t>
            </w:r>
          </w:p>
          <w:p>
            <w:pPr>
              <w:rPr>
                <w:rFonts w:hint="eastAsia" w:ascii="仿宋" w:hAnsi="仿宋" w:eastAsia="仿宋" w:cs="仿宋"/>
                <w:color w:val="auto"/>
                <w:kern w:val="0"/>
                <w:sz w:val="24"/>
              </w:rPr>
            </w:pPr>
            <w:r>
              <w:rPr>
                <w:rFonts w:hint="eastAsia" w:ascii="仿宋" w:hAnsi="仿宋" w:eastAsia="仿宋" w:cs="仿宋"/>
                <w:color w:val="auto"/>
                <w:kern w:val="0"/>
                <w:sz w:val="24"/>
              </w:rPr>
              <w:t>支持封装卷的引导界面，封装过程要简单；</w:t>
            </w:r>
          </w:p>
          <w:p>
            <w:pPr>
              <w:rPr>
                <w:rFonts w:hint="eastAsia" w:ascii="仿宋" w:hAnsi="仿宋" w:eastAsia="仿宋" w:cs="仿宋"/>
                <w:color w:val="auto"/>
                <w:kern w:val="0"/>
                <w:sz w:val="24"/>
              </w:rPr>
            </w:pPr>
            <w:r>
              <w:rPr>
                <w:rFonts w:hint="eastAsia" w:ascii="仿宋" w:hAnsi="仿宋" w:eastAsia="仿宋" w:cs="仿宋"/>
                <w:color w:val="auto"/>
                <w:kern w:val="0"/>
                <w:sz w:val="24"/>
              </w:rPr>
              <w:t>提供固有的性能监控和分析功能，不需要增加额外的软件；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rPr>
                <w:rFonts w:hint="eastAsia" w:ascii="仿宋" w:hAnsi="仿宋" w:eastAsia="仿宋" w:cs="仿宋"/>
                <w:color w:val="auto"/>
                <w:kern w:val="0"/>
                <w:sz w:val="24"/>
              </w:rPr>
            </w:pPr>
            <w:r>
              <w:rPr>
                <w:rFonts w:hint="eastAsia" w:ascii="仿宋" w:hAnsi="仿宋" w:eastAsia="仿宋" w:cs="仿宋"/>
                <w:color w:val="auto"/>
                <w:kern w:val="0"/>
                <w:sz w:val="24"/>
              </w:rPr>
              <w:t>服务和授权</w:t>
            </w:r>
          </w:p>
        </w:tc>
        <w:tc>
          <w:tcPr>
            <w:tcW w:w="7399" w:type="dxa"/>
          </w:tcPr>
          <w:p>
            <w:pPr>
              <w:pStyle w:val="19"/>
              <w:rPr>
                <w:rFonts w:hint="eastAsia" w:ascii="仿宋" w:hAnsi="仿宋" w:eastAsia="仿宋" w:cs="仿宋"/>
                <w:color w:val="auto"/>
                <w:kern w:val="0"/>
                <w:sz w:val="24"/>
              </w:rPr>
            </w:pPr>
            <w:r>
              <w:rPr>
                <w:rFonts w:hint="eastAsia" w:ascii="仿宋" w:hAnsi="仿宋" w:eastAsia="仿宋" w:cs="仿宋"/>
                <w:color w:val="auto"/>
                <w:kern w:val="0"/>
                <w:sz w:val="24"/>
              </w:rPr>
              <w:t>原厂商质保服务， 5年7*24小时服务 4小时响应,原厂商需要在浙江地区设立有分公司，签订合同时必须提供所涉及产品原厂商针对本项目专项授权和原厂盖章的服务承诺函。</w:t>
            </w:r>
          </w:p>
        </w:tc>
      </w:tr>
    </w:tbl>
    <w:p>
      <w:pPr>
        <w:pStyle w:val="2"/>
        <w:ind w:firstLine="240"/>
        <w:rPr>
          <w:rFonts w:hint="eastAsia" w:ascii="仿宋" w:hAnsi="仿宋" w:eastAsia="仿宋" w:cs="仿宋"/>
          <w:color w:val="auto"/>
          <w:sz w:val="24"/>
        </w:rPr>
      </w:pPr>
    </w:p>
    <w:p>
      <w:pPr>
        <w:numPr>
          <w:ilvl w:val="0"/>
          <w:numId w:val="9"/>
        </w:numPr>
        <w:snapToGrid w:val="0"/>
        <w:spacing w:before="120" w:beforeLines="50" w:line="360" w:lineRule="auto"/>
        <w:jc w:val="left"/>
        <w:rPr>
          <w:rFonts w:hint="eastAsia" w:ascii="仿宋" w:hAnsi="仿宋" w:eastAsia="仿宋" w:cs="仿宋"/>
          <w:color w:val="auto"/>
          <w:sz w:val="24"/>
        </w:rPr>
      </w:pPr>
      <w:r>
        <w:rPr>
          <w:rFonts w:hint="eastAsia" w:ascii="仿宋" w:hAnsi="仿宋" w:eastAsia="仿宋" w:cs="仿宋"/>
          <w:color w:val="auto"/>
          <w:sz w:val="24"/>
        </w:rPr>
        <w:t>数据库存储技术指标要求（2台）：</w:t>
      </w:r>
    </w:p>
    <w:tbl>
      <w:tblPr>
        <w:tblStyle w:val="43"/>
        <w:tblW w:w="0" w:type="auto"/>
        <w:tblInd w:w="0" w:type="dxa"/>
        <w:tblLayout w:type="autofit"/>
        <w:tblCellMar>
          <w:top w:w="0" w:type="dxa"/>
          <w:left w:w="108" w:type="dxa"/>
          <w:bottom w:w="0" w:type="dxa"/>
          <w:right w:w="108" w:type="dxa"/>
        </w:tblCellMar>
      </w:tblPr>
      <w:tblGrid>
        <w:gridCol w:w="1413"/>
        <w:gridCol w:w="6883"/>
      </w:tblGrid>
      <w:tr>
        <w:trPr>
          <w:trHeight w:val="288" w:hRule="atLeast"/>
        </w:trPr>
        <w:tc>
          <w:tcPr>
            <w:tcW w:w="1413" w:type="dxa"/>
            <w:tcBorders>
              <w:top w:val="single" w:color="auto" w:sz="4" w:space="0"/>
              <w:left w:val="single" w:color="auto" w:sz="4" w:space="0"/>
              <w:bottom w:val="single" w:color="auto" w:sz="4" w:space="0"/>
              <w:right w:val="single" w:color="auto" w:sz="4" w:space="0"/>
            </w:tcBorders>
            <w:shd w:val="clear" w:color="auto" w:fill="auto"/>
          </w:tcPr>
          <w:p>
            <w:pPr>
              <w:widowControl/>
              <w:jc w:val="left"/>
              <w:rPr>
                <w:rFonts w:hint="eastAsia" w:ascii="仿宋" w:hAnsi="仿宋" w:eastAsia="仿宋" w:cs="仿宋"/>
                <w:b/>
                <w:bCs/>
                <w:color w:val="auto"/>
                <w:kern w:val="0"/>
                <w:sz w:val="24"/>
              </w:rPr>
            </w:pPr>
            <w:r>
              <w:rPr>
                <w:rFonts w:hint="eastAsia" w:ascii="仿宋" w:hAnsi="仿宋" w:eastAsia="仿宋" w:cs="仿宋"/>
                <w:color w:val="auto"/>
                <w:sz w:val="24"/>
              </w:rPr>
              <w:t>指标项</w:t>
            </w:r>
          </w:p>
        </w:tc>
        <w:tc>
          <w:tcPr>
            <w:tcW w:w="6883" w:type="dxa"/>
            <w:tcBorders>
              <w:top w:val="single" w:color="auto" w:sz="4" w:space="0"/>
              <w:left w:val="nil"/>
              <w:bottom w:val="single" w:color="auto" w:sz="4" w:space="0"/>
              <w:right w:val="single" w:color="auto" w:sz="4" w:space="0"/>
            </w:tcBorders>
            <w:shd w:val="clear" w:color="auto" w:fill="auto"/>
          </w:tcPr>
          <w:p>
            <w:pPr>
              <w:widowControl/>
              <w:jc w:val="left"/>
              <w:rPr>
                <w:rFonts w:hint="eastAsia" w:ascii="仿宋" w:hAnsi="仿宋" w:eastAsia="仿宋" w:cs="仿宋"/>
                <w:b/>
                <w:bCs/>
                <w:color w:val="auto"/>
                <w:kern w:val="0"/>
                <w:sz w:val="24"/>
              </w:rPr>
            </w:pPr>
            <w:r>
              <w:rPr>
                <w:rFonts w:hint="eastAsia" w:ascii="仿宋" w:hAnsi="仿宋" w:eastAsia="仿宋" w:cs="仿宋"/>
                <w:color w:val="auto"/>
                <w:sz w:val="24"/>
              </w:rPr>
              <w:t>技术要求</w:t>
            </w:r>
          </w:p>
        </w:tc>
      </w:tr>
      <w:tr>
        <w:tblPrEx>
          <w:tblCellMar>
            <w:top w:w="0" w:type="dxa"/>
            <w:left w:w="108" w:type="dxa"/>
            <w:bottom w:w="0" w:type="dxa"/>
            <w:right w:w="108" w:type="dxa"/>
          </w:tblCellMar>
        </w:tblPrEx>
        <w:trPr>
          <w:trHeight w:val="864" w:hRule="atLeast"/>
        </w:trPr>
        <w:tc>
          <w:tcPr>
            <w:tcW w:w="1413"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品牌要求</w:t>
            </w:r>
          </w:p>
        </w:tc>
        <w:tc>
          <w:tcPr>
            <w:tcW w:w="688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知名存储品牌．具有自有知识产权和开发能力产品。投标产品厂商需要满足连续近3年在IDC全球外部存储销售额排名前5厂商可入围投标，“根据IDC外部存储报告”，以IDC网站数据为准。</w:t>
            </w:r>
          </w:p>
        </w:tc>
      </w:tr>
      <w:tr>
        <w:trPr>
          <w:trHeight w:val="1152" w:hRule="atLeast"/>
        </w:trPr>
        <w:tc>
          <w:tcPr>
            <w:tcW w:w="1413"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存储类型</w:t>
            </w:r>
          </w:p>
        </w:tc>
        <w:tc>
          <w:tcPr>
            <w:tcW w:w="688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符合工业标准的企业级高端全闪存存储，采用全冗余结构，无单点故障;</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本次招标产品为NVMe全闪存阵列，要求投标产品支持配置NVMe SCM，NVMe SSD以及SAS SSD等类型的闪存介质作为用户数据存储空间，所投标产品型号均不应支持传统机械式磁盘作为数据存储介质；</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本次配置的SSD接口要求为NVME接口。</w:t>
            </w:r>
          </w:p>
        </w:tc>
      </w:tr>
      <w:tr>
        <w:tblPrEx>
          <w:tblCellMar>
            <w:top w:w="0" w:type="dxa"/>
            <w:left w:w="108" w:type="dxa"/>
            <w:bottom w:w="0" w:type="dxa"/>
            <w:right w:w="108" w:type="dxa"/>
          </w:tblCellMar>
        </w:tblPrEx>
        <w:trPr>
          <w:trHeight w:val="2024" w:hRule="atLeast"/>
        </w:trPr>
        <w:tc>
          <w:tcPr>
            <w:tcW w:w="1413"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架构扩展性先进性</w:t>
            </w:r>
          </w:p>
        </w:tc>
        <w:tc>
          <w:tcPr>
            <w:tcW w:w="688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投标存储产品的存储架构必须支持横向扩展集群架构，在扩展容量的同时能够扩展性能，并提供公司产品资料说明，支持存储集群统一监控管理；</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本次投标产品要求支持横向集群扩展不低于8个控制器的集群存储；横向集群支持横向扩展增加控制器，也要求支持按需求调整横向缩减存储集群内的控制器；</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本次投标产品要求不需要任何外置硬件设备和或者软件产品前提下支持SAN(FC和iSCSI)，NAS(SMB/NFS/FTP)和VMware vVol存储服务功能；</w:t>
            </w:r>
            <w:r>
              <w:rPr>
                <w:rFonts w:hint="eastAsia" w:ascii="仿宋" w:hAnsi="仿宋" w:eastAsia="仿宋" w:cs="仿宋"/>
                <w:b/>
                <w:bCs/>
                <w:color w:val="auto"/>
                <w:kern w:val="0"/>
                <w:sz w:val="24"/>
                <w:u w:val="single"/>
              </w:rPr>
              <w:br w:type="textWrapping"/>
            </w:r>
            <w:r>
              <w:rPr>
                <w:rFonts w:hint="eastAsia" w:ascii="仿宋" w:hAnsi="仿宋" w:eastAsia="仿宋" w:cs="仿宋"/>
                <w:color w:val="auto"/>
                <w:kern w:val="0"/>
                <w:sz w:val="24"/>
              </w:rPr>
              <w:t>投标产品型号存储架构要求支持NVMe协议技术的存储介质, 要求支持NVMe SSD或者NVMe SCM Storage Class Memory(存储级别内存)做可读可写的数据容量空间,并提供官方产品彩页证明。</w:t>
            </w:r>
          </w:p>
        </w:tc>
      </w:tr>
      <w:tr>
        <w:trPr>
          <w:trHeight w:val="63" w:hRule="atLeast"/>
        </w:trPr>
        <w:tc>
          <w:tcPr>
            <w:tcW w:w="1413"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控制器配置</w:t>
            </w:r>
          </w:p>
        </w:tc>
        <w:tc>
          <w:tcPr>
            <w:tcW w:w="688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本次配置≥2个控制器，每个控制器配置不低于2颗8核Intel Xeon 1.8GHz处理器，两控制器总核数≥32核，且控制器采用Active-Active架构;</w:t>
            </w:r>
          </w:p>
        </w:tc>
      </w:tr>
      <w:tr>
        <w:trPr>
          <w:trHeight w:val="698" w:hRule="atLeast"/>
        </w:trPr>
        <w:tc>
          <w:tcPr>
            <w:tcW w:w="1413"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缓存</w:t>
            </w:r>
          </w:p>
        </w:tc>
        <w:tc>
          <w:tcPr>
            <w:tcW w:w="688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配置≥384</w:t>
            </w:r>
            <w:r>
              <w:rPr>
                <w:rFonts w:hint="eastAsia" w:ascii="仿宋" w:hAnsi="仿宋" w:eastAsia="仿宋" w:cs="仿宋"/>
                <w:b/>
                <w:bCs/>
                <w:color w:val="auto"/>
                <w:kern w:val="0"/>
                <w:sz w:val="24"/>
              </w:rPr>
              <w:t xml:space="preserve"> </w:t>
            </w:r>
            <w:r>
              <w:rPr>
                <w:rFonts w:hint="eastAsia" w:ascii="仿宋" w:hAnsi="仿宋" w:eastAsia="仿宋" w:cs="仿宋"/>
                <w:color w:val="auto"/>
                <w:kern w:val="0"/>
                <w:sz w:val="24"/>
              </w:rPr>
              <w:t>GB缓存(非SSD模拟、闪存扩展卡，NVMe卡， SCM卡，NAS缓存等其他扩展方式)，缓存可升级扩展≥</w:t>
            </w:r>
            <w:r>
              <w:rPr>
                <w:rFonts w:hint="eastAsia" w:ascii="仿宋" w:hAnsi="仿宋" w:eastAsia="仿宋" w:cs="仿宋"/>
                <w:color w:val="auto"/>
                <w:kern w:val="0"/>
                <w:sz w:val="24"/>
                <w:u w:val="single"/>
              </w:rPr>
              <w:t>10TB</w:t>
            </w:r>
            <w:r>
              <w:rPr>
                <w:rFonts w:hint="eastAsia" w:ascii="仿宋" w:hAnsi="仿宋" w:eastAsia="仿宋" w:cs="仿宋"/>
                <w:color w:val="auto"/>
                <w:kern w:val="0"/>
                <w:sz w:val="24"/>
              </w:rPr>
              <w:t>。</w:t>
            </w:r>
          </w:p>
        </w:tc>
      </w:tr>
      <w:tr>
        <w:trPr>
          <w:trHeight w:val="943" w:hRule="atLeast"/>
        </w:trPr>
        <w:tc>
          <w:tcPr>
            <w:tcW w:w="1413"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前端主机接口配置</w:t>
            </w:r>
          </w:p>
        </w:tc>
        <w:tc>
          <w:tcPr>
            <w:tcW w:w="688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最大支持的FC端口≥64；</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最大支持的10GbE(或者25GbE)以太网端口≥96；</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本次必须配置8个10GbE以太网端口，8个16Gbps FC端口 。</w:t>
            </w:r>
          </w:p>
        </w:tc>
      </w:tr>
      <w:tr>
        <w:trPr>
          <w:trHeight w:val="132" w:hRule="atLeast"/>
        </w:trPr>
        <w:tc>
          <w:tcPr>
            <w:tcW w:w="1413"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闪盘容量与类型</w:t>
            </w:r>
          </w:p>
        </w:tc>
        <w:tc>
          <w:tcPr>
            <w:tcW w:w="688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投标产品要求支持不低于84块NVMe SSD盘或者84块NVMe SCM盘配置能力，同时支持不低于300块SSD盘配置能力；</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此次要求实配配置NVME端口的SSD固态盘，共配置42.24TB裸容量SSD固态盘，要求后期可以按照客户需求任意盘数量扩展容量(单盘扩展)，可支持混合不同容量和接口的NVMe SSD与SAS SSD。</w:t>
            </w:r>
          </w:p>
        </w:tc>
      </w:tr>
      <w:tr>
        <w:trPr>
          <w:trHeight w:val="576" w:hRule="atLeast"/>
        </w:trPr>
        <w:tc>
          <w:tcPr>
            <w:tcW w:w="1413"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软件功能配置</w:t>
            </w:r>
          </w:p>
        </w:tc>
        <w:tc>
          <w:tcPr>
            <w:tcW w:w="688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配置全容量统包所有软件许可，配置全容量许可的存储管理与性能监控软件功能，配置全容量在线重删和压缩功能软件，配置全容量快照/克隆和数据复制功能软件，配置全容量QoS功能软件。</w:t>
            </w:r>
          </w:p>
        </w:tc>
      </w:tr>
      <w:tr>
        <w:tblPrEx>
          <w:tblCellMar>
            <w:top w:w="0" w:type="dxa"/>
            <w:left w:w="108" w:type="dxa"/>
            <w:bottom w:w="0" w:type="dxa"/>
            <w:right w:w="108" w:type="dxa"/>
          </w:tblCellMar>
        </w:tblPrEx>
        <w:trPr>
          <w:trHeight w:val="576" w:hRule="atLeast"/>
        </w:trPr>
        <w:tc>
          <w:tcPr>
            <w:tcW w:w="1413" w:type="dxa"/>
            <w:tcBorders>
              <w:top w:val="nil"/>
              <w:left w:val="single" w:color="auto" w:sz="4" w:space="0"/>
              <w:bottom w:val="single" w:color="auto" w:sz="4" w:space="0"/>
              <w:right w:val="single" w:color="auto" w:sz="4" w:space="0"/>
            </w:tcBorders>
            <w:shd w:val="clear" w:color="auto" w:fill="auto"/>
            <w:vAlign w:val="center"/>
          </w:tcPr>
          <w:p>
            <w:pPr>
              <w:rPr>
                <w:rFonts w:hint="eastAsia" w:ascii="仿宋" w:hAnsi="仿宋" w:eastAsia="仿宋" w:cs="仿宋"/>
                <w:color w:val="auto"/>
                <w:sz w:val="24"/>
              </w:rPr>
            </w:pPr>
            <w:r>
              <w:rPr>
                <w:rFonts w:hint="eastAsia" w:ascii="仿宋" w:hAnsi="仿宋" w:eastAsia="仿宋" w:cs="仿宋"/>
                <w:color w:val="auto"/>
                <w:sz w:val="24"/>
              </w:rPr>
              <w:t>兼容性和数据迁移</w:t>
            </w:r>
          </w:p>
        </w:tc>
        <w:tc>
          <w:tcPr>
            <w:tcW w:w="6883" w:type="dxa"/>
            <w:tcBorders>
              <w:top w:val="nil"/>
              <w:left w:val="nil"/>
              <w:bottom w:val="single" w:color="auto" w:sz="4" w:space="0"/>
              <w:right w:val="single" w:color="auto" w:sz="4" w:space="0"/>
            </w:tcBorders>
            <w:shd w:val="clear" w:color="auto" w:fill="auto"/>
            <w:vAlign w:val="center"/>
          </w:tcPr>
          <w:p>
            <w:pPr>
              <w:spacing w:line="320" w:lineRule="exact"/>
              <w:rPr>
                <w:rFonts w:hint="eastAsia" w:ascii="仿宋" w:hAnsi="仿宋" w:eastAsia="仿宋" w:cs="仿宋"/>
                <w:color w:val="auto"/>
                <w:sz w:val="24"/>
              </w:rPr>
            </w:pPr>
            <w:r>
              <w:rPr>
                <w:rFonts w:hint="eastAsia" w:ascii="仿宋" w:hAnsi="仿宋" w:eastAsia="仿宋" w:cs="仿宋"/>
                <w:color w:val="auto"/>
                <w:sz w:val="24"/>
              </w:rPr>
              <w:t>▲本次配置存储必须与双活设备完全兼容，并提供原有双活设备原厂兼容列表文件，本次方案不停机不停应用数据迁移和切换，提供详细的方案说明。</w:t>
            </w:r>
          </w:p>
        </w:tc>
      </w:tr>
      <w:tr>
        <w:trPr>
          <w:trHeight w:val="576" w:hRule="atLeast"/>
        </w:trPr>
        <w:tc>
          <w:tcPr>
            <w:tcW w:w="1413"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NAS文件服务功能</w:t>
            </w:r>
          </w:p>
        </w:tc>
        <w:tc>
          <w:tcPr>
            <w:tcW w:w="688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支持并可创建不低于500个≥256TB的64位文件系统，可动态收缩和扩展，支持不低于50个NAS多租户管理能力，不同租户需要支持不同的AD/LDAP权限集成和认证，支持并配置NFS/SMB/FTP等文件数据服务。</w:t>
            </w:r>
          </w:p>
        </w:tc>
      </w:tr>
      <w:tr>
        <w:trPr>
          <w:trHeight w:val="576" w:hRule="atLeast"/>
        </w:trPr>
        <w:tc>
          <w:tcPr>
            <w:tcW w:w="1413"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机器学习和人工智能</w:t>
            </w:r>
          </w:p>
        </w:tc>
        <w:tc>
          <w:tcPr>
            <w:tcW w:w="688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支持并配置存储机器学习和智能预测软件，可以基于存储的系统健康状态，资源使用情况等作出趋势分析预测以及智能的资源负载均衡告警提醒，促使业务数据存储卷空间更加智能的均衡分布和运行。</w:t>
            </w:r>
          </w:p>
        </w:tc>
      </w:tr>
      <w:tr>
        <w:tblPrEx>
          <w:tblCellMar>
            <w:top w:w="0" w:type="dxa"/>
            <w:left w:w="108" w:type="dxa"/>
            <w:bottom w:w="0" w:type="dxa"/>
            <w:right w:w="108" w:type="dxa"/>
          </w:tblCellMar>
        </w:tblPrEx>
        <w:trPr>
          <w:trHeight w:val="576" w:hRule="atLeast"/>
        </w:trPr>
        <w:tc>
          <w:tcPr>
            <w:tcW w:w="1413" w:type="dxa"/>
            <w:tcBorders>
              <w:top w:val="nil"/>
              <w:left w:val="single" w:color="auto" w:sz="4" w:space="0"/>
              <w:bottom w:val="single" w:color="auto" w:sz="4" w:space="0"/>
              <w:right w:val="single" w:color="auto" w:sz="4" w:space="0"/>
            </w:tcBorders>
            <w:shd w:val="clear" w:color="auto" w:fill="auto"/>
            <w:vAlign w:val="center"/>
          </w:tcPr>
          <w:p>
            <w:pPr>
              <w:rPr>
                <w:rFonts w:hint="eastAsia" w:ascii="仿宋" w:hAnsi="仿宋" w:eastAsia="仿宋" w:cs="仿宋"/>
                <w:color w:val="auto"/>
                <w:sz w:val="24"/>
              </w:rPr>
            </w:pPr>
            <w:r>
              <w:rPr>
                <w:rFonts w:hint="eastAsia" w:ascii="仿宋" w:hAnsi="仿宋" w:eastAsia="仿宋" w:cs="仿宋"/>
                <w:color w:val="auto"/>
                <w:sz w:val="24"/>
              </w:rPr>
              <w:t>集成虚拟机连续性数据保护</w:t>
            </w:r>
          </w:p>
        </w:tc>
        <w:tc>
          <w:tcPr>
            <w:tcW w:w="6883" w:type="dxa"/>
            <w:tcBorders>
              <w:top w:val="nil"/>
              <w:left w:val="nil"/>
              <w:bottom w:val="single" w:color="auto" w:sz="4" w:space="0"/>
              <w:right w:val="single" w:color="auto" w:sz="4" w:space="0"/>
            </w:tcBorders>
            <w:shd w:val="clear" w:color="auto" w:fill="auto"/>
            <w:vAlign w:val="center"/>
          </w:tcPr>
          <w:p>
            <w:pPr>
              <w:spacing w:line="290" w:lineRule="exact"/>
              <w:rPr>
                <w:rFonts w:hint="eastAsia" w:ascii="仿宋" w:hAnsi="仿宋" w:eastAsia="仿宋" w:cs="仿宋"/>
                <w:color w:val="auto"/>
                <w:sz w:val="24"/>
              </w:rPr>
            </w:pPr>
            <w:r>
              <w:rPr>
                <w:rFonts w:hint="eastAsia" w:ascii="仿宋" w:hAnsi="仿宋" w:eastAsia="仿宋" w:cs="仿宋"/>
                <w:color w:val="auto"/>
                <w:sz w:val="24"/>
              </w:rPr>
              <w:t>▲支持并配置虚拟机连续性数据保护功能，实现虚拟机秒级IO记录和恢复级别，实现虚拟机逻辑性灾备；可进行生产虚拟机与备份虚拟机的切换，可进行备份虚拟机的多副本验证。数据保护软件必须同属于存储品牌产品，非OEM产品，需提供官方链接以及截图。</w:t>
            </w:r>
          </w:p>
        </w:tc>
      </w:tr>
      <w:tr>
        <w:tblPrEx>
          <w:tblCellMar>
            <w:top w:w="0" w:type="dxa"/>
            <w:left w:w="108" w:type="dxa"/>
            <w:bottom w:w="0" w:type="dxa"/>
            <w:right w:w="108" w:type="dxa"/>
          </w:tblCellMar>
        </w:tblPrEx>
        <w:trPr>
          <w:trHeight w:val="576" w:hRule="atLeast"/>
        </w:trPr>
        <w:tc>
          <w:tcPr>
            <w:tcW w:w="1413"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快照功能</w:t>
            </w:r>
          </w:p>
        </w:tc>
        <w:tc>
          <w:tcPr>
            <w:tcW w:w="688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支持并配置快照及克隆功能，快照克隆要求基于ROW Redirect on Write技术，不影响生产卷性能，快照克隆要求支持重复数据删除和数据压缩。</w:t>
            </w:r>
          </w:p>
        </w:tc>
      </w:tr>
      <w:tr>
        <w:trPr>
          <w:trHeight w:val="288" w:hRule="atLeast"/>
        </w:trPr>
        <w:tc>
          <w:tcPr>
            <w:tcW w:w="1413"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存储复制功能</w:t>
            </w:r>
          </w:p>
        </w:tc>
        <w:tc>
          <w:tcPr>
            <w:tcW w:w="688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支持并配置数据复制功能，数据复制要求支持重复数据删除和数据压缩。</w:t>
            </w:r>
          </w:p>
        </w:tc>
      </w:tr>
      <w:tr>
        <w:trPr>
          <w:trHeight w:val="576" w:hRule="atLeast"/>
        </w:trPr>
        <w:tc>
          <w:tcPr>
            <w:tcW w:w="1413"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数据无缝及无破坏迁移功能</w:t>
            </w:r>
          </w:p>
        </w:tc>
        <w:tc>
          <w:tcPr>
            <w:tcW w:w="688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配置存储自带的数据无缝迁移功能，可将VNX、Unity、Compellent &amp;Equalogic等数据无缝迁移至新购存储上，不破坏现有存储之上的数据。本次需配满系统所配容量的该功能许可。</w:t>
            </w:r>
          </w:p>
        </w:tc>
      </w:tr>
      <w:tr>
        <w:trPr>
          <w:trHeight w:val="576" w:hRule="atLeast"/>
        </w:trPr>
        <w:tc>
          <w:tcPr>
            <w:tcW w:w="1413"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在线重复数据删除技术</w:t>
            </w:r>
          </w:p>
        </w:tc>
        <w:tc>
          <w:tcPr>
            <w:tcW w:w="688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支持并配置在线重复数据删除技术。</w:t>
            </w:r>
          </w:p>
        </w:tc>
      </w:tr>
      <w:tr>
        <w:trPr>
          <w:trHeight w:val="576" w:hRule="atLeast"/>
        </w:trPr>
        <w:tc>
          <w:tcPr>
            <w:tcW w:w="1413" w:type="dxa"/>
            <w:tcBorders>
              <w:top w:val="nil"/>
              <w:left w:val="single" w:color="auto" w:sz="4" w:space="0"/>
              <w:bottom w:val="single" w:color="auto" w:sz="4" w:space="0"/>
              <w:right w:val="single" w:color="auto" w:sz="4" w:space="0"/>
            </w:tcBorders>
            <w:shd w:val="clear" w:color="auto" w:fill="auto"/>
            <w:vAlign w:val="center"/>
          </w:tcPr>
          <w:p>
            <w:pPr>
              <w:rPr>
                <w:rFonts w:hint="eastAsia" w:ascii="仿宋" w:hAnsi="仿宋" w:eastAsia="仿宋" w:cs="仿宋"/>
                <w:color w:val="auto"/>
                <w:sz w:val="24"/>
              </w:rPr>
            </w:pPr>
            <w:r>
              <w:rPr>
                <w:rFonts w:hint="eastAsia" w:ascii="仿宋" w:hAnsi="仿宋" w:eastAsia="仿宋" w:cs="仿宋"/>
                <w:color w:val="auto"/>
                <w:sz w:val="24"/>
              </w:rPr>
              <w:t>行为追溯功能</w:t>
            </w:r>
          </w:p>
        </w:tc>
        <w:tc>
          <w:tcPr>
            <w:tcW w:w="6883" w:type="dxa"/>
            <w:tcBorders>
              <w:top w:val="nil"/>
              <w:left w:val="nil"/>
              <w:bottom w:val="single" w:color="auto" w:sz="4" w:space="0"/>
              <w:right w:val="single" w:color="auto" w:sz="4" w:space="0"/>
            </w:tcBorders>
            <w:shd w:val="clear" w:color="auto" w:fill="auto"/>
            <w:vAlign w:val="center"/>
          </w:tcPr>
          <w:p>
            <w:pPr>
              <w:spacing w:line="290" w:lineRule="exact"/>
              <w:rPr>
                <w:rFonts w:hint="eastAsia" w:ascii="仿宋" w:hAnsi="仿宋" w:eastAsia="仿宋" w:cs="仿宋"/>
                <w:color w:val="auto"/>
                <w:sz w:val="24"/>
              </w:rPr>
            </w:pPr>
            <w:r>
              <w:rPr>
                <w:rFonts w:hint="eastAsia" w:ascii="仿宋" w:hAnsi="仿宋" w:eastAsia="仿宋" w:cs="仿宋"/>
                <w:color w:val="auto"/>
                <w:sz w:val="24"/>
              </w:rPr>
              <w:t>▲支持对存储客户端操作记录追溯功能，具有文本日志生成功能，针对所有操作形成文本日志，方便检索。包括:所使用的软件,远程系统,商务软件和没有内部日志记录功能的软件；支持用户特殊操作行为识别，能够记录用户是否进行了复制、删除、USB设备使用或打印机，并支持文本查询和视频回放，投标时提供产品功能截图。</w:t>
            </w:r>
          </w:p>
        </w:tc>
      </w:tr>
      <w:tr>
        <w:tblPrEx>
          <w:tblCellMar>
            <w:top w:w="0" w:type="dxa"/>
            <w:left w:w="108" w:type="dxa"/>
            <w:bottom w:w="0" w:type="dxa"/>
            <w:right w:w="108" w:type="dxa"/>
          </w:tblCellMar>
        </w:tblPrEx>
        <w:trPr>
          <w:trHeight w:val="91" w:hRule="atLeast"/>
        </w:trPr>
        <w:tc>
          <w:tcPr>
            <w:tcW w:w="1413" w:type="dxa"/>
            <w:vMerge w:val="restart"/>
            <w:tcBorders>
              <w:top w:val="nil"/>
              <w:left w:val="single" w:color="auto" w:sz="4" w:space="0"/>
              <w:right w:val="single" w:color="auto" w:sz="4" w:space="0"/>
            </w:tcBorders>
            <w:shd w:val="clear" w:color="auto" w:fill="auto"/>
            <w:vAlign w:val="center"/>
          </w:tcPr>
          <w:p>
            <w:pPr>
              <w:rPr>
                <w:rFonts w:hint="eastAsia" w:ascii="仿宋" w:hAnsi="仿宋" w:eastAsia="仿宋" w:cs="仿宋"/>
                <w:color w:val="auto"/>
                <w:sz w:val="24"/>
              </w:rPr>
            </w:pPr>
            <w:r>
              <w:rPr>
                <w:rFonts w:hint="eastAsia" w:ascii="仿宋" w:hAnsi="仿宋" w:eastAsia="仿宋" w:cs="仿宋"/>
                <w:color w:val="auto"/>
                <w:sz w:val="24"/>
              </w:rPr>
              <w:t>统一集中存储系统管理平台</w:t>
            </w:r>
          </w:p>
        </w:tc>
        <w:tc>
          <w:tcPr>
            <w:tcW w:w="6883" w:type="dxa"/>
            <w:tcBorders>
              <w:top w:val="nil"/>
              <w:left w:val="nil"/>
              <w:bottom w:val="single" w:color="auto" w:sz="4" w:space="0"/>
              <w:right w:val="single" w:color="auto" w:sz="4" w:space="0"/>
            </w:tcBorders>
            <w:shd w:val="clear" w:color="auto" w:fill="auto"/>
            <w:vAlign w:val="center"/>
          </w:tcPr>
          <w:p>
            <w:pPr>
              <w:widowControl/>
              <w:spacing w:line="290" w:lineRule="exact"/>
              <w:rPr>
                <w:rFonts w:hint="eastAsia" w:ascii="仿宋" w:hAnsi="仿宋" w:eastAsia="仿宋" w:cs="仿宋"/>
                <w:color w:val="auto"/>
                <w:sz w:val="24"/>
              </w:rPr>
            </w:pPr>
            <w:r>
              <w:rPr>
                <w:rFonts w:hint="eastAsia" w:ascii="仿宋" w:hAnsi="仿宋" w:eastAsia="仿宋" w:cs="仿宋"/>
                <w:color w:val="auto"/>
                <w:sz w:val="24"/>
              </w:rPr>
              <w:t>实现统一集中存储统系统管理，SAN光纤网络统一管理。</w:t>
            </w:r>
          </w:p>
        </w:tc>
      </w:tr>
      <w:tr>
        <w:tblPrEx>
          <w:tblCellMar>
            <w:top w:w="0" w:type="dxa"/>
            <w:left w:w="108" w:type="dxa"/>
            <w:bottom w:w="0" w:type="dxa"/>
            <w:right w:w="108" w:type="dxa"/>
          </w:tblCellMar>
        </w:tblPrEx>
        <w:trPr>
          <w:trHeight w:val="85" w:hRule="atLeast"/>
        </w:trPr>
        <w:tc>
          <w:tcPr>
            <w:tcW w:w="1413" w:type="dxa"/>
            <w:vMerge w:val="continue"/>
            <w:tcBorders>
              <w:left w:val="single" w:color="auto" w:sz="4" w:space="0"/>
              <w:right w:val="single" w:color="auto" w:sz="4" w:space="0"/>
            </w:tcBorders>
            <w:shd w:val="clear" w:color="auto" w:fill="auto"/>
            <w:vAlign w:val="center"/>
          </w:tcPr>
          <w:p>
            <w:pPr>
              <w:rPr>
                <w:rFonts w:hint="eastAsia" w:ascii="仿宋" w:hAnsi="仿宋" w:eastAsia="仿宋" w:cs="仿宋"/>
                <w:color w:val="auto"/>
                <w:sz w:val="24"/>
              </w:rPr>
            </w:pPr>
          </w:p>
        </w:tc>
        <w:tc>
          <w:tcPr>
            <w:tcW w:w="6883" w:type="dxa"/>
            <w:tcBorders>
              <w:top w:val="nil"/>
              <w:left w:val="nil"/>
              <w:bottom w:val="single" w:color="auto" w:sz="4" w:space="0"/>
              <w:right w:val="single" w:color="auto" w:sz="4" w:space="0"/>
            </w:tcBorders>
            <w:shd w:val="clear" w:color="auto" w:fill="auto"/>
            <w:vAlign w:val="center"/>
          </w:tcPr>
          <w:p>
            <w:pPr>
              <w:spacing w:line="290" w:lineRule="exact"/>
              <w:rPr>
                <w:rFonts w:hint="eastAsia" w:ascii="仿宋" w:hAnsi="仿宋" w:eastAsia="仿宋" w:cs="仿宋"/>
                <w:color w:val="auto"/>
                <w:sz w:val="24"/>
              </w:rPr>
            </w:pPr>
            <w:r>
              <w:rPr>
                <w:rFonts w:hint="eastAsia" w:ascii="仿宋" w:hAnsi="仿宋" w:eastAsia="仿宋" w:cs="仿宋"/>
                <w:color w:val="auto"/>
                <w:sz w:val="24"/>
              </w:rPr>
              <w:t>在单一界面中集中化管理数据中心的存储系统，实现存储统一配置调试的工作；</w:t>
            </w:r>
          </w:p>
        </w:tc>
      </w:tr>
      <w:tr>
        <w:tblPrEx>
          <w:tblCellMar>
            <w:top w:w="0" w:type="dxa"/>
            <w:left w:w="108" w:type="dxa"/>
            <w:bottom w:w="0" w:type="dxa"/>
            <w:right w:w="108" w:type="dxa"/>
          </w:tblCellMar>
        </w:tblPrEx>
        <w:trPr>
          <w:trHeight w:val="85" w:hRule="atLeast"/>
        </w:trPr>
        <w:tc>
          <w:tcPr>
            <w:tcW w:w="1413" w:type="dxa"/>
            <w:vMerge w:val="continue"/>
            <w:tcBorders>
              <w:left w:val="single" w:color="auto" w:sz="4" w:space="0"/>
              <w:right w:val="single" w:color="auto" w:sz="4" w:space="0"/>
            </w:tcBorders>
            <w:shd w:val="clear" w:color="auto" w:fill="auto"/>
            <w:vAlign w:val="center"/>
          </w:tcPr>
          <w:p>
            <w:pPr>
              <w:rPr>
                <w:rFonts w:hint="eastAsia" w:ascii="仿宋" w:hAnsi="仿宋" w:eastAsia="仿宋" w:cs="仿宋"/>
                <w:color w:val="auto"/>
                <w:sz w:val="24"/>
              </w:rPr>
            </w:pPr>
          </w:p>
        </w:tc>
        <w:tc>
          <w:tcPr>
            <w:tcW w:w="6883" w:type="dxa"/>
            <w:tcBorders>
              <w:top w:val="nil"/>
              <w:left w:val="nil"/>
              <w:bottom w:val="single" w:color="auto" w:sz="4" w:space="0"/>
              <w:right w:val="single" w:color="auto" w:sz="4" w:space="0"/>
            </w:tcBorders>
            <w:shd w:val="clear" w:color="auto" w:fill="auto"/>
            <w:vAlign w:val="center"/>
          </w:tcPr>
          <w:p>
            <w:pPr>
              <w:spacing w:line="290" w:lineRule="exact"/>
              <w:rPr>
                <w:rFonts w:hint="eastAsia" w:ascii="仿宋" w:hAnsi="仿宋" w:eastAsia="仿宋" w:cs="仿宋"/>
                <w:color w:val="auto"/>
                <w:sz w:val="24"/>
              </w:rPr>
            </w:pPr>
            <w:r>
              <w:rPr>
                <w:rFonts w:hint="eastAsia" w:ascii="仿宋" w:hAnsi="仿宋" w:eastAsia="仿宋" w:cs="仿宋"/>
                <w:color w:val="auto"/>
                <w:sz w:val="24"/>
              </w:rPr>
              <w:t>可查看存储的使用状态、设备配置、容量负载等信息；支持存储使用进行资源调配、监视和报告；存储系统的性能管理数据长期保存，故障日志可以追溯；</w:t>
            </w:r>
          </w:p>
        </w:tc>
      </w:tr>
      <w:tr>
        <w:tblPrEx>
          <w:tblCellMar>
            <w:top w:w="0" w:type="dxa"/>
            <w:left w:w="108" w:type="dxa"/>
            <w:bottom w:w="0" w:type="dxa"/>
            <w:right w:w="108" w:type="dxa"/>
          </w:tblCellMar>
        </w:tblPrEx>
        <w:trPr>
          <w:trHeight w:val="85" w:hRule="atLeast"/>
        </w:trPr>
        <w:tc>
          <w:tcPr>
            <w:tcW w:w="1413" w:type="dxa"/>
            <w:vMerge w:val="continue"/>
            <w:tcBorders>
              <w:left w:val="single" w:color="auto" w:sz="4" w:space="0"/>
              <w:right w:val="single" w:color="auto" w:sz="4" w:space="0"/>
            </w:tcBorders>
            <w:shd w:val="clear" w:color="auto" w:fill="auto"/>
            <w:vAlign w:val="center"/>
          </w:tcPr>
          <w:p>
            <w:pPr>
              <w:rPr>
                <w:rFonts w:hint="eastAsia" w:ascii="仿宋" w:hAnsi="仿宋" w:eastAsia="仿宋" w:cs="仿宋"/>
                <w:color w:val="auto"/>
                <w:sz w:val="24"/>
              </w:rPr>
            </w:pPr>
          </w:p>
        </w:tc>
        <w:tc>
          <w:tcPr>
            <w:tcW w:w="6883" w:type="dxa"/>
            <w:tcBorders>
              <w:top w:val="nil"/>
              <w:left w:val="nil"/>
              <w:bottom w:val="single" w:color="auto" w:sz="4" w:space="0"/>
              <w:right w:val="single" w:color="auto" w:sz="4" w:space="0"/>
            </w:tcBorders>
            <w:shd w:val="clear" w:color="auto" w:fill="auto"/>
            <w:vAlign w:val="center"/>
          </w:tcPr>
          <w:p>
            <w:pPr>
              <w:spacing w:line="290" w:lineRule="exact"/>
              <w:rPr>
                <w:rFonts w:hint="eastAsia" w:ascii="仿宋" w:hAnsi="仿宋" w:eastAsia="仿宋" w:cs="仿宋"/>
                <w:color w:val="auto"/>
                <w:sz w:val="24"/>
              </w:rPr>
            </w:pPr>
            <w:r>
              <w:rPr>
                <w:rFonts w:hint="eastAsia" w:ascii="仿宋" w:hAnsi="仿宋" w:eastAsia="仿宋" w:cs="仿宋"/>
                <w:color w:val="auto"/>
                <w:sz w:val="24"/>
              </w:rPr>
              <w:t>支持设备日常运维，对象包括：SAN 网络交换机和存储设备，提供功能截图；</w:t>
            </w:r>
          </w:p>
        </w:tc>
      </w:tr>
      <w:tr>
        <w:tblPrEx>
          <w:tblCellMar>
            <w:top w:w="0" w:type="dxa"/>
            <w:left w:w="108" w:type="dxa"/>
            <w:bottom w:w="0" w:type="dxa"/>
            <w:right w:w="108" w:type="dxa"/>
          </w:tblCellMar>
        </w:tblPrEx>
        <w:trPr>
          <w:trHeight w:val="85" w:hRule="atLeast"/>
        </w:trPr>
        <w:tc>
          <w:tcPr>
            <w:tcW w:w="1413" w:type="dxa"/>
            <w:vMerge w:val="continue"/>
            <w:tcBorders>
              <w:left w:val="single" w:color="auto" w:sz="4" w:space="0"/>
              <w:right w:val="single" w:color="auto" w:sz="4" w:space="0"/>
            </w:tcBorders>
            <w:shd w:val="clear" w:color="auto" w:fill="auto"/>
            <w:vAlign w:val="center"/>
          </w:tcPr>
          <w:p>
            <w:pPr>
              <w:rPr>
                <w:rFonts w:hint="eastAsia" w:ascii="仿宋" w:hAnsi="仿宋" w:eastAsia="仿宋" w:cs="仿宋"/>
                <w:color w:val="auto"/>
                <w:sz w:val="24"/>
              </w:rPr>
            </w:pPr>
          </w:p>
        </w:tc>
        <w:tc>
          <w:tcPr>
            <w:tcW w:w="6883" w:type="dxa"/>
            <w:tcBorders>
              <w:top w:val="nil"/>
              <w:left w:val="nil"/>
              <w:bottom w:val="single" w:color="auto" w:sz="4" w:space="0"/>
              <w:right w:val="single" w:color="auto" w:sz="4" w:space="0"/>
            </w:tcBorders>
            <w:shd w:val="clear" w:color="auto" w:fill="auto"/>
            <w:vAlign w:val="center"/>
          </w:tcPr>
          <w:p>
            <w:pPr>
              <w:spacing w:line="290" w:lineRule="exact"/>
              <w:rPr>
                <w:rFonts w:hint="eastAsia" w:ascii="仿宋" w:hAnsi="仿宋" w:eastAsia="仿宋" w:cs="仿宋"/>
                <w:color w:val="auto"/>
                <w:sz w:val="24"/>
              </w:rPr>
            </w:pPr>
            <w:r>
              <w:rPr>
                <w:rFonts w:hint="eastAsia" w:ascii="仿宋" w:hAnsi="仿宋" w:eastAsia="仿宋" w:cs="仿宋"/>
                <w:color w:val="auto"/>
                <w:sz w:val="24"/>
              </w:rPr>
              <w:t>支持存储设备各类异常状态的预警、资源不足、I/O 性能不足、设备掉线等异常事件的报警；通过 http 方式推送给现有统一告警平台；</w:t>
            </w:r>
          </w:p>
        </w:tc>
      </w:tr>
      <w:tr>
        <w:tblPrEx>
          <w:tblCellMar>
            <w:top w:w="0" w:type="dxa"/>
            <w:left w:w="108" w:type="dxa"/>
            <w:bottom w:w="0" w:type="dxa"/>
            <w:right w:w="108" w:type="dxa"/>
          </w:tblCellMar>
        </w:tblPrEx>
        <w:trPr>
          <w:trHeight w:val="85" w:hRule="atLeast"/>
        </w:trPr>
        <w:tc>
          <w:tcPr>
            <w:tcW w:w="1413" w:type="dxa"/>
            <w:vMerge w:val="continue"/>
            <w:tcBorders>
              <w:left w:val="single" w:color="auto" w:sz="4" w:space="0"/>
              <w:right w:val="single" w:color="auto" w:sz="4" w:space="0"/>
            </w:tcBorders>
            <w:shd w:val="clear" w:color="auto" w:fill="auto"/>
            <w:vAlign w:val="center"/>
          </w:tcPr>
          <w:p>
            <w:pPr>
              <w:rPr>
                <w:rFonts w:hint="eastAsia" w:ascii="仿宋" w:hAnsi="仿宋" w:eastAsia="仿宋" w:cs="仿宋"/>
                <w:color w:val="auto"/>
                <w:sz w:val="24"/>
              </w:rPr>
            </w:pPr>
          </w:p>
        </w:tc>
        <w:tc>
          <w:tcPr>
            <w:tcW w:w="6883" w:type="dxa"/>
            <w:tcBorders>
              <w:top w:val="nil"/>
              <w:left w:val="nil"/>
              <w:bottom w:val="single" w:color="auto" w:sz="4" w:space="0"/>
              <w:right w:val="single" w:color="auto" w:sz="4" w:space="0"/>
            </w:tcBorders>
            <w:shd w:val="clear" w:color="auto" w:fill="auto"/>
            <w:vAlign w:val="center"/>
          </w:tcPr>
          <w:p>
            <w:pPr>
              <w:spacing w:line="290" w:lineRule="exact"/>
              <w:rPr>
                <w:rFonts w:hint="eastAsia" w:ascii="仿宋" w:hAnsi="仿宋" w:eastAsia="仿宋" w:cs="仿宋"/>
                <w:color w:val="auto"/>
                <w:sz w:val="24"/>
              </w:rPr>
            </w:pPr>
            <w:r>
              <w:rPr>
                <w:rFonts w:hint="eastAsia" w:ascii="仿宋" w:hAnsi="仿宋" w:eastAsia="仿宋" w:cs="仿宋"/>
                <w:color w:val="auto"/>
                <w:sz w:val="24"/>
              </w:rPr>
              <w:t>实现EMC Symmetrix高端存储的设备和性能管理；</w:t>
            </w:r>
          </w:p>
        </w:tc>
      </w:tr>
      <w:tr>
        <w:trPr>
          <w:trHeight w:val="85" w:hRule="atLeast"/>
        </w:trPr>
        <w:tc>
          <w:tcPr>
            <w:tcW w:w="1413" w:type="dxa"/>
            <w:vMerge w:val="continue"/>
            <w:tcBorders>
              <w:left w:val="single" w:color="auto" w:sz="4" w:space="0"/>
              <w:bottom w:val="single" w:color="auto" w:sz="4" w:space="0"/>
              <w:right w:val="single" w:color="auto" w:sz="4" w:space="0"/>
            </w:tcBorders>
            <w:shd w:val="clear" w:color="auto" w:fill="auto"/>
            <w:vAlign w:val="center"/>
          </w:tcPr>
          <w:p>
            <w:pPr>
              <w:rPr>
                <w:rFonts w:hint="eastAsia" w:ascii="仿宋" w:hAnsi="仿宋" w:eastAsia="仿宋" w:cs="仿宋"/>
                <w:color w:val="auto"/>
                <w:sz w:val="24"/>
              </w:rPr>
            </w:pPr>
          </w:p>
        </w:tc>
        <w:tc>
          <w:tcPr>
            <w:tcW w:w="6883" w:type="dxa"/>
            <w:tcBorders>
              <w:top w:val="nil"/>
              <w:left w:val="nil"/>
              <w:bottom w:val="single" w:color="auto" w:sz="4" w:space="0"/>
              <w:right w:val="single" w:color="auto" w:sz="4" w:space="0"/>
            </w:tcBorders>
            <w:shd w:val="clear" w:color="auto" w:fill="auto"/>
            <w:vAlign w:val="center"/>
          </w:tcPr>
          <w:p>
            <w:pPr>
              <w:spacing w:line="290" w:lineRule="exact"/>
              <w:rPr>
                <w:rFonts w:hint="eastAsia" w:ascii="仿宋" w:hAnsi="仿宋" w:eastAsia="仿宋" w:cs="仿宋"/>
                <w:color w:val="auto"/>
                <w:sz w:val="24"/>
              </w:rPr>
            </w:pPr>
            <w:r>
              <w:rPr>
                <w:rFonts w:hint="eastAsia" w:ascii="仿宋" w:hAnsi="仿宋" w:eastAsia="仿宋" w:cs="仿宋"/>
                <w:color w:val="auto"/>
                <w:sz w:val="24"/>
              </w:rPr>
              <w:t>SAN网络链路故障、核心指标可以实时监控， 故障指标可以预警，可以溯源分析。</w:t>
            </w:r>
          </w:p>
        </w:tc>
      </w:tr>
      <w:tr>
        <w:trPr>
          <w:trHeight w:val="576" w:hRule="atLeast"/>
        </w:trPr>
        <w:tc>
          <w:tcPr>
            <w:tcW w:w="1413"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在线数据压缩技术</w:t>
            </w:r>
          </w:p>
        </w:tc>
        <w:tc>
          <w:tcPr>
            <w:tcW w:w="688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支持并配置在线数据压缩，配置专用的压缩硬件，不占用控制器CPU性能资源，提供白皮书或官网链接截图。</w:t>
            </w:r>
          </w:p>
        </w:tc>
      </w:tr>
      <w:tr>
        <w:trPr>
          <w:trHeight w:val="63" w:hRule="atLeast"/>
        </w:trPr>
        <w:tc>
          <w:tcPr>
            <w:tcW w:w="1413"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快照数据副本管理</w:t>
            </w:r>
          </w:p>
        </w:tc>
        <w:tc>
          <w:tcPr>
            <w:tcW w:w="688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配置应用感知到的数据副本管理软件，支持Oracle, SQL Server, Exchange等主流应用环境，实现副本自动化创建与挂接，刷新等操作，应用管理员可直接对应用使用的数据卷进行快照克隆日程定制化，并可在主机挂载用于数据分析，备份恢复和测试开发等用途,配置无限量数据副本快照许可和不低于20份自动化副本主机Mount挂载许可；</w:t>
            </w:r>
          </w:p>
        </w:tc>
      </w:tr>
      <w:tr>
        <w:tblPrEx>
          <w:tblCellMar>
            <w:top w:w="0" w:type="dxa"/>
            <w:left w:w="108" w:type="dxa"/>
            <w:bottom w:w="0" w:type="dxa"/>
            <w:right w:w="108" w:type="dxa"/>
          </w:tblCellMar>
        </w:tblPrEx>
        <w:trPr>
          <w:trHeight w:val="288" w:hRule="atLeast"/>
        </w:trPr>
        <w:tc>
          <w:tcPr>
            <w:tcW w:w="1413"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管理性</w:t>
            </w:r>
          </w:p>
        </w:tc>
        <w:tc>
          <w:tcPr>
            <w:tcW w:w="688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支持并配置图形化管理功能软件，支持并配置Rest API管理功能，支持并配置命令行管理功能；</w:t>
            </w:r>
          </w:p>
        </w:tc>
      </w:tr>
      <w:tr>
        <w:trPr>
          <w:trHeight w:val="576"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仿宋" w:hAnsi="仿宋" w:eastAsia="仿宋" w:cs="仿宋"/>
                <w:color w:val="auto"/>
                <w:kern w:val="0"/>
                <w:sz w:val="24"/>
              </w:rPr>
            </w:pPr>
          </w:p>
        </w:tc>
        <w:tc>
          <w:tcPr>
            <w:tcW w:w="688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支持并配置CSI Provider容器接口；</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支持并配置Ansibe自动化运维工具接口；</w:t>
            </w:r>
          </w:p>
        </w:tc>
      </w:tr>
      <w:tr>
        <w:tblPrEx>
          <w:tblCellMar>
            <w:top w:w="0" w:type="dxa"/>
            <w:left w:w="108" w:type="dxa"/>
            <w:bottom w:w="0" w:type="dxa"/>
            <w:right w:w="108" w:type="dxa"/>
          </w:tblCellMar>
        </w:tblPrEx>
        <w:trPr>
          <w:trHeight w:val="864" w:hRule="atLeast"/>
        </w:trPr>
        <w:tc>
          <w:tcPr>
            <w:tcW w:w="1413"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可靠性</w:t>
            </w:r>
          </w:p>
        </w:tc>
        <w:tc>
          <w:tcPr>
            <w:tcW w:w="688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支持冗余配置的部件，如：缓存、内存、控制卡、闪盘、RAID控制器、电源、风扇等，没有单点故障。 能够做到不停机维护、在线调整（包括软、硬件升级、扩容、设备更换等操作）。支持并提供官方文档6个9的Availability可用性证明。</w:t>
            </w:r>
          </w:p>
        </w:tc>
      </w:tr>
      <w:tr>
        <w:tblPrEx>
          <w:tblCellMar>
            <w:top w:w="0" w:type="dxa"/>
            <w:left w:w="108" w:type="dxa"/>
            <w:bottom w:w="0" w:type="dxa"/>
            <w:right w:w="108" w:type="dxa"/>
          </w:tblCellMar>
        </w:tblPrEx>
        <w:trPr>
          <w:trHeight w:val="288" w:hRule="atLeast"/>
        </w:trPr>
        <w:tc>
          <w:tcPr>
            <w:tcW w:w="1413"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故障隔离和恢复</w:t>
            </w:r>
          </w:p>
        </w:tc>
        <w:tc>
          <w:tcPr>
            <w:tcW w:w="688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要求支持在线更换控制器、接口控制卡、磁盘、风扇、电源等部件。</w:t>
            </w:r>
          </w:p>
        </w:tc>
      </w:tr>
      <w:tr>
        <w:tblPrEx>
          <w:tblCellMar>
            <w:top w:w="0" w:type="dxa"/>
            <w:left w:w="108" w:type="dxa"/>
            <w:bottom w:w="0" w:type="dxa"/>
            <w:right w:w="108" w:type="dxa"/>
          </w:tblCellMar>
        </w:tblPrEx>
        <w:trPr>
          <w:trHeight w:val="576" w:hRule="atLeast"/>
        </w:trPr>
        <w:tc>
          <w:tcPr>
            <w:tcW w:w="1413"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支持在线升级</w:t>
            </w:r>
          </w:p>
        </w:tc>
        <w:tc>
          <w:tcPr>
            <w:tcW w:w="688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要求支持微码并发在线升级；支持在线增加SSD或闪存模块实现容量扩展，要求增加SSD或者闪存模块的最小单位为1块SSD或者闪存模块，扩容过程无需停机无需重新手动创建RAID。</w:t>
            </w:r>
          </w:p>
        </w:tc>
      </w:tr>
      <w:tr>
        <w:trPr>
          <w:trHeight w:val="288" w:hRule="atLeast"/>
        </w:trPr>
        <w:tc>
          <w:tcPr>
            <w:tcW w:w="1413"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断电保护</w:t>
            </w:r>
          </w:p>
        </w:tc>
        <w:tc>
          <w:tcPr>
            <w:tcW w:w="688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要求配置冗余的电源，关键部件双路供电，并且在1路电源故障的情况下可以正常工作。</w:t>
            </w:r>
          </w:p>
        </w:tc>
      </w:tr>
      <w:tr>
        <w:tblPrEx>
          <w:tblCellMar>
            <w:top w:w="0" w:type="dxa"/>
            <w:left w:w="108" w:type="dxa"/>
            <w:bottom w:w="0" w:type="dxa"/>
            <w:right w:w="108" w:type="dxa"/>
          </w:tblCellMar>
        </w:tblPrEx>
        <w:trPr>
          <w:trHeight w:val="288" w:hRule="atLeast"/>
        </w:trPr>
        <w:tc>
          <w:tcPr>
            <w:tcW w:w="1413"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兼容性要求</w:t>
            </w:r>
          </w:p>
        </w:tc>
        <w:tc>
          <w:tcPr>
            <w:tcW w:w="688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支持Windows、主流Unix、Liunx、VMWare ESXi等主流操作系统。支持Brocade、Cisco等主流SAN交换机。</w:t>
            </w:r>
          </w:p>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要求为VMware全球合作伙伴联盟成员，并提供VMWARE官网截图和链接（附Vmware官方网站查询网址为www.vmware.com/cn/partners/global-alliances/）。</w:t>
            </w:r>
          </w:p>
        </w:tc>
      </w:tr>
      <w:tr>
        <w:trPr>
          <w:trHeight w:val="576" w:hRule="atLeast"/>
        </w:trPr>
        <w:tc>
          <w:tcPr>
            <w:tcW w:w="1413"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服务</w:t>
            </w:r>
          </w:p>
        </w:tc>
        <w:tc>
          <w:tcPr>
            <w:tcW w:w="688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原厂商质保服务， 5年7×24小时,原厂商需要在浙江地区设立有分公司，签订合同时必须提供所涉及产品原厂商针对本项目专项授权和原厂盖章的服务承诺函。</w:t>
            </w:r>
          </w:p>
        </w:tc>
      </w:tr>
    </w:tbl>
    <w:p>
      <w:pPr>
        <w:pStyle w:val="2"/>
        <w:ind w:firstLine="240"/>
        <w:rPr>
          <w:rFonts w:hint="eastAsia" w:ascii="仿宋" w:hAnsi="仿宋" w:eastAsia="仿宋" w:cs="仿宋"/>
          <w:color w:val="auto"/>
          <w:sz w:val="24"/>
        </w:rPr>
      </w:pPr>
    </w:p>
    <w:p>
      <w:pPr>
        <w:numPr>
          <w:ilvl w:val="0"/>
          <w:numId w:val="9"/>
        </w:numPr>
        <w:snapToGrid w:val="0"/>
        <w:spacing w:before="120" w:beforeLines="50" w:line="360" w:lineRule="auto"/>
        <w:jc w:val="left"/>
        <w:rPr>
          <w:rFonts w:hint="eastAsia" w:ascii="仿宋" w:hAnsi="仿宋" w:eastAsia="仿宋" w:cs="仿宋"/>
          <w:color w:val="auto"/>
          <w:sz w:val="24"/>
        </w:rPr>
      </w:pPr>
      <w:r>
        <w:rPr>
          <w:rFonts w:hint="eastAsia" w:ascii="仿宋" w:hAnsi="仿宋" w:eastAsia="仿宋" w:cs="仿宋"/>
          <w:color w:val="auto"/>
          <w:sz w:val="24"/>
        </w:rPr>
        <w:t>数据双活容灾资源技术指标要求（1批）：</w:t>
      </w:r>
    </w:p>
    <w:tbl>
      <w:tblPr>
        <w:tblStyle w:val="43"/>
        <w:tblW w:w="0" w:type="auto"/>
        <w:tblInd w:w="0" w:type="dxa"/>
        <w:tblLayout w:type="autofit"/>
        <w:tblCellMar>
          <w:top w:w="0" w:type="dxa"/>
          <w:left w:w="108" w:type="dxa"/>
          <w:bottom w:w="0" w:type="dxa"/>
          <w:right w:w="108" w:type="dxa"/>
        </w:tblCellMar>
      </w:tblPr>
      <w:tblGrid>
        <w:gridCol w:w="1413"/>
        <w:gridCol w:w="6883"/>
      </w:tblGrid>
      <w:tr>
        <w:trPr>
          <w:trHeight w:val="288" w:hRule="atLeast"/>
        </w:trPr>
        <w:tc>
          <w:tcPr>
            <w:tcW w:w="1413" w:type="dxa"/>
            <w:tcBorders>
              <w:top w:val="single" w:color="auto" w:sz="4" w:space="0"/>
              <w:left w:val="single" w:color="auto" w:sz="4" w:space="0"/>
              <w:bottom w:val="single" w:color="auto" w:sz="4" w:space="0"/>
              <w:right w:val="single" w:color="auto" w:sz="4" w:space="0"/>
            </w:tcBorders>
            <w:shd w:val="clear" w:color="auto" w:fill="auto"/>
          </w:tcPr>
          <w:p>
            <w:pPr>
              <w:widowControl/>
              <w:jc w:val="left"/>
              <w:rPr>
                <w:rFonts w:hint="eastAsia" w:ascii="仿宋" w:hAnsi="仿宋" w:eastAsia="仿宋" w:cs="仿宋"/>
                <w:b/>
                <w:bCs/>
                <w:color w:val="auto"/>
                <w:kern w:val="0"/>
                <w:sz w:val="24"/>
              </w:rPr>
            </w:pPr>
            <w:r>
              <w:rPr>
                <w:rFonts w:hint="eastAsia" w:ascii="仿宋" w:hAnsi="仿宋" w:eastAsia="仿宋" w:cs="仿宋"/>
                <w:color w:val="auto"/>
                <w:sz w:val="24"/>
              </w:rPr>
              <w:t>指标项</w:t>
            </w:r>
          </w:p>
        </w:tc>
        <w:tc>
          <w:tcPr>
            <w:tcW w:w="6883" w:type="dxa"/>
            <w:tcBorders>
              <w:top w:val="single" w:color="auto" w:sz="4" w:space="0"/>
              <w:left w:val="nil"/>
              <w:bottom w:val="single" w:color="auto" w:sz="4" w:space="0"/>
              <w:right w:val="single" w:color="auto" w:sz="4" w:space="0"/>
            </w:tcBorders>
            <w:shd w:val="clear" w:color="auto" w:fill="auto"/>
          </w:tcPr>
          <w:p>
            <w:pPr>
              <w:widowControl/>
              <w:jc w:val="left"/>
              <w:rPr>
                <w:rFonts w:hint="eastAsia" w:ascii="仿宋" w:hAnsi="仿宋" w:eastAsia="仿宋" w:cs="仿宋"/>
                <w:b/>
                <w:bCs/>
                <w:color w:val="auto"/>
                <w:kern w:val="0"/>
                <w:sz w:val="24"/>
              </w:rPr>
            </w:pPr>
            <w:r>
              <w:rPr>
                <w:rFonts w:hint="eastAsia" w:ascii="仿宋" w:hAnsi="仿宋" w:eastAsia="仿宋" w:cs="仿宋"/>
                <w:color w:val="auto"/>
                <w:sz w:val="24"/>
              </w:rPr>
              <w:t>技术要求</w:t>
            </w:r>
          </w:p>
        </w:tc>
      </w:tr>
      <w:tr>
        <w:tblPrEx>
          <w:tblCellMar>
            <w:top w:w="0" w:type="dxa"/>
            <w:left w:w="108" w:type="dxa"/>
            <w:bottom w:w="0" w:type="dxa"/>
            <w:right w:w="108" w:type="dxa"/>
          </w:tblCellMar>
        </w:tblPrEx>
        <w:trPr>
          <w:trHeight w:val="864" w:hRule="atLeast"/>
        </w:trPr>
        <w:tc>
          <w:tcPr>
            <w:tcW w:w="1413"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资源要求</w:t>
            </w:r>
          </w:p>
        </w:tc>
        <w:tc>
          <w:tcPr>
            <w:tcW w:w="688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提供不小于100VCPU、250G内存及50T存储的数据双活容灾资源，一条1000M医院至容灾机房的数字链路，要求容灾机房环境符合B级机房，距离绍兴市人民医院不得超过30公里，并配备7*24专职值守人员，负责机房容灾资源运维。</w:t>
            </w:r>
          </w:p>
        </w:tc>
      </w:tr>
    </w:tbl>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相关要求：</w:t>
      </w:r>
    </w:p>
    <w:p>
      <w:pPr>
        <w:tabs>
          <w:tab w:val="left" w:pos="1106"/>
          <w:tab w:val="left" w:pos="2211"/>
          <w:tab w:val="left" w:pos="3317"/>
          <w:tab w:val="left" w:pos="4423"/>
          <w:tab w:val="left" w:pos="5528"/>
          <w:tab w:val="left" w:pos="6634"/>
          <w:tab w:val="left" w:pos="7740"/>
        </w:tabs>
        <w:ind w:firstLine="480" w:firstLineChars="200"/>
        <w:rPr>
          <w:rFonts w:hint="eastAsia" w:ascii="仿宋" w:hAnsi="仿宋" w:eastAsia="仿宋" w:cs="仿宋"/>
          <w:color w:val="auto"/>
          <w:sz w:val="24"/>
        </w:rPr>
      </w:pPr>
      <w:r>
        <w:rPr>
          <w:rFonts w:hint="eastAsia" w:ascii="仿宋" w:hAnsi="仿宋" w:eastAsia="仿宋" w:cs="仿宋"/>
          <w:color w:val="auto"/>
          <w:sz w:val="24"/>
        </w:rPr>
        <w:t>1、投标人必须保证所有设备为原装正规渠道行货,有原厂服务、如有需要则提供正规渠道等证明，所有产品均原包装到用户，当场开箱验货.同时提供该设备相关技术参数的说明.如不符招标书技术要求,采购人有权退货并且后果一概由中标人承担。</w:t>
      </w:r>
    </w:p>
    <w:p>
      <w:pPr>
        <w:tabs>
          <w:tab w:val="left" w:pos="1106"/>
          <w:tab w:val="left" w:pos="2211"/>
          <w:tab w:val="left" w:pos="3317"/>
          <w:tab w:val="left" w:pos="4423"/>
          <w:tab w:val="left" w:pos="5528"/>
          <w:tab w:val="left" w:pos="6634"/>
          <w:tab w:val="left" w:pos="7740"/>
        </w:tabs>
        <w:ind w:firstLine="480" w:firstLineChars="200"/>
        <w:rPr>
          <w:rFonts w:hint="eastAsia" w:ascii="仿宋" w:hAnsi="仿宋" w:eastAsia="仿宋" w:cs="仿宋"/>
          <w:color w:val="auto"/>
          <w:sz w:val="24"/>
        </w:rPr>
      </w:pPr>
      <w:r>
        <w:rPr>
          <w:rFonts w:hint="eastAsia" w:ascii="仿宋" w:hAnsi="仿宋" w:eastAsia="仿宋" w:cs="仿宋"/>
          <w:color w:val="auto"/>
          <w:sz w:val="24"/>
        </w:rPr>
        <w:t>2、为保证项目顺利实施和后续维护服务，项目须由中标人实施不允许转包，中标人中标后确定一名具有信息系统项目管理师资质的项目经理，项目经理负责组织和协调项目工作组提供本项目的建设和维护工作，项目工作组成员应包括项目经理和投标书中项目团队工程师，承诺中标后项目团队人员在项目实施过程中均到采购人现场进行项目实施，提供项目组成员资质证明和本单位社保证明，否则采购人将终止合同，如发现项目为转包项目，取消其中标资格且后果一概由中标人承担。</w:t>
      </w:r>
    </w:p>
    <w:p>
      <w:pPr>
        <w:tabs>
          <w:tab w:val="left" w:pos="1106"/>
          <w:tab w:val="left" w:pos="2211"/>
          <w:tab w:val="left" w:pos="3317"/>
          <w:tab w:val="left" w:pos="4423"/>
          <w:tab w:val="left" w:pos="5528"/>
          <w:tab w:val="left" w:pos="6634"/>
          <w:tab w:val="left" w:pos="7740"/>
        </w:tabs>
        <w:ind w:firstLine="480" w:firstLineChars="200"/>
        <w:rPr>
          <w:rFonts w:hint="eastAsia" w:ascii="仿宋" w:hAnsi="仿宋" w:eastAsia="仿宋" w:cs="仿宋"/>
          <w:color w:val="auto"/>
          <w:sz w:val="24"/>
        </w:rPr>
      </w:pPr>
      <w:r>
        <w:rPr>
          <w:rFonts w:hint="eastAsia" w:ascii="仿宋" w:hAnsi="仿宋" w:eastAsia="仿宋" w:cs="仿宋"/>
          <w:color w:val="auto"/>
          <w:sz w:val="24"/>
        </w:rPr>
        <w:t>3、中标人在签订合同时必须提供标书要求的存储虚拟化设备、数据库存储项目授权书原件，供货时提供存储虚拟化设备、数据库存储原厂五年质保函(复印件无效，服务承诺书要求有明确服务年限)。由原厂授权工程师和原厂认证工程师到本地完成招标设备安装工作，搭建双活数据中心，保证原有HIS、EMR数据库数据不间断迁移服务等配置工作,不得影响原有业务系统，要求做好原有系统相关的原有服务器、存储连续数据保护设备及网络安全产品配置及版本升级等工作，本项目涉及招标人内部业务系统及原有设备调整所产生的所有费用均包含在投标报价中。</w:t>
      </w:r>
    </w:p>
    <w:p>
      <w:pPr>
        <w:tabs>
          <w:tab w:val="left" w:pos="1106"/>
          <w:tab w:val="left" w:pos="2211"/>
          <w:tab w:val="left" w:pos="3317"/>
          <w:tab w:val="left" w:pos="4423"/>
          <w:tab w:val="left" w:pos="5528"/>
          <w:tab w:val="left" w:pos="6634"/>
          <w:tab w:val="left" w:pos="7740"/>
        </w:tabs>
        <w:ind w:firstLine="480" w:firstLineChars="200"/>
        <w:rPr>
          <w:rFonts w:hint="eastAsia" w:ascii="仿宋" w:hAnsi="仿宋" w:eastAsia="仿宋" w:cs="仿宋"/>
          <w:color w:val="auto"/>
          <w:sz w:val="24"/>
        </w:rPr>
      </w:pPr>
      <w:r>
        <w:rPr>
          <w:rFonts w:hint="eastAsia" w:ascii="仿宋" w:hAnsi="仿宋" w:eastAsia="仿宋" w:cs="仿宋"/>
          <w:color w:val="auto"/>
          <w:sz w:val="24"/>
        </w:rPr>
        <w:t>4、存储虚拟化设备需提供售后服务工程师名单、联系方式以及社保证明，原厂服务人员不少于5人，提供用于参观的备品备件库地址联系方式等。</w:t>
      </w:r>
    </w:p>
    <w:p>
      <w:pPr>
        <w:tabs>
          <w:tab w:val="left" w:pos="1106"/>
          <w:tab w:val="left" w:pos="2211"/>
          <w:tab w:val="left" w:pos="3317"/>
          <w:tab w:val="left" w:pos="4423"/>
          <w:tab w:val="left" w:pos="5528"/>
          <w:tab w:val="left" w:pos="6634"/>
          <w:tab w:val="left" w:pos="7740"/>
        </w:tabs>
        <w:ind w:firstLine="480" w:firstLineChars="200"/>
        <w:rPr>
          <w:rFonts w:hint="eastAsia" w:ascii="仿宋" w:hAnsi="仿宋" w:eastAsia="仿宋" w:cs="仿宋"/>
          <w:color w:val="auto"/>
          <w:sz w:val="24"/>
        </w:rPr>
      </w:pPr>
      <w:r>
        <w:rPr>
          <w:rFonts w:hint="eastAsia" w:ascii="仿宋" w:hAnsi="仿宋" w:eastAsia="仿宋" w:cs="仿宋"/>
          <w:color w:val="auto"/>
          <w:sz w:val="24"/>
        </w:rPr>
        <w:t>5、数据库存储服务要求：</w:t>
      </w:r>
    </w:p>
    <w:p>
      <w:pPr>
        <w:tabs>
          <w:tab w:val="left" w:pos="1106"/>
          <w:tab w:val="left" w:pos="2211"/>
          <w:tab w:val="left" w:pos="3317"/>
          <w:tab w:val="left" w:pos="4423"/>
          <w:tab w:val="left" w:pos="5528"/>
          <w:tab w:val="left" w:pos="6634"/>
          <w:tab w:val="left" w:pos="7740"/>
        </w:tabs>
        <w:ind w:firstLine="480" w:firstLineChars="200"/>
        <w:rPr>
          <w:rFonts w:hint="eastAsia" w:ascii="仿宋" w:hAnsi="仿宋" w:eastAsia="仿宋" w:cs="仿宋"/>
          <w:color w:val="auto"/>
          <w:sz w:val="24"/>
        </w:rPr>
      </w:pPr>
      <w:r>
        <w:rPr>
          <w:rFonts w:hint="eastAsia" w:ascii="仿宋" w:hAnsi="仿宋" w:eastAsia="仿宋" w:cs="仿宋"/>
          <w:color w:val="auto"/>
          <w:sz w:val="24"/>
        </w:rPr>
        <w:t>（1）原厂上门安装和实施，按用户要求配置存储双活和快照等内容，4小时内客户现场响应，包括硬件保修电话支持、现场支持、软件升级 。</w:t>
      </w:r>
    </w:p>
    <w:p>
      <w:pPr>
        <w:tabs>
          <w:tab w:val="left" w:pos="1106"/>
          <w:tab w:val="left" w:pos="2211"/>
          <w:tab w:val="left" w:pos="3317"/>
          <w:tab w:val="left" w:pos="4423"/>
          <w:tab w:val="left" w:pos="5528"/>
          <w:tab w:val="left" w:pos="6634"/>
          <w:tab w:val="left" w:pos="7740"/>
        </w:tabs>
        <w:ind w:firstLine="480" w:firstLineChars="200"/>
        <w:rPr>
          <w:rFonts w:hint="eastAsia" w:ascii="仿宋" w:hAnsi="仿宋" w:eastAsia="仿宋" w:cs="仿宋"/>
          <w:color w:val="auto"/>
          <w:sz w:val="24"/>
        </w:rPr>
      </w:pPr>
      <w:r>
        <w:rPr>
          <w:rFonts w:hint="eastAsia" w:ascii="仿宋" w:hAnsi="仿宋" w:eastAsia="仿宋" w:cs="仿宋"/>
          <w:color w:val="auto"/>
          <w:sz w:val="24"/>
        </w:rPr>
        <w:t>（2）提供扩容设备原厂每季度一次的存储设备巡检服务，定期存储硬件健康检查，IO与带宽性能负载情况分析，收集日志针对日志分析存储运行状况，得出存储的运行状况报告，直到原厂维保结束。</w:t>
      </w:r>
    </w:p>
    <w:p>
      <w:pPr>
        <w:pStyle w:val="2"/>
        <w:ind w:firstLine="480" w:firstLineChars="200"/>
        <w:rPr>
          <w:rFonts w:hint="eastAsia" w:ascii="仿宋" w:hAnsi="仿宋" w:eastAsia="仿宋" w:cs="仿宋"/>
          <w:color w:val="auto"/>
        </w:rPr>
      </w:pPr>
      <w:r>
        <w:rPr>
          <w:rFonts w:hint="eastAsia" w:ascii="仿宋" w:hAnsi="仿宋" w:eastAsia="仿宋" w:cs="仿宋"/>
          <w:color w:val="auto"/>
          <w:sz w:val="24"/>
        </w:rPr>
        <w:t>（3）投标人根据院方要求，提供详细的数据迁移方案并将核心数据库无缝迁移至数据中心。在此过程中所产生的风险、损失均由投标方承担。</w:t>
      </w:r>
    </w:p>
    <w:p>
      <w:pPr>
        <w:spacing w:line="360" w:lineRule="auto"/>
        <w:rPr>
          <w:rFonts w:hint="eastAsia" w:ascii="仿宋" w:hAnsi="仿宋" w:eastAsia="仿宋" w:cs="仿宋"/>
          <w:b/>
          <w:color w:val="auto"/>
          <w:sz w:val="24"/>
        </w:rPr>
      </w:pPr>
      <w:r>
        <w:rPr>
          <w:rFonts w:hint="eastAsia" w:ascii="仿宋" w:hAnsi="仿宋" w:eastAsia="仿宋" w:cs="仿宋"/>
          <w:b/>
          <w:color w:val="auto"/>
          <w:sz w:val="24"/>
        </w:rPr>
        <w:t>三、项目实施进度要求:</w:t>
      </w:r>
    </w:p>
    <w:p>
      <w:pPr>
        <w:pStyle w:val="22"/>
        <w:ind w:left="0" w:leftChars="0"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rPr>
        <w:t>中标人在合同签订之日起20天内所有设备全部到货（用户根据工程进度需要延迟的除外），开箱验收后根椐招标人要求完成安装调试，安装过程中用户不负责保管，直至系统正式上线的所有费用有中标人自行负责。</w:t>
      </w:r>
    </w:p>
    <w:p>
      <w:pPr>
        <w:pStyle w:val="22"/>
        <w:ind w:left="0" w:leftChars="0" w:firstLine="480" w:firstLineChars="200"/>
        <w:rPr>
          <w:rFonts w:hint="eastAsia" w:ascii="仿宋" w:hAnsi="仿宋" w:eastAsia="仿宋" w:cs="仿宋"/>
          <w:b/>
          <w:color w:val="auto"/>
          <w:sz w:val="24"/>
        </w:rPr>
      </w:pPr>
      <w:r>
        <w:rPr>
          <w:rFonts w:hint="eastAsia" w:ascii="仿宋" w:hAnsi="仿宋" w:eastAsia="仿宋" w:cs="仿宋"/>
          <w:color w:val="auto"/>
          <w:sz w:val="24"/>
        </w:rPr>
        <w:t>(2)安装地址：绍兴市人民医院。</w:t>
      </w:r>
    </w:p>
    <w:p>
      <w:pPr>
        <w:spacing w:line="360" w:lineRule="auto"/>
        <w:rPr>
          <w:rFonts w:hint="eastAsia" w:ascii="仿宋" w:hAnsi="仿宋" w:eastAsia="仿宋" w:cs="仿宋"/>
          <w:b/>
          <w:color w:val="auto"/>
          <w:sz w:val="24"/>
        </w:rPr>
      </w:pPr>
      <w:r>
        <w:rPr>
          <w:rFonts w:hint="eastAsia" w:ascii="仿宋" w:hAnsi="仿宋" w:eastAsia="仿宋" w:cs="仿宋"/>
          <w:b/>
          <w:color w:val="auto"/>
          <w:sz w:val="24"/>
        </w:rPr>
        <w:t>四、项目培训要求:</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1、系统操作培训：主要面向使用人员，提供操作培训及文档；</w:t>
      </w:r>
    </w:p>
    <w:p>
      <w:pPr>
        <w:tabs>
          <w:tab w:val="left" w:pos="1106"/>
          <w:tab w:val="left" w:pos="2211"/>
          <w:tab w:val="left" w:pos="3317"/>
          <w:tab w:val="left" w:pos="4423"/>
          <w:tab w:val="left" w:pos="5528"/>
          <w:tab w:val="left" w:pos="6634"/>
          <w:tab w:val="left" w:pos="7740"/>
        </w:tabs>
        <w:ind w:firstLine="480" w:firstLineChars="200"/>
        <w:rPr>
          <w:rFonts w:hint="eastAsia" w:ascii="仿宋" w:hAnsi="仿宋" w:eastAsia="仿宋" w:cs="仿宋"/>
          <w:color w:val="auto"/>
          <w:sz w:val="24"/>
        </w:rPr>
      </w:pPr>
      <w:r>
        <w:rPr>
          <w:rFonts w:hint="eastAsia" w:ascii="仿宋" w:hAnsi="仿宋" w:eastAsia="仿宋" w:cs="仿宋"/>
          <w:color w:val="auto"/>
          <w:sz w:val="24"/>
        </w:rPr>
        <w:t>2、中标人提供三个不少于1周的原厂商存储培训名额。</w:t>
      </w:r>
    </w:p>
    <w:p>
      <w:pPr>
        <w:spacing w:line="360" w:lineRule="auto"/>
        <w:rPr>
          <w:rFonts w:hint="eastAsia" w:ascii="仿宋" w:hAnsi="仿宋" w:eastAsia="仿宋" w:cs="仿宋"/>
          <w:b/>
          <w:color w:val="auto"/>
          <w:sz w:val="24"/>
        </w:rPr>
      </w:pPr>
      <w:r>
        <w:rPr>
          <w:rFonts w:hint="eastAsia" w:ascii="仿宋" w:hAnsi="仿宋" w:eastAsia="仿宋" w:cs="仿宋"/>
          <w:b/>
          <w:color w:val="auto"/>
          <w:sz w:val="24"/>
        </w:rPr>
        <w:t>五、项目售后服务要求:</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(1)投标人必须根据本次招标文件所制定的目标和范围，提出相应的售后服务方案。</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提供7*24小时日常服务，通过提供邮件、电话、QQ、VPN远程连接等技术支持方式，以解决日常系统出现的问题咨询和故障处理。当甲方出现紧急故障情况时，立即向投标方电话报修，要求投标方10分钟内响应，积极配合诊断并进行处理。</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(3)要求针对本项目成立软件开发实施项目组，明确项目经理及其他具体人员组成和分工。项目经理负责定期每月向甲方提交工作计划月报以及每周提交工作周报总结，监管项目按进度和计划有效开展。</w:t>
      </w:r>
    </w:p>
    <w:p>
      <w:pPr>
        <w:spacing w:line="360" w:lineRule="auto"/>
        <w:rPr>
          <w:rFonts w:hint="eastAsia" w:ascii="仿宋" w:hAnsi="仿宋" w:eastAsia="仿宋" w:cs="仿宋"/>
          <w:b/>
          <w:color w:val="auto"/>
          <w:sz w:val="24"/>
        </w:rPr>
      </w:pPr>
      <w:r>
        <w:rPr>
          <w:rFonts w:hint="eastAsia" w:ascii="仿宋" w:hAnsi="仿宋" w:eastAsia="仿宋" w:cs="仿宋"/>
          <w:b/>
          <w:color w:val="auto"/>
          <w:sz w:val="24"/>
        </w:rPr>
        <w:t>六、项目验收要求:</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项目的工作内容及成果文档的提交应覆盖以下内容，电子文档是成果不可分割的部分。</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(1)实施确认书；</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(2)培训资料；</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(3)安装维护手册；</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(4)使用操作手册；</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(5)硬件设备需提供原厂质保函。</w:t>
      </w:r>
    </w:p>
    <w:p>
      <w:pPr>
        <w:spacing w:line="360" w:lineRule="auto"/>
        <w:ind w:firstLine="480" w:firstLineChars="200"/>
        <w:rPr>
          <w:rFonts w:hint="eastAsia" w:ascii="仿宋" w:hAnsi="仿宋" w:eastAsia="仿宋" w:cs="仿宋"/>
          <w:b/>
          <w:color w:val="auto"/>
          <w:sz w:val="24"/>
        </w:rPr>
      </w:pPr>
      <w:r>
        <w:rPr>
          <w:rFonts w:hint="eastAsia" w:ascii="仿宋" w:hAnsi="仿宋" w:eastAsia="仿宋" w:cs="仿宋"/>
          <w:color w:val="auto"/>
          <w:sz w:val="24"/>
        </w:rPr>
        <w:t>(6)项目验收报告。</w:t>
      </w:r>
    </w:p>
    <w:p>
      <w:pPr>
        <w:spacing w:line="360" w:lineRule="auto"/>
        <w:rPr>
          <w:rFonts w:hint="eastAsia" w:ascii="仿宋" w:hAnsi="仿宋" w:eastAsia="仿宋" w:cs="仿宋"/>
          <w:b/>
          <w:color w:val="auto"/>
          <w:sz w:val="24"/>
        </w:rPr>
      </w:pPr>
      <w:r>
        <w:rPr>
          <w:rFonts w:hint="eastAsia" w:ascii="仿宋" w:hAnsi="仿宋" w:eastAsia="仿宋" w:cs="仿宋"/>
          <w:b/>
          <w:color w:val="auto"/>
          <w:sz w:val="24"/>
        </w:rPr>
        <w:t>七、付款方式：</w:t>
      </w:r>
    </w:p>
    <w:p>
      <w:pPr>
        <w:autoSpaceDE w:val="0"/>
        <w:autoSpaceDN w:val="0"/>
        <w:adjustRightInd w:val="0"/>
        <w:spacing w:line="324"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功能全力推动经济稳进提质的通知》（浙财采监〔2022〕3号）文件要求执行，具体付款方式由双方协商后在合同中明确。不得把履约保证金转为质量保证金或收取质量保证金。</w:t>
      </w:r>
    </w:p>
    <w:p>
      <w:pPr>
        <w:rPr>
          <w:rFonts w:hint="eastAsia" w:ascii="仿宋" w:hAnsi="仿宋" w:eastAsia="仿宋" w:cs="仿宋"/>
          <w:color w:val="auto"/>
          <w:lang w:val="zh-CN"/>
        </w:rPr>
      </w:pPr>
    </w:p>
    <w:p>
      <w:pPr>
        <w:pStyle w:val="25"/>
        <w:pageBreakBefore/>
        <w:spacing w:line="800" w:lineRule="exact"/>
        <w:ind w:firstLine="726"/>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第四部分  </w:t>
      </w:r>
      <w:r>
        <w:rPr>
          <w:rFonts w:hint="eastAsia" w:ascii="仿宋" w:hAnsi="仿宋" w:eastAsia="仿宋" w:cs="仿宋"/>
          <w:b/>
          <w:color w:val="auto"/>
          <w:sz w:val="36"/>
          <w:szCs w:val="36"/>
        </w:rPr>
        <w:t>政府采购合同参考范本</w:t>
      </w:r>
    </w:p>
    <w:p>
      <w:pPr>
        <w:rPr>
          <w:rFonts w:hint="eastAsia" w:ascii="仿宋" w:hAnsi="仿宋" w:eastAsia="仿宋" w:cs="仿宋"/>
          <w:color w:val="auto"/>
          <w:sz w:val="24"/>
        </w:rPr>
      </w:pPr>
    </w:p>
    <w:p>
      <w:pPr>
        <w:rPr>
          <w:rFonts w:hint="eastAsia"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pPr>
        <w:spacing w:line="480" w:lineRule="auto"/>
        <w:jc w:val="center"/>
        <w:rPr>
          <w:rFonts w:hint="eastAsia" w:ascii="仿宋" w:hAnsi="仿宋" w:eastAsia="仿宋" w:cs="仿宋"/>
          <w:b/>
          <w:color w:val="auto"/>
          <w:sz w:val="28"/>
          <w:szCs w:val="28"/>
        </w:rPr>
      </w:pPr>
    </w:p>
    <w:p>
      <w:pPr>
        <w:spacing w:line="480" w:lineRule="auto"/>
        <w:jc w:val="center"/>
        <w:rPr>
          <w:rFonts w:hint="eastAsia" w:ascii="仿宋" w:hAnsi="仿宋" w:eastAsia="仿宋" w:cs="仿宋"/>
          <w:b/>
          <w:color w:val="auto"/>
          <w:sz w:val="24"/>
        </w:rPr>
      </w:pPr>
    </w:p>
    <w:p>
      <w:pPr>
        <w:spacing w:line="480" w:lineRule="auto"/>
        <w:jc w:val="center"/>
        <w:rPr>
          <w:rFonts w:hint="eastAsia" w:ascii="仿宋" w:hAnsi="仿宋" w:eastAsia="仿宋" w:cs="仿宋"/>
          <w:b/>
          <w:color w:val="auto"/>
          <w:sz w:val="24"/>
        </w:rPr>
      </w:pPr>
    </w:p>
    <w:p>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（货物类）</w:t>
      </w:r>
    </w:p>
    <w:p>
      <w:pPr>
        <w:pStyle w:val="281"/>
        <w:rPr>
          <w:rFonts w:hint="eastAsia" w:ascii="仿宋" w:hAnsi="仿宋" w:eastAsia="仿宋" w:cs="仿宋"/>
          <w:color w:val="auto"/>
          <w:szCs w:val="24"/>
        </w:rPr>
      </w:pPr>
    </w:p>
    <w:p>
      <w:pPr>
        <w:pStyle w:val="281"/>
        <w:rPr>
          <w:rFonts w:hint="eastAsia" w:ascii="仿宋" w:hAnsi="仿宋" w:eastAsia="仿宋" w:cs="仿宋"/>
          <w:color w:val="auto"/>
          <w:szCs w:val="24"/>
        </w:rPr>
      </w:pPr>
    </w:p>
    <w:p>
      <w:pPr>
        <w:pStyle w:val="281"/>
        <w:jc w:val="center"/>
        <w:rPr>
          <w:rFonts w:hint="eastAsia" w:ascii="仿宋" w:hAnsi="仿宋" w:eastAsia="仿宋" w:cs="仿宋"/>
          <w:color w:val="auto"/>
          <w:szCs w:val="24"/>
        </w:rPr>
      </w:pPr>
    </w:p>
    <w:p>
      <w:pPr>
        <w:pStyle w:val="281"/>
        <w:ind w:firstLine="2843" w:firstLineChars="1180"/>
        <w:rPr>
          <w:rFonts w:hint="eastAsia" w:ascii="仿宋" w:hAnsi="仿宋" w:eastAsia="仿宋" w:cs="仿宋"/>
          <w:b/>
          <w:color w:val="auto"/>
          <w:szCs w:val="24"/>
        </w:rPr>
      </w:pPr>
      <w:r>
        <w:rPr>
          <w:rFonts w:hint="eastAsia" w:ascii="仿宋" w:hAnsi="仿宋" w:eastAsia="仿宋" w:cs="仿宋"/>
          <w:b/>
          <w:color w:val="auto"/>
          <w:szCs w:val="24"/>
        </w:rPr>
        <w:t xml:space="preserve">第一部分  </w:t>
      </w:r>
      <w:r>
        <w:rPr>
          <w:rFonts w:hint="eastAsia" w:ascii="仿宋" w:hAnsi="仿宋" w:eastAsia="仿宋" w:cs="仿宋"/>
          <w:b/>
          <w:color w:val="auto"/>
          <w:szCs w:val="24"/>
        </w:rPr>
        <w:t xml:space="preserve"> </w:t>
      </w:r>
      <w:r>
        <w:rPr>
          <w:rFonts w:hint="eastAsia" w:ascii="仿宋" w:hAnsi="仿宋" w:eastAsia="仿宋" w:cs="仿宋"/>
          <w:b/>
          <w:color w:val="auto"/>
          <w:szCs w:val="24"/>
        </w:rPr>
        <w:t>合同书</w:t>
      </w:r>
    </w:p>
    <w:p>
      <w:pPr>
        <w:pStyle w:val="281"/>
        <w:rPr>
          <w:rFonts w:hint="eastAsia" w:ascii="仿宋" w:hAnsi="仿宋" w:eastAsia="仿宋" w:cs="仿宋"/>
          <w:color w:val="auto"/>
          <w:szCs w:val="24"/>
        </w:rPr>
      </w:pPr>
    </w:p>
    <w:p>
      <w:pPr>
        <w:pStyle w:val="281"/>
        <w:rPr>
          <w:rFonts w:hint="eastAsia" w:ascii="仿宋" w:hAnsi="仿宋" w:eastAsia="仿宋" w:cs="仿宋"/>
          <w:color w:val="auto"/>
          <w:szCs w:val="24"/>
        </w:rPr>
      </w:pPr>
    </w:p>
    <w:p>
      <w:pPr>
        <w:spacing w:before="120" w:line="22" w:lineRule="atLeast"/>
        <w:rPr>
          <w:rFonts w:hint="eastAsia" w:ascii="仿宋" w:hAnsi="仿宋" w:eastAsia="仿宋" w:cs="仿宋"/>
          <w:color w:val="auto"/>
          <w:sz w:val="24"/>
        </w:rPr>
      </w:pPr>
    </w:p>
    <w:p>
      <w:pPr>
        <w:spacing w:before="120" w:line="22" w:lineRule="atLeast"/>
        <w:ind w:left="960"/>
        <w:rPr>
          <w:rFonts w:hint="eastAsia"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pPr>
        <w:pStyle w:val="280"/>
        <w:spacing w:before="120" w:line="22" w:lineRule="atLeast"/>
        <w:rPr>
          <w:rFonts w:hint="eastAsia" w:ascii="仿宋" w:hAnsi="仿宋" w:eastAsia="仿宋" w:cs="仿宋"/>
          <w:color w:val="auto"/>
          <w:szCs w:val="24"/>
        </w:rPr>
      </w:pPr>
    </w:p>
    <w:p>
      <w:pPr>
        <w:pStyle w:val="280"/>
        <w:spacing w:before="120" w:line="22" w:lineRule="atLeast"/>
        <w:rPr>
          <w:rFonts w:hint="eastAsia" w:ascii="仿宋" w:hAnsi="仿宋" w:eastAsia="仿宋" w:cs="仿宋"/>
          <w:color w:val="auto"/>
          <w:szCs w:val="24"/>
        </w:rPr>
      </w:pPr>
    </w:p>
    <w:p>
      <w:pPr>
        <w:rPr>
          <w:rFonts w:hint="eastAsia" w:ascii="仿宋" w:hAnsi="仿宋" w:eastAsia="仿宋" w:cs="仿宋"/>
          <w:color w:val="auto"/>
          <w:sz w:val="24"/>
        </w:rPr>
      </w:pPr>
    </w:p>
    <w:p>
      <w:pPr>
        <w:spacing w:before="120" w:line="22" w:lineRule="atLeast"/>
        <w:ind w:left="960"/>
        <w:rPr>
          <w:rFonts w:hint="eastAsia"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pPr>
        <w:spacing w:before="120" w:line="22" w:lineRule="atLeast"/>
        <w:rPr>
          <w:rFonts w:hint="eastAsia" w:ascii="仿宋" w:hAnsi="仿宋" w:eastAsia="仿宋" w:cs="仿宋"/>
          <w:color w:val="auto"/>
          <w:sz w:val="24"/>
        </w:rPr>
      </w:pPr>
    </w:p>
    <w:p>
      <w:pPr>
        <w:spacing w:before="120" w:line="22" w:lineRule="atLeast"/>
        <w:ind w:left="960"/>
        <w:rPr>
          <w:rFonts w:hint="eastAsia"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pPr>
        <w:spacing w:before="120" w:line="22" w:lineRule="atLeast"/>
        <w:rPr>
          <w:rFonts w:hint="eastAsia" w:ascii="仿宋" w:hAnsi="仿宋" w:eastAsia="仿宋" w:cs="仿宋"/>
          <w:color w:val="auto"/>
          <w:sz w:val="24"/>
        </w:rPr>
      </w:pPr>
    </w:p>
    <w:p>
      <w:pPr>
        <w:spacing w:before="120" w:line="22" w:lineRule="atLeast"/>
        <w:ind w:firstLine="960" w:firstLineChars="400"/>
        <w:rPr>
          <w:rFonts w:hint="eastAsia"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pPr>
        <w:spacing w:before="120" w:line="22" w:lineRule="atLeast"/>
        <w:rPr>
          <w:rFonts w:hint="eastAsia" w:ascii="仿宋" w:hAnsi="仿宋" w:eastAsia="仿宋" w:cs="仿宋"/>
          <w:color w:val="auto"/>
          <w:sz w:val="24"/>
        </w:rPr>
      </w:pPr>
    </w:p>
    <w:p>
      <w:pPr>
        <w:spacing w:before="120" w:line="22" w:lineRule="atLeast"/>
        <w:ind w:firstLine="960" w:firstLineChars="400"/>
        <w:rPr>
          <w:rFonts w:hint="eastAsia"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widowControl/>
        <w:jc w:val="left"/>
        <w:rPr>
          <w:rFonts w:hint="eastAsia" w:ascii="仿宋" w:hAnsi="仿宋" w:eastAsia="仿宋" w:cs="仿宋"/>
          <w:color w:val="auto"/>
          <w:kern w:val="0"/>
          <w:sz w:val="24"/>
        </w:rPr>
        <w:sectPr>
          <w:headerReference r:id="rId3" w:type="default"/>
          <w:footerReference r:id="rId4"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rPr>
        <w:t>（采购人）</w:t>
      </w:r>
      <w:r>
        <w:rPr>
          <w:rFonts w:hint="eastAsia" w:ascii="仿宋" w:hAnsi="仿宋" w:eastAsia="仿宋" w:cs="仿宋"/>
          <w:color w:val="auto"/>
          <w:sz w:val="24"/>
          <w:u w:val="single"/>
        </w:rPr>
        <w:t xml:space="preserve">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（同前</w:t>
      </w:r>
      <w:r>
        <w:rPr>
          <w:rFonts w:hint="eastAsia" w:ascii="仿宋" w:hAnsi="仿宋" w:eastAsia="仿宋" w:cs="仿宋"/>
          <w:color w:val="auto"/>
          <w:sz w:val="24"/>
          <w:u w:val="single"/>
        </w:rPr>
        <w:t>页项目名称）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（中标供应商名称）</w:t>
      </w:r>
      <w:r>
        <w:rPr>
          <w:rFonts w:hint="eastAsia" w:ascii="仿宋" w:hAnsi="仿宋" w:eastAsia="仿宋" w:cs="仿宋"/>
          <w:color w:val="auto"/>
          <w:sz w:val="24"/>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rPr>
        <w:t>（采购人）</w:t>
      </w:r>
      <w:r>
        <w:rPr>
          <w:rFonts w:hint="eastAsia" w:ascii="仿宋" w:hAnsi="仿宋" w:eastAsia="仿宋" w:cs="仿宋"/>
          <w:color w:val="auto"/>
          <w:sz w:val="24"/>
          <w:u w:val="single"/>
        </w:rPr>
        <w:t xml:space="preserve">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spacing w:line="560" w:lineRule="exact"/>
        <w:ind w:firstLine="482" w:firstLineChars="200"/>
        <w:outlineLvl w:val="0"/>
        <w:rPr>
          <w:rFonts w:hint="eastAsia" w:ascii="仿宋" w:hAnsi="仿宋" w:eastAsia="仿宋" w:cs="仿宋"/>
          <w:b/>
          <w:color w:val="auto"/>
          <w:sz w:val="24"/>
        </w:rPr>
      </w:pPr>
      <w:bookmarkStart w:id="15" w:name="_Toc24059"/>
      <w:bookmarkStart w:id="16" w:name="_Toc3029"/>
      <w:bookmarkStart w:id="17" w:name="_Toc2232"/>
      <w:r>
        <w:rPr>
          <w:rFonts w:hint="eastAsia" w:ascii="仿宋" w:hAnsi="仿宋" w:eastAsia="仿宋" w:cs="仿宋"/>
          <w:b/>
          <w:color w:val="auto"/>
          <w:sz w:val="24"/>
        </w:rPr>
        <w:t xml:space="preserve">1.1 </w:t>
      </w:r>
      <w:r>
        <w:rPr>
          <w:rFonts w:hint="eastAsia" w:ascii="仿宋" w:hAnsi="仿宋" w:eastAsia="仿宋" w:cs="仿宋"/>
          <w:b/>
          <w:color w:val="auto"/>
          <w:sz w:val="24"/>
        </w:rPr>
        <w:t>合同组成部分</w:t>
      </w:r>
      <w:bookmarkEnd w:id="15"/>
      <w:bookmarkEnd w:id="16"/>
      <w:bookmarkEnd w:id="17"/>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1.1.1 </w:t>
      </w:r>
      <w:r>
        <w:rPr>
          <w:rFonts w:hint="eastAsia" w:ascii="仿宋" w:hAnsi="仿宋" w:eastAsia="仿宋" w:cs="仿宋"/>
          <w:color w:val="auto"/>
          <w:sz w:val="24"/>
        </w:rPr>
        <w:t>本合同及其补充合同、变更协议；</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1.1.2 </w:t>
      </w:r>
      <w:r>
        <w:rPr>
          <w:rFonts w:hint="eastAsia" w:ascii="仿宋" w:hAnsi="仿宋" w:eastAsia="仿宋" w:cs="仿宋"/>
          <w:color w:val="auto"/>
          <w:sz w:val="24"/>
        </w:rPr>
        <w:t>中标通知书；</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1.1.3 </w:t>
      </w:r>
      <w:r>
        <w:rPr>
          <w:rFonts w:hint="eastAsia" w:ascii="仿宋" w:hAnsi="仿宋" w:eastAsia="仿宋" w:cs="仿宋"/>
          <w:color w:val="auto"/>
          <w:sz w:val="24"/>
        </w:rPr>
        <w:t>投标文件（含澄清或者说明文件）；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1.1.4 </w:t>
      </w:r>
      <w:r>
        <w:rPr>
          <w:rFonts w:hint="eastAsia" w:ascii="仿宋" w:hAnsi="仿宋" w:eastAsia="仿宋" w:cs="仿宋"/>
          <w:color w:val="auto"/>
          <w:sz w:val="24"/>
        </w:rPr>
        <w:t>招标文件（含澄清或者修改文件）；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1.1.5 </w:t>
      </w:r>
      <w:r>
        <w:rPr>
          <w:rFonts w:hint="eastAsia" w:ascii="仿宋" w:hAnsi="仿宋" w:eastAsia="仿宋" w:cs="仿宋"/>
          <w:color w:val="auto"/>
          <w:sz w:val="24"/>
        </w:rPr>
        <w:t>其他相关采购文件。</w:t>
      </w:r>
    </w:p>
    <w:p>
      <w:pPr>
        <w:spacing w:line="560" w:lineRule="exact"/>
        <w:ind w:firstLine="482" w:firstLineChars="200"/>
        <w:outlineLvl w:val="0"/>
        <w:rPr>
          <w:rFonts w:hint="eastAsia" w:ascii="仿宋" w:hAnsi="仿宋" w:eastAsia="仿宋" w:cs="仿宋"/>
          <w:b/>
          <w:color w:val="auto"/>
          <w:sz w:val="24"/>
        </w:rPr>
      </w:pPr>
      <w:bookmarkStart w:id="18" w:name="_Toc27126"/>
      <w:bookmarkStart w:id="19" w:name="_Toc21295"/>
      <w:bookmarkStart w:id="20" w:name="_Toc24300"/>
      <w:r>
        <w:rPr>
          <w:rFonts w:hint="eastAsia" w:ascii="仿宋" w:hAnsi="仿宋" w:eastAsia="仿宋" w:cs="仿宋"/>
          <w:b/>
          <w:color w:val="auto"/>
          <w:sz w:val="24"/>
        </w:rPr>
        <w:t xml:space="preserve">1.2 </w:t>
      </w:r>
      <w:r>
        <w:rPr>
          <w:rFonts w:hint="eastAsia" w:ascii="仿宋" w:hAnsi="仿宋" w:eastAsia="仿宋" w:cs="仿宋"/>
          <w:b/>
          <w:color w:val="auto"/>
          <w:sz w:val="24"/>
        </w:rPr>
        <w:t>货物</w:t>
      </w:r>
      <w:bookmarkEnd w:id="18"/>
      <w:bookmarkEnd w:id="19"/>
      <w:bookmarkEnd w:id="20"/>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 xml:space="preserve">1.2.1 </w:t>
      </w:r>
      <w:r>
        <w:rPr>
          <w:rFonts w:hint="eastAsia" w:ascii="仿宋" w:hAnsi="仿宋" w:eastAsia="仿宋" w:cs="仿宋"/>
          <w:color w:val="auto"/>
          <w:sz w:val="24"/>
        </w:rPr>
        <w:t>货物名称：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 xml:space="preserve">1.2.2 </w:t>
      </w:r>
      <w:r>
        <w:rPr>
          <w:rFonts w:hint="eastAsia" w:ascii="仿宋" w:hAnsi="仿宋" w:eastAsia="仿宋" w:cs="仿宋"/>
          <w:color w:val="auto"/>
          <w:sz w:val="24"/>
        </w:rPr>
        <w:t>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1.2.3 </w:t>
      </w:r>
      <w:r>
        <w:rPr>
          <w:rFonts w:hint="eastAsia" w:ascii="仿宋" w:hAnsi="仿宋" w:eastAsia="仿宋" w:cs="仿宋"/>
          <w:color w:val="auto"/>
          <w:sz w:val="24"/>
        </w:rPr>
        <w:t>货物质量：</w:t>
      </w:r>
      <w:r>
        <w:rPr>
          <w:rFonts w:hint="eastAsia" w:ascii="仿宋" w:hAnsi="仿宋" w:eastAsia="仿宋" w:cs="仿宋"/>
          <w:color w:val="auto"/>
          <w:sz w:val="24"/>
          <w:u w:val="single"/>
        </w:rPr>
        <w:t>　　　　　　　　　</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21" w:name="_Toc21551"/>
      <w:bookmarkStart w:id="22" w:name="_Toc21631"/>
      <w:bookmarkStart w:id="23" w:name="_Toc23292"/>
      <w:r>
        <w:rPr>
          <w:rFonts w:hint="eastAsia" w:ascii="仿宋" w:hAnsi="仿宋" w:eastAsia="仿宋" w:cs="仿宋"/>
          <w:b/>
          <w:color w:val="auto"/>
          <w:sz w:val="24"/>
        </w:rPr>
        <w:t xml:space="preserve">1.3 </w:t>
      </w:r>
      <w:r>
        <w:rPr>
          <w:rFonts w:hint="eastAsia" w:ascii="仿宋" w:hAnsi="仿宋" w:eastAsia="仿宋" w:cs="仿宋"/>
          <w:b/>
          <w:color w:val="auto"/>
          <w:sz w:val="24"/>
        </w:rPr>
        <w:t>价款</w:t>
      </w:r>
      <w:bookmarkEnd w:id="21"/>
      <w:bookmarkEnd w:id="22"/>
      <w:bookmarkEnd w:id="23"/>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本合同总价为：￥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4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hint="eastAsia" w:ascii="仿宋" w:hAnsi="仿宋" w:eastAsia="仿宋" w:cs="仿宋"/>
                <w:color w:val="auto"/>
                <w:sz w:val="24"/>
                <w:szCs w:val="24"/>
              </w:rPr>
            </w:pPr>
          </w:p>
        </w:tc>
      </w:tr>
    </w:tbl>
    <w:p>
      <w:pPr>
        <w:spacing w:line="440" w:lineRule="exact"/>
        <w:ind w:firstLine="482" w:firstLineChars="200"/>
        <w:outlineLvl w:val="0"/>
        <w:rPr>
          <w:rFonts w:hint="eastAsia" w:ascii="仿宋" w:hAnsi="仿宋" w:eastAsia="仿宋" w:cs="仿宋"/>
          <w:b/>
          <w:color w:val="auto"/>
          <w:sz w:val="24"/>
        </w:rPr>
      </w:pPr>
      <w:bookmarkStart w:id="24" w:name="_Toc22618"/>
      <w:bookmarkStart w:id="25" w:name="_Toc1814"/>
      <w:bookmarkStart w:id="26" w:name="_Toc10340"/>
      <w:r>
        <w:rPr>
          <w:rFonts w:hint="eastAsia" w:ascii="仿宋" w:hAnsi="仿宋" w:eastAsia="仿宋" w:cs="仿宋"/>
          <w:b/>
          <w:color w:val="auto"/>
          <w:sz w:val="24"/>
        </w:rPr>
        <w:t xml:space="preserve">1.4 </w:t>
      </w:r>
      <w:r>
        <w:rPr>
          <w:rFonts w:hint="eastAsia" w:ascii="仿宋" w:hAnsi="仿宋" w:eastAsia="仿宋" w:cs="仿宋"/>
          <w:b/>
          <w:color w:val="auto"/>
          <w:sz w:val="24"/>
        </w:rPr>
        <w:t>付款</w:t>
      </w:r>
      <w:bookmarkEnd w:id="24"/>
      <w:bookmarkEnd w:id="25"/>
      <w:bookmarkEnd w:id="26"/>
      <w:r>
        <w:rPr>
          <w:rFonts w:hint="eastAsia" w:ascii="仿宋" w:hAnsi="仿宋" w:eastAsia="仿宋" w:cs="仿宋"/>
          <w:b/>
          <w:color w:val="auto"/>
          <w:sz w:val="24"/>
        </w:rPr>
        <w:t>方式、时间和条件</w:t>
      </w:r>
    </w:p>
    <w:p>
      <w:pPr>
        <w:pStyle w:val="282"/>
        <w:spacing w:before="0" w:beforeAutospacing="0" w:after="0" w:afterAutospacing="0" w:line="440" w:lineRule="exact"/>
        <w:ind w:firstLine="480"/>
        <w:rPr>
          <w:rFonts w:hint="eastAsia" w:ascii="仿宋" w:hAnsi="仿宋" w:eastAsia="仿宋" w:cs="仿宋"/>
          <w:color w:val="auto"/>
        </w:rPr>
      </w:pPr>
      <w:r>
        <w:rPr>
          <w:rFonts w:hint="eastAsia" w:ascii="仿宋" w:hAnsi="仿宋" w:eastAsia="仿宋" w:cs="仿宋"/>
          <w:color w:val="auto"/>
        </w:rPr>
        <w:t>1.4.1</w:t>
      </w:r>
      <w:r>
        <w:rPr>
          <w:rFonts w:hint="eastAsia" w:ascii="仿宋" w:hAnsi="仿宋" w:eastAsia="仿宋" w:cs="仿宋"/>
          <w:color w:val="auto"/>
        </w:rPr>
        <w:t>甲方应严格履行合同，及时组织验收，验收合格后及时将合同款支付完毕。对于满足合同约定支付条件的，甲方自收到发票后</w:t>
      </w:r>
      <w:r>
        <w:rPr>
          <w:rFonts w:hint="eastAsia" w:ascii="仿宋" w:hAnsi="仿宋" w:eastAsia="仿宋" w:cs="仿宋"/>
          <w:color w:val="auto"/>
        </w:rPr>
        <w:t>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1.4.2</w:t>
      </w:r>
      <w:r>
        <w:rPr>
          <w:rFonts w:hint="eastAsia" w:ascii="仿宋" w:hAnsi="仿宋" w:eastAsia="仿宋" w:cs="仿宋"/>
          <w:color w:val="auto"/>
          <w:sz w:val="24"/>
        </w:rPr>
        <w:t>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1.4.3</w:t>
      </w:r>
      <w:r>
        <w:rPr>
          <w:rFonts w:hint="eastAsia" w:ascii="仿宋" w:hAnsi="仿宋" w:eastAsia="仿宋" w:cs="仿宋"/>
          <w:color w:val="auto"/>
          <w:sz w:val="24"/>
        </w:rPr>
        <w:t>甲方迟延支付乙方款项的，向乙方支付逾期利息。双方可以在合同专用条款中约定逾期利率，约定利率不得低于合同订立时</w:t>
      </w:r>
      <w:r>
        <w:rPr>
          <w:rFonts w:hint="eastAsia" w:ascii="仿宋" w:hAnsi="仿宋" w:eastAsia="仿宋" w:cs="仿宋"/>
          <w:color w:val="auto"/>
          <w:sz w:val="24"/>
        </w:rPr>
        <w:t>1年</w:t>
      </w:r>
      <w:r>
        <w:rPr>
          <w:rFonts w:hint="eastAsia" w:ascii="仿宋" w:hAnsi="仿宋" w:eastAsia="仿宋" w:cs="仿宋"/>
          <w:color w:val="auto"/>
          <w:sz w:val="24"/>
        </w:rPr>
        <w:t>期贷款市场报价利率；未作约定的，按照每日利率万分之五支付逾期利息。</w:t>
      </w:r>
    </w:p>
    <w:p>
      <w:pPr>
        <w:spacing w:line="440" w:lineRule="exact"/>
        <w:ind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1.4.4资金支付的方式、时间和条件详见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2" w:firstLineChars="200"/>
        <w:outlineLvl w:val="0"/>
        <w:rPr>
          <w:rFonts w:hint="eastAsia" w:ascii="仿宋" w:hAnsi="仿宋" w:eastAsia="仿宋" w:cs="仿宋"/>
          <w:b/>
          <w:color w:val="auto"/>
          <w:sz w:val="24"/>
        </w:rPr>
      </w:pPr>
      <w:bookmarkStart w:id="27" w:name="_Toc19304"/>
      <w:bookmarkStart w:id="28" w:name="_Toc2846"/>
      <w:bookmarkStart w:id="29" w:name="_Toc32071"/>
      <w:r>
        <w:rPr>
          <w:rFonts w:hint="eastAsia" w:ascii="仿宋" w:hAnsi="仿宋" w:eastAsia="仿宋" w:cs="仿宋"/>
          <w:b/>
          <w:color w:val="auto"/>
          <w:sz w:val="24"/>
        </w:rPr>
        <w:t xml:space="preserve">1.5 </w:t>
      </w:r>
      <w:r>
        <w:rPr>
          <w:rFonts w:hint="eastAsia" w:ascii="仿宋" w:hAnsi="仿宋" w:eastAsia="仿宋" w:cs="仿宋"/>
          <w:b/>
          <w:color w:val="auto"/>
          <w:sz w:val="24"/>
        </w:rPr>
        <w:t>货物交付期限、地点和方式</w:t>
      </w:r>
      <w:bookmarkEnd w:id="27"/>
      <w:bookmarkEnd w:id="28"/>
      <w:bookmarkEnd w:id="29"/>
    </w:p>
    <w:p>
      <w:pP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 xml:space="preserve">1.5.1 </w:t>
      </w:r>
      <w:r>
        <w:rPr>
          <w:rFonts w:hint="eastAsia" w:ascii="仿宋" w:hAnsi="仿宋" w:eastAsia="仿宋" w:cs="仿宋"/>
          <w:color w:val="auto"/>
          <w:sz w:val="24"/>
        </w:rPr>
        <w:t>交付期限：</w:t>
      </w: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1.5.2 </w:t>
      </w:r>
      <w:r>
        <w:rPr>
          <w:rFonts w:hint="eastAsia" w:ascii="仿宋" w:hAnsi="仿宋" w:eastAsia="仿宋" w:cs="仿宋"/>
          <w:color w:val="auto"/>
          <w:sz w:val="24"/>
        </w:rPr>
        <w:t>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1.5.3 </w:t>
      </w:r>
      <w:r>
        <w:rPr>
          <w:rFonts w:hint="eastAsia" w:ascii="仿宋" w:hAnsi="仿宋" w:eastAsia="仿宋" w:cs="仿宋"/>
          <w:color w:val="auto"/>
          <w:sz w:val="24"/>
        </w:rPr>
        <w:t>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30" w:name="_Toc19554"/>
      <w:bookmarkStart w:id="31" w:name="_Toc21423"/>
      <w:bookmarkStart w:id="32" w:name="_Toc27250"/>
      <w:r>
        <w:rPr>
          <w:rFonts w:hint="eastAsia" w:ascii="仿宋" w:hAnsi="仿宋" w:eastAsia="仿宋" w:cs="仿宋"/>
          <w:b/>
          <w:color w:val="auto"/>
          <w:sz w:val="24"/>
        </w:rPr>
        <w:t xml:space="preserve">1.6 </w:t>
      </w:r>
      <w:r>
        <w:rPr>
          <w:rFonts w:hint="eastAsia" w:ascii="仿宋" w:hAnsi="仿宋" w:eastAsia="仿宋" w:cs="仿宋"/>
          <w:b/>
          <w:color w:val="auto"/>
          <w:sz w:val="24"/>
        </w:rPr>
        <w:t>违约责任</w:t>
      </w:r>
      <w:bookmarkEnd w:id="30"/>
      <w:bookmarkEnd w:id="31"/>
      <w:bookmarkEnd w:id="32"/>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1.6.1 </w:t>
      </w:r>
      <w:r>
        <w:rPr>
          <w:rFonts w:hint="eastAsia" w:ascii="仿宋" w:hAnsi="仿宋" w:eastAsia="仿宋" w:cs="仿宋"/>
          <w:color w:val="auto"/>
          <w:sz w:val="24"/>
        </w:rPr>
        <w:t>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1.6.2 </w:t>
      </w:r>
      <w:r>
        <w:rPr>
          <w:rFonts w:hint="eastAsia" w:ascii="仿宋" w:hAnsi="仿宋" w:eastAsia="仿宋" w:cs="仿宋"/>
          <w:color w:val="auto"/>
          <w:sz w:val="24"/>
        </w:rPr>
        <w:t>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1.6.3 </w:t>
      </w:r>
      <w:r>
        <w:rPr>
          <w:rFonts w:hint="eastAsia" w:ascii="仿宋" w:hAnsi="仿宋" w:eastAsia="仿宋" w:cs="仿宋"/>
          <w:color w:val="auto"/>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1.6.4 </w:t>
      </w:r>
      <w:r>
        <w:rPr>
          <w:rFonts w:hint="eastAsia" w:ascii="仿宋" w:hAnsi="仿宋" w:eastAsia="仿宋" w:cs="仿宋"/>
          <w:color w:val="auto"/>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1.6.5 </w:t>
      </w:r>
      <w:r>
        <w:rPr>
          <w:rFonts w:hint="eastAsia" w:ascii="仿宋" w:hAnsi="仿宋" w:eastAsia="仿宋" w:cs="仿宋"/>
          <w:color w:val="auto"/>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1.6.6 </w:t>
      </w:r>
      <w:r>
        <w:rPr>
          <w:rFonts w:hint="eastAsia" w:ascii="仿宋" w:hAnsi="仿宋" w:eastAsia="仿宋" w:cs="仿宋"/>
          <w:color w:val="auto"/>
          <w:sz w:val="24"/>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auto"/>
        </w:rPr>
      </w:pPr>
      <w:r>
        <w:rPr>
          <w:rFonts w:hint="eastAsia" w:ascii="仿宋" w:hAnsi="仿宋" w:eastAsia="仿宋" w:cs="仿宋"/>
          <w:color w:val="auto"/>
          <w:sz w:val="24"/>
        </w:rPr>
        <w:t>1.6.7违约责任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p>
      <w:pPr>
        <w:spacing w:line="560" w:lineRule="exact"/>
        <w:ind w:firstLine="482" w:firstLineChars="200"/>
        <w:outlineLvl w:val="0"/>
        <w:rPr>
          <w:rFonts w:hint="eastAsia" w:ascii="仿宋" w:hAnsi="仿宋" w:eastAsia="仿宋" w:cs="仿宋"/>
          <w:b/>
          <w:color w:val="auto"/>
          <w:sz w:val="24"/>
        </w:rPr>
      </w:pPr>
      <w:bookmarkStart w:id="33" w:name="_Toc16021"/>
      <w:bookmarkStart w:id="34" w:name="_Toc28375"/>
      <w:bookmarkStart w:id="35" w:name="_Toc15583"/>
      <w:r>
        <w:rPr>
          <w:rFonts w:hint="eastAsia" w:ascii="仿宋" w:hAnsi="仿宋" w:eastAsia="仿宋" w:cs="仿宋"/>
          <w:b/>
          <w:color w:val="auto"/>
          <w:sz w:val="24"/>
        </w:rPr>
        <w:t xml:space="preserve">1.7 </w:t>
      </w:r>
      <w:r>
        <w:rPr>
          <w:rFonts w:hint="eastAsia" w:ascii="仿宋" w:hAnsi="仿宋" w:eastAsia="仿宋" w:cs="仿宋"/>
          <w:b/>
          <w:color w:val="auto"/>
          <w:sz w:val="24"/>
        </w:rPr>
        <w:t>合同争议的解决</w:t>
      </w:r>
      <w:bookmarkEnd w:id="33"/>
      <w:bookmarkEnd w:id="34"/>
      <w:bookmarkEnd w:id="35"/>
    </w:p>
    <w:p>
      <w:pPr>
        <w:spacing w:line="560" w:lineRule="exact"/>
        <w:ind w:left="-61" w:leftChars="-29" w:right="-420" w:rightChars="-200" w:firstLine="240" w:firstLineChars="100"/>
        <w:rPr>
          <w:rFonts w:hint="eastAsia" w:ascii="仿宋" w:hAnsi="仿宋" w:eastAsia="仿宋" w:cs="仿宋"/>
          <w:color w:val="auto"/>
          <w:sz w:val="24"/>
        </w:rPr>
      </w:pPr>
      <w:r>
        <w:rPr>
          <w:rFonts w:hint="eastAsia" w:ascii="仿宋" w:hAnsi="仿宋" w:eastAsia="仿宋" w:cs="仿宋"/>
          <w:color w:val="auto"/>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u w:val="single"/>
        </w:rPr>
        <w:t xml:space="preserve"> 合同专用条款  </w:t>
      </w:r>
      <w:r>
        <w:rPr>
          <w:rFonts w:hint="eastAsia" w:ascii="仿宋" w:hAnsi="仿宋" w:eastAsia="仿宋" w:cs="仿宋"/>
          <w:color w:val="auto"/>
          <w:sz w:val="24"/>
        </w:rPr>
        <w:t>条款规定的方式解决：</w:t>
      </w:r>
    </w:p>
    <w:p>
      <w:pPr>
        <w:spacing w:line="560" w:lineRule="exact"/>
        <w:ind w:left="-420" w:leftChars="-200" w:right="-420" w:rightChars="-200" w:firstLine="600" w:firstLineChars="250"/>
        <w:rPr>
          <w:rFonts w:hint="eastAsia" w:ascii="仿宋" w:hAnsi="仿宋" w:eastAsia="仿宋" w:cs="仿宋"/>
          <w:color w:val="auto"/>
          <w:sz w:val="24"/>
        </w:rPr>
      </w:pPr>
      <w:r>
        <w:rPr>
          <w:rFonts w:hint="eastAsia" w:ascii="仿宋" w:hAnsi="仿宋" w:eastAsia="仿宋" w:cs="仿宋"/>
          <w:color w:val="auto"/>
          <w:sz w:val="24"/>
        </w:rPr>
        <w:t xml:space="preserve">1.7.1 </w:t>
      </w:r>
      <w:r>
        <w:rPr>
          <w:rFonts w:hint="eastAsia" w:ascii="仿宋" w:hAnsi="仿宋" w:eastAsia="仿宋" w:cs="仿宋"/>
          <w:color w:val="auto"/>
          <w:sz w:val="24"/>
        </w:rPr>
        <w:t>将争议提交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color w:val="auto"/>
          <w:sz w:val="24"/>
        </w:rPr>
      </w:pPr>
      <w:r>
        <w:rPr>
          <w:rFonts w:hint="eastAsia" w:ascii="仿宋" w:hAnsi="仿宋" w:eastAsia="仿宋" w:cs="仿宋"/>
          <w:color w:val="auto"/>
          <w:sz w:val="24"/>
        </w:rPr>
        <w:t xml:space="preserve">1.7.2 </w:t>
      </w:r>
      <w:r>
        <w:rPr>
          <w:rFonts w:hint="eastAsia" w:ascii="仿宋" w:hAnsi="仿宋" w:eastAsia="仿宋" w:cs="仿宋"/>
          <w:color w:val="auto"/>
          <w:sz w:val="24"/>
        </w:rPr>
        <w:t>向</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人民法院起诉。</w:t>
      </w:r>
    </w:p>
    <w:p>
      <w:pPr>
        <w:spacing w:line="560" w:lineRule="exact"/>
        <w:ind w:firstLine="482" w:firstLineChars="200"/>
        <w:outlineLvl w:val="0"/>
        <w:rPr>
          <w:rFonts w:hint="eastAsia" w:ascii="仿宋" w:hAnsi="仿宋" w:eastAsia="仿宋" w:cs="仿宋"/>
          <w:b/>
          <w:color w:val="auto"/>
          <w:sz w:val="24"/>
        </w:rPr>
      </w:pPr>
      <w:bookmarkStart w:id="36" w:name="_Toc7245"/>
      <w:bookmarkStart w:id="37" w:name="_Toc11173"/>
      <w:bookmarkStart w:id="38" w:name="_Toc15322"/>
      <w:r>
        <w:rPr>
          <w:rFonts w:hint="eastAsia" w:ascii="仿宋" w:hAnsi="仿宋" w:eastAsia="仿宋" w:cs="仿宋"/>
          <w:b/>
          <w:color w:val="auto"/>
          <w:sz w:val="24"/>
        </w:rPr>
        <w:t xml:space="preserve">1.8 </w:t>
      </w:r>
      <w:r>
        <w:rPr>
          <w:rFonts w:hint="eastAsia" w:ascii="仿宋" w:hAnsi="仿宋" w:eastAsia="仿宋" w:cs="仿宋"/>
          <w:b/>
          <w:color w:val="auto"/>
          <w:sz w:val="24"/>
        </w:rPr>
        <w:t>合同生效</w:t>
      </w:r>
      <w:bookmarkEnd w:id="36"/>
      <w:bookmarkEnd w:id="37"/>
      <w:bookmarkEnd w:id="38"/>
    </w:p>
    <w:p>
      <w:pPr>
        <w:spacing w:line="56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本合同自双方当事人盖章或者签字时生效。</w:t>
      </w:r>
    </w:p>
    <w:p>
      <w:pPr>
        <w:autoSpaceDE w:val="0"/>
        <w:autoSpaceDN w:val="0"/>
        <w:spacing w:line="240" w:lineRule="exact"/>
        <w:rPr>
          <w:rFonts w:hint="eastAsia" w:ascii="仿宋" w:hAnsi="仿宋" w:eastAsia="仿宋" w:cs="仿宋"/>
          <w:color w:val="auto"/>
          <w:sz w:val="24"/>
          <w:lang w:val="zh-CN"/>
        </w:rPr>
      </w:pP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w:t>
      </w:r>
      <w:r>
        <w:rPr>
          <w:rFonts w:hint="eastAsia" w:ascii="仿宋" w:hAnsi="仿宋" w:eastAsia="仿宋" w:cs="仿宋"/>
          <w:color w:val="auto"/>
          <w:sz w:val="24"/>
          <w:lang w:val="zh-CN"/>
        </w:rPr>
        <w:t xml:space="preserve">                        </w:t>
      </w:r>
      <w:r>
        <w:rPr>
          <w:rFonts w:hint="eastAsia" w:ascii="仿宋" w:hAnsi="仿宋" w:eastAsia="仿宋" w:cs="仿宋"/>
          <w:color w:val="auto"/>
          <w:sz w:val="24"/>
          <w:lang w:val="zh-CN"/>
        </w:rPr>
        <w:t>统一社会信用代码或身份证号码：</w:t>
      </w:r>
    </w:p>
    <w:p>
      <w:pPr>
        <w:autoSpaceDE w:val="0"/>
        <w:autoSpaceDN w:val="0"/>
        <w:spacing w:line="240" w:lineRule="exact"/>
        <w:rPr>
          <w:rFonts w:hint="eastAsia" w:ascii="仿宋" w:hAnsi="仿宋" w:eastAsia="仿宋" w:cs="仿宋"/>
          <w:color w:val="auto"/>
          <w:sz w:val="24"/>
          <w:lang w:val="zh-CN"/>
        </w:rPr>
      </w:pP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住所：</w:t>
      </w:r>
      <w:r>
        <w:rPr>
          <w:rFonts w:hint="eastAsia" w:ascii="仿宋" w:hAnsi="仿宋" w:eastAsia="仿宋" w:cs="仿宋"/>
          <w:color w:val="auto"/>
          <w:sz w:val="24"/>
          <w:lang w:val="zh-CN"/>
        </w:rPr>
        <w:t xml:space="preserve">                                   </w:t>
      </w:r>
      <w:r>
        <w:rPr>
          <w:rFonts w:hint="eastAsia" w:ascii="仿宋" w:hAnsi="仿宋" w:eastAsia="仿宋" w:cs="仿宋"/>
          <w:color w:val="auto"/>
          <w:sz w:val="24"/>
          <w:lang w:val="zh-CN"/>
        </w:rPr>
        <w:t>住所：</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w:t>
      </w:r>
      <w:r>
        <w:rPr>
          <w:rFonts w:hint="eastAsia" w:ascii="仿宋" w:hAnsi="仿宋" w:eastAsia="仿宋" w:cs="仿宋"/>
          <w:color w:val="auto"/>
          <w:sz w:val="24"/>
          <w:lang w:val="zh-CN"/>
        </w:rPr>
        <w:t xml:space="preserve">                             </w:t>
      </w:r>
      <w:r>
        <w:rPr>
          <w:rFonts w:hint="eastAsia" w:ascii="仿宋" w:hAnsi="仿宋" w:eastAsia="仿宋" w:cs="仿宋"/>
          <w:color w:val="auto"/>
          <w:sz w:val="24"/>
          <w:lang w:val="zh-CN"/>
        </w:rPr>
        <w:t>法定代表人</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授权代表（签字）：</w:t>
      </w:r>
      <w:r>
        <w:rPr>
          <w:rFonts w:hint="eastAsia" w:ascii="仿宋" w:hAnsi="仿宋" w:eastAsia="仿宋" w:cs="仿宋"/>
          <w:color w:val="auto"/>
          <w:sz w:val="24"/>
          <w:lang w:val="zh-CN"/>
        </w:rPr>
        <w:t xml:space="preserve">                        或授权代表（签字）: </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联系人：</w:t>
      </w:r>
      <w:r>
        <w:rPr>
          <w:rFonts w:hint="eastAsia" w:ascii="仿宋" w:hAnsi="仿宋" w:eastAsia="仿宋" w:cs="仿宋"/>
          <w:color w:val="auto"/>
          <w:sz w:val="24"/>
          <w:lang w:val="zh-CN"/>
        </w:rPr>
        <w:t xml:space="preserve">                                 </w:t>
      </w:r>
      <w:r>
        <w:rPr>
          <w:rFonts w:hint="eastAsia" w:ascii="仿宋" w:hAnsi="仿宋" w:eastAsia="仿宋" w:cs="仿宋"/>
          <w:color w:val="auto"/>
          <w:sz w:val="24"/>
          <w:lang w:val="zh-CN"/>
        </w:rPr>
        <w:t>联系人：</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w:t>
      </w:r>
      <w:r>
        <w:rPr>
          <w:rFonts w:hint="eastAsia" w:ascii="仿宋" w:hAnsi="仿宋" w:eastAsia="仿宋" w:cs="仿宋"/>
          <w:color w:val="auto"/>
          <w:sz w:val="24"/>
          <w:lang w:val="zh-CN"/>
        </w:rPr>
        <w:t xml:space="preserve">                           </w:t>
      </w:r>
      <w:r>
        <w:rPr>
          <w:rFonts w:hint="eastAsia" w:ascii="仿宋" w:hAnsi="仿宋" w:eastAsia="仿宋" w:cs="仿宋"/>
          <w:color w:val="auto"/>
          <w:sz w:val="24"/>
          <w:lang w:val="zh-CN"/>
        </w:rPr>
        <w:t>约定送达地址：</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邮政编码：</w:t>
      </w:r>
      <w:r>
        <w:rPr>
          <w:rFonts w:hint="eastAsia" w:ascii="仿宋" w:hAnsi="仿宋" w:eastAsia="仿宋" w:cs="仿宋"/>
          <w:color w:val="auto"/>
          <w:sz w:val="24"/>
          <w:lang w:val="zh-CN"/>
        </w:rPr>
        <w:t xml:space="preserve">                               </w:t>
      </w:r>
      <w:r>
        <w:rPr>
          <w:rFonts w:hint="eastAsia" w:ascii="仿宋" w:hAnsi="仿宋" w:eastAsia="仿宋" w:cs="仿宋"/>
          <w:color w:val="auto"/>
          <w:sz w:val="24"/>
          <w:lang w:val="zh-CN"/>
        </w:rPr>
        <w:t>邮政编码：</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电话</w:t>
      </w:r>
      <w:r>
        <w:rPr>
          <w:rFonts w:hint="eastAsia" w:ascii="仿宋" w:hAnsi="仿宋" w:eastAsia="仿宋" w:cs="仿宋"/>
          <w:color w:val="auto"/>
          <w:sz w:val="24"/>
          <w:lang w:val="zh-CN"/>
        </w:rPr>
        <w:t xml:space="preserve">:                                    电话: </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传真</w:t>
      </w:r>
      <w:r>
        <w:rPr>
          <w:rFonts w:hint="eastAsia" w:ascii="仿宋" w:hAnsi="仿宋" w:eastAsia="仿宋" w:cs="仿宋"/>
          <w:color w:val="auto"/>
          <w:sz w:val="24"/>
          <w:lang w:val="zh-CN"/>
        </w:rPr>
        <w:t xml:space="preserve">:                                    </w:t>
      </w:r>
      <w:r>
        <w:rPr>
          <w:rFonts w:hint="eastAsia" w:ascii="仿宋" w:hAnsi="仿宋" w:eastAsia="仿宋" w:cs="仿宋"/>
          <w:color w:val="auto"/>
          <w:sz w:val="24"/>
          <w:lang w:val="zh-CN"/>
        </w:rPr>
        <w:t>传真</w:t>
      </w:r>
      <w:r>
        <w:rPr>
          <w:rFonts w:hint="eastAsia" w:ascii="仿宋" w:hAnsi="仿宋" w:eastAsia="仿宋" w:cs="仿宋"/>
          <w:color w:val="auto"/>
          <w:sz w:val="24"/>
          <w:lang w:val="zh-CN"/>
        </w:rPr>
        <w:t>:</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lang w:val="zh-CN"/>
        </w:rPr>
        <w:t>电子邮箱：</w:t>
      </w:r>
      <w:r>
        <w:rPr>
          <w:rFonts w:hint="eastAsia" w:ascii="仿宋" w:hAnsi="仿宋" w:eastAsia="仿宋" w:cs="仿宋"/>
          <w:color w:val="auto"/>
          <w:sz w:val="24"/>
          <w:lang w:val="zh-CN"/>
        </w:rPr>
        <w:t xml:space="preserve">                               </w:t>
      </w:r>
      <w:r>
        <w:rPr>
          <w:rFonts w:hint="eastAsia" w:ascii="仿宋" w:hAnsi="仿宋" w:eastAsia="仿宋" w:cs="仿宋"/>
          <w:color w:val="auto"/>
          <w:sz w:val="24"/>
          <w:lang w:val="zh-CN"/>
        </w:rPr>
        <w:t>电子邮箱：</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开户银行：</w:t>
      </w:r>
      <w:r>
        <w:rPr>
          <w:rFonts w:hint="eastAsia" w:ascii="仿宋" w:hAnsi="仿宋" w:eastAsia="仿宋" w:cs="仿宋"/>
          <w:color w:val="auto"/>
          <w:sz w:val="24"/>
        </w:rPr>
        <w:t xml:space="preserve">                               开户银行： </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开户名称：</w:t>
      </w:r>
      <w:r>
        <w:rPr>
          <w:rFonts w:hint="eastAsia" w:ascii="仿宋" w:hAnsi="仿宋" w:eastAsia="仿宋" w:cs="仿宋"/>
          <w:color w:val="auto"/>
          <w:sz w:val="24"/>
        </w:rPr>
        <w:t xml:space="preserve">                               开户名称： </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pPr>
        <w:widowControl/>
        <w:spacing w:line="560" w:lineRule="exact"/>
        <w:jc w:val="left"/>
        <w:rPr>
          <w:rFonts w:hint="eastAsia" w:ascii="仿宋" w:hAnsi="仿宋" w:eastAsia="仿宋" w:cs="仿宋"/>
          <w:b/>
          <w:color w:val="auto"/>
          <w:sz w:val="24"/>
        </w:rPr>
      </w:pPr>
      <w:bookmarkStart w:id="39" w:name="_Toc331685783"/>
    </w:p>
    <w:p>
      <w:pPr>
        <w:pStyle w:val="281"/>
        <w:pageBreakBefore/>
        <w:spacing w:line="560" w:lineRule="exact"/>
        <w:ind w:firstLine="723"/>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第二部分</w:t>
      </w:r>
      <w:r>
        <w:rPr>
          <w:rFonts w:hint="eastAsia" w:ascii="仿宋" w:hAnsi="仿宋" w:eastAsia="仿宋" w:cs="仿宋"/>
          <w:b/>
          <w:color w:val="auto"/>
          <w:sz w:val="36"/>
          <w:szCs w:val="36"/>
        </w:rPr>
        <w:t xml:space="preserve"> </w:t>
      </w:r>
      <w:r>
        <w:rPr>
          <w:rFonts w:hint="eastAsia" w:ascii="仿宋" w:hAnsi="仿宋" w:eastAsia="仿宋" w:cs="仿宋"/>
          <w:b/>
          <w:color w:val="auto"/>
          <w:sz w:val="36"/>
          <w:szCs w:val="36"/>
        </w:rPr>
        <w:t>合同一般条款</w:t>
      </w:r>
      <w:bookmarkEnd w:id="39"/>
    </w:p>
    <w:p>
      <w:pPr>
        <w:spacing w:line="560" w:lineRule="exact"/>
        <w:ind w:firstLine="482" w:firstLineChars="200"/>
        <w:outlineLvl w:val="0"/>
        <w:rPr>
          <w:rFonts w:hint="eastAsia" w:ascii="仿宋" w:hAnsi="仿宋" w:eastAsia="仿宋" w:cs="仿宋"/>
          <w:b/>
          <w:color w:val="auto"/>
          <w:sz w:val="24"/>
        </w:rPr>
      </w:pPr>
      <w:bookmarkStart w:id="40" w:name="_Ref467378404"/>
      <w:bookmarkStart w:id="41" w:name="_Toc19614"/>
      <w:bookmarkStart w:id="42" w:name="_Toc259093669"/>
      <w:bookmarkStart w:id="43" w:name="_Ref467379094"/>
      <w:bookmarkStart w:id="44" w:name="_Ref467379205"/>
      <w:bookmarkStart w:id="45" w:name="_Toc16917"/>
      <w:bookmarkStart w:id="46" w:name="_Toc28763"/>
      <w:bookmarkStart w:id="47" w:name="_Toc279701240"/>
      <w:bookmarkStart w:id="48" w:name="_Ref467379101"/>
      <w:bookmarkStart w:id="49" w:name="_Ref467379109"/>
      <w:bookmarkStart w:id="50" w:name="_Ref467378499"/>
      <w:bookmarkStart w:id="51" w:name="_Ref467378463"/>
      <w:bookmarkStart w:id="52" w:name="_Ref467379214"/>
      <w:bookmarkStart w:id="53" w:name="_Ref467379225"/>
      <w:bookmarkStart w:id="54" w:name="_Ref467379195"/>
      <w:bookmarkStart w:id="55" w:name="_Toc487900349"/>
      <w:r>
        <w:rPr>
          <w:rFonts w:hint="eastAsia" w:ascii="仿宋" w:hAnsi="仿宋" w:eastAsia="仿宋" w:cs="仿宋"/>
          <w:b/>
          <w:color w:val="auto"/>
          <w:sz w:val="24"/>
        </w:rPr>
        <w:t xml:space="preserve">2.1 </w:t>
      </w:r>
      <w:r>
        <w:rPr>
          <w:rFonts w:hint="eastAsia" w:ascii="仿宋" w:hAnsi="仿宋" w:eastAsia="仿宋" w:cs="仿宋"/>
          <w:b/>
          <w:color w:val="auto"/>
          <w:sz w:val="24"/>
        </w:rPr>
        <w:t>定义</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2.1.1 </w:t>
      </w:r>
      <w:r>
        <w:rPr>
          <w:rFonts w:hint="eastAsia" w:ascii="仿宋" w:hAnsi="仿宋" w:eastAsia="仿宋" w:cs="仿宋"/>
          <w:color w:val="auto"/>
          <w:sz w:val="24"/>
        </w:rPr>
        <w:t>“合同”系指采购人和中标供应商签订的载明双方当事人所达成的协议，并包括所有的附件、附录和构成合同的其他文件。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2.1.2 </w:t>
      </w:r>
      <w:r>
        <w:rPr>
          <w:rFonts w:hint="eastAsia" w:ascii="仿宋" w:hAnsi="仿宋" w:eastAsia="仿宋" w:cs="仿宋"/>
          <w:color w:val="auto"/>
          <w:sz w:val="24"/>
        </w:rPr>
        <w:t>“合同价”系指根据合同约定，中标供应商在完全履行合同义务后，采购人应支付给中标供应商的价格。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2.1.3 </w:t>
      </w:r>
      <w:r>
        <w:rPr>
          <w:rFonts w:hint="eastAsia" w:ascii="仿宋" w:hAnsi="仿宋" w:eastAsia="仿宋" w:cs="仿宋"/>
          <w:color w:val="auto"/>
          <w:sz w:val="24"/>
        </w:rPr>
        <w:t>“货物”系指中标供应商根据合同约定应向采购人交付的一切各种形态和种类的物品，包括原材料、燃料、设备、机械、仪表、备件、计算机软件、产品等，并包括工具、手册等其他相关资料。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rPr>
      </w:pPr>
      <w:bookmarkStart w:id="56" w:name="_Ref467378840"/>
      <w:r>
        <w:rPr>
          <w:rFonts w:hint="eastAsia" w:ascii="仿宋" w:hAnsi="仿宋" w:eastAsia="仿宋" w:cs="仿宋"/>
          <w:color w:val="auto"/>
          <w:sz w:val="24"/>
        </w:rPr>
        <w:t xml:space="preserve">2.1.4 </w:t>
      </w:r>
      <w:r>
        <w:rPr>
          <w:rFonts w:hint="eastAsia" w:ascii="仿宋" w:hAnsi="仿宋" w:eastAsia="仿宋" w:cs="仿宋"/>
          <w:color w:val="auto"/>
          <w:sz w:val="24"/>
        </w:rPr>
        <w:t>“甲方”系指与中标供应商签署合同的采购人</w:t>
      </w:r>
      <w:bookmarkEnd w:id="56"/>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bookmarkStart w:id="57" w:name="_Ref467379400"/>
      <w:r>
        <w:rPr>
          <w:rFonts w:hint="eastAsia" w:ascii="仿宋" w:hAnsi="仿宋" w:eastAsia="仿宋" w:cs="仿宋"/>
          <w:color w:val="auto"/>
          <w:sz w:val="24"/>
        </w:rPr>
        <w:t xml:space="preserve">2.1.5 </w:t>
      </w:r>
      <w:r>
        <w:rPr>
          <w:rFonts w:hint="eastAsia" w:ascii="仿宋" w:hAnsi="仿宋" w:eastAsia="仿宋" w:cs="仿宋"/>
          <w:color w:val="auto"/>
          <w:sz w:val="24"/>
        </w:rPr>
        <w:t>“乙方”系指根据合同约定交付货物的中标供应商</w:t>
      </w:r>
      <w:bookmarkEnd w:id="57"/>
      <w:r>
        <w:rPr>
          <w:rFonts w:hint="eastAsia" w:ascii="仿宋" w:hAnsi="仿宋" w:eastAsia="仿宋" w:cs="仿宋"/>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rPr>
      </w:pPr>
      <w:bookmarkStart w:id="58" w:name="_Ref467379436"/>
      <w:r>
        <w:rPr>
          <w:rFonts w:hint="eastAsia" w:ascii="仿宋" w:hAnsi="仿宋" w:eastAsia="仿宋" w:cs="仿宋"/>
          <w:color w:val="auto"/>
          <w:sz w:val="24"/>
        </w:rPr>
        <w:t xml:space="preserve">2.1.6 </w:t>
      </w:r>
      <w:r>
        <w:rPr>
          <w:rFonts w:hint="eastAsia" w:ascii="仿宋" w:hAnsi="仿宋" w:eastAsia="仿宋" w:cs="仿宋"/>
          <w:color w:val="auto"/>
          <w:sz w:val="24"/>
        </w:rPr>
        <w:t>“现场”系指合同约定货物将要运至或者安装的地点。</w:t>
      </w:r>
      <w:bookmarkEnd w:id="58"/>
    </w:p>
    <w:p>
      <w:pPr>
        <w:spacing w:line="560" w:lineRule="exact"/>
        <w:ind w:firstLine="482" w:firstLineChars="200"/>
        <w:outlineLvl w:val="0"/>
        <w:rPr>
          <w:rFonts w:hint="eastAsia" w:ascii="仿宋" w:hAnsi="仿宋" w:eastAsia="仿宋" w:cs="仿宋"/>
          <w:b/>
          <w:color w:val="auto"/>
          <w:sz w:val="24"/>
        </w:rPr>
      </w:pPr>
      <w:bookmarkStart w:id="59" w:name="_Toc13336"/>
      <w:bookmarkStart w:id="60" w:name="_Toc279701241"/>
      <w:bookmarkStart w:id="61" w:name="_Toc32504"/>
      <w:bookmarkStart w:id="62" w:name="_Toc487900350"/>
      <w:bookmarkStart w:id="63" w:name="_Toc27635"/>
      <w:bookmarkStart w:id="64" w:name="_Toc259093670"/>
      <w:r>
        <w:rPr>
          <w:rFonts w:hint="eastAsia" w:ascii="仿宋" w:hAnsi="仿宋" w:eastAsia="仿宋" w:cs="仿宋"/>
          <w:b/>
          <w:color w:val="auto"/>
          <w:sz w:val="24"/>
        </w:rPr>
        <w:t xml:space="preserve">2.2 </w:t>
      </w:r>
      <w:r>
        <w:rPr>
          <w:rFonts w:hint="eastAsia" w:ascii="仿宋" w:hAnsi="仿宋" w:eastAsia="仿宋" w:cs="仿宋"/>
          <w:b/>
          <w:color w:val="auto"/>
          <w:sz w:val="24"/>
        </w:rPr>
        <w:t>技术规范</w:t>
      </w:r>
      <w:bookmarkEnd w:id="59"/>
      <w:bookmarkEnd w:id="60"/>
      <w:bookmarkEnd w:id="61"/>
      <w:bookmarkEnd w:id="62"/>
      <w:bookmarkEnd w:id="63"/>
      <w:bookmarkEnd w:id="64"/>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货物所应遵守的技术规范应与采购文件规定的技术规范和技术规范附件</w:t>
      </w:r>
      <w:r>
        <w:rPr>
          <w:rFonts w:hint="eastAsia" w:ascii="仿宋" w:hAnsi="仿宋" w:eastAsia="仿宋" w:cs="仿宋"/>
          <w:color w:val="auto"/>
          <w:sz w:val="24"/>
        </w:rPr>
        <w:t>(如果有的话)及其技术规范偏差表(如果被甲方接受的话)相一致；如果采购文件中没有技术规范的相应说明，那么应以国家有关部门最新颁布的相应标准和规范为准。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rPr>
      </w:pPr>
      <w:bookmarkStart w:id="65" w:name="_Toc487900351"/>
      <w:bookmarkStart w:id="66" w:name="_Toc9829"/>
      <w:bookmarkStart w:id="67" w:name="_Toc259093671"/>
      <w:bookmarkStart w:id="68" w:name="_Toc27853"/>
      <w:bookmarkStart w:id="69" w:name="_Toc279701242"/>
      <w:bookmarkStart w:id="70" w:name="_Toc31634"/>
      <w:r>
        <w:rPr>
          <w:rFonts w:hint="eastAsia" w:ascii="仿宋" w:hAnsi="仿宋" w:eastAsia="仿宋" w:cs="仿宋"/>
          <w:b/>
          <w:color w:val="auto"/>
          <w:sz w:val="24"/>
        </w:rPr>
        <w:t xml:space="preserve">2.3 </w:t>
      </w:r>
      <w:r>
        <w:rPr>
          <w:rFonts w:hint="eastAsia" w:ascii="仿宋" w:hAnsi="仿宋" w:eastAsia="仿宋" w:cs="仿宋"/>
          <w:b/>
          <w:color w:val="auto"/>
          <w:sz w:val="24"/>
        </w:rPr>
        <w:t>知识产权</w:t>
      </w:r>
      <w:bookmarkEnd w:id="65"/>
      <w:bookmarkEnd w:id="66"/>
      <w:bookmarkEnd w:id="67"/>
      <w:bookmarkEnd w:id="68"/>
      <w:bookmarkEnd w:id="69"/>
      <w:bookmarkEnd w:id="70"/>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2.3.1 </w:t>
      </w:r>
      <w:r>
        <w:rPr>
          <w:rFonts w:hint="eastAsia" w:ascii="仿宋" w:hAnsi="仿宋" w:eastAsia="仿宋" w:cs="仿宋"/>
          <w:color w:val="auto"/>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2.3.2具有知识产权的计算机软件等货物的知识产权归属，详见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71" w:name="_Toc29149"/>
      <w:bookmarkStart w:id="72" w:name="_Toc11932"/>
      <w:bookmarkStart w:id="73" w:name="_Toc4194"/>
      <w:r>
        <w:rPr>
          <w:rFonts w:hint="eastAsia" w:ascii="仿宋" w:hAnsi="仿宋" w:eastAsia="仿宋" w:cs="仿宋"/>
          <w:b/>
          <w:color w:val="auto"/>
          <w:sz w:val="24"/>
        </w:rPr>
        <w:t xml:space="preserve">2.4 </w:t>
      </w:r>
      <w:r>
        <w:rPr>
          <w:rFonts w:hint="eastAsia" w:ascii="仿宋" w:hAnsi="仿宋" w:eastAsia="仿宋" w:cs="仿宋"/>
          <w:b/>
          <w:color w:val="auto"/>
          <w:sz w:val="24"/>
        </w:rPr>
        <w:t>包装和装运</w:t>
      </w:r>
      <w:bookmarkEnd w:id="71"/>
      <w:bookmarkEnd w:id="72"/>
      <w:bookmarkEnd w:id="73"/>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另有约定外</w:t>
      </w:r>
      <w:r>
        <w:rPr>
          <w:rFonts w:hint="eastAsia" w:ascii="仿宋" w:hAnsi="仿宋" w:eastAsia="仿宋" w:cs="仿宋"/>
          <w:color w:val="auto"/>
          <w:sz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2.4.2 </w:t>
      </w:r>
      <w:r>
        <w:rPr>
          <w:rFonts w:hint="eastAsia" w:ascii="仿宋" w:hAnsi="仿宋" w:eastAsia="仿宋" w:cs="仿宋"/>
          <w:color w:val="auto"/>
          <w:sz w:val="24"/>
        </w:rPr>
        <w:t>装运货物的要求和通知，详见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74" w:name="_Ref467379542"/>
      <w:bookmarkStart w:id="75" w:name="_Ref467379536"/>
      <w:bookmarkStart w:id="76" w:name="_Ref467378591"/>
      <w:bookmarkStart w:id="77" w:name="_Ref467379527"/>
      <w:bookmarkStart w:id="78" w:name="_Ref467378541"/>
      <w:bookmarkStart w:id="79" w:name="_Toc259093674"/>
      <w:bookmarkStart w:id="80" w:name="_Toc279701245"/>
      <w:bookmarkStart w:id="81" w:name="_Toc487900354"/>
      <w:bookmarkStart w:id="82" w:name="_Toc26182"/>
      <w:bookmarkStart w:id="83" w:name="_Toc19074"/>
      <w:bookmarkStart w:id="84" w:name="_Toc30272"/>
      <w:r>
        <w:rPr>
          <w:rFonts w:hint="eastAsia" w:ascii="仿宋" w:hAnsi="仿宋" w:eastAsia="仿宋" w:cs="仿宋"/>
          <w:b/>
          <w:color w:val="auto"/>
          <w:sz w:val="24"/>
        </w:rPr>
        <w:t>2.</w:t>
      </w:r>
      <w:bookmarkEnd w:id="74"/>
      <w:bookmarkEnd w:id="75"/>
      <w:bookmarkEnd w:id="76"/>
      <w:bookmarkEnd w:id="77"/>
      <w:bookmarkEnd w:id="78"/>
      <w:bookmarkEnd w:id="79"/>
      <w:bookmarkEnd w:id="80"/>
      <w:bookmarkEnd w:id="81"/>
      <w:r>
        <w:rPr>
          <w:rFonts w:hint="eastAsia" w:ascii="仿宋" w:hAnsi="仿宋" w:eastAsia="仿宋" w:cs="仿宋"/>
          <w:b/>
          <w:color w:val="auto"/>
          <w:sz w:val="24"/>
        </w:rPr>
        <w:t xml:space="preserve">5 </w:t>
      </w:r>
      <w:r>
        <w:rPr>
          <w:rFonts w:hint="eastAsia" w:ascii="仿宋" w:hAnsi="仿宋" w:eastAsia="仿宋" w:cs="仿宋"/>
          <w:b/>
          <w:color w:val="auto"/>
          <w:sz w:val="24"/>
        </w:rPr>
        <w:t>履约检查和问题反馈</w:t>
      </w:r>
      <w:bookmarkEnd w:id="82"/>
      <w:bookmarkEnd w:id="83"/>
      <w:bookmarkEnd w:id="84"/>
    </w:p>
    <w:p>
      <w:pPr>
        <w:spacing w:line="560" w:lineRule="exact"/>
        <w:ind w:firstLine="480" w:firstLineChars="200"/>
        <w:rPr>
          <w:rFonts w:hint="eastAsia" w:ascii="仿宋" w:hAnsi="仿宋" w:eastAsia="仿宋" w:cs="仿宋"/>
          <w:color w:val="auto"/>
          <w:sz w:val="24"/>
        </w:rPr>
      </w:pPr>
      <w:bookmarkStart w:id="85" w:name="_Ref467379657"/>
      <w:r>
        <w:rPr>
          <w:rFonts w:hint="eastAsia" w:ascii="仿宋" w:hAnsi="仿宋" w:eastAsia="仿宋" w:cs="仿宋"/>
          <w:color w:val="auto"/>
          <w:sz w:val="24"/>
        </w:rPr>
        <w:t>2.5.1</w:t>
      </w:r>
      <w:bookmarkEnd w:id="85"/>
      <w:bookmarkStart w:id="86" w:name="_Toc186431854"/>
      <w:bookmarkStart w:id="87" w:name="_Ref467379807"/>
      <w:bookmarkStart w:id="88" w:name="_Ref467379793"/>
      <w:bookmarkStart w:id="89" w:name="_Toc259093676"/>
      <w:bookmarkStart w:id="90" w:name="_Toc487900357"/>
      <w:bookmarkStart w:id="91" w:name="_Toc279701247"/>
      <w:r>
        <w:rPr>
          <w:rFonts w:hint="eastAsia" w:ascii="仿宋" w:hAnsi="仿宋" w:eastAsia="仿宋" w:cs="仿宋"/>
          <w:color w:val="auto"/>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2.5.2 </w:t>
      </w:r>
      <w:r>
        <w:rPr>
          <w:rFonts w:hint="eastAsia" w:ascii="仿宋" w:hAnsi="仿宋" w:eastAsia="仿宋" w:cs="仿宋"/>
          <w:color w:val="auto"/>
          <w:sz w:val="24"/>
        </w:rPr>
        <w:t>合同履行期间，甲方有权将履行过程中出现的问题反馈给乙方，双方当事人应以书面形式约定需要完善和改进的内容</w:t>
      </w:r>
      <w:bookmarkEnd w:id="86"/>
      <w:bookmarkStart w:id="92" w:name="_Toc186431855"/>
      <w:r>
        <w:rPr>
          <w:rFonts w:hint="eastAsia" w:ascii="仿宋" w:hAnsi="仿宋" w:eastAsia="仿宋" w:cs="仿宋"/>
          <w:color w:val="auto"/>
          <w:sz w:val="24"/>
        </w:rPr>
        <w:t>。</w:t>
      </w:r>
    </w:p>
    <w:bookmarkEnd w:id="87"/>
    <w:bookmarkEnd w:id="88"/>
    <w:bookmarkEnd w:id="89"/>
    <w:bookmarkEnd w:id="90"/>
    <w:bookmarkEnd w:id="91"/>
    <w:bookmarkEnd w:id="92"/>
    <w:p>
      <w:pPr>
        <w:spacing w:line="560" w:lineRule="exact"/>
        <w:ind w:firstLine="482" w:firstLineChars="200"/>
        <w:outlineLvl w:val="0"/>
        <w:rPr>
          <w:rFonts w:hint="eastAsia" w:ascii="仿宋" w:hAnsi="仿宋" w:eastAsia="仿宋" w:cs="仿宋"/>
          <w:b/>
          <w:color w:val="auto"/>
          <w:sz w:val="24"/>
        </w:rPr>
      </w:pPr>
      <w:bookmarkStart w:id="93" w:name="_Ref467379923"/>
      <w:bookmarkStart w:id="94" w:name="_Ref467379863"/>
      <w:bookmarkStart w:id="95" w:name="_Toc259093677"/>
      <w:bookmarkStart w:id="96" w:name="_Ref467379852"/>
      <w:bookmarkStart w:id="97" w:name="_Toc279701248"/>
      <w:bookmarkStart w:id="98" w:name="_Toc487900358"/>
      <w:bookmarkStart w:id="99" w:name="_Toc16110"/>
      <w:bookmarkStart w:id="100" w:name="_Toc774"/>
      <w:bookmarkStart w:id="101" w:name="_Toc3225"/>
      <w:r>
        <w:rPr>
          <w:rFonts w:hint="eastAsia" w:ascii="仿宋" w:hAnsi="仿宋" w:eastAsia="仿宋" w:cs="仿宋"/>
          <w:b/>
          <w:color w:val="auto"/>
          <w:sz w:val="24"/>
        </w:rPr>
        <w:t xml:space="preserve">2.6 </w:t>
      </w:r>
      <w:r>
        <w:rPr>
          <w:rFonts w:hint="eastAsia" w:ascii="仿宋" w:hAnsi="仿宋" w:eastAsia="仿宋" w:cs="仿宋"/>
          <w:b/>
          <w:color w:val="auto"/>
          <w:sz w:val="24"/>
        </w:rPr>
        <w:t>技术资料</w:t>
      </w:r>
      <w:bookmarkEnd w:id="93"/>
      <w:bookmarkEnd w:id="94"/>
      <w:bookmarkEnd w:id="95"/>
      <w:bookmarkEnd w:id="96"/>
      <w:bookmarkEnd w:id="97"/>
      <w:bookmarkEnd w:id="98"/>
      <w:r>
        <w:rPr>
          <w:rFonts w:hint="eastAsia" w:ascii="仿宋" w:hAnsi="仿宋" w:eastAsia="仿宋" w:cs="仿宋"/>
          <w:b/>
          <w:color w:val="auto"/>
          <w:sz w:val="24"/>
        </w:rPr>
        <w:t>和保密义务</w:t>
      </w:r>
      <w:bookmarkEnd w:id="99"/>
      <w:bookmarkEnd w:id="100"/>
      <w:bookmarkEnd w:id="10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2.6.1 </w:t>
      </w:r>
      <w:r>
        <w:rPr>
          <w:rFonts w:hint="eastAsia" w:ascii="仿宋" w:hAnsi="仿宋" w:eastAsia="仿宋" w:cs="仿宋"/>
          <w:color w:val="auto"/>
          <w:sz w:val="24"/>
        </w:rPr>
        <w:t>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2.6.2 </w:t>
      </w:r>
      <w:r>
        <w:rPr>
          <w:rFonts w:hint="eastAsia" w:ascii="仿宋" w:hAnsi="仿宋" w:eastAsia="仿宋" w:cs="仿宋"/>
          <w:color w:val="auto"/>
          <w:sz w:val="24"/>
        </w:rPr>
        <w:t>乙方有义务妥善保管和保护由甲方提供的前款信息和资料等；</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2.6.3 </w:t>
      </w:r>
      <w:r>
        <w:rPr>
          <w:rFonts w:hint="eastAsia" w:ascii="仿宋" w:hAnsi="仿宋" w:eastAsia="仿宋" w:cs="仿宋"/>
          <w:color w:val="auto"/>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rPr>
      </w:pPr>
      <w:bookmarkStart w:id="102" w:name="_Toc7860"/>
      <w:r>
        <w:rPr>
          <w:rFonts w:hint="eastAsia" w:ascii="仿宋" w:hAnsi="仿宋" w:eastAsia="仿宋" w:cs="仿宋"/>
          <w:b/>
          <w:color w:val="auto"/>
          <w:sz w:val="24"/>
        </w:rPr>
        <w:t xml:space="preserve">2.7 </w:t>
      </w:r>
      <w:r>
        <w:rPr>
          <w:rFonts w:hint="eastAsia" w:ascii="仿宋" w:hAnsi="仿宋" w:eastAsia="仿宋" w:cs="仿宋"/>
          <w:b/>
          <w:color w:val="auto"/>
          <w:sz w:val="24"/>
        </w:rPr>
        <w:t>质量保证</w:t>
      </w:r>
      <w:bookmarkEnd w:id="102"/>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2.7.1 </w:t>
      </w:r>
      <w:r>
        <w:rPr>
          <w:rFonts w:hint="eastAsia" w:ascii="仿宋" w:hAnsi="仿宋" w:eastAsia="仿宋" w:cs="仿宋"/>
          <w:color w:val="auto"/>
          <w:sz w:val="24"/>
        </w:rPr>
        <w:t>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2.7.2 </w:t>
      </w:r>
      <w:r>
        <w:rPr>
          <w:rFonts w:hint="eastAsia" w:ascii="仿宋" w:hAnsi="仿宋" w:eastAsia="仿宋" w:cs="仿宋"/>
          <w:color w:val="auto"/>
          <w:sz w:val="24"/>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rPr>
      </w:pPr>
      <w:bookmarkStart w:id="103" w:name="_Toc17244"/>
      <w:bookmarkStart w:id="104" w:name="_Toc279701252"/>
      <w:bookmarkStart w:id="105" w:name="_Toc259093681"/>
      <w:bookmarkStart w:id="106" w:name="_Toc487900362"/>
      <w:r>
        <w:rPr>
          <w:rFonts w:hint="eastAsia" w:ascii="仿宋" w:hAnsi="仿宋" w:eastAsia="仿宋" w:cs="仿宋"/>
          <w:b/>
          <w:color w:val="auto"/>
          <w:sz w:val="24"/>
        </w:rPr>
        <w:t xml:space="preserve">2.8 </w:t>
      </w:r>
      <w:r>
        <w:rPr>
          <w:rFonts w:hint="eastAsia" w:ascii="仿宋" w:hAnsi="仿宋" w:eastAsia="仿宋" w:cs="仿宋"/>
          <w:b/>
          <w:color w:val="auto"/>
          <w:sz w:val="24"/>
        </w:rPr>
        <w:t>货物的风险负担</w:t>
      </w:r>
      <w:bookmarkEnd w:id="103"/>
    </w:p>
    <w:p>
      <w:pPr>
        <w:spacing w:line="56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货物或者在途货物或者交付给第一承运人后的货物毁损、灭失的风险负担详见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107" w:name="_Toc14055"/>
      <w:r>
        <w:rPr>
          <w:rFonts w:hint="eastAsia" w:ascii="仿宋" w:hAnsi="仿宋" w:eastAsia="仿宋" w:cs="仿宋"/>
          <w:b/>
          <w:color w:val="auto"/>
          <w:sz w:val="24"/>
        </w:rPr>
        <w:t xml:space="preserve">2.9 </w:t>
      </w:r>
      <w:r>
        <w:rPr>
          <w:rFonts w:hint="eastAsia" w:ascii="仿宋" w:hAnsi="仿宋" w:eastAsia="仿宋" w:cs="仿宋"/>
          <w:b/>
          <w:color w:val="auto"/>
          <w:sz w:val="24"/>
        </w:rPr>
        <w:t>延迟交货</w:t>
      </w:r>
      <w:bookmarkEnd w:id="104"/>
      <w:bookmarkEnd w:id="105"/>
      <w:bookmarkEnd w:id="106"/>
      <w:bookmarkEnd w:id="107"/>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rPr>
      </w:pPr>
      <w:bookmarkStart w:id="108" w:name="_Toc7502"/>
      <w:bookmarkStart w:id="109" w:name="_Ref467378121"/>
      <w:bookmarkStart w:id="110" w:name="_Toc259093683"/>
      <w:bookmarkStart w:id="111" w:name="_Toc487900364"/>
      <w:bookmarkStart w:id="112" w:name="_Toc279701254"/>
      <w:r>
        <w:rPr>
          <w:rFonts w:hint="eastAsia" w:ascii="仿宋" w:hAnsi="仿宋" w:eastAsia="仿宋" w:cs="仿宋"/>
          <w:b/>
          <w:color w:val="auto"/>
          <w:sz w:val="24"/>
        </w:rPr>
        <w:t xml:space="preserve">2.10 </w:t>
      </w:r>
      <w:r>
        <w:rPr>
          <w:rFonts w:hint="eastAsia" w:ascii="仿宋" w:hAnsi="仿宋" w:eastAsia="仿宋" w:cs="仿宋"/>
          <w:b/>
          <w:color w:val="auto"/>
          <w:sz w:val="24"/>
        </w:rPr>
        <w:t>合同变更</w:t>
      </w:r>
      <w:bookmarkEnd w:id="108"/>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bookmarkStart w:id="113" w:name="_Toc279701259"/>
      <w:bookmarkStart w:id="114" w:name="_Toc259093688"/>
      <w:bookmarkStart w:id="115" w:name="_Toc487900369"/>
    </w:p>
    <w:p>
      <w:pPr>
        <w:spacing w:line="560" w:lineRule="exact"/>
        <w:ind w:firstLine="482" w:firstLineChars="200"/>
        <w:outlineLvl w:val="0"/>
        <w:rPr>
          <w:rFonts w:hint="eastAsia" w:ascii="仿宋" w:hAnsi="仿宋" w:eastAsia="仿宋" w:cs="仿宋"/>
          <w:b/>
          <w:color w:val="auto"/>
          <w:sz w:val="24"/>
        </w:rPr>
      </w:pPr>
      <w:bookmarkStart w:id="116" w:name="_Toc22955"/>
      <w:bookmarkStart w:id="117" w:name="_Toc15237"/>
      <w:bookmarkStart w:id="118" w:name="_Toc10366"/>
      <w:r>
        <w:rPr>
          <w:rFonts w:hint="eastAsia" w:ascii="仿宋" w:hAnsi="仿宋" w:eastAsia="仿宋" w:cs="仿宋"/>
          <w:b/>
          <w:color w:val="auto"/>
          <w:sz w:val="24"/>
        </w:rPr>
        <w:t xml:space="preserve">2.11 </w:t>
      </w:r>
      <w:r>
        <w:rPr>
          <w:rFonts w:hint="eastAsia" w:ascii="仿宋" w:hAnsi="仿宋" w:eastAsia="仿宋" w:cs="仿宋"/>
          <w:b/>
          <w:color w:val="auto"/>
          <w:sz w:val="24"/>
        </w:rPr>
        <w:t>合同转让</w:t>
      </w:r>
      <w:bookmarkEnd w:id="113"/>
      <w:bookmarkEnd w:id="114"/>
      <w:bookmarkEnd w:id="115"/>
      <w:r>
        <w:rPr>
          <w:rFonts w:hint="eastAsia" w:ascii="仿宋" w:hAnsi="仿宋" w:eastAsia="仿宋" w:cs="仿宋"/>
          <w:b/>
          <w:color w:val="auto"/>
          <w:sz w:val="24"/>
        </w:rPr>
        <w:t>和分包</w:t>
      </w:r>
      <w:bookmarkEnd w:id="116"/>
      <w:bookmarkEnd w:id="117"/>
      <w:bookmarkEnd w:id="118"/>
      <w:r>
        <w:rPr>
          <w:rFonts w:hint="eastAsia" w:ascii="仿宋" w:hAnsi="仿宋" w:eastAsia="仿宋" w:cs="仿宋"/>
          <w:b/>
          <w:color w:val="auto"/>
          <w:sz w:val="24"/>
        </w:rPr>
        <w:t>（如有）</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rPr>
      </w:pPr>
      <w:bookmarkStart w:id="119" w:name="_Toc14066"/>
      <w:bookmarkStart w:id="120" w:name="_Toc13566"/>
      <w:bookmarkStart w:id="121" w:name="_Toc16508"/>
      <w:r>
        <w:rPr>
          <w:rFonts w:hint="eastAsia" w:ascii="仿宋" w:hAnsi="仿宋" w:eastAsia="仿宋" w:cs="仿宋"/>
          <w:b/>
          <w:color w:val="auto"/>
          <w:sz w:val="24"/>
        </w:rPr>
        <w:t xml:space="preserve">2.12 </w:t>
      </w:r>
      <w:r>
        <w:rPr>
          <w:rFonts w:hint="eastAsia" w:ascii="仿宋" w:hAnsi="仿宋" w:eastAsia="仿宋" w:cs="仿宋"/>
          <w:b/>
          <w:color w:val="auto"/>
          <w:sz w:val="24"/>
        </w:rPr>
        <w:t>不可抗力</w:t>
      </w:r>
      <w:bookmarkEnd w:id="119"/>
      <w:bookmarkEnd w:id="120"/>
      <w:bookmarkEnd w:id="12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2.12.2 </w:t>
      </w:r>
      <w:r>
        <w:rPr>
          <w:rFonts w:hint="eastAsia" w:ascii="仿宋" w:hAnsi="仿宋" w:eastAsia="仿宋" w:cs="仿宋"/>
          <w:color w:val="auto"/>
          <w:sz w:val="24"/>
        </w:rPr>
        <w:t>因不可抗力致使不能实现合同目的的，当事人可以解除合同；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2.12.3 </w:t>
      </w:r>
      <w:r>
        <w:rPr>
          <w:rFonts w:hint="eastAsia" w:ascii="仿宋" w:hAnsi="仿宋" w:eastAsia="仿宋" w:cs="仿宋"/>
          <w:color w:val="auto"/>
          <w:sz w:val="24"/>
        </w:rPr>
        <w:t>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rPr>
      </w:pPr>
      <w:bookmarkStart w:id="122" w:name="_Toc30676"/>
      <w:bookmarkStart w:id="123" w:name="_Toc689"/>
      <w:bookmarkStart w:id="124" w:name="_Toc487900365"/>
      <w:bookmarkStart w:id="125" w:name="_Toc279701255"/>
      <w:bookmarkStart w:id="126" w:name="_Toc6969"/>
      <w:bookmarkStart w:id="127" w:name="_Toc259093684"/>
      <w:r>
        <w:rPr>
          <w:rFonts w:hint="eastAsia" w:ascii="仿宋" w:hAnsi="仿宋" w:eastAsia="仿宋" w:cs="仿宋"/>
          <w:b/>
          <w:color w:val="auto"/>
          <w:sz w:val="24"/>
        </w:rPr>
        <w:t xml:space="preserve">2.13 </w:t>
      </w:r>
      <w:r>
        <w:rPr>
          <w:rFonts w:hint="eastAsia" w:ascii="仿宋" w:hAnsi="仿宋" w:eastAsia="仿宋" w:cs="仿宋"/>
          <w:b/>
          <w:color w:val="auto"/>
          <w:sz w:val="24"/>
        </w:rPr>
        <w:t>税费</w:t>
      </w:r>
      <w:bookmarkEnd w:id="122"/>
      <w:bookmarkEnd w:id="123"/>
      <w:bookmarkEnd w:id="124"/>
      <w:bookmarkEnd w:id="125"/>
      <w:bookmarkEnd w:id="126"/>
      <w:bookmarkEnd w:id="127"/>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rPr>
      </w:pPr>
      <w:bookmarkStart w:id="128" w:name="_Toc487900368"/>
      <w:bookmarkStart w:id="129" w:name="_Toc259093687"/>
      <w:bookmarkStart w:id="130" w:name="_Toc16959"/>
      <w:bookmarkStart w:id="131" w:name="_Toc7102"/>
      <w:bookmarkStart w:id="132" w:name="_Toc279701258"/>
      <w:bookmarkStart w:id="133" w:name="_Toc8298"/>
      <w:r>
        <w:rPr>
          <w:rFonts w:hint="eastAsia" w:ascii="仿宋" w:hAnsi="仿宋" w:eastAsia="仿宋" w:cs="仿宋"/>
          <w:b/>
          <w:color w:val="auto"/>
          <w:sz w:val="24"/>
        </w:rPr>
        <w:t>2.14乙方破产</w:t>
      </w:r>
      <w:bookmarkEnd w:id="128"/>
      <w:bookmarkEnd w:id="129"/>
      <w:bookmarkEnd w:id="130"/>
      <w:bookmarkEnd w:id="131"/>
      <w:bookmarkEnd w:id="132"/>
      <w:bookmarkEnd w:id="133"/>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rPr>
      </w:pPr>
      <w:bookmarkStart w:id="134" w:name="_Toc6134"/>
      <w:bookmarkStart w:id="135" w:name="_Toc29333"/>
      <w:bookmarkStart w:id="136" w:name="_Toc15387"/>
      <w:r>
        <w:rPr>
          <w:rFonts w:hint="eastAsia" w:ascii="仿宋" w:hAnsi="仿宋" w:eastAsia="仿宋" w:cs="仿宋"/>
          <w:b/>
          <w:color w:val="auto"/>
          <w:sz w:val="24"/>
        </w:rPr>
        <w:t xml:space="preserve">2.15 </w:t>
      </w:r>
      <w:r>
        <w:rPr>
          <w:rFonts w:hint="eastAsia" w:ascii="仿宋" w:hAnsi="仿宋" w:eastAsia="仿宋" w:cs="仿宋"/>
          <w:b/>
          <w:color w:val="auto"/>
          <w:sz w:val="24"/>
        </w:rPr>
        <w:t>合同中止、终止</w:t>
      </w:r>
      <w:bookmarkEnd w:id="134"/>
      <w:bookmarkEnd w:id="135"/>
      <w:bookmarkEnd w:id="136"/>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2.15.1 </w:t>
      </w:r>
      <w:r>
        <w:rPr>
          <w:rFonts w:hint="eastAsia" w:ascii="仿宋" w:hAnsi="仿宋" w:eastAsia="仿宋" w:cs="仿宋"/>
          <w:color w:val="auto"/>
          <w:sz w:val="24"/>
        </w:rPr>
        <w:t>双方当事人不得擅自中止或者终止合同；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rPr>
      </w:pPr>
      <w:bookmarkStart w:id="137" w:name="_Toc1125"/>
      <w:bookmarkStart w:id="138" w:name="_Toc6596"/>
      <w:bookmarkStart w:id="139" w:name="_Toc14563"/>
      <w:r>
        <w:rPr>
          <w:rFonts w:hint="eastAsia" w:ascii="仿宋" w:hAnsi="仿宋" w:eastAsia="仿宋" w:cs="仿宋"/>
          <w:b/>
          <w:color w:val="auto"/>
          <w:sz w:val="24"/>
        </w:rPr>
        <w:t>2.16检验和验收</w:t>
      </w:r>
      <w:bookmarkEnd w:id="137"/>
      <w:bookmarkEnd w:id="138"/>
      <w:bookmarkEnd w:id="139"/>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2.16.3 </w:t>
      </w:r>
      <w:r>
        <w:rPr>
          <w:rFonts w:hint="eastAsia" w:ascii="仿宋" w:hAnsi="仿宋" w:eastAsia="仿宋" w:cs="仿宋"/>
          <w:color w:val="auto"/>
          <w:sz w:val="24"/>
        </w:rPr>
        <w:t>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bookmarkEnd w:id="109"/>
    <w:bookmarkEnd w:id="110"/>
    <w:bookmarkEnd w:id="111"/>
    <w:bookmarkEnd w:id="112"/>
    <w:p>
      <w:pPr>
        <w:spacing w:line="560" w:lineRule="exact"/>
        <w:ind w:firstLine="482" w:firstLineChars="200"/>
        <w:outlineLvl w:val="0"/>
        <w:rPr>
          <w:rFonts w:hint="eastAsia" w:ascii="仿宋" w:hAnsi="仿宋" w:eastAsia="仿宋" w:cs="仿宋"/>
          <w:b/>
          <w:color w:val="auto"/>
          <w:sz w:val="24"/>
        </w:rPr>
      </w:pPr>
      <w:bookmarkStart w:id="140" w:name="_Toc279701261"/>
      <w:bookmarkStart w:id="141" w:name="_Toc259093690"/>
      <w:bookmarkStart w:id="142" w:name="_Toc487900371"/>
      <w:bookmarkStart w:id="143" w:name="_Toc25182"/>
      <w:bookmarkStart w:id="144" w:name="_Toc19604"/>
      <w:bookmarkStart w:id="145" w:name="_Toc11284"/>
      <w:r>
        <w:rPr>
          <w:rFonts w:hint="eastAsia" w:ascii="仿宋" w:hAnsi="仿宋" w:eastAsia="仿宋" w:cs="仿宋"/>
          <w:b/>
          <w:color w:val="auto"/>
          <w:sz w:val="24"/>
        </w:rPr>
        <w:t xml:space="preserve">2.17 </w:t>
      </w:r>
      <w:r>
        <w:rPr>
          <w:rFonts w:hint="eastAsia" w:ascii="仿宋" w:hAnsi="仿宋" w:eastAsia="仿宋" w:cs="仿宋"/>
          <w:b/>
          <w:color w:val="auto"/>
          <w:sz w:val="24"/>
        </w:rPr>
        <w:t>通知</w:t>
      </w:r>
      <w:bookmarkEnd w:id="140"/>
      <w:bookmarkEnd w:id="141"/>
      <w:bookmarkEnd w:id="142"/>
      <w:r>
        <w:rPr>
          <w:rFonts w:hint="eastAsia" w:ascii="仿宋" w:hAnsi="仿宋" w:eastAsia="仿宋" w:cs="仿宋"/>
          <w:b/>
          <w:color w:val="auto"/>
          <w:sz w:val="24"/>
        </w:rPr>
        <w:t>和送达</w:t>
      </w:r>
      <w:bookmarkEnd w:id="143"/>
      <w:bookmarkEnd w:id="144"/>
      <w:bookmarkEnd w:id="145"/>
    </w:p>
    <w:p>
      <w:pPr>
        <w:spacing w:line="560" w:lineRule="exact"/>
        <w:ind w:firstLine="480" w:firstLineChars="200"/>
        <w:rPr>
          <w:rFonts w:hint="eastAsia" w:ascii="仿宋" w:hAnsi="仿宋" w:eastAsia="仿宋" w:cs="仿宋"/>
          <w:color w:val="auto"/>
          <w:sz w:val="24"/>
        </w:rPr>
      </w:pPr>
      <w:bookmarkStart w:id="146" w:name="_Toc6698"/>
      <w:bookmarkStart w:id="147" w:name="_Toc3135"/>
      <w:bookmarkStart w:id="148" w:name="_Toc279701262"/>
      <w:bookmarkStart w:id="149" w:name="_Toc259093691"/>
      <w:bookmarkStart w:id="150" w:name="_Toc487900372"/>
      <w:r>
        <w:rPr>
          <w:rFonts w:hint="eastAsia" w:ascii="仿宋" w:hAnsi="仿宋" w:eastAsia="仿宋" w:cs="仿宋"/>
          <w:color w:val="auto"/>
          <w:sz w:val="24"/>
        </w:rPr>
        <w:t>2.17.1</w:t>
      </w:r>
      <w:r>
        <w:rPr>
          <w:rFonts w:hint="eastAsia" w:ascii="仿宋" w:hAnsi="仿宋" w:eastAsia="仿宋" w:cs="仿宋"/>
          <w:color w:val="auto"/>
          <w:sz w:val="24"/>
        </w:rPr>
        <w:t>任何一方因履行合同而以合同第一部分尾部所列明的传真或电子邮件</w:t>
      </w:r>
      <w:r>
        <w:rPr>
          <w:rFonts w:hint="eastAsia" w:ascii="仿宋" w:hAnsi="仿宋" w:eastAsia="仿宋" w:cs="仿宋"/>
          <w:color w:val="auto"/>
          <w:sz w:val="24"/>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 xml:space="preserve">   </w:t>
      </w:r>
      <w:r>
        <w:rPr>
          <w:rFonts w:hint="eastAsia" w:ascii="仿宋" w:hAnsi="仿宋" w:eastAsia="仿宋" w:cs="仿宋"/>
          <w:color w:val="auto"/>
          <w:sz w:val="24"/>
        </w:rPr>
        <w:t>个工作日内书面通知对方当事人，在对方当事人收到有关变更通知之前，变更前的约定送达方式或者地址仍视为有效。</w:t>
      </w:r>
      <w:bookmarkEnd w:id="146"/>
      <w:bookmarkEnd w:id="147"/>
    </w:p>
    <w:p>
      <w:pPr>
        <w:spacing w:line="560" w:lineRule="exact"/>
        <w:ind w:firstLine="480" w:firstLineChars="200"/>
        <w:rPr>
          <w:rFonts w:hint="eastAsia" w:ascii="仿宋" w:hAnsi="仿宋" w:eastAsia="仿宋" w:cs="仿宋"/>
          <w:color w:val="auto"/>
          <w:sz w:val="24"/>
        </w:rPr>
      </w:pPr>
      <w:bookmarkStart w:id="151" w:name="_Toc23128"/>
      <w:bookmarkStart w:id="152" w:name="_Toc23294"/>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w:t>
      </w:r>
      <w:r>
        <w:rPr>
          <w:rFonts w:hint="eastAsia" w:ascii="仿宋" w:hAnsi="仿宋" w:eastAsia="仿宋" w:cs="仿宋"/>
          <w:color w:val="auto"/>
          <w:sz w:val="24"/>
        </w:rPr>
        <w:t>的，邮件挂号寄出或者交邮之日之次日视为送达。</w:t>
      </w:r>
      <w:bookmarkEnd w:id="151"/>
      <w:bookmarkEnd w:id="152"/>
    </w:p>
    <w:p>
      <w:pPr>
        <w:spacing w:line="560" w:lineRule="exact"/>
        <w:ind w:firstLine="482" w:firstLineChars="200"/>
        <w:outlineLvl w:val="0"/>
        <w:rPr>
          <w:rFonts w:hint="eastAsia" w:ascii="仿宋" w:hAnsi="仿宋" w:eastAsia="仿宋" w:cs="仿宋"/>
          <w:b/>
          <w:color w:val="auto"/>
          <w:sz w:val="24"/>
        </w:rPr>
      </w:pPr>
      <w:bookmarkStart w:id="153" w:name="_Toc4355"/>
      <w:bookmarkStart w:id="154" w:name="_Toc18540"/>
      <w:bookmarkStart w:id="155" w:name="_Toc30599"/>
      <w:r>
        <w:rPr>
          <w:rFonts w:hint="eastAsia" w:ascii="仿宋" w:hAnsi="仿宋" w:eastAsia="仿宋" w:cs="仿宋"/>
          <w:b/>
          <w:color w:val="auto"/>
          <w:sz w:val="24"/>
        </w:rPr>
        <w:t xml:space="preserve">2.18 </w:t>
      </w:r>
      <w:r>
        <w:rPr>
          <w:rFonts w:hint="eastAsia" w:ascii="仿宋" w:hAnsi="仿宋" w:eastAsia="仿宋" w:cs="仿宋"/>
          <w:b/>
          <w:color w:val="auto"/>
          <w:sz w:val="24"/>
        </w:rPr>
        <w:t>计量单位</w:t>
      </w:r>
      <w:bookmarkEnd w:id="148"/>
      <w:bookmarkEnd w:id="149"/>
      <w:bookmarkEnd w:id="150"/>
      <w:bookmarkEnd w:id="153"/>
      <w:bookmarkEnd w:id="154"/>
      <w:bookmarkEnd w:id="155"/>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w:t>
      </w:r>
      <w:r>
        <w:rPr>
          <w:rFonts w:hint="eastAsia" w:ascii="仿宋" w:hAnsi="仿宋" w:eastAsia="仿宋" w:cs="仿宋"/>
          <w:color w:val="auto"/>
          <w:sz w:val="24"/>
        </w:rPr>
        <w:t>,合同的计量单位均使用国家法定计量单位。</w:t>
      </w:r>
    </w:p>
    <w:p>
      <w:pPr>
        <w:spacing w:line="560" w:lineRule="exact"/>
        <w:ind w:firstLine="482" w:firstLineChars="200"/>
        <w:outlineLvl w:val="0"/>
        <w:rPr>
          <w:rFonts w:hint="eastAsia" w:ascii="仿宋" w:hAnsi="仿宋" w:eastAsia="仿宋" w:cs="仿宋"/>
          <w:b/>
          <w:color w:val="auto"/>
          <w:sz w:val="24"/>
        </w:rPr>
      </w:pPr>
      <w:bookmarkStart w:id="156" w:name="_Toc18567"/>
      <w:bookmarkStart w:id="157" w:name="_Toc12773"/>
      <w:bookmarkStart w:id="158" w:name="_Toc487900373"/>
      <w:bookmarkStart w:id="159" w:name="_Toc279701263"/>
      <w:bookmarkStart w:id="160" w:name="_Toc259093692"/>
      <w:bookmarkStart w:id="161" w:name="_Toc10330"/>
      <w:r>
        <w:rPr>
          <w:rFonts w:hint="eastAsia" w:ascii="仿宋" w:hAnsi="仿宋" w:eastAsia="仿宋" w:cs="仿宋"/>
          <w:b/>
          <w:color w:val="auto"/>
          <w:sz w:val="24"/>
        </w:rPr>
        <w:t xml:space="preserve">2.19 </w:t>
      </w:r>
      <w:r>
        <w:rPr>
          <w:rFonts w:hint="eastAsia" w:ascii="仿宋" w:hAnsi="仿宋" w:eastAsia="仿宋" w:cs="仿宋"/>
          <w:b/>
          <w:color w:val="auto"/>
          <w:sz w:val="24"/>
        </w:rPr>
        <w:t>合同使用的文字和适用的法律</w:t>
      </w:r>
      <w:bookmarkEnd w:id="156"/>
      <w:bookmarkEnd w:id="157"/>
      <w:bookmarkEnd w:id="158"/>
      <w:bookmarkEnd w:id="159"/>
      <w:bookmarkEnd w:id="160"/>
      <w:bookmarkEnd w:id="16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2.19.1 </w:t>
      </w:r>
      <w:r>
        <w:rPr>
          <w:rFonts w:hint="eastAsia" w:ascii="仿宋" w:hAnsi="仿宋" w:eastAsia="仿宋" w:cs="仿宋"/>
          <w:color w:val="auto"/>
          <w:sz w:val="24"/>
        </w:rPr>
        <w:t>合同使用汉语书就、变更和解释；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2.19.2 </w:t>
      </w:r>
      <w:r>
        <w:rPr>
          <w:rFonts w:hint="eastAsia" w:ascii="仿宋" w:hAnsi="仿宋" w:eastAsia="仿宋" w:cs="仿宋"/>
          <w:color w:val="auto"/>
          <w:sz w:val="24"/>
        </w:rPr>
        <w:t>合同适用中华人民共和国法律。</w:t>
      </w:r>
    </w:p>
    <w:p>
      <w:pPr>
        <w:spacing w:line="560" w:lineRule="exact"/>
        <w:ind w:firstLine="482" w:firstLineChars="200"/>
        <w:outlineLvl w:val="0"/>
        <w:rPr>
          <w:rFonts w:hint="eastAsia" w:ascii="仿宋" w:hAnsi="仿宋" w:eastAsia="仿宋" w:cs="仿宋"/>
          <w:b/>
          <w:color w:val="auto"/>
          <w:sz w:val="24"/>
        </w:rPr>
      </w:pPr>
      <w:bookmarkStart w:id="162" w:name="_Toc3148"/>
      <w:bookmarkStart w:id="163" w:name="_Toc16673"/>
      <w:bookmarkStart w:id="164" w:name="_Toc279701264"/>
      <w:bookmarkStart w:id="165" w:name="_Toc12004"/>
      <w:bookmarkStart w:id="166" w:name="_Toc259093693"/>
      <w:bookmarkStart w:id="167" w:name="_Toc487900374"/>
      <w:r>
        <w:rPr>
          <w:rFonts w:hint="eastAsia" w:ascii="仿宋" w:hAnsi="仿宋" w:eastAsia="仿宋" w:cs="仿宋"/>
          <w:b/>
          <w:color w:val="auto"/>
          <w:sz w:val="24"/>
        </w:rPr>
        <w:t xml:space="preserve">2.20 </w:t>
      </w:r>
      <w:r>
        <w:rPr>
          <w:rFonts w:hint="eastAsia" w:ascii="仿宋" w:hAnsi="仿宋" w:eastAsia="仿宋" w:cs="仿宋"/>
          <w:b/>
          <w:color w:val="auto"/>
          <w:sz w:val="24"/>
        </w:rPr>
        <w:t>履约保证金</w:t>
      </w:r>
      <w:bookmarkEnd w:id="162"/>
      <w:bookmarkEnd w:id="163"/>
      <w:bookmarkEnd w:id="164"/>
      <w:bookmarkEnd w:id="165"/>
      <w:bookmarkEnd w:id="166"/>
    </w:p>
    <w:p>
      <w:pPr>
        <w:pStyle w:val="282"/>
        <w:spacing w:before="0" w:beforeAutospacing="0" w:after="0" w:afterAutospacing="0" w:line="360" w:lineRule="auto"/>
        <w:ind w:firstLine="420"/>
        <w:rPr>
          <w:rFonts w:hint="eastAsia" w:ascii="仿宋" w:hAnsi="仿宋" w:eastAsia="仿宋" w:cs="仿宋"/>
          <w:color w:val="auto"/>
        </w:rPr>
      </w:pPr>
      <w:r>
        <w:rPr>
          <w:rFonts w:hint="eastAsia" w:ascii="仿宋" w:hAnsi="仿宋" w:eastAsia="仿宋" w:cs="仿宋"/>
          <w:color w:val="auto"/>
        </w:rPr>
        <w:t xml:space="preserve">2.20.1 </w:t>
      </w:r>
      <w:r>
        <w:rPr>
          <w:rFonts w:hint="eastAsia" w:ascii="仿宋" w:hAnsi="仿宋" w:eastAsia="仿宋" w:cs="仿宋"/>
          <w:color w:val="auto"/>
        </w:rPr>
        <w:t>采购文件要求乙方提交履约保证金的，乙方应按</w:t>
      </w:r>
      <w:r>
        <w:rPr>
          <w:rFonts w:hint="eastAsia" w:ascii="仿宋" w:hAnsi="仿宋" w:eastAsia="仿宋" w:cs="仿宋"/>
          <w:b/>
          <w:i/>
          <w:color w:val="auto"/>
          <w:u w:val="single"/>
        </w:rPr>
        <w:t>合同专用条款</w:t>
      </w:r>
      <w:r>
        <w:rPr>
          <w:rFonts w:hint="eastAsia" w:ascii="仿宋" w:hAnsi="仿宋" w:eastAsia="仿宋" w:cs="仿宋"/>
          <w:color w:val="auto"/>
        </w:rPr>
        <w:t>约定的方式，以支票、汇票、本票或者金融机构、担保机构出具的保函等非现金形式，提交不超过合同金额1</w:t>
      </w:r>
      <w:r>
        <w:rPr>
          <w:rFonts w:hint="eastAsia" w:ascii="仿宋" w:hAnsi="仿宋" w:eastAsia="仿宋" w:cs="仿宋"/>
          <w:color w:val="auto"/>
        </w:rPr>
        <w:t>%的履约保证金；鼓励和支持乙方以银行、保险公司出具的保函形式提供履约保证。</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2.20.2  </w:t>
      </w:r>
      <w:r>
        <w:rPr>
          <w:rFonts w:hint="eastAsia" w:ascii="仿宋" w:hAnsi="仿宋" w:eastAsia="仿宋" w:cs="仿宋"/>
          <w:color w:val="auto"/>
          <w:sz w:val="24"/>
        </w:rPr>
        <w:t>履约保证金在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约定期间内不予退还。乙方在前述约定期间届满前能履行完合同约定义务事项的，甲方在前述约定期间届满之日起</w:t>
      </w:r>
      <w:r>
        <w:rPr>
          <w:rFonts w:hint="eastAsia" w:ascii="仿宋" w:hAnsi="仿宋" w:eastAsia="仿宋" w:cs="仿宋"/>
          <w:color w:val="auto"/>
          <w:sz w:val="24"/>
          <w:u w:val="single"/>
        </w:rPr>
        <w:t xml:space="preserve">   </w:t>
      </w:r>
      <w:r>
        <w:rPr>
          <w:rFonts w:hint="eastAsia" w:ascii="仿宋" w:hAnsi="仿宋" w:eastAsia="仿宋" w:cs="仿宋"/>
          <w:color w:val="auto"/>
          <w:sz w:val="24"/>
        </w:rPr>
        <w:t>个工作日内，按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约定的方式将履约保证金退还乙方，逾期退还的，乙方可要求甲方支付违约金，违约金按每迟延退还一日的应退还而未退还金额的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%计算，最高限额为本合同履约保证金的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2.20.3 </w:t>
      </w:r>
      <w:r>
        <w:rPr>
          <w:rFonts w:hint="eastAsia" w:ascii="仿宋" w:hAnsi="仿宋" w:eastAsia="仿宋" w:cs="仿宋"/>
          <w:color w:val="auto"/>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color w:val="auto"/>
        </w:rPr>
      </w:pPr>
      <w:r>
        <w:rPr>
          <w:rFonts w:hint="eastAsia" w:ascii="仿宋" w:hAnsi="仿宋" w:eastAsia="仿宋" w:cs="仿宋"/>
          <w:color w:val="auto"/>
          <w:sz w:val="24"/>
        </w:rPr>
        <w:t>2.2</w:t>
      </w:r>
      <w:r>
        <w:rPr>
          <w:rFonts w:hint="eastAsia" w:ascii="仿宋" w:hAnsi="仿宋" w:eastAsia="仿宋" w:cs="仿宋"/>
          <w:color w:val="auto"/>
          <w:sz w:val="24"/>
        </w:rPr>
        <w:t>0</w:t>
      </w:r>
      <w:r>
        <w:rPr>
          <w:rFonts w:hint="eastAsia" w:ascii="仿宋" w:hAnsi="仿宋" w:eastAsia="仿宋" w:cs="仿宋"/>
          <w:color w:val="auto"/>
          <w:sz w:val="24"/>
        </w:rPr>
        <w:t>.4</w:t>
      </w:r>
      <w:r>
        <w:rPr>
          <w:rFonts w:hint="eastAsia" w:ascii="仿宋" w:hAnsi="仿宋" w:eastAsia="仿宋" w:cs="仿宋"/>
          <w:color w:val="auto"/>
          <w:sz w:val="24"/>
        </w:rPr>
        <w:t>甲方</w:t>
      </w:r>
      <w:r>
        <w:rPr>
          <w:rFonts w:hint="eastAsia" w:ascii="仿宋" w:hAnsi="仿宋" w:eastAsia="仿宋" w:cs="仿宋"/>
          <w:color w:val="auto"/>
          <w:sz w:val="24"/>
        </w:rPr>
        <w:t>在</w:t>
      </w:r>
      <w:r>
        <w:rPr>
          <w:rFonts w:hint="eastAsia" w:ascii="仿宋" w:hAnsi="仿宋" w:eastAsia="仿宋" w:cs="仿宋"/>
          <w:color w:val="auto"/>
          <w:sz w:val="24"/>
        </w:rPr>
        <w:t>乙方</w:t>
      </w:r>
      <w:r>
        <w:rPr>
          <w:rFonts w:hint="eastAsia" w:ascii="仿宋" w:hAnsi="仿宋" w:eastAsia="仿宋" w:cs="仿宋"/>
          <w:color w:val="auto"/>
          <w:sz w:val="24"/>
        </w:rPr>
        <w:t>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rPr>
        <w:t>1</w:t>
      </w:r>
      <w:r>
        <w:rPr>
          <w:rFonts w:hint="eastAsia" w:ascii="仿宋" w:hAnsi="仿宋" w:eastAsia="仿宋" w:cs="仿宋"/>
          <w:color w:val="auto"/>
          <w:sz w:val="24"/>
        </w:rPr>
        <w:t>对于因甲方原因导致变更、中止或者终止政府采购合同的，甲方应当依照合同约定对供应商受到的损失予以赔偿或者补偿。</w:t>
      </w:r>
    </w:p>
    <w:bookmarkEnd w:id="167"/>
    <w:p>
      <w:pPr>
        <w:spacing w:line="560" w:lineRule="exact"/>
        <w:ind w:firstLine="482" w:firstLineChars="200"/>
        <w:outlineLvl w:val="0"/>
        <w:rPr>
          <w:rFonts w:hint="eastAsia" w:ascii="仿宋" w:hAnsi="仿宋" w:eastAsia="仿宋" w:cs="仿宋"/>
          <w:b/>
          <w:color w:val="auto"/>
          <w:sz w:val="24"/>
        </w:rPr>
      </w:pPr>
      <w:bookmarkStart w:id="168" w:name="_Toc14001"/>
      <w:bookmarkStart w:id="169" w:name="_Toc19890"/>
      <w:bookmarkStart w:id="170" w:name="_Toc6885"/>
      <w:r>
        <w:rPr>
          <w:rFonts w:hint="eastAsia" w:ascii="仿宋" w:hAnsi="仿宋" w:eastAsia="仿宋" w:cs="仿宋"/>
          <w:b/>
          <w:color w:val="auto"/>
          <w:sz w:val="24"/>
        </w:rPr>
        <w:t>2.2</w:t>
      </w:r>
      <w:r>
        <w:rPr>
          <w:rFonts w:hint="eastAsia" w:ascii="仿宋" w:hAnsi="仿宋" w:eastAsia="仿宋" w:cs="仿宋"/>
          <w:b/>
          <w:color w:val="auto"/>
          <w:sz w:val="24"/>
        </w:rPr>
        <w:t>2合同份数</w:t>
      </w:r>
      <w:bookmarkEnd w:id="168"/>
      <w:bookmarkEnd w:id="169"/>
      <w:bookmarkEnd w:id="170"/>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2.23本项目涉及柴油动力移动源的，该移动源应当符合低排放要求。</w:t>
      </w:r>
    </w:p>
    <w:p>
      <w:pPr>
        <w:pStyle w:val="281"/>
        <w:spacing w:line="560" w:lineRule="exact"/>
        <w:jc w:val="center"/>
        <w:rPr>
          <w:rFonts w:hint="eastAsia" w:ascii="仿宋" w:hAnsi="仿宋" w:eastAsia="仿宋" w:cs="仿宋"/>
          <w:b/>
          <w:color w:val="auto"/>
          <w:szCs w:val="24"/>
        </w:rPr>
      </w:pPr>
      <w:r>
        <w:rPr>
          <w:rFonts w:hint="eastAsia" w:ascii="仿宋" w:hAnsi="仿宋" w:eastAsia="仿宋" w:cs="仿宋"/>
          <w:color w:val="auto"/>
          <w:kern w:val="0"/>
          <w:szCs w:val="24"/>
        </w:rPr>
        <w:br w:type="page"/>
      </w:r>
      <w:bookmarkStart w:id="171" w:name="_Toc331685784"/>
      <w:r>
        <w:rPr>
          <w:rFonts w:hint="eastAsia" w:ascii="仿宋" w:hAnsi="仿宋" w:eastAsia="仿宋" w:cs="仿宋"/>
          <w:b/>
          <w:color w:val="auto"/>
          <w:szCs w:val="24"/>
        </w:rPr>
        <w:t xml:space="preserve"> </w:t>
      </w:r>
      <w:bookmarkEnd w:id="171"/>
      <w:r>
        <w:rPr>
          <w:rFonts w:hint="eastAsia" w:ascii="仿宋" w:hAnsi="仿宋" w:eastAsia="仿宋" w:cs="仿宋"/>
          <w:b/>
          <w:color w:val="auto"/>
          <w:szCs w:val="24"/>
        </w:rPr>
        <w:t>第三部分</w:t>
      </w:r>
      <w:r>
        <w:rPr>
          <w:rFonts w:hint="eastAsia" w:ascii="仿宋" w:hAnsi="仿宋" w:eastAsia="仿宋" w:cs="仿宋"/>
          <w:b/>
          <w:color w:val="auto"/>
          <w:szCs w:val="24"/>
        </w:rPr>
        <w:t xml:space="preserve">  </w:t>
      </w:r>
      <w:r>
        <w:rPr>
          <w:rFonts w:hint="eastAsia" w:ascii="仿宋" w:hAnsi="仿宋" w:eastAsia="仿宋" w:cs="仿宋"/>
          <w:b/>
          <w:color w:val="auto"/>
          <w:szCs w:val="24"/>
        </w:rPr>
        <w:t>合同专用条款</w:t>
      </w:r>
    </w:p>
    <w:p>
      <w:pPr>
        <w:spacing w:line="560" w:lineRule="exact"/>
        <w:ind w:left="-420" w:leftChars="-200" w:right="-420" w:rightChars="-200" w:firstLine="480" w:firstLineChars="200"/>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8275"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1.4.4</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1.5.1 </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1.5.2</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1.5.3 </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1.6.7</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1.7.1</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1.7.2</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2.4.1</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2.4.2</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2.8 </w:t>
            </w:r>
          </w:p>
        </w:tc>
        <w:tc>
          <w:tcPr>
            <w:tcW w:w="8275" w:type="dxa"/>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2.12.3</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2.12.4</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2.16.1</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2.16.3</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2.20.1</w:t>
            </w:r>
          </w:p>
        </w:tc>
        <w:tc>
          <w:tcPr>
            <w:tcW w:w="8275" w:type="dxa"/>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2.20.2 </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rPr>
              <w:t>2</w:t>
            </w:r>
            <w:r>
              <w:rPr>
                <w:rFonts w:hint="eastAsia" w:ascii="仿宋" w:hAnsi="仿宋" w:eastAsia="仿宋" w:cs="仿宋"/>
                <w:color w:val="auto"/>
                <w:sz w:val="24"/>
              </w:rPr>
              <w:t xml:space="preserve"> </w:t>
            </w:r>
          </w:p>
        </w:tc>
        <w:tc>
          <w:tcPr>
            <w:tcW w:w="8275" w:type="dxa"/>
            <w:vAlign w:val="center"/>
          </w:tcPr>
          <w:p>
            <w:pPr>
              <w:spacing w:line="360" w:lineRule="auto"/>
              <w:rPr>
                <w:rFonts w:hint="eastAsia" w:ascii="仿宋" w:hAnsi="仿宋" w:eastAsia="仿宋" w:cs="仿宋"/>
                <w:color w:val="auto"/>
                <w:sz w:val="24"/>
              </w:rPr>
            </w:pPr>
          </w:p>
        </w:tc>
      </w:tr>
    </w:tbl>
    <w:p>
      <w:pPr>
        <w:spacing w:line="360" w:lineRule="auto"/>
        <w:ind w:left="-420" w:leftChars="-200" w:right="-420" w:rightChars="-200" w:firstLine="480" w:firstLineChars="200"/>
        <w:rPr>
          <w:rFonts w:hint="eastAsia" w:ascii="仿宋" w:hAnsi="仿宋" w:eastAsia="仿宋" w:cs="仿宋"/>
          <w:color w:val="auto"/>
          <w:sz w:val="24"/>
        </w:rPr>
      </w:pPr>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（注：在正式签约时，根据上述精神应拟就更为详尽的合同书）</w:t>
      </w:r>
    </w:p>
    <w:p>
      <w:pPr>
        <w:snapToGrid w:val="0"/>
        <w:spacing w:line="440" w:lineRule="exact"/>
        <w:jc w:val="center"/>
        <w:rPr>
          <w:rFonts w:hint="eastAsia" w:ascii="仿宋" w:hAnsi="仿宋" w:eastAsia="仿宋" w:cs="仿宋"/>
          <w:b/>
          <w:color w:val="auto"/>
          <w:sz w:val="36"/>
          <w:szCs w:val="36"/>
        </w:rPr>
      </w:pPr>
    </w:p>
    <w:p>
      <w:pPr>
        <w:pStyle w:val="25"/>
        <w:pageBreakBefore/>
        <w:spacing w:line="800" w:lineRule="exact"/>
        <w:ind w:firstLine="726"/>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numPr>
          <w:ilvl w:val="0"/>
          <w:numId w:val="7"/>
        </w:numPr>
        <w:spacing w:line="440" w:lineRule="exact"/>
        <w:jc w:val="left"/>
        <w:rPr>
          <w:rFonts w:hint="eastAsia" w:ascii="仿宋" w:hAnsi="仿宋" w:eastAsia="仿宋" w:cs="仿宋"/>
          <w:color w:val="auto"/>
          <w:sz w:val="24"/>
        </w:rPr>
      </w:pPr>
      <w:r>
        <w:rPr>
          <w:rFonts w:hint="eastAsia" w:ascii="仿宋" w:hAnsi="仿宋" w:eastAsia="仿宋" w:cs="仿宋"/>
          <w:b/>
          <w:color w:val="auto"/>
          <w:sz w:val="24"/>
        </w:rPr>
        <w:t>评分标准：</w:t>
      </w:r>
      <w:r>
        <w:rPr>
          <w:rFonts w:hint="eastAsia" w:ascii="仿宋" w:hAnsi="仿宋" w:eastAsia="仿宋" w:cs="仿宋"/>
          <w:color w:val="auto"/>
          <w:sz w:val="24"/>
        </w:rPr>
        <w:t>共100分，其中商务技术分60分，价格分40分。评分依下述所列为评标打分依据，分值如下（计算分值时，按其算术平均值保留小数2位）。</w:t>
      </w:r>
    </w:p>
    <w:p>
      <w:pPr>
        <w:pStyle w:val="2"/>
        <w:ind w:firstLine="210"/>
        <w:rPr>
          <w:rFonts w:hint="eastAsia" w:ascii="仿宋" w:hAnsi="仿宋" w:eastAsia="仿宋" w:cs="仿宋"/>
          <w:color w:val="auto"/>
        </w:rPr>
      </w:pP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2.1标项一：绍兴市人民医院</w:t>
      </w:r>
      <w:r>
        <w:rPr>
          <w:rFonts w:hint="eastAsia" w:ascii="仿宋" w:hAnsi="仿宋" w:eastAsia="仿宋" w:cs="仿宋"/>
          <w:b/>
          <w:color w:val="auto"/>
          <w:sz w:val="24"/>
          <w:lang w:eastAsia="zh-Hans"/>
        </w:rPr>
        <w:t>移动护理手持终端</w:t>
      </w:r>
      <w:r>
        <w:rPr>
          <w:rFonts w:hint="eastAsia" w:ascii="仿宋" w:hAnsi="仿宋" w:eastAsia="仿宋" w:cs="仿宋"/>
          <w:b/>
          <w:color w:val="auto"/>
          <w:sz w:val="24"/>
        </w:rPr>
        <w:t>采购项目</w:t>
      </w:r>
    </w:p>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2.1.1商务技术分（60分）</w:t>
      </w:r>
    </w:p>
    <w:tbl>
      <w:tblPr>
        <w:tblStyle w:val="43"/>
        <w:tblW w:w="9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333"/>
        <w:gridCol w:w="6487"/>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8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133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项目</w:t>
            </w:r>
          </w:p>
        </w:tc>
        <w:tc>
          <w:tcPr>
            <w:tcW w:w="648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评分内容和标准</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33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设备技术参数与功能配置</w:t>
            </w:r>
          </w:p>
        </w:tc>
        <w:tc>
          <w:tcPr>
            <w:tcW w:w="6487"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color w:val="auto"/>
                <w:sz w:val="24"/>
              </w:rPr>
            </w:pPr>
            <w:r>
              <w:rPr>
                <w:rFonts w:hint="eastAsia" w:ascii="仿宋" w:hAnsi="仿宋" w:eastAsia="仿宋" w:cs="仿宋"/>
                <w:color w:val="auto"/>
                <w:sz w:val="24"/>
              </w:rPr>
              <w:t>完全满足招标文件要求的得22分，其中含“★”为实质性指标要求条款，如有负偏离，则作无效投标处理；其中含“▲”主要性能指标要求条款，如有负偏离，每项扣3分，其他项负偏离每项扣1分，扣完为止。本项最高得22分，最低得0分。</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22</w:t>
            </w:r>
          </w:p>
          <w:p>
            <w:pPr>
              <w:pStyle w:val="25"/>
              <w:rPr>
                <w:rFonts w:hint="eastAsia" w:ascii="仿宋" w:hAnsi="仿宋" w:eastAsia="仿宋" w:cs="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68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333"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相关认证</w:t>
            </w:r>
          </w:p>
        </w:tc>
        <w:tc>
          <w:tcPr>
            <w:tcW w:w="6487" w:type="dxa"/>
            <w:tcBorders>
              <w:top w:val="single" w:color="auto" w:sz="4" w:space="0"/>
              <w:left w:val="single" w:color="auto" w:sz="4" w:space="0"/>
              <w:bottom w:val="single" w:color="auto" w:sz="4" w:space="0"/>
              <w:right w:val="single" w:color="auto" w:sz="4" w:space="0"/>
            </w:tcBorders>
            <w:vAlign w:val="center"/>
          </w:tcPr>
          <w:p>
            <w:pPr>
              <w:pStyle w:val="287"/>
              <w:spacing w:line="360" w:lineRule="exact"/>
              <w:ind w:left="0"/>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1、投标产品须提供制造商ISO9001/14001/45001认证证书复印件，全部提供得2分，少一个证书扣1分，扣完为止。</w:t>
            </w:r>
          </w:p>
          <w:p>
            <w:pPr>
              <w:pStyle w:val="287"/>
              <w:spacing w:line="360" w:lineRule="exact"/>
              <w:ind w:left="0"/>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 xml:space="preserve">2、投标产品具备类似条码扫描方面的专利技术证书，提供得3分，不提供不得分。 </w:t>
            </w:r>
          </w:p>
          <w:p>
            <w:pPr>
              <w:pStyle w:val="287"/>
              <w:spacing w:line="360" w:lineRule="exact"/>
              <w:ind w:left="0"/>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3、投标人提供投标产品CCC认证、CE证书等类似级别证书，提供得1分，不提供不得分。</w:t>
            </w:r>
          </w:p>
          <w:p>
            <w:pPr>
              <w:pStyle w:val="287"/>
              <w:spacing w:line="360" w:lineRule="exact"/>
              <w:ind w:left="0"/>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4、投标人提供投标产品无线电发射设备型号核准证证书，提供得1分，不提供不得分。</w:t>
            </w:r>
          </w:p>
          <w:p>
            <w:pPr>
              <w:pStyle w:val="287"/>
              <w:spacing w:line="360" w:lineRule="exact"/>
              <w:ind w:left="0"/>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5、投标人提供投标产品电信设备入网许可证书证书，提供得1分，不提供不得分。</w:t>
            </w:r>
          </w:p>
          <w:p>
            <w:pPr>
              <w:pStyle w:val="287"/>
              <w:spacing w:line="360" w:lineRule="exact"/>
              <w:ind w:left="0"/>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 xml:space="preserve">6、投标人提供投标产品电池货物运输空运和海运证书，提供得1分，不提供不得分。 </w:t>
            </w:r>
          </w:p>
          <w:p>
            <w:pPr>
              <w:pStyle w:val="287"/>
              <w:spacing w:line="360" w:lineRule="exact"/>
              <w:ind w:left="0"/>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 xml:space="preserve">7、投标产品提供国家权威部门出具的医疗操作系统软件著作权证书，提供得2分，不提供不得分。 </w:t>
            </w:r>
          </w:p>
          <w:p>
            <w:pPr>
              <w:pStyle w:val="22"/>
              <w:spacing w:line="276" w:lineRule="auto"/>
              <w:ind w:left="0" w:leftChars="0" w:firstLine="0" w:firstLineChars="0"/>
              <w:rPr>
                <w:rFonts w:hint="eastAsia" w:ascii="仿宋" w:hAnsi="仿宋" w:eastAsia="仿宋" w:cs="仿宋"/>
                <w:color w:val="auto"/>
              </w:rPr>
            </w:pPr>
            <w:r>
              <w:rPr>
                <w:rFonts w:hint="eastAsia" w:ascii="仿宋" w:hAnsi="仿宋" w:eastAsia="仿宋" w:cs="仿宋"/>
                <w:color w:val="auto"/>
                <w:sz w:val="24"/>
              </w:rPr>
              <w:t xml:space="preserve">提供证书复印件并加盖制造商公章。 </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p>
          <w:p>
            <w:pPr>
              <w:jc w:val="center"/>
              <w:rPr>
                <w:rFonts w:hint="eastAsia" w:ascii="仿宋" w:hAnsi="仿宋" w:eastAsia="仿宋" w:cs="仿宋"/>
                <w:color w:val="auto"/>
                <w:sz w:val="24"/>
              </w:rPr>
            </w:pPr>
            <w:r>
              <w:rPr>
                <w:rFonts w:hint="eastAsia" w:ascii="仿宋" w:hAnsi="仿宋" w:eastAsia="仿宋" w:cs="仿宋"/>
                <w:color w:val="auto"/>
                <w:sz w:val="24"/>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jc w:val="center"/>
        </w:trPr>
        <w:tc>
          <w:tcPr>
            <w:tcW w:w="68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33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rPr>
            </w:pPr>
            <w:r>
              <w:rPr>
                <w:rFonts w:hint="eastAsia" w:ascii="仿宋" w:hAnsi="仿宋" w:eastAsia="仿宋" w:cs="仿宋"/>
                <w:color w:val="auto"/>
                <w:kern w:val="0"/>
                <w:sz w:val="24"/>
              </w:rPr>
              <w:t>产品演示</w:t>
            </w:r>
          </w:p>
        </w:tc>
        <w:tc>
          <w:tcPr>
            <w:tcW w:w="6487" w:type="dxa"/>
            <w:tcBorders>
              <w:top w:val="single" w:color="auto" w:sz="4" w:space="0"/>
              <w:left w:val="single" w:color="auto" w:sz="4" w:space="0"/>
              <w:bottom w:val="single" w:color="auto" w:sz="4" w:space="0"/>
              <w:right w:val="single" w:color="auto" w:sz="4" w:space="0"/>
            </w:tcBorders>
            <w:vAlign w:val="center"/>
          </w:tcPr>
          <w:p>
            <w:pPr>
              <w:pStyle w:val="287"/>
              <w:spacing w:line="360" w:lineRule="exact"/>
              <w:ind w:left="0"/>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1.针对该产品的抗摔打能力进行现场产品测试，能承受1.2米高度的多次跌落冲击，进行酌情打分，优的得5.0-4.1分，良得4.0-2.1分，一般的得2.0-0.1分，不提供不得分。</w:t>
            </w:r>
          </w:p>
          <w:p>
            <w:pPr>
              <w:pStyle w:val="287"/>
              <w:spacing w:line="360" w:lineRule="exact"/>
              <w:ind w:left="0"/>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2、针对该产品的扫描清晰度、敏感度进行现场产品演示，优的得3.0-2.1分，良得2.0-1.1分，一般的得1.0-0.1分，不提供不得分。</w:t>
            </w:r>
          </w:p>
          <w:p>
            <w:pPr>
              <w:pStyle w:val="287"/>
              <w:spacing w:line="360" w:lineRule="exact"/>
              <w:ind w:left="0"/>
              <w:rPr>
                <w:rFonts w:hint="eastAsia" w:ascii="仿宋" w:hAnsi="仿宋" w:eastAsia="仿宋" w:cs="仿宋"/>
                <w:color w:val="auto"/>
              </w:rPr>
            </w:pPr>
            <w:r>
              <w:rPr>
                <w:rFonts w:hint="eastAsia" w:ascii="仿宋" w:hAnsi="仿宋" w:eastAsia="仿宋" w:cs="仿宋"/>
                <w:color w:val="auto"/>
                <w:kern w:val="2"/>
                <w:sz w:val="24"/>
                <w:szCs w:val="24"/>
              </w:rPr>
              <w:t>3、针对该产品的外观进行现场产品演示，优的得2.0-1.6分，良得1.5-1.1分，一般的得1.0-0.1分，不提供不得分。</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jc w:val="center"/>
        </w:trPr>
        <w:tc>
          <w:tcPr>
            <w:tcW w:w="68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kern w:val="0"/>
                <w:szCs w:val="21"/>
              </w:rPr>
              <w:t xml:space="preserve"> 4</w:t>
            </w:r>
          </w:p>
        </w:tc>
        <w:tc>
          <w:tcPr>
            <w:tcW w:w="133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rPr>
            </w:pPr>
            <w:r>
              <w:rPr>
                <w:rFonts w:hint="eastAsia" w:ascii="仿宋" w:hAnsi="仿宋" w:eastAsia="仿宋" w:cs="仿宋"/>
                <w:color w:val="auto"/>
                <w:kern w:val="0"/>
                <w:szCs w:val="21"/>
              </w:rPr>
              <w:t>综合评分</w:t>
            </w:r>
          </w:p>
        </w:tc>
        <w:tc>
          <w:tcPr>
            <w:tcW w:w="6487" w:type="dxa"/>
            <w:tcBorders>
              <w:top w:val="single" w:color="auto" w:sz="4" w:space="0"/>
              <w:left w:val="single" w:color="auto" w:sz="4" w:space="0"/>
              <w:bottom w:val="single" w:color="auto" w:sz="4" w:space="0"/>
              <w:right w:val="single" w:color="auto" w:sz="4" w:space="0"/>
            </w:tcBorders>
            <w:vAlign w:val="center"/>
          </w:tcPr>
          <w:p>
            <w:pPr>
              <w:pStyle w:val="25"/>
              <w:rPr>
                <w:rFonts w:hint="eastAsia" w:ascii="仿宋" w:hAnsi="仿宋" w:eastAsia="仿宋" w:cs="仿宋"/>
                <w:color w:val="auto"/>
              </w:rPr>
            </w:pPr>
            <w:r>
              <w:rPr>
                <w:rFonts w:hint="eastAsia" w:ascii="仿宋" w:hAnsi="仿宋" w:eastAsia="仿宋" w:cs="仿宋"/>
                <w:color w:val="auto"/>
                <w:sz w:val="24"/>
                <w:szCs w:val="24"/>
              </w:rPr>
              <w:t>根据投标人投标产品的配置综合性能进行打分，优于项目需求要求的得6-4.1分，符合项目需求要求的得4-2.1分，部分符合项目需求要求的得2-0.1分，不符合或不提供的不得分。</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jc w:val="center"/>
        </w:trPr>
        <w:tc>
          <w:tcPr>
            <w:tcW w:w="68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33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rPr>
            </w:pPr>
            <w:r>
              <w:rPr>
                <w:rFonts w:hint="eastAsia" w:ascii="仿宋" w:hAnsi="仿宋" w:eastAsia="仿宋" w:cs="仿宋"/>
                <w:color w:val="auto"/>
                <w:kern w:val="0"/>
                <w:sz w:val="24"/>
              </w:rPr>
              <w:t>接口</w:t>
            </w:r>
          </w:p>
        </w:tc>
        <w:tc>
          <w:tcPr>
            <w:tcW w:w="6487" w:type="dxa"/>
            <w:tcBorders>
              <w:top w:val="single" w:color="auto" w:sz="4" w:space="0"/>
              <w:left w:val="single" w:color="auto" w:sz="4" w:space="0"/>
              <w:bottom w:val="single" w:color="auto" w:sz="4" w:space="0"/>
              <w:right w:val="single" w:color="auto" w:sz="4" w:space="0"/>
            </w:tcBorders>
            <w:vAlign w:val="center"/>
          </w:tcPr>
          <w:p>
            <w:pPr>
              <w:pStyle w:val="22"/>
              <w:spacing w:line="276" w:lineRule="auto"/>
              <w:ind w:left="0" w:leftChars="0" w:firstLine="0" w:firstLineChars="0"/>
              <w:rPr>
                <w:rFonts w:hint="eastAsia" w:ascii="仿宋" w:hAnsi="仿宋" w:eastAsia="仿宋" w:cs="仿宋"/>
                <w:color w:val="auto"/>
                <w:szCs w:val="21"/>
                <w:lang w:bidi="en-US"/>
              </w:rPr>
            </w:pPr>
            <w:r>
              <w:rPr>
                <w:rFonts w:hint="eastAsia" w:ascii="仿宋" w:hAnsi="仿宋" w:eastAsia="仿宋" w:cs="仿宋"/>
                <w:color w:val="auto"/>
                <w:sz w:val="24"/>
              </w:rPr>
              <w:t>根据投标人提供所投产品的PDA扫描技术原厂商及PDA扫描技术接口服务的承诺进行综合打分，优得4-2.1分，良得2-1.1分，一般得1-0.1分，不提供不得分。</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68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6</w:t>
            </w:r>
          </w:p>
        </w:tc>
        <w:tc>
          <w:tcPr>
            <w:tcW w:w="1333" w:type="dxa"/>
            <w:tcBorders>
              <w:top w:val="single" w:color="auto" w:sz="4" w:space="0"/>
              <w:left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优惠</w:t>
            </w:r>
          </w:p>
        </w:tc>
        <w:tc>
          <w:tcPr>
            <w:tcW w:w="6487" w:type="dxa"/>
            <w:tcBorders>
              <w:top w:val="single" w:color="auto" w:sz="4" w:space="0"/>
              <w:left w:val="single" w:color="auto" w:sz="4" w:space="0"/>
              <w:right w:val="single" w:color="auto" w:sz="4" w:space="0"/>
            </w:tcBorders>
            <w:vAlign w:val="center"/>
          </w:tcPr>
          <w:p>
            <w:pPr>
              <w:jc w:val="left"/>
              <w:rPr>
                <w:rFonts w:hint="eastAsia" w:ascii="仿宋" w:hAnsi="仿宋" w:eastAsia="仿宋" w:cs="仿宋"/>
                <w:color w:val="auto"/>
                <w:sz w:val="24"/>
              </w:rPr>
            </w:pPr>
            <w:r>
              <w:rPr>
                <w:rFonts w:hint="eastAsia" w:ascii="仿宋" w:hAnsi="仿宋" w:eastAsia="仿宋" w:cs="仿宋"/>
                <w:color w:val="auto"/>
                <w:sz w:val="24"/>
              </w:rPr>
              <w:t>根据投标人提供的</w:t>
            </w:r>
            <w:r>
              <w:rPr>
                <w:rFonts w:hint="eastAsia" w:ascii="仿宋" w:hAnsi="仿宋" w:eastAsia="仿宋" w:cs="仿宋"/>
                <w:color w:val="auto"/>
                <w:sz w:val="24"/>
              </w:rPr>
              <w:t>对项目具有实质性优惠措施（提供备机、服务等）进行打分，优于招标文件要求的得2 -1.1分，部分优于招标文件要求的得1-0.1分，无实质性优惠的得0分。</w:t>
            </w:r>
          </w:p>
        </w:tc>
        <w:tc>
          <w:tcPr>
            <w:tcW w:w="709" w:type="dxa"/>
            <w:tcBorders>
              <w:top w:val="single" w:color="auto" w:sz="4" w:space="0"/>
              <w:left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681" w:type="dxa"/>
            <w:vMerge w:val="continue"/>
            <w:tcBorders>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p>
        </w:tc>
        <w:tc>
          <w:tcPr>
            <w:tcW w:w="1333" w:type="dxa"/>
            <w:tcBorders>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案例</w:t>
            </w:r>
          </w:p>
        </w:tc>
        <w:tc>
          <w:tcPr>
            <w:tcW w:w="6487"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color w:val="auto"/>
                <w:sz w:val="24"/>
              </w:rPr>
            </w:pPr>
            <w:r>
              <w:rPr>
                <w:rFonts w:hint="eastAsia" w:ascii="仿宋" w:hAnsi="仿宋" w:eastAsia="仿宋" w:cs="仿宋"/>
                <w:color w:val="auto"/>
                <w:sz w:val="24"/>
              </w:rPr>
              <w:t>自2</w:t>
            </w:r>
            <w:r>
              <w:rPr>
                <w:rFonts w:hint="eastAsia" w:ascii="仿宋" w:hAnsi="仿宋" w:eastAsia="仿宋" w:cs="仿宋"/>
                <w:color w:val="auto"/>
                <w:sz w:val="24"/>
              </w:rPr>
              <w:t>019</w:t>
            </w:r>
            <w:r>
              <w:rPr>
                <w:rFonts w:hint="eastAsia" w:ascii="仿宋" w:hAnsi="仿宋" w:eastAsia="仿宋" w:cs="仿宋"/>
                <w:color w:val="auto"/>
                <w:sz w:val="24"/>
              </w:rPr>
              <w:t>年</w:t>
            </w:r>
            <w:r>
              <w:rPr>
                <w:rFonts w:hint="eastAsia" w:ascii="仿宋" w:hAnsi="仿宋" w:eastAsia="仿宋" w:cs="仿宋"/>
                <w:color w:val="auto"/>
                <w:sz w:val="24"/>
              </w:rPr>
              <w:t>1月1日起，所投产品</w:t>
            </w:r>
            <w:r>
              <w:rPr>
                <w:rFonts w:hint="eastAsia" w:ascii="仿宋" w:hAnsi="仿宋" w:eastAsia="仿宋" w:cs="仿宋"/>
                <w:color w:val="auto"/>
                <w:sz w:val="24"/>
                <w:lang w:eastAsia="zh-Hans"/>
              </w:rPr>
              <w:t>型号设备具有类似案例，并提供完整的合同复印件，</w:t>
            </w:r>
            <w:r>
              <w:rPr>
                <w:rFonts w:hint="eastAsia" w:ascii="仿宋" w:hAnsi="仿宋" w:eastAsia="仿宋" w:cs="仿宋"/>
                <w:color w:val="auto"/>
                <w:sz w:val="24"/>
              </w:rPr>
              <w:t>复印件能清楚的辨析设备名称、型号等，否则不得分），每个案例1分，最高得4分。</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68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7</w:t>
            </w:r>
          </w:p>
        </w:tc>
        <w:tc>
          <w:tcPr>
            <w:tcW w:w="133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标书制作</w:t>
            </w:r>
          </w:p>
        </w:tc>
        <w:tc>
          <w:tcPr>
            <w:tcW w:w="6487"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color w:val="auto"/>
                <w:sz w:val="24"/>
              </w:rPr>
            </w:pPr>
            <w:r>
              <w:rPr>
                <w:rFonts w:hint="eastAsia" w:ascii="仿宋" w:hAnsi="仿宋" w:eastAsia="仿宋" w:cs="仿宋"/>
                <w:color w:val="auto"/>
                <w:sz w:val="24"/>
              </w:rPr>
              <w:t>根据投标人投标文件编制情况（包括投标文件内容编制完整清晰，关联到位，格式规范等）进行打分，1-0.1分。</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1</w:t>
            </w:r>
          </w:p>
        </w:tc>
      </w:tr>
    </w:tbl>
    <w:p>
      <w:pPr>
        <w:pStyle w:val="7"/>
        <w:rPr>
          <w:rFonts w:hint="eastAsia" w:ascii="仿宋" w:hAnsi="仿宋" w:eastAsia="仿宋" w:cs="仿宋"/>
          <w:color w:val="auto"/>
        </w:rPr>
      </w:pPr>
    </w:p>
    <w:p>
      <w:pPr>
        <w:spacing w:line="400" w:lineRule="exact"/>
        <w:rPr>
          <w:rFonts w:hint="eastAsia" w:ascii="仿宋" w:hAnsi="仿宋" w:eastAsia="仿宋" w:cs="仿宋"/>
          <w:b/>
          <w:bCs/>
          <w:iCs/>
          <w:color w:val="auto"/>
          <w:sz w:val="24"/>
        </w:rPr>
      </w:pPr>
      <w:r>
        <w:rPr>
          <w:rFonts w:hint="eastAsia" w:ascii="仿宋" w:hAnsi="仿宋" w:eastAsia="仿宋" w:cs="仿宋"/>
          <w:b/>
          <w:bCs/>
          <w:iCs/>
          <w:color w:val="auto"/>
          <w:sz w:val="24"/>
        </w:rPr>
        <w:t>对省级以上主管部门认定的首台套产品，自纳入《省推广应用指导目录》起三年内参加政府采购活动，视同已具备相应销售业绩，业绩分为满分。</w:t>
      </w:r>
    </w:p>
    <w:p>
      <w:pPr>
        <w:spacing w:line="400" w:lineRule="exact"/>
        <w:rPr>
          <w:rFonts w:hint="eastAsia" w:ascii="仿宋" w:hAnsi="仿宋" w:eastAsia="仿宋" w:cs="仿宋"/>
          <w:b/>
          <w:bCs/>
          <w:iCs/>
          <w:color w:val="auto"/>
          <w:sz w:val="24"/>
        </w:rPr>
      </w:pPr>
    </w:p>
    <w:p>
      <w:pPr>
        <w:spacing w:line="400" w:lineRule="exact"/>
        <w:rPr>
          <w:rFonts w:hint="eastAsia" w:ascii="仿宋" w:hAnsi="仿宋" w:eastAsia="仿宋" w:cs="仿宋"/>
          <w:b/>
          <w:bCs/>
          <w:iCs/>
          <w:color w:val="auto"/>
          <w:sz w:val="24"/>
        </w:rPr>
      </w:pPr>
      <w:r>
        <w:rPr>
          <w:rFonts w:hint="eastAsia" w:ascii="仿宋" w:hAnsi="仿宋" w:eastAsia="仿宋" w:cs="仿宋"/>
          <w:b/>
          <w:bCs/>
          <w:iCs/>
          <w:color w:val="auto"/>
          <w:sz w:val="24"/>
        </w:rPr>
        <w:t>2.1.2价格分（40分）</w:t>
      </w:r>
    </w:p>
    <w:p>
      <w:pPr>
        <w:spacing w:line="400" w:lineRule="exact"/>
        <w:rPr>
          <w:rFonts w:hint="eastAsia" w:ascii="仿宋" w:hAnsi="仿宋" w:eastAsia="仿宋" w:cs="仿宋"/>
          <w:bCs/>
          <w:iCs/>
          <w:color w:val="auto"/>
          <w:sz w:val="24"/>
        </w:rPr>
      </w:pPr>
      <w:r>
        <w:rPr>
          <w:rFonts w:hint="eastAsia" w:ascii="仿宋" w:hAnsi="仿宋" w:eastAsia="仿宋" w:cs="仿宋"/>
          <w:bCs/>
          <w:iCs/>
          <w:color w:val="auto"/>
          <w:sz w:val="24"/>
        </w:rPr>
        <w:t>2.1.2.1评标基准价：即满足招标文件要求且投标价格最低的投标报价为评标基准价，其价格分为满分。</w:t>
      </w:r>
    </w:p>
    <w:p>
      <w:pPr>
        <w:spacing w:line="400" w:lineRule="exact"/>
        <w:rPr>
          <w:rFonts w:hint="eastAsia" w:ascii="仿宋" w:hAnsi="仿宋" w:eastAsia="仿宋" w:cs="仿宋"/>
          <w:bCs/>
          <w:iCs/>
          <w:color w:val="auto"/>
          <w:sz w:val="24"/>
        </w:rPr>
      </w:pPr>
      <w:r>
        <w:rPr>
          <w:rFonts w:hint="eastAsia" w:ascii="仿宋" w:hAnsi="仿宋" w:eastAsia="仿宋" w:cs="仿宋"/>
          <w:bCs/>
          <w:iCs/>
          <w:color w:val="auto"/>
          <w:sz w:val="24"/>
        </w:rPr>
        <w:t>2.1.2.2其他投标人的价格分统一按照下列公式计算：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rFonts w:hint="eastAsia" w:ascii="仿宋" w:hAnsi="仿宋" w:eastAsia="仿宋" w:cs="仿宋"/>
          <w:bCs/>
          <w:iCs/>
          <w:color w:val="auto"/>
          <w:sz w:val="24"/>
        </w:rPr>
      </w:pPr>
      <w:r>
        <w:rPr>
          <w:rFonts w:hint="eastAsia" w:ascii="仿宋" w:hAnsi="仿宋" w:eastAsia="仿宋" w:cs="仿宋"/>
          <w:bCs/>
          <w:iCs/>
          <w:color w:val="auto"/>
          <w:sz w:val="24"/>
        </w:rPr>
        <w:t>即：投标报价得分=(评标基准价／投标报价)×40</w:t>
      </w:r>
    </w:p>
    <w:p>
      <w:pPr>
        <w:pStyle w:val="2"/>
        <w:ind w:firstLine="240"/>
        <w:rPr>
          <w:rFonts w:hint="eastAsia" w:ascii="仿宋" w:hAnsi="仿宋" w:eastAsia="仿宋" w:cs="仿宋"/>
          <w:bCs/>
          <w:iCs/>
          <w:color w:val="auto"/>
          <w:sz w:val="24"/>
        </w:rPr>
      </w:pPr>
    </w:p>
    <w:p>
      <w:pPr>
        <w:pStyle w:val="2"/>
        <w:ind w:firstLine="240"/>
        <w:rPr>
          <w:rFonts w:hint="eastAsia" w:ascii="仿宋" w:hAnsi="仿宋" w:eastAsia="仿宋" w:cs="仿宋"/>
          <w:bCs/>
          <w:iCs/>
          <w:color w:val="auto"/>
          <w:sz w:val="24"/>
        </w:rPr>
      </w:pPr>
    </w:p>
    <w:p>
      <w:pPr>
        <w:pStyle w:val="2"/>
        <w:ind w:firstLine="240"/>
        <w:rPr>
          <w:rFonts w:hint="eastAsia" w:ascii="仿宋" w:hAnsi="仿宋" w:eastAsia="仿宋" w:cs="仿宋"/>
          <w:bCs/>
          <w:iCs/>
          <w:color w:val="auto"/>
          <w:sz w:val="24"/>
        </w:rPr>
      </w:pPr>
    </w:p>
    <w:p>
      <w:pPr>
        <w:rPr>
          <w:rFonts w:hint="eastAsia" w:ascii="仿宋" w:hAnsi="仿宋" w:eastAsia="仿宋" w:cs="仿宋"/>
          <w:bCs/>
          <w:iCs/>
          <w:color w:val="auto"/>
          <w:sz w:val="24"/>
        </w:rPr>
      </w:pPr>
      <w:r>
        <w:rPr>
          <w:rFonts w:hint="eastAsia" w:ascii="仿宋" w:hAnsi="仿宋" w:eastAsia="仿宋" w:cs="仿宋"/>
          <w:bCs/>
          <w:iCs/>
          <w:color w:val="auto"/>
          <w:sz w:val="24"/>
        </w:rPr>
        <w:br w:type="page"/>
      </w:r>
    </w:p>
    <w:p>
      <w:pPr>
        <w:pStyle w:val="2"/>
        <w:ind w:firstLine="240"/>
        <w:rPr>
          <w:rFonts w:hint="eastAsia" w:ascii="仿宋" w:hAnsi="仿宋" w:eastAsia="仿宋" w:cs="仿宋"/>
          <w:bCs/>
          <w:iCs/>
          <w:color w:val="auto"/>
          <w:sz w:val="24"/>
        </w:rPr>
      </w:pPr>
    </w:p>
    <w:bookmarkEnd w:id="8"/>
    <w:bookmarkEnd w:id="9"/>
    <w:bookmarkEnd w:id="10"/>
    <w:bookmarkEnd w:id="11"/>
    <w:p>
      <w:pPr>
        <w:spacing w:line="440" w:lineRule="exact"/>
        <w:jc w:val="left"/>
        <w:rPr>
          <w:rFonts w:hint="eastAsia" w:ascii="仿宋" w:hAnsi="仿宋" w:eastAsia="仿宋" w:cs="仿宋"/>
          <w:b/>
          <w:color w:val="auto"/>
          <w:sz w:val="24"/>
          <w:lang w:eastAsia="zh-Hans"/>
        </w:rPr>
      </w:pPr>
      <w:r>
        <w:rPr>
          <w:rFonts w:hint="eastAsia" w:ascii="仿宋" w:hAnsi="仿宋" w:eastAsia="仿宋" w:cs="仿宋"/>
          <w:b/>
          <w:color w:val="auto"/>
          <w:sz w:val="24"/>
        </w:rPr>
        <w:t>2.2标项二：绍兴市人民医院</w:t>
      </w:r>
      <w:r>
        <w:rPr>
          <w:rFonts w:hint="eastAsia" w:ascii="仿宋" w:hAnsi="仿宋" w:eastAsia="仿宋" w:cs="仿宋"/>
          <w:b/>
          <w:color w:val="auto"/>
          <w:sz w:val="24"/>
          <w:lang w:eastAsia="zh-Hans"/>
        </w:rPr>
        <w:t>双容灾数据中心采购项目</w:t>
      </w:r>
    </w:p>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2.2.1.技术分（60分）</w:t>
      </w:r>
    </w:p>
    <w:tbl>
      <w:tblPr>
        <w:tblStyle w:val="43"/>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271"/>
        <w:gridCol w:w="6500"/>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8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12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项目</w:t>
            </w:r>
          </w:p>
        </w:tc>
        <w:tc>
          <w:tcPr>
            <w:tcW w:w="65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评分内容和标准</w:t>
            </w:r>
          </w:p>
        </w:tc>
        <w:tc>
          <w:tcPr>
            <w:tcW w:w="7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2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设备技术参数与功能配置</w:t>
            </w:r>
          </w:p>
        </w:tc>
        <w:tc>
          <w:tcPr>
            <w:tcW w:w="650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color w:val="auto"/>
                <w:sz w:val="24"/>
              </w:rPr>
            </w:pPr>
            <w:r>
              <w:rPr>
                <w:rFonts w:hint="eastAsia" w:ascii="仿宋" w:hAnsi="仿宋" w:eastAsia="仿宋" w:cs="仿宋"/>
                <w:color w:val="auto"/>
                <w:sz w:val="24"/>
              </w:rPr>
              <w:t>完全满足招标文件要求的得15分，其中含“★”为实质性指标要求条款，如有负偏离，则作无效投标处理；其中含“▲”主要性能指标要求条款，如有负偏离，每项扣3分，其他项负偏离每项扣1分，扣完为止。本项最高得15分，最低得0分。</w:t>
            </w:r>
          </w:p>
        </w:tc>
        <w:tc>
          <w:tcPr>
            <w:tcW w:w="7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68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2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投标人资质</w:t>
            </w:r>
          </w:p>
        </w:tc>
        <w:tc>
          <w:tcPr>
            <w:tcW w:w="650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color w:val="auto"/>
                <w:sz w:val="24"/>
              </w:rPr>
            </w:pPr>
            <w:r>
              <w:rPr>
                <w:rFonts w:hint="eastAsia" w:ascii="仿宋" w:hAnsi="仿宋" w:eastAsia="仿宋" w:cs="仿宋"/>
                <w:color w:val="auto"/>
                <w:sz w:val="24"/>
              </w:rPr>
              <w:t>1. 投标人具备信息安全管理体系认证证书ISO/IEC27001，得1分；</w:t>
            </w:r>
          </w:p>
          <w:p>
            <w:pPr>
              <w:jc w:val="left"/>
              <w:rPr>
                <w:rFonts w:hint="eastAsia" w:ascii="仿宋" w:hAnsi="仿宋" w:eastAsia="仿宋" w:cs="仿宋"/>
                <w:color w:val="auto"/>
                <w:sz w:val="24"/>
              </w:rPr>
            </w:pPr>
            <w:r>
              <w:rPr>
                <w:rFonts w:hint="eastAsia" w:ascii="仿宋" w:hAnsi="仿宋" w:eastAsia="仿宋" w:cs="仿宋"/>
                <w:color w:val="auto"/>
                <w:sz w:val="24"/>
              </w:rPr>
              <w:t>2. 投标人具备环境管理体系认证证书ISO14001，得1分；</w:t>
            </w:r>
          </w:p>
          <w:p>
            <w:pPr>
              <w:jc w:val="left"/>
              <w:rPr>
                <w:rFonts w:hint="eastAsia" w:ascii="仿宋" w:hAnsi="仿宋" w:eastAsia="仿宋" w:cs="仿宋"/>
                <w:color w:val="auto"/>
                <w:sz w:val="24"/>
              </w:rPr>
            </w:pPr>
            <w:r>
              <w:rPr>
                <w:rFonts w:hint="eastAsia" w:ascii="仿宋" w:hAnsi="仿宋" w:eastAsia="仿宋" w:cs="仿宋"/>
                <w:color w:val="auto"/>
                <w:sz w:val="24"/>
              </w:rPr>
              <w:t>3. 投标人具备质量管理体系认证证书ISO9001，得1分；</w:t>
            </w:r>
          </w:p>
          <w:p>
            <w:pPr>
              <w:jc w:val="left"/>
              <w:rPr>
                <w:rFonts w:hint="eastAsia" w:ascii="仿宋" w:hAnsi="仿宋" w:eastAsia="仿宋" w:cs="仿宋"/>
                <w:color w:val="auto"/>
                <w:sz w:val="24"/>
              </w:rPr>
            </w:pPr>
            <w:r>
              <w:rPr>
                <w:rFonts w:hint="eastAsia" w:ascii="仿宋" w:hAnsi="仿宋" w:eastAsia="仿宋" w:cs="仿宋"/>
                <w:color w:val="auto"/>
                <w:sz w:val="24"/>
              </w:rPr>
              <w:t>4. 投标人具备信息技术服务管理体系认证 ISO/IEC 20000-1，得1分；</w:t>
            </w:r>
          </w:p>
        </w:tc>
        <w:tc>
          <w:tcPr>
            <w:tcW w:w="7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68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2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企业人员资质</w:t>
            </w:r>
          </w:p>
        </w:tc>
        <w:tc>
          <w:tcPr>
            <w:tcW w:w="650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color w:val="auto"/>
                <w:sz w:val="24"/>
              </w:rPr>
            </w:pPr>
            <w:r>
              <w:rPr>
                <w:rFonts w:hint="eastAsia" w:ascii="仿宋" w:hAnsi="仿宋" w:eastAsia="仿宋" w:cs="仿宋"/>
                <w:color w:val="auto"/>
                <w:sz w:val="24"/>
              </w:rPr>
              <w:t>1、投标人实施团队负责人具有高级工程师职称和存储虚拟化网关认证工程师；每个证书各得2分，满分4分，须提供相关证书等证明材料复印件及近三个月社保缴纳证明。</w:t>
            </w:r>
          </w:p>
          <w:p>
            <w:pPr>
              <w:jc w:val="left"/>
              <w:rPr>
                <w:rFonts w:hint="eastAsia" w:ascii="仿宋" w:hAnsi="仿宋" w:eastAsia="仿宋" w:cs="仿宋"/>
                <w:color w:val="auto"/>
                <w:sz w:val="24"/>
              </w:rPr>
            </w:pPr>
            <w:r>
              <w:rPr>
                <w:rFonts w:hint="eastAsia" w:ascii="仿宋" w:hAnsi="仿宋" w:eastAsia="仿宋" w:cs="仿宋"/>
                <w:color w:val="auto"/>
                <w:sz w:val="24"/>
              </w:rPr>
              <w:t>2、投标人实施团队工程师具有ORACLE OCP或OCM认证工程师；每有一名原厂认证工程师得2分，最高得2分，需提供相关工程师证书复印件及近三个月社保缴纳证明。</w:t>
            </w:r>
          </w:p>
          <w:p>
            <w:pPr>
              <w:jc w:val="left"/>
              <w:rPr>
                <w:rFonts w:hint="eastAsia" w:ascii="仿宋" w:hAnsi="仿宋" w:eastAsia="仿宋" w:cs="仿宋"/>
                <w:color w:val="auto"/>
                <w:sz w:val="24"/>
              </w:rPr>
            </w:pPr>
            <w:r>
              <w:rPr>
                <w:rFonts w:hint="eastAsia" w:ascii="仿宋" w:hAnsi="仿宋" w:eastAsia="仿宋" w:cs="仿宋"/>
                <w:color w:val="auto"/>
                <w:sz w:val="24"/>
              </w:rPr>
              <w:t>3、投标人实施团队工程师具有数据库存储认证工程师；每有一名原厂认证工程师得1分，最高得2分，需提供相关工程师证书复印件及近三个月社保缴纳证明。</w:t>
            </w:r>
          </w:p>
          <w:p>
            <w:pPr>
              <w:jc w:val="left"/>
              <w:rPr>
                <w:rFonts w:hint="eastAsia" w:ascii="仿宋" w:hAnsi="仿宋" w:eastAsia="仿宋" w:cs="仿宋"/>
                <w:color w:val="auto"/>
                <w:sz w:val="24"/>
              </w:rPr>
            </w:pPr>
            <w:r>
              <w:rPr>
                <w:rFonts w:hint="eastAsia" w:ascii="仿宋" w:hAnsi="仿宋" w:eastAsia="仿宋" w:cs="仿宋"/>
                <w:color w:val="auto"/>
                <w:sz w:val="24"/>
              </w:rPr>
              <w:t>4、投标人实施团队工程师具有注册信息安全专业人员证书CISP；每有一名原厂认证工程师得1分，最高得2分，需提供相关工程师证书复印件及近三个月社保缴纳证明。</w:t>
            </w:r>
          </w:p>
          <w:p>
            <w:pPr>
              <w:jc w:val="left"/>
              <w:rPr>
                <w:rFonts w:hint="eastAsia" w:ascii="仿宋" w:hAnsi="仿宋" w:eastAsia="仿宋" w:cs="仿宋"/>
                <w:color w:val="auto"/>
                <w:sz w:val="24"/>
              </w:rPr>
            </w:pPr>
            <w:r>
              <w:rPr>
                <w:rFonts w:hint="eastAsia" w:ascii="仿宋" w:hAnsi="仿宋" w:eastAsia="仿宋" w:cs="仿宋"/>
                <w:color w:val="auto"/>
                <w:sz w:val="24"/>
              </w:rPr>
              <w:t>5、投标人实施团队工程师具有ITIL服务认证证书，每1名认证工程师得1分，最高得2分，需提供相关工程师证书复印件及近三个月社保缴纳证明。</w:t>
            </w:r>
          </w:p>
        </w:tc>
        <w:tc>
          <w:tcPr>
            <w:tcW w:w="7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681" w:type="dxa"/>
            <w:vMerge w:val="restart"/>
            <w:tcBorders>
              <w:top w:val="single" w:color="auto" w:sz="4" w:space="0"/>
              <w:left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271" w:type="dxa"/>
            <w:vMerge w:val="restart"/>
            <w:tcBorders>
              <w:top w:val="single" w:color="auto" w:sz="4" w:space="0"/>
              <w:left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售后服务及迁移方案</w:t>
            </w:r>
          </w:p>
        </w:tc>
        <w:tc>
          <w:tcPr>
            <w:tcW w:w="6500" w:type="dxa"/>
            <w:tcBorders>
              <w:top w:val="single" w:color="auto" w:sz="4" w:space="0"/>
              <w:left w:val="single" w:color="auto" w:sz="4" w:space="0"/>
              <w:bottom w:val="single" w:color="auto" w:sz="4" w:space="0"/>
              <w:right w:val="single" w:color="auto" w:sz="4" w:space="0"/>
            </w:tcBorders>
            <w:vAlign w:val="center"/>
          </w:tcPr>
          <w:p>
            <w:pPr>
              <w:tabs>
                <w:tab w:val="left" w:pos="1106"/>
                <w:tab w:val="left" w:pos="2211"/>
                <w:tab w:val="left" w:pos="3317"/>
                <w:tab w:val="left" w:pos="4423"/>
                <w:tab w:val="left" w:pos="5528"/>
                <w:tab w:val="left" w:pos="6634"/>
                <w:tab w:val="left" w:pos="7740"/>
              </w:tabs>
              <w:jc w:val="left"/>
              <w:rPr>
                <w:rFonts w:hint="eastAsia" w:ascii="仿宋" w:hAnsi="仿宋" w:eastAsia="仿宋" w:cs="仿宋"/>
                <w:color w:val="auto"/>
                <w:sz w:val="24"/>
              </w:rPr>
            </w:pPr>
            <w:r>
              <w:rPr>
                <w:rFonts w:hint="eastAsia" w:ascii="仿宋" w:hAnsi="仿宋" w:eastAsia="仿宋" w:cs="仿宋"/>
                <w:color w:val="auto"/>
                <w:sz w:val="24"/>
              </w:rPr>
              <w:t>根据投标人提供的本地化服务能力方案，包括售后响应能力、常驻售后服务机构、响应时效情况进行打分，优于招标文件要求的得5-3.1分，符合招标文件要求的得3.0-2.1分，部分符合招标文件要求的得2.0-0.1分，不符合不得分。</w:t>
            </w:r>
          </w:p>
        </w:tc>
        <w:tc>
          <w:tcPr>
            <w:tcW w:w="7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681" w:type="dxa"/>
            <w:vMerge w:val="continue"/>
            <w:tcBorders>
              <w:left w:val="single" w:color="auto" w:sz="4" w:space="0"/>
              <w:right w:val="single" w:color="auto" w:sz="4" w:space="0"/>
            </w:tcBorders>
            <w:vAlign w:val="center"/>
          </w:tcPr>
          <w:p>
            <w:pPr>
              <w:widowControl/>
              <w:jc w:val="left"/>
              <w:rPr>
                <w:rFonts w:hint="eastAsia" w:ascii="仿宋" w:hAnsi="仿宋" w:eastAsia="仿宋" w:cs="仿宋"/>
                <w:color w:val="auto"/>
                <w:sz w:val="24"/>
              </w:rPr>
            </w:pPr>
          </w:p>
        </w:tc>
        <w:tc>
          <w:tcPr>
            <w:tcW w:w="1271" w:type="dxa"/>
            <w:vMerge w:val="continue"/>
            <w:tcBorders>
              <w:left w:val="single" w:color="auto" w:sz="4" w:space="0"/>
              <w:right w:val="single" w:color="auto" w:sz="4" w:space="0"/>
            </w:tcBorders>
            <w:vAlign w:val="center"/>
          </w:tcPr>
          <w:p>
            <w:pPr>
              <w:widowControl/>
              <w:jc w:val="left"/>
              <w:rPr>
                <w:rFonts w:hint="eastAsia" w:ascii="仿宋" w:hAnsi="仿宋" w:eastAsia="仿宋" w:cs="仿宋"/>
                <w:color w:val="auto"/>
                <w:sz w:val="24"/>
              </w:rPr>
            </w:pPr>
          </w:p>
        </w:tc>
        <w:tc>
          <w:tcPr>
            <w:tcW w:w="6500" w:type="dxa"/>
            <w:tcBorders>
              <w:top w:val="single" w:color="auto" w:sz="4" w:space="0"/>
              <w:left w:val="single" w:color="auto" w:sz="4" w:space="0"/>
              <w:bottom w:val="single" w:color="auto" w:sz="4" w:space="0"/>
              <w:right w:val="single" w:color="auto" w:sz="4" w:space="0"/>
            </w:tcBorders>
            <w:vAlign w:val="center"/>
          </w:tcPr>
          <w:p>
            <w:pPr>
              <w:tabs>
                <w:tab w:val="left" w:pos="1106"/>
                <w:tab w:val="left" w:pos="2211"/>
                <w:tab w:val="left" w:pos="3317"/>
                <w:tab w:val="left" w:pos="4423"/>
                <w:tab w:val="left" w:pos="5528"/>
                <w:tab w:val="left" w:pos="6634"/>
                <w:tab w:val="left" w:pos="7740"/>
              </w:tabs>
              <w:jc w:val="left"/>
              <w:rPr>
                <w:rFonts w:hint="eastAsia" w:ascii="仿宋" w:hAnsi="仿宋" w:eastAsia="仿宋" w:cs="仿宋"/>
                <w:color w:val="auto"/>
                <w:sz w:val="24"/>
              </w:rPr>
            </w:pPr>
            <w:r>
              <w:rPr>
                <w:rFonts w:hint="eastAsia" w:ascii="仿宋" w:hAnsi="仿宋" w:eastAsia="仿宋" w:cs="仿宋"/>
                <w:color w:val="auto"/>
                <w:sz w:val="24"/>
              </w:rPr>
              <w:t>根据投标人针对本项目不停机数据库迁移和切换，在不影响采购人正常业务前提下，提供的数据迁移方案进行打分，优于招标文件要求的得5-3.1分，符合招标文件要求的得3.0-2.1分，部分符合招标文件要求的得2.0-0.1分，不符合不得分。</w:t>
            </w:r>
          </w:p>
        </w:tc>
        <w:tc>
          <w:tcPr>
            <w:tcW w:w="7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681" w:type="dxa"/>
            <w:vMerge w:val="continue"/>
            <w:tcBorders>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auto"/>
                <w:sz w:val="24"/>
              </w:rPr>
            </w:pPr>
          </w:p>
        </w:tc>
        <w:tc>
          <w:tcPr>
            <w:tcW w:w="1271" w:type="dxa"/>
            <w:vMerge w:val="continue"/>
            <w:tcBorders>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auto"/>
                <w:sz w:val="24"/>
              </w:rPr>
            </w:pPr>
          </w:p>
        </w:tc>
        <w:tc>
          <w:tcPr>
            <w:tcW w:w="650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color w:val="auto"/>
                <w:sz w:val="24"/>
              </w:rPr>
            </w:pPr>
            <w:r>
              <w:rPr>
                <w:rFonts w:hint="eastAsia" w:ascii="仿宋" w:hAnsi="仿宋" w:eastAsia="仿宋" w:cs="仿宋"/>
                <w:color w:val="auto"/>
                <w:sz w:val="24"/>
              </w:rPr>
              <w:t>售后服务团队负责人具备云计算方面证书，每有一名认证工程师得2分，最多得4分，需提供相关工程师证书复印件及近三个月社保缴纳证明，不提供不得分。</w:t>
            </w:r>
          </w:p>
        </w:tc>
        <w:tc>
          <w:tcPr>
            <w:tcW w:w="7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681" w:type="dxa"/>
            <w:tcBorders>
              <w:top w:val="single" w:color="auto" w:sz="4" w:space="0"/>
              <w:left w:val="single" w:color="auto" w:sz="4" w:space="0"/>
              <w:bottom w:val="single" w:color="auto" w:sz="4" w:space="0"/>
              <w:right w:val="single" w:color="auto" w:sz="4" w:space="0"/>
            </w:tcBorders>
            <w:vAlign w:val="center"/>
          </w:tcPr>
          <w:p>
            <w:pPr>
              <w:widowControl/>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5</w:t>
            </w:r>
          </w:p>
        </w:tc>
        <w:tc>
          <w:tcPr>
            <w:tcW w:w="1271"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auto"/>
                <w:sz w:val="24"/>
              </w:rPr>
            </w:pPr>
            <w:r>
              <w:rPr>
                <w:rFonts w:hint="eastAsia" w:ascii="仿宋" w:hAnsi="仿宋" w:eastAsia="仿宋" w:cs="仿宋"/>
                <w:color w:val="auto"/>
                <w:sz w:val="24"/>
              </w:rPr>
              <w:t>项目实施方案</w:t>
            </w:r>
          </w:p>
        </w:tc>
        <w:tc>
          <w:tcPr>
            <w:tcW w:w="6500" w:type="dxa"/>
            <w:tcBorders>
              <w:top w:val="single" w:color="auto" w:sz="4" w:space="0"/>
              <w:left w:val="single" w:color="auto" w:sz="4" w:space="0"/>
              <w:bottom w:val="single" w:color="auto" w:sz="4" w:space="0"/>
              <w:right w:val="single" w:color="auto" w:sz="4" w:space="0"/>
            </w:tcBorders>
            <w:vAlign w:val="center"/>
          </w:tcPr>
          <w:p>
            <w:pPr>
              <w:tabs>
                <w:tab w:val="left" w:pos="1106"/>
                <w:tab w:val="left" w:pos="2211"/>
                <w:tab w:val="left" w:pos="3317"/>
                <w:tab w:val="left" w:pos="4423"/>
                <w:tab w:val="left" w:pos="5528"/>
                <w:tab w:val="left" w:pos="6634"/>
                <w:tab w:val="left" w:pos="7740"/>
              </w:tabs>
              <w:jc w:val="left"/>
              <w:rPr>
                <w:rFonts w:hint="eastAsia" w:ascii="仿宋" w:hAnsi="仿宋" w:eastAsia="仿宋" w:cs="仿宋"/>
                <w:color w:val="auto"/>
                <w:sz w:val="24"/>
              </w:rPr>
            </w:pPr>
            <w:r>
              <w:rPr>
                <w:rFonts w:hint="eastAsia" w:ascii="仿宋" w:hAnsi="仿宋" w:eastAsia="仿宋" w:cs="仿宋"/>
                <w:color w:val="auto"/>
                <w:sz w:val="24"/>
              </w:rPr>
              <w:t>根据投标人提供的项目实施方案的合理性、完整性、科学性等方面进行打分，优于招标文件要求的得5-3.1分，符合招标文件要求的得3.0-2.1分，部分符合招标文件要求的得2.0-0.1分，不符合不得分。</w:t>
            </w:r>
          </w:p>
        </w:tc>
        <w:tc>
          <w:tcPr>
            <w:tcW w:w="7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68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6</w:t>
            </w:r>
          </w:p>
        </w:tc>
        <w:tc>
          <w:tcPr>
            <w:tcW w:w="12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业绩</w:t>
            </w:r>
          </w:p>
        </w:tc>
        <w:tc>
          <w:tcPr>
            <w:tcW w:w="650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color w:val="auto"/>
                <w:sz w:val="24"/>
              </w:rPr>
            </w:pPr>
            <w:r>
              <w:rPr>
                <w:rFonts w:hint="eastAsia" w:ascii="仿宋" w:hAnsi="仿宋" w:eastAsia="仿宋" w:cs="仿宋"/>
                <w:color w:val="auto"/>
                <w:sz w:val="24"/>
              </w:rPr>
              <w:t>自2019年1月1日起，投标人具有同类产品成功销售案例合同的，每有一个得1分，最多得4分（提供完整的合同复印件，复印件能清楚的辨析设备名称、型号等，否则不得分）。</w:t>
            </w:r>
          </w:p>
        </w:tc>
        <w:tc>
          <w:tcPr>
            <w:tcW w:w="7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68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7</w:t>
            </w:r>
          </w:p>
        </w:tc>
        <w:tc>
          <w:tcPr>
            <w:tcW w:w="12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实质性优惠</w:t>
            </w:r>
          </w:p>
        </w:tc>
        <w:tc>
          <w:tcPr>
            <w:tcW w:w="650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color w:val="auto"/>
                <w:sz w:val="24"/>
              </w:rPr>
            </w:pPr>
            <w:r>
              <w:rPr>
                <w:rFonts w:hint="eastAsia" w:ascii="仿宋" w:hAnsi="仿宋" w:eastAsia="仿宋" w:cs="仿宋"/>
                <w:color w:val="auto"/>
                <w:sz w:val="24"/>
              </w:rPr>
              <w:t>根据投标人提供的项目实质性优惠进行打分，优于项目需求的得4-2.6分，符合项目需求的得2</w:t>
            </w:r>
            <w:r>
              <w:rPr>
                <w:rFonts w:hint="eastAsia" w:ascii="仿宋" w:hAnsi="仿宋" w:eastAsia="仿宋" w:cs="仿宋"/>
                <w:color w:val="auto"/>
                <w:sz w:val="24"/>
                <w:lang w:eastAsia="zh-Hans"/>
              </w:rPr>
              <w:t>.5</w:t>
            </w:r>
            <w:r>
              <w:rPr>
                <w:rFonts w:hint="eastAsia" w:ascii="仿宋" w:hAnsi="仿宋" w:eastAsia="仿宋" w:cs="仿宋"/>
                <w:color w:val="auto"/>
                <w:sz w:val="24"/>
              </w:rPr>
              <w:t>-1.1分，部分符合项目需求的得1-0.1分，不符合或未提供不得分。</w:t>
            </w:r>
          </w:p>
        </w:tc>
        <w:tc>
          <w:tcPr>
            <w:tcW w:w="7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68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8</w:t>
            </w:r>
          </w:p>
        </w:tc>
        <w:tc>
          <w:tcPr>
            <w:tcW w:w="12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lang w:eastAsia="zh-Hans"/>
              </w:rPr>
            </w:pPr>
            <w:r>
              <w:rPr>
                <w:rFonts w:hint="eastAsia" w:ascii="仿宋" w:hAnsi="仿宋" w:eastAsia="仿宋" w:cs="仿宋"/>
                <w:color w:val="auto"/>
                <w:sz w:val="24"/>
                <w:lang w:eastAsia="zh-Hans"/>
              </w:rPr>
              <w:t>标书质量</w:t>
            </w:r>
          </w:p>
        </w:tc>
        <w:tc>
          <w:tcPr>
            <w:tcW w:w="650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color w:val="auto"/>
                <w:sz w:val="24"/>
              </w:rPr>
            </w:pPr>
            <w:r>
              <w:rPr>
                <w:rFonts w:hint="eastAsia" w:ascii="仿宋" w:hAnsi="仿宋" w:eastAsia="仿宋" w:cs="仿宋"/>
                <w:color w:val="auto"/>
                <w:kern w:val="0"/>
                <w:sz w:val="24"/>
              </w:rPr>
              <w:t>投标文件制作条理清晰、易查、完整性等进行比较打分（2-0.1分）。</w:t>
            </w:r>
          </w:p>
        </w:tc>
        <w:tc>
          <w:tcPr>
            <w:tcW w:w="7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2</w:t>
            </w:r>
          </w:p>
        </w:tc>
      </w:tr>
    </w:tbl>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2.2.2商务分40分</w:t>
      </w:r>
    </w:p>
    <w:p>
      <w:pPr>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2.2.2.1评标基准价：即满足招标文件要求且投标价格最低的投标报价为评标基准价，其价格分为满分。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2.2.2.2其他投标人的价格分统一按照下列公式计算：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即：投标报价得分=(评标基准价／投标报价)×40</w:t>
      </w:r>
    </w:p>
    <w:p>
      <w:pPr>
        <w:snapToGrid w:val="0"/>
        <w:spacing w:line="360" w:lineRule="auto"/>
        <w:rPr>
          <w:rFonts w:hint="eastAsia" w:ascii="仿宋" w:hAnsi="仿宋" w:eastAsia="仿宋" w:cs="仿宋"/>
          <w:b/>
          <w:color w:val="auto"/>
          <w:sz w:val="36"/>
          <w:szCs w:val="20"/>
        </w:rPr>
      </w:pPr>
    </w:p>
    <w:p>
      <w:pPr>
        <w:snapToGrid w:val="0"/>
        <w:spacing w:line="360" w:lineRule="auto"/>
        <w:rPr>
          <w:rFonts w:hint="eastAsia" w:ascii="仿宋" w:hAnsi="仿宋" w:eastAsia="仿宋" w:cs="仿宋"/>
          <w:b/>
          <w:color w:val="auto"/>
          <w:sz w:val="36"/>
          <w:szCs w:val="20"/>
        </w:rPr>
      </w:pPr>
    </w:p>
    <w:p>
      <w:pPr>
        <w:pageBreakBefore/>
        <w:snapToGrid w:val="0"/>
        <w:spacing w:line="360" w:lineRule="auto"/>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r>
        <w:rPr>
          <w:rFonts w:hint="eastAsia" w:ascii="仿宋" w:hAnsi="仿宋" w:eastAsia="仿宋" w:cs="仿宋"/>
          <w:b/>
          <w:color w:val="auto"/>
          <w:sz w:val="36"/>
          <w:szCs w:val="36"/>
        </w:rPr>
        <w:t>投标文件</w:t>
      </w:r>
      <w:r>
        <w:rPr>
          <w:rFonts w:hint="eastAsia" w:ascii="仿宋" w:hAnsi="仿宋" w:eastAsia="仿宋" w:cs="仿宋"/>
          <w:b/>
          <w:color w:val="auto"/>
          <w:sz w:val="36"/>
          <w:szCs w:val="20"/>
        </w:rPr>
        <w:t>应提交的有关格式范例</w:t>
      </w:r>
    </w:p>
    <w:p>
      <w:pPr>
        <w:spacing w:line="360" w:lineRule="auto"/>
        <w:ind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投标人按照以下格式编制投标文件，并将报价文件、商务技术（资信）文件分别编制成册。</w:t>
      </w:r>
    </w:p>
    <w:p>
      <w:pPr>
        <w:spacing w:line="360" w:lineRule="auto"/>
        <w:ind w:firstLine="480" w:firstLineChars="200"/>
        <w:outlineLvl w:val="0"/>
        <w:rPr>
          <w:rFonts w:hint="eastAsia" w:ascii="仿宋" w:hAnsi="仿宋" w:eastAsia="仿宋" w:cs="仿宋"/>
          <w:color w:val="auto"/>
          <w:sz w:val="24"/>
        </w:rPr>
      </w:pPr>
    </w:p>
    <w:p>
      <w:pPr>
        <w:spacing w:line="360" w:lineRule="auto"/>
        <w:ind w:firstLine="480" w:firstLineChars="200"/>
        <w:outlineLvl w:val="0"/>
        <w:rPr>
          <w:rFonts w:hint="eastAsia" w:ascii="仿宋" w:hAnsi="仿宋" w:eastAsia="仿宋" w:cs="仿宋"/>
          <w:color w:val="auto"/>
          <w:sz w:val="24"/>
        </w:rPr>
      </w:pPr>
    </w:p>
    <w:p>
      <w:pPr>
        <w:spacing w:line="360" w:lineRule="auto"/>
        <w:ind w:firstLine="480" w:firstLineChars="200"/>
        <w:outlineLvl w:val="0"/>
        <w:rPr>
          <w:rFonts w:hint="eastAsia" w:ascii="仿宋" w:hAnsi="仿宋" w:eastAsia="仿宋" w:cs="仿宋"/>
          <w:color w:val="auto"/>
          <w:sz w:val="24"/>
        </w:rPr>
      </w:pPr>
    </w:p>
    <w:p>
      <w:pPr>
        <w:spacing w:line="360" w:lineRule="auto"/>
        <w:ind w:firstLine="480" w:firstLineChars="200"/>
        <w:outlineLvl w:val="0"/>
        <w:rPr>
          <w:rFonts w:hint="eastAsia" w:ascii="仿宋" w:hAnsi="仿宋" w:eastAsia="仿宋" w:cs="仿宋"/>
          <w:color w:val="auto"/>
          <w:sz w:val="24"/>
        </w:rPr>
      </w:pPr>
    </w:p>
    <w:p>
      <w:pPr>
        <w:spacing w:line="360" w:lineRule="auto"/>
        <w:ind w:firstLine="480" w:firstLineChars="200"/>
        <w:outlineLvl w:val="0"/>
        <w:rPr>
          <w:rFonts w:hint="eastAsia" w:ascii="仿宋" w:hAnsi="仿宋" w:eastAsia="仿宋" w:cs="仿宋"/>
          <w:color w:val="auto"/>
          <w:sz w:val="24"/>
        </w:rPr>
      </w:pPr>
    </w:p>
    <w:p>
      <w:pPr>
        <w:snapToGrid w:val="0"/>
        <w:spacing w:line="360"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pPr>
        <w:spacing w:line="360" w:lineRule="auto"/>
        <w:jc w:val="center"/>
        <w:outlineLvl w:val="0"/>
        <w:rPr>
          <w:rFonts w:hint="eastAsia" w:ascii="仿宋" w:hAnsi="仿宋" w:eastAsia="仿宋" w:cs="仿宋"/>
          <w:b/>
          <w:color w:val="auto"/>
          <w:kern w:val="0"/>
          <w:sz w:val="24"/>
        </w:rPr>
      </w:pPr>
    </w:p>
    <w:p>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（1）投标响应函……………………………………………………（页码）</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（2）开标一览表……………………………………………………（页码）</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（3）中小企业声明函………………………………………………（页码）</w:t>
      </w:r>
    </w:p>
    <w:p>
      <w:pPr>
        <w:spacing w:line="360" w:lineRule="auto"/>
        <w:outlineLvl w:val="0"/>
        <w:rPr>
          <w:rFonts w:hint="eastAsia" w:ascii="仿宋" w:hAnsi="仿宋" w:eastAsia="仿宋" w:cs="仿宋"/>
          <w:b/>
          <w:color w:val="auto"/>
          <w:sz w:val="36"/>
          <w:szCs w:val="36"/>
        </w:rPr>
      </w:pPr>
      <w:r>
        <w:rPr>
          <w:rFonts w:hint="eastAsia" w:ascii="仿宋" w:hAnsi="仿宋" w:eastAsia="仿宋" w:cs="仿宋"/>
          <w:color w:val="auto"/>
          <w:sz w:val="24"/>
        </w:rPr>
        <w:t>（4）残疾人福利性单位声明函</w:t>
      </w:r>
      <w:r>
        <w:rPr>
          <w:rFonts w:hint="eastAsia" w:ascii="仿宋" w:hAnsi="仿宋" w:eastAsia="仿宋" w:cs="仿宋"/>
          <w:color w:val="auto"/>
          <w:kern w:val="0"/>
          <w:sz w:val="24"/>
        </w:rPr>
        <w:t>……………………………………（页码）</w:t>
      </w:r>
    </w:p>
    <w:p>
      <w:pPr>
        <w:pStyle w:val="20"/>
        <w:spacing w:line="800" w:lineRule="atLeast"/>
        <w:ind w:left="0" w:leftChars="0"/>
        <w:rPr>
          <w:rFonts w:hint="eastAsia" w:ascii="仿宋" w:hAnsi="仿宋" w:eastAsia="仿宋" w:cs="仿宋"/>
          <w:b/>
          <w:color w:val="auto"/>
          <w:sz w:val="36"/>
          <w:szCs w:val="36"/>
        </w:rPr>
      </w:pPr>
    </w:p>
    <w:p>
      <w:pPr>
        <w:pStyle w:val="20"/>
        <w:spacing w:line="800" w:lineRule="atLeast"/>
        <w:ind w:left="0" w:leftChars="0"/>
        <w:rPr>
          <w:rFonts w:hint="eastAsia" w:ascii="仿宋" w:hAnsi="仿宋" w:eastAsia="仿宋" w:cs="仿宋"/>
          <w:b/>
          <w:color w:val="auto"/>
          <w:sz w:val="36"/>
          <w:szCs w:val="36"/>
        </w:rPr>
      </w:pPr>
    </w:p>
    <w:p>
      <w:pPr>
        <w:rPr>
          <w:rFonts w:hint="eastAsia" w:ascii="仿宋" w:hAnsi="仿宋" w:eastAsia="仿宋" w:cs="仿宋"/>
          <w:b/>
          <w:color w:val="auto"/>
          <w:sz w:val="30"/>
          <w:szCs w:val="30"/>
        </w:rPr>
      </w:pPr>
    </w:p>
    <w:p>
      <w:pPr>
        <w:rPr>
          <w:rFonts w:hint="eastAsia" w:ascii="仿宋" w:hAnsi="仿宋" w:eastAsia="仿宋" w:cs="仿宋"/>
          <w:b/>
          <w:color w:val="auto"/>
          <w:sz w:val="30"/>
          <w:szCs w:val="30"/>
        </w:rPr>
      </w:pPr>
    </w:p>
    <w:p>
      <w:pPr>
        <w:pageBreakBefore/>
        <w:rPr>
          <w:rFonts w:hint="eastAsia" w:ascii="仿宋" w:hAnsi="仿宋" w:eastAsia="仿宋" w:cs="仿宋"/>
          <w:b/>
          <w:color w:val="auto"/>
          <w:sz w:val="30"/>
          <w:szCs w:val="30"/>
        </w:rPr>
      </w:pPr>
      <w:r>
        <w:rPr>
          <w:rFonts w:hint="eastAsia" w:ascii="仿宋" w:hAnsi="仿宋" w:eastAsia="仿宋" w:cs="仿宋"/>
          <w:b/>
          <w:color w:val="auto"/>
          <w:sz w:val="30"/>
          <w:szCs w:val="30"/>
        </w:rPr>
        <w:t>1、投标响应函（格式）</w:t>
      </w:r>
    </w:p>
    <w:p>
      <w:pPr>
        <w:pStyle w:val="69"/>
        <w:spacing w:afterLines="0" w:line="440" w:lineRule="exact"/>
        <w:ind w:firstLine="0" w:firstLineChars="0"/>
        <w:rPr>
          <w:rFonts w:hint="eastAsia" w:ascii="仿宋" w:hAnsi="仿宋" w:eastAsia="仿宋" w:cs="仿宋"/>
          <w:color w:val="auto"/>
          <w:szCs w:val="24"/>
        </w:rPr>
      </w:pPr>
    </w:p>
    <w:p>
      <w:pPr>
        <w:pStyle w:val="69"/>
        <w:spacing w:afterLines="0" w:line="44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r>
        <w:rPr>
          <w:rFonts w:hint="eastAsia" w:ascii="仿宋" w:hAnsi="仿宋" w:eastAsia="仿宋" w:cs="仿宋"/>
          <w:color w:val="auto"/>
          <w:szCs w:val="24"/>
          <w:u w:val="single"/>
        </w:rPr>
        <w:t>绍兴市人民医院、华诚工程咨询集团有限公司</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pPr>
        <w:pStyle w:val="15"/>
        <w:tabs>
          <w:tab w:val="clear" w:pos="1697"/>
        </w:tabs>
        <w:spacing w:afterLines="0" w:line="440" w:lineRule="exact"/>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w:t>
      </w:r>
      <w:r>
        <w:rPr>
          <w:rFonts w:hint="eastAsia" w:ascii="仿宋" w:hAnsi="仿宋" w:eastAsia="仿宋" w:cs="仿宋"/>
          <w:color w:val="auto"/>
        </w:rPr>
        <w:t>我方同意在投标人</w:t>
      </w:r>
      <w:r>
        <w:rPr>
          <w:rFonts w:hint="eastAsia" w:ascii="仿宋" w:hAnsi="仿宋" w:eastAsia="仿宋" w:cs="仿宋"/>
          <w:color w:val="auto"/>
          <w:kern w:val="44"/>
        </w:rPr>
        <w:t>须知</w:t>
      </w:r>
      <w:r>
        <w:rPr>
          <w:rFonts w:hint="eastAsia" w:ascii="仿宋" w:hAnsi="仿宋" w:eastAsia="仿宋" w:cs="仿宋"/>
          <w:color w:val="auto"/>
        </w:rPr>
        <w:t>规定的开标日期起遵守本投标文件中的承诺且在投标有效期满之前均具有约束力</w:t>
      </w:r>
      <w:r>
        <w:rPr>
          <w:rFonts w:hint="eastAsia" w:ascii="仿宋" w:hAnsi="仿宋" w:eastAsia="仿宋" w:cs="仿宋"/>
          <w:color w:val="auto"/>
          <w:szCs w:val="24"/>
        </w:rPr>
        <w:t>。</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pPr>
        <w:pStyle w:val="69"/>
        <w:spacing w:afterLines="0" w:line="440" w:lineRule="exact"/>
        <w:ind w:firstLine="480"/>
        <w:rPr>
          <w:rFonts w:hint="eastAsia" w:ascii="仿宋" w:hAnsi="仿宋" w:eastAsia="仿宋" w:cs="仿宋"/>
          <w:color w:val="auto"/>
        </w:rPr>
      </w:pPr>
      <w:r>
        <w:rPr>
          <w:rFonts w:hint="eastAsia" w:ascii="仿宋" w:hAnsi="仿宋" w:eastAsia="仿宋" w:cs="仿宋"/>
          <w:color w:val="auto"/>
          <w:szCs w:val="24"/>
        </w:rPr>
        <w:t>3.</w:t>
      </w:r>
      <w:r>
        <w:rPr>
          <w:rFonts w:hint="eastAsia" w:ascii="仿宋" w:hAnsi="仿宋" w:eastAsia="仿宋" w:cs="仿宋"/>
          <w:color w:val="auto"/>
        </w:rPr>
        <w:t>本公司投标文件中填列的技术参数、配置、服务、数量等相关内容都是真实、准确的。保证在本次项目中所提供的资料全部真实和合法。同意向华诚工程咨询集团有限公司提供可能另外要求的与投标有关的任何数据或资料。</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pPr>
        <w:pStyle w:val="15"/>
        <w:tabs>
          <w:tab w:val="clear" w:pos="1697"/>
        </w:tabs>
        <w:spacing w:afterLines="0" w:line="440" w:lineRule="exact"/>
        <w:ind w:left="0" w:firstLine="480" w:firstLineChars="200"/>
        <w:rPr>
          <w:rFonts w:hint="eastAsia" w:ascii="仿宋" w:hAnsi="仿宋" w:eastAsia="仿宋" w:cs="仿宋"/>
          <w:color w:val="auto"/>
          <w:szCs w:val="24"/>
        </w:rPr>
      </w:pPr>
      <w:r>
        <w:rPr>
          <w:rFonts w:hint="eastAsia" w:ascii="仿宋" w:hAnsi="仿宋" w:eastAsia="仿宋" w:cs="仿宋"/>
          <w:color w:val="auto"/>
        </w:rPr>
        <w:t>5.</w:t>
      </w:r>
      <w:r>
        <w:rPr>
          <w:rFonts w:hint="eastAsia" w:ascii="仿宋" w:hAnsi="仿宋" w:eastAsia="仿宋" w:cs="仿宋"/>
          <w:color w:val="auto"/>
          <w:szCs w:val="24"/>
        </w:rPr>
        <w:t>本投标自开标之日（投标截止之日）起90天内有效。</w:t>
      </w:r>
    </w:p>
    <w:p>
      <w:pPr>
        <w:pStyle w:val="69"/>
        <w:spacing w:afterLines="0" w:line="440" w:lineRule="exact"/>
        <w:ind w:firstLine="480"/>
        <w:rPr>
          <w:rFonts w:hint="eastAsia" w:ascii="仿宋" w:hAnsi="仿宋" w:eastAsia="仿宋" w:cs="仿宋"/>
          <w:color w:val="auto"/>
        </w:rPr>
      </w:pPr>
      <w:r>
        <w:rPr>
          <w:rFonts w:hint="eastAsia" w:ascii="仿宋" w:hAnsi="仿宋" w:eastAsia="仿宋" w:cs="仿宋"/>
          <w:color w:val="auto"/>
          <w:szCs w:val="24"/>
        </w:rPr>
        <w:t>6</w:t>
      </w:r>
      <w:r>
        <w:rPr>
          <w:rFonts w:hint="eastAsia" w:ascii="仿宋" w:hAnsi="仿宋" w:eastAsia="仿宋" w:cs="仿宋"/>
          <w:color w:val="auto"/>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开户银行：                          帐号：</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pPr>
        <w:pStyle w:val="69"/>
        <w:spacing w:afterLines="0" w:line="440" w:lineRule="exact"/>
        <w:ind w:firstLine="480"/>
        <w:rPr>
          <w:rFonts w:hint="eastAsia" w:ascii="仿宋" w:hAnsi="仿宋" w:eastAsia="仿宋" w:cs="仿宋"/>
          <w:b/>
          <w:color w:val="auto"/>
          <w:sz w:val="30"/>
          <w:szCs w:val="30"/>
        </w:rPr>
      </w:pPr>
      <w:r>
        <w:rPr>
          <w:rFonts w:hint="eastAsia" w:ascii="仿宋" w:hAnsi="仿宋" w:eastAsia="仿宋" w:cs="仿宋"/>
          <w:color w:val="auto"/>
          <w:szCs w:val="24"/>
        </w:rPr>
        <w:t xml:space="preserve">投标人(电子签章)：　　　　　　　　　日期：   </w:t>
      </w:r>
    </w:p>
    <w:p>
      <w:pPr>
        <w:spacing w:line="800" w:lineRule="exact"/>
        <w:rPr>
          <w:rFonts w:hint="eastAsia" w:ascii="仿宋" w:hAnsi="仿宋" w:eastAsia="仿宋" w:cs="仿宋"/>
          <w:b/>
          <w:color w:val="auto"/>
          <w:sz w:val="24"/>
        </w:rPr>
      </w:pPr>
      <w:r>
        <w:rPr>
          <w:rFonts w:hint="eastAsia" w:ascii="仿宋" w:hAnsi="仿宋" w:eastAsia="仿宋" w:cs="仿宋"/>
          <w:b/>
          <w:color w:val="auto"/>
          <w:sz w:val="24"/>
        </w:rPr>
        <w:t>附件2：开标一览表（格式）</w:t>
      </w:r>
    </w:p>
    <w:p>
      <w:pPr>
        <w:spacing w:line="400" w:lineRule="exact"/>
        <w:rPr>
          <w:rFonts w:hint="eastAsia" w:ascii="仿宋" w:hAnsi="仿宋" w:eastAsia="仿宋" w:cs="仿宋"/>
          <w:color w:val="auto"/>
          <w:sz w:val="24"/>
        </w:rPr>
      </w:pPr>
    </w:p>
    <w:p>
      <w:pPr>
        <w:spacing w:line="400" w:lineRule="exact"/>
        <w:rPr>
          <w:rFonts w:hint="eastAsia" w:ascii="仿宋" w:hAnsi="仿宋" w:eastAsia="仿宋" w:cs="仿宋"/>
          <w:color w:val="auto"/>
          <w:sz w:val="24"/>
        </w:rPr>
      </w:pPr>
    </w:p>
    <w:p>
      <w:pPr>
        <w:spacing w:line="400" w:lineRule="exact"/>
        <w:rPr>
          <w:rFonts w:hint="eastAsia" w:ascii="仿宋" w:hAnsi="仿宋" w:eastAsia="仿宋" w:cs="仿宋"/>
          <w:color w:val="auto"/>
          <w:sz w:val="24"/>
        </w:rPr>
      </w:pPr>
      <w:r>
        <w:rPr>
          <w:rFonts w:hint="eastAsia" w:ascii="仿宋" w:hAnsi="仿宋" w:eastAsia="仿宋" w:cs="仿宋"/>
          <w:color w:val="auto"/>
          <w:sz w:val="24"/>
        </w:rPr>
        <w:t>投标人名称：</w:t>
      </w:r>
    </w:p>
    <w:p>
      <w:pPr>
        <w:snapToGrid w:val="0"/>
        <w:spacing w:line="400" w:lineRule="exact"/>
        <w:rPr>
          <w:rFonts w:hint="eastAsia" w:ascii="仿宋" w:hAnsi="仿宋" w:eastAsia="仿宋" w:cs="仿宋"/>
          <w:color w:val="auto"/>
          <w:sz w:val="24"/>
        </w:rPr>
      </w:pPr>
      <w:r>
        <w:rPr>
          <w:rFonts w:hint="eastAsia" w:ascii="仿宋" w:hAnsi="仿宋" w:eastAsia="仿宋" w:cs="仿宋"/>
          <w:color w:val="auto"/>
          <w:sz w:val="24"/>
        </w:rPr>
        <w:t>标    项：</w:t>
      </w:r>
    </w:p>
    <w:p>
      <w:pPr>
        <w:snapToGrid w:val="0"/>
        <w:spacing w:line="400" w:lineRule="exact"/>
        <w:rPr>
          <w:rFonts w:hint="eastAsia" w:ascii="仿宋" w:hAnsi="仿宋" w:eastAsia="仿宋" w:cs="仿宋"/>
          <w:color w:val="auto"/>
          <w:sz w:val="24"/>
          <w:u w:val="single"/>
        </w:rPr>
      </w:pPr>
      <w:r>
        <w:rPr>
          <w:rFonts w:hint="eastAsia" w:ascii="仿宋" w:hAnsi="仿宋" w:eastAsia="仿宋" w:cs="仿宋"/>
          <w:color w:val="auto"/>
          <w:sz w:val="24"/>
        </w:rPr>
        <w:t>招标编号：</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 xml:space="preserve">                                                            单位：元</w:t>
      </w:r>
    </w:p>
    <w:tbl>
      <w:tblPr>
        <w:tblStyle w:val="43"/>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型号和规格</w:t>
            </w:r>
            <w:r>
              <w:rPr>
                <w:rFonts w:hint="eastAsia" w:ascii="仿宋" w:hAnsi="仿宋" w:eastAsia="仿宋" w:cs="仿宋"/>
                <w:b/>
                <w:color w:val="auto"/>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交货期</w:t>
            </w:r>
          </w:p>
        </w:tc>
        <w:tc>
          <w:tcPr>
            <w:tcW w:w="1078" w:type="dxa"/>
            <w:vAlign w:val="center"/>
          </w:tcPr>
          <w:p>
            <w:pPr>
              <w:tabs>
                <w:tab w:val="left" w:pos="1224"/>
              </w:tabs>
              <w:adjustRightInd w:val="0"/>
              <w:snapToGrid w:val="0"/>
              <w:ind w:right="-107" w:rightChars="-51"/>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44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大写：</w:t>
            </w:r>
          </w:p>
        </w:tc>
      </w:tr>
    </w:tbl>
    <w:p>
      <w:pPr>
        <w:snapToGrid w:val="0"/>
        <w:jc w:val="left"/>
        <w:rPr>
          <w:rFonts w:hint="eastAsia" w:ascii="仿宋" w:hAnsi="仿宋" w:eastAsia="仿宋" w:cs="仿宋"/>
          <w:color w:val="auto"/>
          <w:sz w:val="24"/>
        </w:rPr>
      </w:pPr>
      <w:r>
        <w:rPr>
          <w:rFonts w:hint="eastAsia" w:ascii="仿宋" w:hAnsi="仿宋" w:eastAsia="仿宋" w:cs="仿宋"/>
          <w:color w:val="auto"/>
          <w:sz w:val="24"/>
        </w:rPr>
        <w:t>注: 1.报价一经涂改，应在涂改处加盖单位电子签章或者由法定代表人或其授权代表签字或盖章，否则其投标作无效投标处理。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3.投标人需按本表格式填写，如无对应内容，则填写：“无或/”。</w:t>
      </w:r>
    </w:p>
    <w:p>
      <w:pPr>
        <w:snapToGrid w:val="0"/>
        <w:ind w:left="48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4.有关本项目实施所涉及的一切费用均计入报价。</w:t>
      </w:r>
    </w:p>
    <w:p>
      <w:pPr>
        <w:snapToGrid w:val="0"/>
        <w:ind w:firstLine="480" w:firstLineChars="200"/>
        <w:jc w:val="left"/>
        <w:rPr>
          <w:rFonts w:hint="eastAsia" w:ascii="仿宋" w:hAnsi="仿宋" w:eastAsia="仿宋" w:cs="仿宋"/>
          <w:b/>
          <w:color w:val="auto"/>
          <w:sz w:val="24"/>
        </w:rPr>
      </w:pPr>
      <w:r>
        <w:rPr>
          <w:rFonts w:hint="eastAsia" w:ascii="仿宋" w:hAnsi="仿宋" w:eastAsia="仿宋" w:cs="仿宋"/>
          <w:color w:val="auto"/>
          <w:kern w:val="0"/>
          <w:sz w:val="24"/>
          <w:lang w:val="zh-CN"/>
        </w:rPr>
        <w:t>5.</w:t>
      </w:r>
      <w:r>
        <w:rPr>
          <w:rFonts w:hint="eastAsia" w:ascii="仿宋" w:hAnsi="仿宋" w:eastAsia="仿宋" w:cs="仿宋"/>
          <w:color w:val="auto"/>
          <w:kern w:val="0"/>
          <w:sz w:val="24"/>
          <w:lang w:val="zh-CN"/>
        </w:rPr>
        <w:t>以上表格要求细分项目及报价，</w:t>
      </w:r>
      <w:r>
        <w:rPr>
          <w:rFonts w:hint="eastAsia" w:ascii="仿宋" w:hAnsi="仿宋" w:eastAsia="仿宋" w:cs="仿宋"/>
          <w:b/>
          <w:color w:val="auto"/>
          <w:kern w:val="0"/>
          <w:sz w:val="24"/>
        </w:rPr>
        <w:t>在“规格型号（或具体服务）”一栏中，货物类项目填写规格型号，服务类项目填写具体服务。</w:t>
      </w:r>
      <w:r>
        <w:rPr>
          <w:rFonts w:hint="eastAsia" w:ascii="仿宋" w:hAnsi="仿宋" w:eastAsia="仿宋" w:cs="仿宋"/>
          <w:b/>
          <w:color w:val="auto"/>
          <w:sz w:val="24"/>
        </w:rPr>
        <w:t>服务包含但不仅限于：服务方案、次数或人数、服务年限等，产品包含但不仅限于:名称、品牌、型号、生产厂商、数量、质保期等。</w:t>
      </w:r>
    </w:p>
    <w:p>
      <w:pPr>
        <w:ind w:firstLine="482" w:firstLineChars="200"/>
        <w:rPr>
          <w:rFonts w:hint="eastAsia" w:ascii="仿宋" w:hAnsi="仿宋" w:eastAsia="仿宋" w:cs="仿宋"/>
          <w:b/>
          <w:color w:val="auto"/>
          <w:kern w:val="0"/>
          <w:sz w:val="24"/>
          <w:lang w:val="zh-CN"/>
        </w:rPr>
      </w:pPr>
      <w:r>
        <w:rPr>
          <w:rFonts w:hint="eastAsia" w:ascii="仿宋" w:hAnsi="仿宋" w:eastAsia="仿宋" w:cs="仿宋"/>
          <w:b/>
          <w:color w:val="auto"/>
          <w:sz w:val="24"/>
        </w:rPr>
        <w:t>6</w:t>
      </w:r>
      <w:r>
        <w:rPr>
          <w:rFonts w:hint="eastAsia" w:ascii="仿宋" w:hAnsi="仿宋" w:eastAsia="仿宋" w:cs="仿宋"/>
          <w:b/>
          <w:color w:val="auto"/>
          <w:kern w:val="0"/>
          <w:sz w:val="24"/>
          <w:lang w:val="zh-CN"/>
        </w:rPr>
        <w:t>.特别提示：采购机构将对</w:t>
      </w:r>
      <w:r>
        <w:rPr>
          <w:rFonts w:hint="eastAsia" w:ascii="仿宋" w:hAnsi="仿宋" w:eastAsia="仿宋" w:cs="仿宋"/>
          <w:b/>
          <w:color w:val="auto"/>
          <w:kern w:val="0"/>
          <w:sz w:val="24"/>
        </w:rPr>
        <w:t>项目名称和项目编号，中标供应商名称、地址和中标金额，主要中标标的的名称、规格型号、数量、单价、服务要求等</w:t>
      </w:r>
      <w:r>
        <w:rPr>
          <w:rFonts w:hint="eastAsia" w:ascii="仿宋" w:hAnsi="仿宋" w:eastAsia="仿宋" w:cs="仿宋"/>
          <w:b/>
          <w:color w:val="auto"/>
          <w:kern w:val="0"/>
          <w:sz w:val="24"/>
          <w:lang w:val="zh-CN"/>
        </w:rPr>
        <w:t>予以公示。请把上述涉及的内容完整填写在开标一览表中。</w:t>
      </w:r>
    </w:p>
    <w:p>
      <w:pPr>
        <w:spacing w:line="360" w:lineRule="auto"/>
        <w:ind w:left="-3" w:leftChars="-72" w:right="-817" w:rightChars="-389" w:hanging="148" w:hangingChars="62"/>
        <w:rPr>
          <w:rFonts w:hint="eastAsia" w:ascii="仿宋" w:hAnsi="仿宋" w:eastAsia="仿宋" w:cs="仿宋"/>
          <w:color w:val="auto"/>
          <w:sz w:val="24"/>
        </w:rPr>
      </w:pPr>
    </w:p>
    <w:p>
      <w:pPr>
        <w:spacing w:line="360" w:lineRule="auto"/>
        <w:ind w:left="-4" w:leftChars="-2" w:right="-817" w:rightChars="-389" w:firstLine="2"/>
        <w:rPr>
          <w:rFonts w:hint="eastAsia" w:ascii="仿宋" w:hAnsi="仿宋" w:eastAsia="仿宋" w:cs="仿宋"/>
          <w:color w:val="auto"/>
          <w:sz w:val="24"/>
        </w:rPr>
      </w:pPr>
      <w:r>
        <w:rPr>
          <w:rFonts w:hint="eastAsia" w:ascii="仿宋" w:hAnsi="仿宋" w:eastAsia="仿宋" w:cs="仿宋"/>
          <w:color w:val="auto"/>
          <w:sz w:val="24"/>
        </w:rPr>
        <w:t>投标人（电子签章）：</w:t>
      </w:r>
    </w:p>
    <w:p>
      <w:pPr>
        <w:spacing w:line="360" w:lineRule="auto"/>
        <w:outlineLvl w:val="0"/>
        <w:rPr>
          <w:rFonts w:hint="eastAsia" w:ascii="仿宋" w:hAnsi="仿宋" w:eastAsia="仿宋" w:cs="仿宋"/>
          <w:color w:val="auto"/>
          <w:sz w:val="24"/>
        </w:rPr>
      </w:pPr>
      <w:r>
        <w:rPr>
          <w:rFonts w:hint="eastAsia" w:ascii="仿宋" w:hAnsi="仿宋" w:eastAsia="仿宋" w:cs="仿宋"/>
          <w:color w:val="auto"/>
          <w:sz w:val="24"/>
        </w:rPr>
        <w:t>法定代表人或其授权代表（签字或盖章）：            日期：    年   月   日</w:t>
      </w:r>
    </w:p>
    <w:p>
      <w:pPr>
        <w:pageBreakBefore/>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商务技术（资信）文件部分</w:t>
      </w:r>
    </w:p>
    <w:p>
      <w:pPr>
        <w:spacing w:line="360" w:lineRule="auto"/>
        <w:jc w:val="center"/>
        <w:outlineLvl w:val="0"/>
        <w:rPr>
          <w:rFonts w:hint="eastAsia" w:ascii="仿宋" w:hAnsi="仿宋" w:eastAsia="仿宋" w:cs="仿宋"/>
          <w:b/>
          <w:color w:val="auto"/>
          <w:kern w:val="0"/>
          <w:sz w:val="24"/>
        </w:rPr>
      </w:pPr>
    </w:p>
    <w:p>
      <w:pPr>
        <w:spacing w:line="360"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pPr>
        <w:pStyle w:val="192"/>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（1）法定代表人授权书 …………………………………………………………（页码）</w:t>
      </w:r>
    </w:p>
    <w:p>
      <w:pPr>
        <w:pStyle w:val="192"/>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（2）授权代表社保证明（复印件）………………………………………………（页码）</w:t>
      </w:r>
    </w:p>
    <w:p>
      <w:pPr>
        <w:pStyle w:val="192"/>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（3）法定代表人及其授权代表的身份证（复印件）……………………………（页码）</w:t>
      </w:r>
    </w:p>
    <w:p>
      <w:pPr>
        <w:pStyle w:val="192"/>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（4）法定代表人身份证明书………………………………………………………（页码）</w:t>
      </w:r>
    </w:p>
    <w:p>
      <w:pPr>
        <w:spacing w:line="360" w:lineRule="auto"/>
        <w:outlineLvl w:val="0"/>
        <w:rPr>
          <w:rFonts w:hint="eastAsia" w:ascii="仿宋" w:hAnsi="仿宋" w:eastAsia="仿宋" w:cs="仿宋"/>
          <w:color w:val="auto"/>
          <w:sz w:val="24"/>
        </w:rPr>
      </w:pPr>
      <w:r>
        <w:rPr>
          <w:rFonts w:hint="eastAsia" w:ascii="仿宋" w:hAnsi="仿宋" w:eastAsia="仿宋" w:cs="仿宋"/>
          <w:color w:val="auto"/>
          <w:sz w:val="24"/>
        </w:rPr>
        <w:t>（5）资格审查有关的书面承诺函</w:t>
      </w:r>
      <w:r>
        <w:rPr>
          <w:rFonts w:hint="eastAsia" w:ascii="仿宋" w:hAnsi="仿宋" w:eastAsia="仿宋" w:cs="仿宋"/>
          <w:color w:val="auto"/>
          <w:lang w:val="zh-CN"/>
        </w:rPr>
        <w:t>………………………………………………</w:t>
      </w:r>
      <w:r>
        <w:rPr>
          <w:rFonts w:hint="eastAsia" w:ascii="仿宋" w:hAnsi="仿宋" w:eastAsia="仿宋" w:cs="仿宋"/>
          <w:color w:val="auto"/>
        </w:rPr>
        <w:t>…………</w:t>
      </w:r>
      <w:r>
        <w:rPr>
          <w:rFonts w:hint="eastAsia" w:ascii="仿宋" w:hAnsi="仿宋" w:eastAsia="仿宋" w:cs="仿宋"/>
          <w:color w:val="auto"/>
          <w:kern w:val="0"/>
          <w:sz w:val="24"/>
        </w:rPr>
        <w:t>（页码）</w:t>
      </w:r>
    </w:p>
    <w:p>
      <w:pPr>
        <w:pStyle w:val="192"/>
        <w:spacing w:line="360" w:lineRule="auto"/>
        <w:ind w:firstLine="0" w:firstLineChars="0"/>
        <w:rPr>
          <w:rFonts w:hint="eastAsia" w:ascii="仿宋" w:hAnsi="仿宋" w:eastAsia="仿宋" w:cs="仿宋"/>
          <w:color w:val="auto"/>
        </w:rPr>
      </w:pPr>
      <w:r>
        <w:rPr>
          <w:rFonts w:hint="eastAsia" w:ascii="仿宋" w:hAnsi="仿宋" w:eastAsia="仿宋" w:cs="仿宋"/>
          <w:color w:val="auto"/>
        </w:rPr>
        <w:t>（6）符合特定资格条件（如果项目要求）的有关证明材料（复印件）………（页码）</w:t>
      </w:r>
    </w:p>
    <w:p>
      <w:pPr>
        <w:pStyle w:val="192"/>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（7）</w:t>
      </w:r>
      <w:r>
        <w:rPr>
          <w:rFonts w:hint="eastAsia" w:ascii="仿宋" w:hAnsi="仿宋" w:eastAsia="仿宋" w:cs="仿宋"/>
          <w:snapToGrid w:val="0"/>
          <w:color w:val="auto"/>
        </w:rPr>
        <w:t>投标人售后服务证明材料</w:t>
      </w:r>
      <w:r>
        <w:rPr>
          <w:rFonts w:hint="eastAsia" w:ascii="仿宋" w:hAnsi="仿宋" w:eastAsia="仿宋" w:cs="仿宋"/>
          <w:color w:val="auto"/>
        </w:rPr>
        <w:t>……………………………………………………（页码）</w:t>
      </w:r>
    </w:p>
    <w:p>
      <w:pPr>
        <w:pStyle w:val="192"/>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（8）</w:t>
      </w:r>
      <w:r>
        <w:rPr>
          <w:rFonts w:hint="eastAsia" w:ascii="仿宋" w:hAnsi="仿宋" w:eastAsia="仿宋" w:cs="仿宋"/>
          <w:color w:val="auto"/>
          <w:lang w:val="zh-CN"/>
        </w:rPr>
        <w:t>主要业绩证明…………………………………………………</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2"/>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（9）廉政承诺书 …………………………………………………………………（页码）</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（10）技术解决方案…………………………………………………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（11）技术偏离说明表………………………………………………</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（12）组织实施方案……………………………………………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（13）售后服务方案……………………………………………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（14）项目小组人员名单………………………………………</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rPr>
          <w:rFonts w:hint="eastAsia" w:ascii="仿宋" w:hAnsi="仿宋" w:eastAsia="仿宋" w:cs="仿宋"/>
          <w:b/>
          <w:bCs/>
          <w:color w:val="auto"/>
          <w:sz w:val="24"/>
        </w:rPr>
      </w:pPr>
      <w:r>
        <w:rPr>
          <w:rFonts w:hint="eastAsia" w:ascii="仿宋" w:hAnsi="仿宋" w:eastAsia="仿宋" w:cs="仿宋"/>
          <w:color w:val="auto"/>
          <w:kern w:val="0"/>
          <w:sz w:val="24"/>
        </w:rPr>
        <w:t>（19）</w:t>
      </w:r>
      <w:r>
        <w:rPr>
          <w:rFonts w:hint="eastAsia" w:ascii="仿宋" w:hAnsi="仿宋" w:eastAsia="仿宋" w:cs="仿宋"/>
          <w:color w:val="auto"/>
          <w:kern w:val="0"/>
          <w:sz w:val="24"/>
          <w:lang w:val="zh-CN"/>
        </w:rPr>
        <w:t>认为需要的其他商务技术（资信）文件或说明………………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（页码）（20）</w:t>
      </w:r>
      <w:r>
        <w:rPr>
          <w:rFonts w:hint="eastAsia" w:ascii="仿宋" w:hAnsi="仿宋" w:eastAsia="仿宋" w:cs="仿宋"/>
          <w:color w:val="auto"/>
          <w:kern w:val="0"/>
          <w:sz w:val="24"/>
          <w:lang w:val="zh-CN"/>
        </w:rPr>
        <w:t>联合协议（如有）……………………………………………………</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（21）</w:t>
      </w:r>
      <w:r>
        <w:rPr>
          <w:rFonts w:hint="eastAsia" w:ascii="仿宋" w:hAnsi="仿宋" w:eastAsia="仿宋" w:cs="仿宋"/>
          <w:color w:val="auto"/>
          <w:kern w:val="0"/>
          <w:sz w:val="24"/>
          <w:lang w:val="zh-CN"/>
        </w:rPr>
        <w:t>分包意向协议（如有）…………………………………………</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rPr>
          <w:rFonts w:hint="eastAsia" w:ascii="仿宋" w:hAnsi="仿宋" w:eastAsia="仿宋" w:cs="仿宋"/>
          <w:b/>
          <w:bCs/>
          <w:color w:val="auto"/>
          <w:sz w:val="24"/>
        </w:rPr>
      </w:pPr>
      <w:r>
        <w:rPr>
          <w:rFonts w:hint="eastAsia" w:ascii="仿宋" w:hAnsi="仿宋" w:eastAsia="仿宋" w:cs="仿宋"/>
          <w:color w:val="auto"/>
          <w:kern w:val="0"/>
          <w:sz w:val="24"/>
        </w:rPr>
        <w:t>（22）中小企业声明函 ……………………………………………………………（页码）</w:t>
      </w:r>
    </w:p>
    <w:p>
      <w:pPr>
        <w:spacing w:line="360" w:lineRule="auto"/>
        <w:rPr>
          <w:rFonts w:hint="eastAsia" w:ascii="仿宋" w:hAnsi="仿宋" w:eastAsia="仿宋" w:cs="仿宋"/>
          <w:b/>
          <w:bCs/>
          <w:color w:val="auto"/>
          <w:sz w:val="24"/>
        </w:rPr>
      </w:pPr>
      <w:r>
        <w:rPr>
          <w:rFonts w:hint="eastAsia" w:ascii="仿宋" w:hAnsi="仿宋" w:eastAsia="仿宋" w:cs="仿宋"/>
          <w:b/>
          <w:bCs/>
          <w:color w:val="auto"/>
          <w:sz w:val="24"/>
        </w:rPr>
        <w:t>注：以上目录是基本格式要求，各投标人可根据自身情况和评分标准进一步细化。</w:t>
      </w:r>
    </w:p>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1、法定代表人授权委托书（格式） </w:t>
      </w:r>
      <w:r>
        <w:rPr>
          <w:rFonts w:hint="eastAsia" w:ascii="仿宋" w:hAnsi="仿宋" w:eastAsia="仿宋" w:cs="仿宋"/>
          <w:b/>
          <w:color w:val="auto"/>
          <w:kern w:val="0"/>
          <w:sz w:val="32"/>
          <w:szCs w:val="32"/>
          <w:lang w:val="zh-CN"/>
        </w:rPr>
        <w:t>（适用于非联合体投标）</w:t>
      </w:r>
    </w:p>
    <w:p>
      <w:pPr>
        <w:jc w:val="center"/>
        <w:rPr>
          <w:rFonts w:hint="eastAsia" w:ascii="仿宋" w:hAnsi="仿宋" w:eastAsia="仿宋" w:cs="仿宋"/>
          <w:b/>
          <w:color w:val="auto"/>
          <w:sz w:val="24"/>
        </w:rPr>
      </w:pPr>
    </w:p>
    <w:p>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rPr>
        <w:t>绍兴市人民医院、华诚工程咨询集团有限公司</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项目</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hint="eastAsia" w:ascii="仿宋" w:hAnsi="仿宋" w:eastAsia="仿宋" w:cs="仿宋"/>
          <w:color w:val="auto"/>
          <w:sz w:val="24"/>
        </w:rPr>
      </w:pPr>
    </w:p>
    <w:p>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pPr>
        <w:ind w:firstLine="4920" w:firstLineChars="2050"/>
        <w:jc w:val="left"/>
        <w:rPr>
          <w:rFonts w:hint="eastAsia" w:ascii="仿宋" w:hAnsi="仿宋" w:eastAsia="仿宋" w:cs="仿宋"/>
          <w:color w:val="auto"/>
          <w:sz w:val="24"/>
        </w:rPr>
      </w:pPr>
    </w:p>
    <w:p>
      <w:pPr>
        <w:spacing w:line="800" w:lineRule="exact"/>
        <w:rPr>
          <w:rFonts w:hint="eastAsia" w:ascii="仿宋" w:hAnsi="仿宋" w:eastAsia="仿宋" w:cs="仿宋"/>
          <w:b/>
          <w:color w:val="auto"/>
          <w:sz w:val="24"/>
        </w:rPr>
      </w:pPr>
    </w:p>
    <w:p>
      <w:pPr>
        <w:spacing w:line="800" w:lineRule="exact"/>
        <w:rPr>
          <w:rFonts w:hint="eastAsia" w:ascii="仿宋" w:hAnsi="仿宋" w:eastAsia="仿宋" w:cs="仿宋"/>
          <w:b/>
          <w:color w:val="auto"/>
          <w:sz w:val="24"/>
        </w:rPr>
      </w:pPr>
    </w:p>
    <w:p>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pPr>
        <w:jc w:val="center"/>
        <w:rPr>
          <w:rFonts w:hint="eastAsia" w:ascii="仿宋" w:hAnsi="仿宋" w:eastAsia="仿宋" w:cs="仿宋"/>
          <w:b/>
          <w:color w:val="auto"/>
          <w:sz w:val="24"/>
        </w:rPr>
      </w:pP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rPr>
        <w:t>绍兴市人民医院、华诚工程咨询集团有限公司</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项目</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hint="eastAsia" w:ascii="仿宋" w:hAnsi="仿宋" w:eastAsia="仿宋" w:cs="仿宋"/>
          <w:color w:val="auto"/>
          <w:sz w:val="24"/>
        </w:rPr>
      </w:pPr>
    </w:p>
    <w:p>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jc w:val="center"/>
        <w:rPr>
          <w:rFonts w:hint="eastAsia" w:ascii="仿宋" w:hAnsi="仿宋" w:eastAsia="仿宋" w:cs="仿宋"/>
          <w:b/>
          <w:color w:val="auto"/>
          <w:kern w:val="0"/>
          <w:sz w:val="32"/>
          <w:szCs w:val="32"/>
        </w:rPr>
      </w:pPr>
    </w:p>
    <w:p>
      <w:pPr>
        <w:rPr>
          <w:rFonts w:hint="eastAsia" w:ascii="仿宋" w:hAnsi="仿宋" w:eastAsia="仿宋" w:cs="仿宋"/>
          <w:color w:val="auto"/>
        </w:rPr>
      </w:pP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800" w:lineRule="exact"/>
        <w:rPr>
          <w:rFonts w:hint="eastAsia" w:ascii="仿宋" w:hAnsi="仿宋" w:eastAsia="仿宋" w:cs="仿宋"/>
          <w:b/>
          <w:color w:val="auto"/>
          <w:sz w:val="24"/>
        </w:rPr>
      </w:pPr>
    </w:p>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2、授权代表社保证明（复印件）</w:t>
      </w:r>
    </w:p>
    <w:p>
      <w:pPr>
        <w:spacing w:line="800" w:lineRule="exact"/>
        <w:ind w:firstLine="480" w:firstLineChars="200"/>
        <w:rPr>
          <w:rFonts w:hint="eastAsia" w:ascii="仿宋" w:hAnsi="仿宋" w:eastAsia="仿宋" w:cs="仿宋"/>
          <w:color w:val="auto"/>
          <w:sz w:val="24"/>
          <w:u w:val="wave"/>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pPr>
        <w:spacing w:line="800" w:lineRule="exact"/>
        <w:ind w:firstLine="4320" w:firstLineChars="1800"/>
        <w:rPr>
          <w:rFonts w:hint="eastAsia" w:ascii="仿宋" w:hAnsi="仿宋" w:eastAsia="仿宋" w:cs="仿宋"/>
          <w:color w:val="auto"/>
          <w:sz w:val="24"/>
        </w:rPr>
      </w:pPr>
    </w:p>
    <w:p>
      <w:pPr>
        <w:spacing w:line="800" w:lineRule="exact"/>
        <w:ind w:firstLine="4337" w:firstLineChars="1800"/>
        <w:rPr>
          <w:rFonts w:hint="eastAsia" w:ascii="仿宋" w:hAnsi="仿宋" w:eastAsia="仿宋" w:cs="仿宋"/>
          <w:b/>
          <w:color w:val="auto"/>
          <w:sz w:val="24"/>
        </w:rPr>
      </w:pPr>
    </w:p>
    <w:p>
      <w:pPr>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3、法定代表人及其授权代表身份证复印件（正反面）</w:t>
      </w:r>
    </w:p>
    <w:p>
      <w:pPr>
        <w:spacing w:line="800" w:lineRule="exact"/>
        <w:rPr>
          <w:rFonts w:hint="eastAsia" w:ascii="仿宋" w:hAnsi="仿宋" w:eastAsia="仿宋" w:cs="仿宋"/>
          <w:b/>
          <w:color w:val="auto"/>
          <w:sz w:val="24"/>
        </w:rPr>
      </w:pPr>
    </w:p>
    <w:p>
      <w:pPr>
        <w:spacing w:line="800" w:lineRule="exact"/>
        <w:rPr>
          <w:rFonts w:hint="eastAsia" w:ascii="仿宋" w:hAnsi="仿宋" w:eastAsia="仿宋" w:cs="仿宋"/>
          <w:b/>
          <w:color w:val="auto"/>
          <w:sz w:val="24"/>
        </w:rPr>
      </w:pPr>
    </w:p>
    <w:p>
      <w:pPr>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4、法定代表人身份证明书(格式)</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p>
    <w:p>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p>
    <w:p>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p>
    <w:p>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pPr>
        <w:spacing w:line="440" w:lineRule="exact"/>
        <w:rPr>
          <w:rFonts w:hint="eastAsia" w:ascii="仿宋" w:hAnsi="仿宋" w:eastAsia="仿宋" w:cs="仿宋"/>
          <w:color w:val="auto"/>
          <w:sz w:val="24"/>
        </w:rPr>
      </w:pPr>
    </w:p>
    <w:p>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                             （电子签章）</w:t>
      </w:r>
    </w:p>
    <w:p>
      <w:pPr>
        <w:spacing w:line="440" w:lineRule="exact"/>
        <w:ind w:right="480"/>
        <w:rPr>
          <w:rFonts w:hint="eastAsia" w:ascii="仿宋" w:hAnsi="仿宋" w:eastAsia="仿宋" w:cs="仿宋"/>
          <w:color w:val="auto"/>
          <w:sz w:val="24"/>
        </w:rPr>
      </w:pPr>
    </w:p>
    <w:p>
      <w:pP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年   月   日</w:t>
      </w:r>
    </w:p>
    <w:p>
      <w:pPr>
        <w:pageBreakBefore/>
        <w:spacing w:after="240" w:afterLines="100"/>
        <w:rPr>
          <w:rFonts w:hint="eastAsia" w:ascii="仿宋" w:hAnsi="仿宋" w:eastAsia="仿宋" w:cs="仿宋"/>
          <w:b/>
          <w:color w:val="auto"/>
          <w:kern w:val="0"/>
          <w:sz w:val="32"/>
          <w:szCs w:val="32"/>
        </w:rPr>
      </w:pPr>
      <w:r>
        <w:rPr>
          <w:rFonts w:hint="eastAsia" w:ascii="仿宋" w:hAnsi="仿宋" w:eastAsia="仿宋" w:cs="仿宋"/>
          <w:b/>
          <w:color w:val="auto"/>
          <w:sz w:val="30"/>
          <w:szCs w:val="30"/>
        </w:rPr>
        <w:t>5、资格审查有关的书面承诺函</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绍兴市人民医院、华诚工程咨询集团有限公司</w:t>
      </w:r>
      <w:r>
        <w:rPr>
          <w:rFonts w:hint="eastAsia" w:ascii="仿宋" w:hAnsi="仿宋" w:eastAsia="仿宋" w:cs="仿宋"/>
          <w:color w:val="auto"/>
          <w:kern w:val="0"/>
          <w:sz w:val="24"/>
          <w:lang w:val="zh-CN"/>
        </w:rPr>
        <w:t>：</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我方郑重承诺，已具有                      项目（招标编号:            ）招标文件中关于申请人资格要求的下列条件：</w:t>
      </w:r>
    </w:p>
    <w:p>
      <w:pPr>
        <w:pStyle w:val="69"/>
        <w:widowControl w:val="0"/>
        <w:spacing w:afterLines="0" w:line="440" w:lineRule="exact"/>
        <w:ind w:firstLine="480"/>
        <w:jc w:val="left"/>
        <w:rPr>
          <w:rFonts w:hint="eastAsia" w:ascii="仿宋" w:hAnsi="仿宋" w:eastAsia="仿宋" w:cs="仿宋"/>
          <w:color w:val="auto"/>
        </w:rPr>
      </w:pPr>
      <w:r>
        <w:rPr>
          <w:rFonts w:hint="eastAsia" w:ascii="仿宋" w:hAnsi="仿宋" w:eastAsia="仿宋" w:cs="仿宋"/>
          <w:color w:val="auto"/>
        </w:rPr>
        <w:t>1、</w:t>
      </w:r>
      <w:r>
        <w:rPr>
          <w:rFonts w:hint="eastAsia" w:ascii="仿宋" w:hAnsi="仿宋" w:eastAsia="仿宋" w:cs="仿宋"/>
          <w:color w:val="auto"/>
          <w:szCs w:val="24"/>
        </w:rPr>
        <w:t>符合《中华人民共和国政府采购法》第二十二条的规定：</w:t>
      </w:r>
    </w:p>
    <w:p>
      <w:pPr>
        <w:pStyle w:val="25"/>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(二）具有良好的商业信誉和健全的财务会计制度；</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(三）具有履行合同所必需的设备和专业技术能力；</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(四）有依法缴纳税收和社会保障资金的良好记录；</w:t>
      </w:r>
    </w:p>
    <w:p>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(五）参加政府采购活动前三年内，在经营活动中没有重大违法记录。</w:t>
      </w:r>
    </w:p>
    <w:p>
      <w:pPr>
        <w:spacing w:line="440" w:lineRule="exact"/>
        <w:ind w:firstLine="480" w:firstLineChars="200"/>
        <w:rPr>
          <w:rFonts w:hint="eastAsia" w:ascii="仿宋" w:hAnsi="仿宋" w:eastAsia="仿宋" w:cs="仿宋"/>
          <w:color w:val="auto"/>
          <w:sz w:val="24"/>
          <w:szCs w:val="20"/>
        </w:rPr>
      </w:pPr>
      <w:r>
        <w:rPr>
          <w:rFonts w:hint="eastAsia" w:ascii="仿宋" w:hAnsi="仿宋" w:eastAsia="仿宋" w:cs="仿宋"/>
          <w:color w:val="auto"/>
          <w:kern w:val="0"/>
          <w:sz w:val="24"/>
        </w:rPr>
        <w:t>2、</w:t>
      </w:r>
      <w:r>
        <w:rPr>
          <w:rFonts w:hint="eastAsia" w:ascii="仿宋" w:hAnsi="仿宋" w:eastAsia="仿宋" w:cs="仿宋"/>
          <w:color w:val="auto"/>
          <w:kern w:val="0"/>
          <w:sz w:val="24"/>
          <w:lang w:val="zh-CN"/>
        </w:rPr>
        <w:t>我公司</w:t>
      </w:r>
      <w:r>
        <w:rPr>
          <w:rFonts w:hint="eastAsia" w:ascii="仿宋" w:hAnsi="仿宋" w:eastAsia="仿宋" w:cs="仿宋"/>
          <w:color w:val="auto"/>
          <w:sz w:val="24"/>
        </w:rPr>
        <w:t>声明参加本次政府采购活动前三年内未</w:t>
      </w:r>
      <w:r>
        <w:rPr>
          <w:rFonts w:hint="eastAsia" w:ascii="仿宋" w:hAnsi="仿宋" w:eastAsia="仿宋" w:cs="仿宋"/>
          <w:color w:val="auto"/>
          <w:sz w:val="24"/>
          <w:szCs w:val="20"/>
        </w:rPr>
        <w:t>被列入“黑名单”</w:t>
      </w:r>
      <w:r>
        <w:rPr>
          <w:rFonts w:hint="eastAsia" w:ascii="仿宋" w:hAnsi="仿宋" w:eastAsia="仿宋" w:cs="仿宋"/>
          <w:color w:val="auto"/>
          <w:sz w:val="24"/>
        </w:rPr>
        <w:t>，</w:t>
      </w:r>
      <w:r>
        <w:rPr>
          <w:rFonts w:hint="eastAsia" w:ascii="仿宋" w:hAnsi="仿宋" w:eastAsia="仿宋" w:cs="仿宋"/>
          <w:color w:val="auto"/>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 (电子签章)：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napToGrid w:val="0"/>
        <w:spacing w:line="360" w:lineRule="auto"/>
        <w:rPr>
          <w:rFonts w:hint="eastAsia" w:ascii="仿宋" w:hAnsi="仿宋" w:eastAsia="仿宋" w:cs="仿宋"/>
          <w:b/>
          <w:color w:val="auto"/>
          <w:sz w:val="30"/>
          <w:szCs w:val="30"/>
        </w:rPr>
      </w:pPr>
    </w:p>
    <w:p>
      <w:pPr>
        <w:snapToGrid w:val="0"/>
        <w:spacing w:line="360" w:lineRule="auto"/>
        <w:rPr>
          <w:rFonts w:hint="eastAsia" w:ascii="仿宋" w:hAnsi="仿宋" w:eastAsia="仿宋" w:cs="仿宋"/>
          <w:b/>
          <w:color w:val="auto"/>
          <w:sz w:val="30"/>
          <w:szCs w:val="30"/>
        </w:rPr>
      </w:pPr>
    </w:p>
    <w:p>
      <w:pPr>
        <w:pageBreakBefore/>
        <w:spacing w:line="360" w:lineRule="auto"/>
        <w:rPr>
          <w:rFonts w:hint="eastAsia" w:ascii="仿宋" w:hAnsi="仿宋" w:eastAsia="仿宋" w:cs="仿宋"/>
          <w:b/>
          <w:color w:val="auto"/>
          <w:sz w:val="32"/>
          <w:szCs w:val="32"/>
        </w:rPr>
      </w:pPr>
      <w:r>
        <w:rPr>
          <w:rFonts w:hint="eastAsia" w:ascii="仿宋" w:hAnsi="仿宋" w:eastAsia="仿宋" w:cs="仿宋"/>
          <w:b/>
          <w:color w:val="auto"/>
          <w:sz w:val="32"/>
          <w:szCs w:val="32"/>
        </w:rPr>
        <w:t>6、特定资格条件要求的资质文件（复印件）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rPr>
      </w:pPr>
      <w:r>
        <w:rPr>
          <w:rFonts w:hint="eastAsia" w:ascii="仿宋" w:hAnsi="仿宋" w:eastAsia="仿宋" w:cs="仿宋"/>
          <w:color w:val="auto"/>
          <w:sz w:val="24"/>
        </w:rPr>
        <w:t>（由投标人根据招标公告合格的投标人应具备的特定资格条件要求编制）</w:t>
      </w: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r>
        <w:rPr>
          <w:rFonts w:hint="eastAsia" w:ascii="仿宋" w:hAnsi="仿宋" w:eastAsia="仿宋" w:cs="仿宋"/>
          <w:b/>
          <w:color w:val="auto"/>
          <w:sz w:val="30"/>
          <w:szCs w:val="30"/>
        </w:rPr>
        <w:t>7、投标人售后服务能力证明材料</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8、</w:t>
      </w:r>
      <w:r>
        <w:rPr>
          <w:rFonts w:hint="eastAsia" w:ascii="仿宋" w:hAnsi="仿宋" w:eastAsia="仿宋" w:cs="仿宋"/>
          <w:b/>
          <w:color w:val="auto"/>
          <w:kern w:val="0"/>
          <w:sz w:val="32"/>
          <w:szCs w:val="32"/>
          <w:lang w:val="zh-CN"/>
        </w:rPr>
        <w:t>主要业绩证明</w:t>
      </w:r>
    </w:p>
    <w:p>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4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color w:val="auto"/>
          <w:sz w:val="24"/>
        </w:rPr>
      </w:pPr>
      <w:r>
        <w:rPr>
          <w:rFonts w:hint="eastAsia" w:ascii="仿宋" w:hAnsi="仿宋" w:eastAsia="仿宋" w:cs="仿宋"/>
          <w:b/>
          <w:color w:val="auto"/>
          <w:sz w:val="24"/>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Style w:val="193"/>
        <w:pageBreakBefore/>
        <w:ind w:firstLine="0"/>
        <w:jc w:val="both"/>
        <w:rPr>
          <w:rFonts w:hint="eastAsia" w:ascii="仿宋" w:hAnsi="仿宋" w:eastAsia="仿宋" w:cs="仿宋"/>
          <w:color w:val="auto"/>
        </w:rPr>
      </w:pPr>
      <w:r>
        <w:rPr>
          <w:rFonts w:hint="eastAsia" w:ascii="仿宋" w:hAnsi="仿宋" w:eastAsia="仿宋" w:cs="仿宋"/>
          <w:color w:val="auto"/>
        </w:rPr>
        <w:t>9、廉政承诺书</w:t>
      </w:r>
    </w:p>
    <w:p>
      <w:pPr>
        <w:autoSpaceDE w:val="0"/>
        <w:autoSpaceDN w:val="0"/>
        <w:spacing w:line="360" w:lineRule="auto"/>
        <w:ind w:left="2"/>
        <w:jc w:val="left"/>
        <w:rPr>
          <w:rFonts w:hint="eastAsia" w:ascii="仿宋" w:hAnsi="仿宋" w:eastAsia="仿宋" w:cs="仿宋"/>
          <w:color w:val="auto"/>
          <w:kern w:val="0"/>
          <w:sz w:val="24"/>
          <w:lang w:val="zh-CN"/>
        </w:rPr>
      </w:pPr>
      <w:r>
        <w:rPr>
          <w:rFonts w:hint="eastAsia" w:ascii="仿宋" w:hAnsi="仿宋" w:eastAsia="仿宋" w:cs="仿宋"/>
          <w:color w:val="auto"/>
          <w:sz w:val="24"/>
        </w:rPr>
        <w:t>绍兴市人民医院</w:t>
      </w:r>
      <w:r>
        <w:rPr>
          <w:rFonts w:hint="eastAsia" w:ascii="仿宋" w:hAnsi="仿宋" w:eastAsia="仿宋" w:cs="仿宋"/>
          <w:color w:val="auto"/>
          <w:kern w:val="0"/>
          <w:sz w:val="24"/>
          <w:lang w:val="zh-CN"/>
        </w:rPr>
        <w:t xml:space="preserve">：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10、技术解决方案</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hint="eastAsia" w:ascii="仿宋" w:hAnsi="仿宋" w:eastAsia="仿宋" w:cs="仿宋"/>
          <w:color w:val="auto"/>
          <w:sz w:val="24"/>
        </w:rPr>
      </w:pPr>
    </w:p>
    <w:p>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pt;width:44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 w:hAnsi="仿宋" w:eastAsia="仿宋" w:cs="仿宋"/>
          <w:b/>
          <w:color w:val="auto"/>
          <w:kern w:val="0"/>
          <w:sz w:val="28"/>
          <w:szCs w:val="28"/>
        </w:rPr>
        <w:object>
          <v:shape id="_x0000_i1026" o:spt="75" type="#_x0000_t75" style="height:42pt;width:441.75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11、技术偏离说明表</w:t>
      </w:r>
    </w:p>
    <w:p>
      <w:pPr>
        <w:spacing w:line="360" w:lineRule="auto"/>
        <w:rPr>
          <w:rFonts w:hint="eastAsia" w:ascii="仿宋" w:hAnsi="仿宋" w:eastAsia="仿宋" w:cs="仿宋"/>
          <w:b/>
          <w:bCs/>
          <w:color w:val="auto"/>
          <w:sz w:val="32"/>
          <w:szCs w:val="32"/>
        </w:rPr>
      </w:pPr>
      <w:r>
        <w:rPr>
          <w:rFonts w:hint="eastAsia" w:ascii="仿宋" w:hAnsi="仿宋" w:eastAsia="仿宋" w:cs="仿宋"/>
          <w:color w:val="auto"/>
          <w:sz w:val="24"/>
        </w:rPr>
        <w:t>（由投标人根据采购需求及招标文件要求编制）</w:t>
      </w:r>
    </w:p>
    <w:tbl>
      <w:tblPr>
        <w:tblStyle w:val="43"/>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招标文件技术要求</w:t>
            </w:r>
          </w:p>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bl>
    <w:p>
      <w:pPr>
        <w:tabs>
          <w:tab w:val="left" w:pos="570"/>
        </w:tabs>
        <w:spacing w:line="440" w:lineRule="exact"/>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注：1.此表须与</w:t>
      </w:r>
      <w:r>
        <w:rPr>
          <w:rFonts w:hint="eastAsia" w:ascii="仿宋" w:hAnsi="仿宋" w:eastAsia="仿宋" w:cs="仿宋"/>
          <w:color w:val="auto"/>
          <w:kern w:val="0"/>
          <w:sz w:val="24"/>
        </w:rPr>
        <w:t>招标文件“</w:t>
      </w:r>
      <w:r>
        <w:rPr>
          <w:rFonts w:hint="eastAsia" w:ascii="仿宋" w:hAnsi="仿宋" w:eastAsia="仿宋" w:cs="仿宋"/>
          <w:color w:val="auto"/>
          <w:sz w:val="24"/>
        </w:rPr>
        <w:t>招标项目说明及要求</w:t>
      </w:r>
      <w:r>
        <w:rPr>
          <w:rFonts w:hint="eastAsia" w:ascii="仿宋" w:hAnsi="仿宋" w:eastAsia="仿宋" w:cs="仿宋"/>
          <w:color w:val="auto"/>
          <w:kern w:val="0"/>
          <w:sz w:val="24"/>
        </w:rPr>
        <w:t>”</w:t>
      </w:r>
      <w:r>
        <w:rPr>
          <w:rFonts w:hint="eastAsia" w:ascii="仿宋" w:hAnsi="仿宋" w:eastAsia="仿宋" w:cs="仿宋"/>
          <w:color w:val="auto"/>
          <w:sz w:val="24"/>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auto"/>
          <w:kern w:val="0"/>
          <w:sz w:val="24"/>
          <w:lang w:val="zh-CN"/>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12、组织实施方案</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 xml:space="preserve">  工作日</w:t>
            </w:r>
          </w:p>
          <w:p>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13、售后服务方案</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bl>
    <w:p>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bl>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14、项目小组人员名单</w:t>
      </w:r>
    </w:p>
    <w:p>
      <w:pPr>
        <w:spacing w:line="360" w:lineRule="auto"/>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4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4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bl>
    <w:p>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auto"/>
          <w:sz w:val="32"/>
          <w:szCs w:val="32"/>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15、</w:t>
      </w:r>
      <w:r>
        <w:rPr>
          <w:rFonts w:hint="eastAsia" w:ascii="仿宋" w:hAnsi="仿宋" w:eastAsia="仿宋" w:cs="仿宋"/>
          <w:b/>
          <w:color w:val="auto"/>
          <w:kern w:val="0"/>
          <w:sz w:val="32"/>
          <w:szCs w:val="32"/>
          <w:lang w:val="zh-CN"/>
        </w:rPr>
        <w:t>优惠条件及特殊承诺</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color w:val="auto"/>
          <w:sz w:val="18"/>
          <w:szCs w:val="18"/>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hint="eastAsia" w:ascii="仿宋" w:hAnsi="仿宋" w:eastAsia="仿宋" w:cs="仿宋"/>
          <w:b/>
          <w:bCs/>
          <w:color w:val="auto"/>
          <w:sz w:val="18"/>
          <w:szCs w:val="18"/>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16、</w:t>
      </w:r>
      <w:r>
        <w:rPr>
          <w:rFonts w:hint="eastAsia" w:ascii="仿宋" w:hAnsi="仿宋" w:eastAsia="仿宋" w:cs="仿宋"/>
          <w:b/>
          <w:color w:val="auto"/>
          <w:kern w:val="0"/>
          <w:sz w:val="32"/>
          <w:szCs w:val="32"/>
          <w:lang w:val="zh-CN"/>
        </w:rPr>
        <w:t>备品备件及供选择的配套零部件清单</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napToGrid w:val="0"/>
        <w:spacing w:line="360" w:lineRule="auto"/>
        <w:ind w:right="1440"/>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 (电子签章)：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pageBreakBefore/>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17、</w:t>
      </w:r>
      <w:r>
        <w:rPr>
          <w:rFonts w:hint="eastAsia" w:ascii="仿宋" w:hAnsi="仿宋" w:eastAsia="仿宋" w:cs="仿宋"/>
          <w:b/>
          <w:color w:val="auto"/>
          <w:kern w:val="0"/>
          <w:sz w:val="32"/>
          <w:szCs w:val="32"/>
          <w:lang w:val="zh-CN"/>
        </w:rPr>
        <w:t>培训计划</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18、验收方案</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jc w:val="center"/>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hint="eastAsia" w:ascii="仿宋" w:hAnsi="仿宋" w:eastAsia="仿宋" w:cs="仿宋"/>
          <w:b/>
          <w:bCs/>
          <w:color w:val="auto"/>
          <w:sz w:val="30"/>
          <w:szCs w:val="30"/>
        </w:rPr>
      </w:pPr>
    </w:p>
    <w:p>
      <w:pPr>
        <w:spacing w:line="360" w:lineRule="auto"/>
        <w:jc w:val="center"/>
        <w:rPr>
          <w:rFonts w:hint="eastAsia" w:ascii="仿宋" w:hAnsi="仿宋" w:eastAsia="仿宋" w:cs="仿宋"/>
          <w:b/>
          <w:bCs/>
          <w:color w:val="auto"/>
          <w:sz w:val="30"/>
          <w:szCs w:val="30"/>
        </w:rPr>
      </w:pPr>
    </w:p>
    <w:p>
      <w:pPr>
        <w:spacing w:line="360" w:lineRule="auto"/>
        <w:jc w:val="center"/>
        <w:rPr>
          <w:rFonts w:hint="eastAsia" w:ascii="仿宋" w:hAnsi="仿宋" w:eastAsia="仿宋" w:cs="仿宋"/>
          <w:b/>
          <w:bCs/>
          <w:color w:val="auto"/>
          <w:sz w:val="24"/>
        </w:rPr>
      </w:pPr>
    </w:p>
    <w:p>
      <w:pPr>
        <w:spacing w:line="360" w:lineRule="auto"/>
        <w:jc w:val="center"/>
        <w:rPr>
          <w:rFonts w:hint="eastAsia" w:ascii="仿宋" w:hAnsi="仿宋" w:eastAsia="仿宋" w:cs="仿宋"/>
          <w:b/>
          <w:bCs/>
          <w:color w:val="auto"/>
          <w:sz w:val="24"/>
        </w:r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19、认为需要的</w:t>
      </w:r>
      <w:r>
        <w:rPr>
          <w:rFonts w:hint="eastAsia" w:ascii="仿宋" w:hAnsi="仿宋" w:eastAsia="仿宋" w:cs="仿宋"/>
          <w:b/>
          <w:color w:val="auto"/>
          <w:kern w:val="0"/>
          <w:sz w:val="32"/>
          <w:szCs w:val="32"/>
          <w:lang w:val="zh-CN"/>
        </w:rPr>
        <w:t>其他商务技术（资信）文件或说明</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20、联合协议</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投标。</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w:t>
      </w:r>
    </w:p>
    <w:p>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四、</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联合体成员名称(电子签章/公章)：</w:t>
      </w:r>
    </w:p>
    <w:p>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napToGrid w:val="0"/>
        <w:spacing w:line="360" w:lineRule="auto"/>
        <w:ind w:right="480"/>
        <w:rPr>
          <w:rFonts w:hint="eastAsia" w:ascii="仿宋" w:hAnsi="仿宋" w:eastAsia="仿宋" w:cs="仿宋"/>
          <w:b/>
          <w:color w:val="auto"/>
          <w:kern w:val="0"/>
          <w:sz w:val="32"/>
          <w:szCs w:val="32"/>
          <w:lang w:val="zh-CN"/>
        </w:rPr>
        <w:sectPr>
          <w:headerReference r:id="rId6" w:type="first"/>
          <w:footerReference r:id="rId8" w:type="first"/>
          <w:headerReference r:id="rId5" w:type="default"/>
          <w:footerReference r:id="rId7" w:type="default"/>
          <w:pgSz w:w="11906" w:h="16838"/>
          <w:pgMar w:top="1276" w:right="1418" w:bottom="1247" w:left="1418" w:header="851" w:footer="992" w:gutter="0"/>
          <w:cols w:space="720" w:num="1"/>
          <w:titlePg/>
          <w:docGrid w:linePitch="312" w:charSpace="0"/>
        </w:sect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21、分包意向协议</w:t>
      </w:r>
    </w:p>
    <w:p>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（某分包供应商名称）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（某分包供应商名称），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pPr>
        <w:snapToGrid w:val="0"/>
        <w:spacing w:line="360" w:lineRule="auto"/>
        <w:ind w:firstLine="576"/>
        <w:rPr>
          <w:rFonts w:hint="eastAsia" w:ascii="仿宋" w:hAnsi="仿宋" w:eastAsia="仿宋" w:cs="仿宋"/>
          <w:color w:val="auto"/>
        </w:rPr>
      </w:pPr>
      <w:r>
        <w:rPr>
          <w:rFonts w:hint="eastAsia" w:ascii="仿宋" w:hAnsi="仿宋" w:eastAsia="仿宋" w:cs="仿宋"/>
          <w:color w:val="auto"/>
          <w:kern w:val="0"/>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二、分包工作履行期限、地点、方式</w:t>
      </w:r>
    </w:p>
    <w:p>
      <w:pPr>
        <w:snapToGrid w:val="0"/>
        <w:spacing w:line="360" w:lineRule="auto"/>
        <w:ind w:firstLine="576"/>
        <w:rPr>
          <w:rFonts w:hint="eastAsia" w:ascii="仿宋" w:hAnsi="仿宋" w:eastAsia="仿宋" w:cs="仿宋"/>
          <w:color w:val="auto"/>
          <w:u w:val="single"/>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三、质量</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四、价款或者报酬</w:t>
      </w:r>
    </w:p>
    <w:p>
      <w:pPr>
        <w:snapToGrid w:val="0"/>
        <w:spacing w:line="360" w:lineRule="auto"/>
        <w:ind w:left="573" w:leftChars="273"/>
        <w:rPr>
          <w:rFonts w:hint="eastAsia" w:ascii="仿宋" w:hAnsi="仿宋" w:eastAsia="仿宋" w:cs="仿宋"/>
          <w:color w:val="auto"/>
          <w:kern w:val="0"/>
          <w:sz w:val="24"/>
          <w:lang w:val="zh-CN"/>
        </w:rPr>
      </w:pPr>
    </w:p>
    <w:p>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五、违约责任</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六、争议解决的办法</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七、其他</w:t>
      </w:r>
    </w:p>
    <w:p>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u w:val="single"/>
        </w:rPr>
        <w:t>（分包供应商名称）提供的货物全部由小微企业制造，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投标人名称(电子签章)：</w:t>
      </w:r>
    </w:p>
    <w:p>
      <w:pPr>
        <w:snapToGrid w:val="0"/>
        <w:spacing w:line="360" w:lineRule="auto"/>
        <w:ind w:firstLine="5640" w:firstLineChars="23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pageBreakBefore/>
        <w:spacing w:line="360" w:lineRule="auto"/>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22、落实政府采购政策需满足的资格要求</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rPr>
        <w:t>中小企业声明函</w:t>
      </w:r>
      <w:r>
        <w:rPr>
          <w:rFonts w:hint="eastAsia" w:ascii="仿宋" w:hAnsi="仿宋" w:eastAsia="仿宋" w:cs="仿宋"/>
          <w:color w:val="auto"/>
          <w:sz w:val="24"/>
        </w:rPr>
        <w:t>（附件）。</w:t>
      </w:r>
    </w:p>
    <w:p>
      <w:pPr>
        <w:widowControl/>
        <w:spacing w:line="440" w:lineRule="exact"/>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要求以联合体形式参加的，提供联合协议和</w:t>
      </w:r>
      <w:r>
        <w:rPr>
          <w:rFonts w:hint="eastAsia" w:ascii="仿宋" w:hAnsi="仿宋" w:eastAsia="仿宋" w:cs="仿宋"/>
          <w:b/>
          <w:color w:val="auto"/>
          <w:sz w:val="24"/>
        </w:rPr>
        <w:t>中小企业声明函</w:t>
      </w:r>
      <w:r>
        <w:rPr>
          <w:rFonts w:hint="eastAsia" w:ascii="仿宋" w:hAnsi="仿宋" w:eastAsia="仿宋" w:cs="仿宋"/>
          <w:color w:val="auto"/>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color w:val="auto"/>
          <w:kern w:val="0"/>
          <w:sz w:val="32"/>
          <w:szCs w:val="32"/>
          <w:lang w:val="zh-CN"/>
        </w:rPr>
      </w:pPr>
    </w:p>
    <w:p>
      <w:pPr>
        <w:adjustRightInd w:val="0"/>
        <w:snapToGrid w:val="0"/>
        <w:spacing w:before="50" w:after="50"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联合协议</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投标。</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w:t>
      </w:r>
      <w:r>
        <w:rPr>
          <w:rFonts w:hint="eastAsia" w:ascii="仿宋" w:hAnsi="仿宋" w:eastAsia="仿宋" w:cs="仿宋"/>
          <w:color w:val="auto"/>
          <w:sz w:val="24"/>
        </w:rPr>
        <w:t>中小企业合同金额达到%，小微企业合同金额达到%</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760" w:firstLineChars="2400"/>
        <w:jc w:val="center"/>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360" w:lineRule="auto"/>
        <w:ind w:firstLine="480" w:firstLineChars="200"/>
        <w:rPr>
          <w:rFonts w:hint="eastAsia" w:ascii="仿宋" w:hAnsi="仿宋" w:eastAsia="仿宋" w:cs="仿宋"/>
          <w:color w:val="auto"/>
          <w:sz w:val="24"/>
        </w:rPr>
      </w:pPr>
    </w:p>
    <w:p>
      <w:pPr>
        <w:spacing w:line="360" w:lineRule="auto"/>
        <w:ind w:firstLine="482" w:firstLineChars="200"/>
        <w:rPr>
          <w:rFonts w:hint="eastAsia" w:ascii="仿宋" w:hAnsi="仿宋" w:eastAsia="仿宋" w:cs="仿宋"/>
          <w:b/>
          <w:color w:val="auto"/>
          <w:sz w:val="24"/>
        </w:rPr>
      </w:pPr>
    </w:p>
    <w:p>
      <w:pPr>
        <w:spacing w:line="360" w:lineRule="auto"/>
        <w:ind w:firstLine="482" w:firstLineChars="200"/>
        <w:rPr>
          <w:rFonts w:hint="eastAsia" w:ascii="仿宋" w:hAnsi="仿宋" w:eastAsia="仿宋" w:cs="仿宋"/>
          <w:b/>
          <w:color w:val="auto"/>
          <w:sz w:val="24"/>
        </w:rPr>
      </w:pPr>
    </w:p>
    <w:p>
      <w:pPr>
        <w:spacing w:line="360" w:lineRule="auto"/>
        <w:ind w:firstLine="482" w:firstLineChars="200"/>
        <w:rPr>
          <w:rFonts w:hint="eastAsia" w:ascii="仿宋" w:hAnsi="仿宋" w:eastAsia="仿宋" w:cs="仿宋"/>
          <w:b/>
          <w:color w:val="auto"/>
          <w:sz w:val="24"/>
        </w:rPr>
      </w:pPr>
    </w:p>
    <w:p>
      <w:pPr>
        <w:pageBreakBefore/>
        <w:spacing w:line="360" w:lineRule="auto"/>
        <w:ind w:firstLine="482" w:firstLineChars="200"/>
        <w:rPr>
          <w:rFonts w:hint="eastAsia" w:ascii="仿宋" w:hAnsi="仿宋" w:eastAsia="仿宋" w:cs="仿宋"/>
          <w:b/>
          <w:color w:val="auto"/>
          <w:kern w:val="0"/>
          <w:sz w:val="32"/>
          <w:szCs w:val="32"/>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要求合同分包的，提供分包意向协议和</w:t>
      </w:r>
      <w:r>
        <w:rPr>
          <w:rFonts w:hint="eastAsia" w:ascii="仿宋" w:hAnsi="仿宋" w:eastAsia="仿宋" w:cs="仿宋"/>
          <w:b/>
          <w:color w:val="auto"/>
          <w:sz w:val="24"/>
        </w:rPr>
        <w:t>中小企业声明函（附件）</w:t>
      </w:r>
      <w:r>
        <w:rPr>
          <w:rFonts w:hint="eastAsia" w:ascii="仿宋" w:hAnsi="仿宋" w:eastAsia="仿宋" w:cs="仿宋"/>
          <w:color w:val="auto"/>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分包意向协议</w:t>
      </w:r>
    </w:p>
    <w:p>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（某分包供应商名称）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（某分包供</w:t>
      </w:r>
      <w:r>
        <w:rPr>
          <w:rFonts w:hint="eastAsia" w:ascii="仿宋" w:hAnsi="仿宋" w:eastAsia="仿宋" w:cs="仿宋"/>
          <w:color w:val="auto"/>
          <w:kern w:val="0"/>
          <w:sz w:val="24"/>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二、分包工作履行期限、地点、方式</w:t>
      </w:r>
    </w:p>
    <w:p>
      <w:pPr>
        <w:snapToGrid w:val="0"/>
        <w:spacing w:line="360" w:lineRule="auto"/>
        <w:ind w:firstLine="576"/>
        <w:rPr>
          <w:rFonts w:hint="eastAsia" w:ascii="仿宋" w:hAnsi="仿宋" w:eastAsia="仿宋" w:cs="仿宋"/>
          <w:color w:val="auto"/>
          <w:u w:val="single"/>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三、质量</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四、价款或者报酬</w:t>
      </w:r>
    </w:p>
    <w:p>
      <w:pPr>
        <w:snapToGrid w:val="0"/>
        <w:spacing w:line="360" w:lineRule="auto"/>
        <w:ind w:left="573" w:leftChars="273"/>
        <w:rPr>
          <w:rFonts w:hint="eastAsia" w:ascii="仿宋" w:hAnsi="仿宋" w:eastAsia="仿宋" w:cs="仿宋"/>
          <w:color w:val="auto"/>
          <w:kern w:val="0"/>
          <w:sz w:val="24"/>
          <w:lang w:val="zh-CN"/>
        </w:rPr>
      </w:pPr>
    </w:p>
    <w:p>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五、违约责任</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六、争议解决的办法</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七、其他</w:t>
      </w:r>
    </w:p>
    <w:p>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sz w:val="24"/>
        </w:rPr>
        <w:t>中小企业合同金额达到%，小微企业合同金额达到%</w:t>
      </w:r>
      <w:r>
        <w:rPr>
          <w:rFonts w:hint="eastAsia" w:ascii="仿宋" w:hAnsi="仿宋" w:eastAsia="仿宋" w:cs="仿宋"/>
          <w:color w:val="auto"/>
          <w:kern w:val="0"/>
          <w:sz w:val="24"/>
          <w:lang w:val="zh-CN"/>
        </w:rPr>
        <w:t xml:space="preserve">  。                                         投标人名称(电子签名)：</w:t>
      </w:r>
    </w:p>
    <w:p>
      <w:pPr>
        <w:snapToGrid w:val="0"/>
        <w:spacing w:line="360" w:lineRule="auto"/>
        <w:ind w:firstLine="5880" w:firstLineChars="24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w:t>
      </w:r>
    </w:p>
    <w:p>
      <w:pPr>
        <w:snapToGrid w:val="0"/>
        <w:spacing w:line="360" w:lineRule="auto"/>
        <w:ind w:firstLine="6000" w:firstLineChars="2500"/>
        <w:rPr>
          <w:rFonts w:hint="eastAsia" w:ascii="仿宋" w:hAnsi="仿宋" w:eastAsia="仿宋" w:cs="仿宋"/>
          <w:color w:val="auto"/>
        </w:rPr>
      </w:pP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pageBreakBefore/>
        <w:jc w:val="center"/>
        <w:rPr>
          <w:rFonts w:hint="eastAsia" w:ascii="仿宋" w:hAnsi="仿宋" w:eastAsia="仿宋" w:cs="仿宋"/>
          <w:b/>
          <w:bCs/>
          <w:color w:val="auto"/>
          <w:sz w:val="44"/>
          <w:szCs w:val="44"/>
        </w:rPr>
      </w:pPr>
      <w:r>
        <w:rPr>
          <w:rFonts w:hint="eastAsia" w:ascii="仿宋" w:hAnsi="仿宋" w:eastAsia="仿宋" w:cs="仿宋"/>
          <w:b/>
          <w:bCs/>
          <w:color w:val="auto"/>
          <w:sz w:val="44"/>
          <w:szCs w:val="44"/>
        </w:rPr>
        <w:t>业务专用章使用说明函</w:t>
      </w:r>
    </w:p>
    <w:p>
      <w:pPr>
        <w:spacing w:line="360" w:lineRule="auto"/>
        <w:rPr>
          <w:rFonts w:hint="eastAsia" w:ascii="仿宋" w:hAnsi="仿宋" w:eastAsia="仿宋" w:cs="仿宋"/>
          <w:color w:val="auto"/>
          <w:sz w:val="24"/>
          <w:u w:val="single"/>
        </w:rPr>
      </w:pPr>
    </w:p>
    <w:p>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你方组织的（项目名称）项目【招标编号：（采购编号）】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我方所使用的“XX专用章”与法定名称章具有同等的法律效力，对使用“XX专用章”的行为予以完全承认，并愿意承担相应责任。</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rPr>
          <w:rFonts w:hint="eastAsia" w:ascii="仿宋" w:hAnsi="仿宋" w:eastAsia="仿宋" w:cs="仿宋"/>
          <w:color w:val="auto"/>
          <w:sz w:val="24"/>
        </w:rPr>
      </w:pPr>
      <w:r>
        <w:rPr>
          <w:rFonts w:hint="eastAsia" w:ascii="仿宋" w:hAnsi="仿宋" w:eastAsia="仿宋" w:cs="仿宋"/>
          <w:b/>
          <w:bCs/>
          <w:color w:val="auto"/>
          <w:sz w:val="24"/>
        </w:rPr>
        <w:t>附：</w:t>
      </w:r>
    </w:p>
    <w:p>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635" b="0"/>
                <wp:wrapNone/>
                <wp:docPr id="2"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XeSRh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1"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6HB/2y4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YxHptgAAAAKAQAADwAAAAAAAAABACAAAAAiAAAAZHJzL2Rvd25yZXYueG1sUEsB&#10;AhQAFAAAAAgAh07iQOhwf9suAgAAggQAAA4AAAAAAAAAAQAgAAAAJwEAAGRycy9lMm9Eb2MueG1s&#10;UEsFBgAAAAAGAAYAWQEAAMcFAAAAAA==&#10;">
                <v:fill on="t" focussize="0,0"/>
                <v:stroke color="#000000" miterlimit="2" joinstyle="miter"/>
                <v:imagedata o:title=""/>
                <o:lock v:ext="edit" aspectratio="f"/>
              </v:rect>
            </w:pict>
          </mc:Fallback>
        </mc:AlternateContent>
      </w:r>
      <w:r>
        <w:rPr>
          <w:rFonts w:hint="eastAsia" w:ascii="仿宋" w:hAnsi="仿宋" w:eastAsia="仿宋" w:cs="仿宋"/>
          <w:color w:val="auto"/>
          <w:sz w:val="24"/>
        </w:rPr>
        <w:t>投标单位法定名称章（印模）投标单位“XX专用章”（印模）</w:t>
      </w: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pageBreakBefore/>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w:t>
      </w:r>
    </w:p>
    <w:p>
      <w:pPr>
        <w:rPr>
          <w:rFonts w:hint="eastAsia" w:ascii="仿宋" w:hAnsi="仿宋" w:eastAsia="仿宋" w:cs="仿宋"/>
          <w:b/>
          <w:color w:val="auto"/>
          <w:sz w:val="32"/>
          <w:szCs w:val="32"/>
        </w:rPr>
      </w:pPr>
      <w:r>
        <w:rPr>
          <w:rFonts w:hint="eastAsia" w:ascii="仿宋" w:hAnsi="仿宋" w:eastAsia="仿宋" w:cs="仿宋"/>
          <w:b/>
          <w:color w:val="auto"/>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jc w:val="center"/>
        <w:rPr>
          <w:rFonts w:hint="eastAsia" w:ascii="仿宋" w:hAnsi="仿宋" w:eastAsia="仿宋" w:cs="仿宋"/>
          <w:b/>
          <w:color w:val="auto"/>
          <w:sz w:val="32"/>
        </w:rPr>
      </w:pPr>
      <w:r>
        <w:rPr>
          <w:rFonts w:hint="eastAsia" w:ascii="仿宋" w:hAnsi="仿宋" w:eastAsia="仿宋" w:cs="仿宋"/>
          <w:b/>
          <w:color w:val="auto"/>
          <w:sz w:val="32"/>
        </w:rPr>
        <w:t>中小企业声明函（货物）</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jc w:val="center"/>
        <w:rPr>
          <w:rFonts w:hint="eastAsia" w:ascii="仿宋" w:hAnsi="仿宋" w:eastAsia="仿宋" w:cs="仿宋"/>
          <w:b/>
          <w:color w:val="auto"/>
          <w:sz w:val="18"/>
        </w:rPr>
      </w:pPr>
    </w:p>
    <w:p>
      <w:pPr>
        <w:jc w:val="center"/>
        <w:rPr>
          <w:rFonts w:hint="eastAsia" w:ascii="仿宋" w:hAnsi="仿宋" w:eastAsia="仿宋" w:cs="仿宋"/>
          <w:b/>
          <w:color w:val="auto"/>
          <w:sz w:val="32"/>
        </w:rPr>
      </w:pPr>
    </w:p>
    <w:p>
      <w:pPr>
        <w:jc w:val="center"/>
        <w:rPr>
          <w:rFonts w:hint="eastAsia" w:ascii="仿宋" w:hAnsi="仿宋" w:eastAsia="仿宋" w:cs="仿宋"/>
          <w:b/>
          <w:color w:val="auto"/>
          <w:sz w:val="32"/>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color w:val="auto"/>
          <w:sz w:val="32"/>
        </w:rPr>
      </w:pPr>
      <w:r>
        <w:rPr>
          <w:rFonts w:hint="eastAsia" w:ascii="仿宋" w:hAnsi="仿宋" w:eastAsia="仿宋" w:cs="仿宋"/>
          <w:b/>
          <w:color w:val="auto"/>
          <w:sz w:val="32"/>
        </w:rPr>
        <w:t>中小企业声明函（工程、服务）</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 ，属于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rPr>
      </w:pPr>
    </w:p>
    <w:p>
      <w:pPr>
        <w:pageBreakBefore/>
        <w:spacing w:line="588" w:lineRule="exact"/>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p>
      <w:pPr>
        <w:spacing w:line="588" w:lineRule="exact"/>
        <w:rPr>
          <w:rFonts w:hint="eastAsia" w:ascii="仿宋" w:hAnsi="仿宋" w:eastAsia="仿宋" w:cs="仿宋"/>
          <w:b/>
          <w:color w:val="auto"/>
          <w:spacing w:val="6"/>
          <w:sz w:val="30"/>
          <w:szCs w:val="30"/>
        </w:rPr>
      </w:pP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color w:val="auto"/>
          <w:sz w:val="24"/>
          <w:u w:val="single"/>
        </w:rPr>
        <w:t xml:space="preserve">                 项目</w:t>
      </w:r>
      <w:r>
        <w:rPr>
          <w:rFonts w:hint="eastAsia" w:ascii="仿宋" w:hAnsi="仿宋" w:eastAsia="仿宋" w:cs="仿宋"/>
          <w:color w:val="auto"/>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rPr>
      </w:pPr>
    </w:p>
    <w:p>
      <w:pPr>
        <w:spacing w:line="588" w:lineRule="exact"/>
        <w:ind w:firstLine="480" w:firstLineChars="200"/>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声明单位（盖章）：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hint="eastAsia" w:ascii="仿宋" w:hAnsi="仿宋" w:eastAsia="仿宋" w:cs="仿宋"/>
          <w:color w:val="auto"/>
          <w:sz w:val="24"/>
        </w:rPr>
      </w:pPr>
    </w:p>
    <w:p>
      <w:pPr>
        <w:rPr>
          <w:rFonts w:hint="eastAsia" w:ascii="仿宋" w:hAnsi="仿宋" w:eastAsia="仿宋" w:cs="仿宋"/>
          <w:color w:val="auto"/>
          <w:sz w:val="24"/>
        </w:rPr>
      </w:pPr>
      <w:r>
        <w:rPr>
          <w:rFonts w:hint="eastAsia" w:ascii="仿宋" w:hAnsi="仿宋" w:eastAsia="仿宋" w:cs="仿宋"/>
          <w:color w:val="auto"/>
          <w:sz w:val="24"/>
        </w:rPr>
        <w:t>注：根据《财政部 民政部 中国残疾人联合会关于促进残疾人就业政府采购政策的通知》（财库〔2017〕141号）规定填报。</w:t>
      </w:r>
    </w:p>
    <w:p>
      <w:pPr>
        <w:rPr>
          <w:rFonts w:hint="eastAsia" w:ascii="仿宋" w:hAnsi="仿宋" w:eastAsia="仿宋" w:cs="仿宋"/>
          <w:color w:val="auto"/>
        </w:rPr>
      </w:pPr>
    </w:p>
    <w:p>
      <w:pPr>
        <w:tabs>
          <w:tab w:val="left" w:pos="4860"/>
        </w:tabs>
        <w:ind w:right="1559" w:firstLine="480" w:firstLineChars="200"/>
        <w:jc w:val="left"/>
        <w:rPr>
          <w:rFonts w:hint="eastAsia" w:ascii="仿宋" w:hAnsi="仿宋" w:eastAsia="仿宋" w:cs="仿宋"/>
          <w:color w:val="auto"/>
          <w:sz w:val="24"/>
        </w:rPr>
      </w:pPr>
      <w:r>
        <w:rPr>
          <w:rFonts w:hint="eastAsia" w:ascii="仿宋" w:hAnsi="仿宋" w:eastAsia="仿宋" w:cs="仿宋"/>
          <w:color w:val="auto"/>
          <w:sz w:val="24"/>
        </w:rPr>
        <w:object>
          <v:shape id="_x0000_i1027" o:spt="75" type="#_x0000_t75" style="height:42pt;width:390pt;" o:ole="t" filled="f" o:preferrelative="t" stroked="f" coordsize="21600,21600">
            <v:path/>
            <v:fill on="f" focussize="0,0"/>
            <v:stroke on="f" joinstyle="miter"/>
            <v:imagedata r:id="rId17" o:title=""/>
            <o:lock v:ext="edit" aspectratio="t"/>
            <w10:wrap type="none"/>
            <w10:anchorlock/>
          </v:shape>
          <o:OLEObject Type="Embed" ProgID="Package" ShapeID="_x0000_i1027" DrawAspect="Content" ObjectID="_1468075727" r:id="rId16">
            <o:LockedField>false</o:LockedField>
          </o:OLEObject>
        </w:object>
      </w: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rPr>
          <w:rFonts w:hint="eastAsia" w:ascii="仿宋" w:hAnsi="仿宋" w:eastAsia="仿宋" w:cs="仿宋"/>
          <w:b/>
          <w:color w:val="auto"/>
          <w:sz w:val="24"/>
        </w:rPr>
      </w:pPr>
    </w:p>
    <w:p>
      <w:pPr>
        <w:spacing w:line="400" w:lineRule="exact"/>
        <w:rPr>
          <w:rFonts w:hint="eastAsia" w:ascii="仿宋" w:hAnsi="仿宋" w:eastAsia="仿宋" w:cs="仿宋"/>
          <w:b/>
          <w:color w:val="auto"/>
          <w:sz w:val="24"/>
        </w:rPr>
      </w:pPr>
      <w:r>
        <w:rPr>
          <w:rFonts w:hint="eastAsia" w:ascii="仿宋" w:hAnsi="仿宋" w:eastAsia="仿宋" w:cs="仿宋"/>
          <w:b/>
          <w:color w:val="auto"/>
          <w:sz w:val="24"/>
        </w:rPr>
        <w:t>注：</w:t>
      </w:r>
      <w:r>
        <w:rPr>
          <w:rFonts w:hint="eastAsia" w:ascii="仿宋" w:hAnsi="仿宋" w:eastAsia="仿宋" w:cs="仿宋"/>
          <w:color w:val="auto"/>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color w:val="auto"/>
          <w:sz w:val="44"/>
          <w:szCs w:val="44"/>
        </w:rPr>
      </w:pPr>
    </w:p>
    <w:p>
      <w:pPr>
        <w:pageBreakBefore/>
        <w:jc w:val="center"/>
        <w:rPr>
          <w:rFonts w:hint="eastAsia" w:ascii="仿宋" w:hAnsi="仿宋" w:eastAsia="仿宋" w:cs="仿宋"/>
          <w:b/>
          <w:bCs/>
          <w:color w:val="auto"/>
          <w:sz w:val="44"/>
          <w:szCs w:val="44"/>
        </w:rPr>
      </w:pPr>
      <w:r>
        <w:rPr>
          <w:rFonts w:hint="eastAsia" w:ascii="仿宋" w:hAnsi="仿宋" w:eastAsia="仿宋" w:cs="仿宋"/>
          <w:b/>
          <w:bCs/>
          <w:color w:val="auto"/>
          <w:sz w:val="44"/>
          <w:szCs w:val="44"/>
        </w:rPr>
        <w:t>质疑函范本</w:t>
      </w:r>
    </w:p>
    <w:p>
      <w:pPr>
        <w:adjustRightInd w:val="0"/>
        <w:snapToGrid w:val="0"/>
        <w:spacing w:line="360" w:lineRule="auto"/>
        <w:rPr>
          <w:rFonts w:hint="eastAsia" w:ascii="仿宋" w:hAnsi="仿宋" w:eastAsia="仿宋" w:cs="仿宋"/>
          <w:bCs/>
          <w:color w:val="auto"/>
          <w:sz w:val="32"/>
          <w:szCs w:val="32"/>
        </w:rPr>
      </w:pPr>
      <w:r>
        <w:rPr>
          <w:rFonts w:hint="eastAsia" w:ascii="仿宋" w:hAnsi="仿宋" w:eastAsia="仿宋" w:cs="仿宋"/>
          <w:bCs/>
          <w:color w:val="auto"/>
          <w:sz w:val="32"/>
          <w:szCs w:val="32"/>
        </w:rPr>
        <w:t>一、质疑供应商基本信息</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质疑供应商：</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地址：邮编：</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联系人：联系电话：</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授权代表：</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联系电话：</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地址：邮编：</w:t>
      </w:r>
    </w:p>
    <w:p>
      <w:pPr>
        <w:adjustRightInd w:val="0"/>
        <w:snapToGrid w:val="0"/>
        <w:spacing w:line="360" w:lineRule="auto"/>
        <w:rPr>
          <w:rFonts w:hint="eastAsia" w:ascii="仿宋" w:hAnsi="仿宋" w:eastAsia="仿宋" w:cs="仿宋"/>
          <w:bCs/>
          <w:color w:val="auto"/>
          <w:sz w:val="32"/>
          <w:szCs w:val="32"/>
        </w:rPr>
      </w:pPr>
      <w:r>
        <w:rPr>
          <w:rFonts w:hint="eastAsia" w:ascii="仿宋" w:hAnsi="仿宋" w:eastAsia="仿宋" w:cs="仿宋"/>
          <w:bCs/>
          <w:color w:val="auto"/>
          <w:sz w:val="32"/>
          <w:szCs w:val="32"/>
        </w:rPr>
        <w:t>二、质疑项目基本情况</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质疑项目的名称：</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质疑项目的编号：包号：</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采购人名称：</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采购文件获取日期：</w:t>
      </w:r>
    </w:p>
    <w:p>
      <w:pPr>
        <w:adjustRightInd w:val="0"/>
        <w:snapToGrid w:val="0"/>
        <w:spacing w:line="360" w:lineRule="auto"/>
        <w:rPr>
          <w:rFonts w:hint="eastAsia" w:ascii="仿宋" w:hAnsi="仿宋" w:eastAsia="仿宋" w:cs="仿宋"/>
          <w:bCs/>
          <w:color w:val="auto"/>
          <w:sz w:val="32"/>
          <w:szCs w:val="32"/>
        </w:rPr>
      </w:pPr>
      <w:r>
        <w:rPr>
          <w:rFonts w:hint="eastAsia" w:ascii="仿宋" w:hAnsi="仿宋" w:eastAsia="仿宋" w:cs="仿宋"/>
          <w:bCs/>
          <w:color w:val="auto"/>
          <w:sz w:val="32"/>
          <w:szCs w:val="32"/>
        </w:rPr>
        <w:t>三、质疑事项具体内容</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质疑事项1：</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事实依据：</w:t>
      </w:r>
    </w:p>
    <w:p>
      <w:pPr>
        <w:adjustRightInd w:val="0"/>
        <w:snapToGrid w:val="0"/>
        <w:spacing w:line="360" w:lineRule="auto"/>
        <w:rPr>
          <w:rFonts w:hint="eastAsia" w:ascii="仿宋" w:hAnsi="仿宋" w:eastAsia="仿宋" w:cs="仿宋"/>
          <w:color w:val="auto"/>
          <w:sz w:val="32"/>
          <w:szCs w:val="32"/>
        </w:rPr>
      </w:pP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法律依据：</w:t>
      </w:r>
    </w:p>
    <w:p>
      <w:pPr>
        <w:adjustRightInd w:val="0"/>
        <w:snapToGrid w:val="0"/>
        <w:spacing w:line="360" w:lineRule="auto"/>
        <w:rPr>
          <w:rFonts w:hint="eastAsia" w:ascii="仿宋" w:hAnsi="仿宋" w:eastAsia="仿宋" w:cs="仿宋"/>
          <w:color w:val="auto"/>
          <w:sz w:val="32"/>
          <w:szCs w:val="32"/>
          <w:u w:val="dotted"/>
        </w:rPr>
      </w:pP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质疑事项2</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w:t>
      </w:r>
    </w:p>
    <w:p>
      <w:pPr>
        <w:adjustRightInd w:val="0"/>
        <w:snapToGrid w:val="0"/>
        <w:spacing w:line="360" w:lineRule="auto"/>
        <w:rPr>
          <w:rFonts w:hint="eastAsia" w:ascii="仿宋" w:hAnsi="仿宋" w:eastAsia="仿宋" w:cs="仿宋"/>
          <w:bCs/>
          <w:color w:val="auto"/>
          <w:sz w:val="32"/>
          <w:szCs w:val="32"/>
        </w:rPr>
      </w:pPr>
      <w:r>
        <w:rPr>
          <w:rFonts w:hint="eastAsia" w:ascii="仿宋" w:hAnsi="仿宋" w:eastAsia="仿宋" w:cs="仿宋"/>
          <w:bCs/>
          <w:color w:val="auto"/>
          <w:sz w:val="32"/>
          <w:szCs w:val="32"/>
        </w:rPr>
        <w:t>四、与质疑事项相关的质疑请求</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请求：</w:t>
      </w:r>
    </w:p>
    <w:p>
      <w:pPr>
        <w:rPr>
          <w:rFonts w:hint="eastAsia" w:ascii="仿宋" w:hAnsi="仿宋" w:eastAsia="仿宋" w:cs="仿宋"/>
          <w:color w:val="auto"/>
          <w:sz w:val="30"/>
          <w:szCs w:val="30"/>
        </w:rPr>
      </w:pPr>
      <w:r>
        <w:rPr>
          <w:rFonts w:hint="eastAsia" w:ascii="仿宋" w:hAnsi="仿宋" w:eastAsia="仿宋" w:cs="仿宋"/>
          <w:color w:val="auto"/>
          <w:sz w:val="30"/>
          <w:szCs w:val="30"/>
        </w:rPr>
        <w:t xml:space="preserve">签字(签章)：                   公章：                      </w:t>
      </w:r>
    </w:p>
    <w:p>
      <w:pPr>
        <w:rPr>
          <w:rFonts w:hint="eastAsia" w:ascii="仿宋" w:hAnsi="仿宋" w:eastAsia="仿宋" w:cs="仿宋"/>
          <w:color w:val="auto"/>
          <w:sz w:val="30"/>
          <w:szCs w:val="30"/>
        </w:rPr>
      </w:pPr>
      <w:r>
        <w:rPr>
          <w:rFonts w:hint="eastAsia" w:ascii="仿宋" w:hAnsi="仿宋" w:eastAsia="仿宋" w:cs="仿宋"/>
          <w:color w:val="auto"/>
          <w:sz w:val="30"/>
          <w:szCs w:val="30"/>
        </w:rPr>
        <w:t xml:space="preserve">日期：    </w:t>
      </w:r>
    </w:p>
    <w:p>
      <w:pPr>
        <w:adjustRightInd w:val="0"/>
        <w:snapToGrid w:val="0"/>
        <w:spacing w:line="360" w:lineRule="auto"/>
        <w:rPr>
          <w:rFonts w:hint="eastAsia" w:ascii="仿宋" w:hAnsi="仿宋" w:eastAsia="仿宋" w:cs="仿宋"/>
          <w:color w:val="auto"/>
          <w:sz w:val="32"/>
          <w:szCs w:val="32"/>
        </w:rPr>
      </w:pPr>
    </w:p>
    <w:p>
      <w:pPr>
        <w:adjustRightInd w:val="0"/>
        <w:snapToGrid w:val="0"/>
        <w:spacing w:line="360" w:lineRule="auto"/>
        <w:rPr>
          <w:rFonts w:hint="eastAsia" w:ascii="仿宋" w:hAnsi="仿宋" w:eastAsia="仿宋" w:cs="仿宋"/>
          <w:color w:val="auto"/>
          <w:sz w:val="32"/>
          <w:szCs w:val="32"/>
        </w:rPr>
      </w:pPr>
    </w:p>
    <w:p>
      <w:pPr>
        <w:jc w:val="center"/>
        <w:rPr>
          <w:rFonts w:hint="eastAsia" w:ascii="仿宋" w:hAnsi="仿宋" w:eastAsia="仿宋" w:cs="仿宋"/>
          <w:b/>
          <w:bCs/>
          <w:color w:val="auto"/>
          <w:sz w:val="32"/>
          <w:szCs w:val="32"/>
        </w:rPr>
      </w:pPr>
    </w:p>
    <w:p>
      <w:pPr>
        <w:jc w:val="center"/>
        <w:rPr>
          <w:rFonts w:hint="eastAsia" w:ascii="仿宋" w:hAnsi="仿宋" w:eastAsia="仿宋" w:cs="仿宋"/>
          <w:b/>
          <w:bCs/>
          <w:color w:val="auto"/>
          <w:sz w:val="32"/>
          <w:szCs w:val="32"/>
        </w:rPr>
      </w:pPr>
    </w:p>
    <w:p>
      <w:pPr>
        <w:jc w:val="center"/>
        <w:rPr>
          <w:rFonts w:hint="eastAsia" w:ascii="仿宋" w:hAnsi="仿宋" w:eastAsia="仿宋" w:cs="仿宋"/>
          <w:b/>
          <w:bCs/>
          <w:color w:val="auto"/>
          <w:sz w:val="32"/>
          <w:szCs w:val="32"/>
        </w:rPr>
      </w:pPr>
    </w:p>
    <w:p>
      <w:pPr>
        <w:rPr>
          <w:rFonts w:hint="eastAsia" w:ascii="仿宋" w:hAnsi="仿宋" w:eastAsia="仿宋" w:cs="仿宋"/>
          <w:b/>
          <w:color w:val="auto"/>
          <w:sz w:val="32"/>
          <w:szCs w:val="32"/>
        </w:rPr>
      </w:pPr>
      <w:r>
        <w:rPr>
          <w:rFonts w:hint="eastAsia" w:ascii="仿宋" w:hAnsi="仿宋" w:eastAsia="仿宋" w:cs="仿宋"/>
          <w:b/>
          <w:color w:val="auto"/>
          <w:sz w:val="32"/>
          <w:szCs w:val="32"/>
        </w:rPr>
        <w:t>质疑函制作说明：</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1.供应商提出质疑时，应提交质疑函和必要的证明材料。</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3.质疑供应商若对项目的某一分包进行质疑，质疑函中应列明具体分包号。</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4.质疑函的质疑事项应具体、明确，并有必要的事实依据和法律依据。</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5.质疑函的质疑请求应与质疑事项相关。</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w:t>
      </w:r>
      <w:r>
        <w:rPr>
          <w:rFonts w:hint="eastAsia" w:ascii="仿宋" w:hAnsi="仿宋" w:eastAsia="仿宋" w:cs="仿宋"/>
          <w:b/>
          <w:bCs/>
          <w:color w:val="auto"/>
          <w:kern w:val="0"/>
          <w:sz w:val="36"/>
          <w:szCs w:val="36"/>
        </w:rPr>
        <w:br w:type="textWrapping"/>
      </w:r>
      <w:r>
        <w:rPr>
          <w:rFonts w:hint="eastAsia" w:ascii="仿宋" w:hAnsi="仿宋" w:eastAsia="仿宋" w:cs="仿宋"/>
          <w:b/>
          <w:bCs/>
          <w:color w:val="auto"/>
          <w:kern w:val="0"/>
          <w:sz w:val="36"/>
          <w:szCs w:val="36"/>
        </w:rPr>
        <w:t>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18"/>
          <w:szCs w:val="18"/>
        </w:rPr>
        <w:br w:type="textWrapping"/>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43"/>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1.大型、中型和小型企业须同时满足所列指标的下限，否则下划一档；微型企业只须满足所列指标中的一项即可。 　　</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3.企业划分指标以现行统计制度为准。</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（1）从业人员，是指期末从业人员数，没有期末从业人员数的，采用全年平均人员数代替。</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（3）资产总额，采用资产总计代替。</w:t>
      </w:r>
    </w:p>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18"/>
          <w:szCs w:val="18"/>
        </w:rPr>
        <w:br w:type="textWrapping"/>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18"/>
          <w:szCs w:val="18"/>
        </w:rPr>
        <w:br w:type="textWrapping"/>
      </w:r>
      <w:r>
        <w:rPr>
          <w:rFonts w:hint="eastAsia" w:ascii="仿宋" w:hAnsi="仿宋" w:eastAsia="仿宋" w:cs="仿宋"/>
          <w:color w:val="auto"/>
          <w:kern w:val="0"/>
          <w:sz w:val="18"/>
          <w:szCs w:val="18"/>
        </w:rPr>
        <w:br w:type="textWrapping"/>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r>
        <w:rPr>
          <w:rFonts w:hint="eastAsia" w:ascii="仿宋" w:hAnsi="仿宋" w:eastAsia="仿宋" w:cs="仿宋"/>
          <w:b/>
          <w:bCs/>
          <w:color w:val="auto"/>
          <w:kern w:val="0"/>
          <w:sz w:val="36"/>
          <w:szCs w:val="36"/>
        </w:rPr>
        <w:br w:type="textWrapping"/>
      </w:r>
      <w:r>
        <w:rPr>
          <w:rFonts w:hint="eastAsia" w:ascii="仿宋" w:hAnsi="仿宋" w:eastAsia="仿宋" w:cs="仿宋"/>
          <w:b/>
          <w:bCs/>
          <w:color w:val="auto"/>
          <w:kern w:val="0"/>
          <w:sz w:val="36"/>
          <w:szCs w:val="36"/>
        </w:rPr>
        <w:t>中国证券监督管理委员会中国保险监督管理委员会</w:t>
      </w:r>
      <w:r>
        <w:rPr>
          <w:rFonts w:hint="eastAsia" w:ascii="仿宋" w:hAnsi="仿宋" w:eastAsia="仿宋" w:cs="仿宋"/>
          <w:b/>
          <w:bCs/>
          <w:color w:val="auto"/>
          <w:kern w:val="0"/>
          <w:sz w:val="36"/>
          <w:szCs w:val="36"/>
        </w:rPr>
        <w:br w:type="textWrapping"/>
      </w:r>
      <w:r>
        <w:rPr>
          <w:rFonts w:hint="eastAsia" w:ascii="仿宋" w:hAnsi="仿宋" w:eastAsia="仿宋" w:cs="仿宋"/>
          <w:b/>
          <w:bCs/>
          <w:color w:val="auto"/>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二、 适用范围。本规定适用于从事《国民经济行业分类》(GB/T4754-2011)中J门类（金融业）活动的企业。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九、 融资担保公司参照本规定中“除贷款公司、小额贷款公司、典当行以外的其他金融机构”标准划型。</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十、本规定由人民银行会同银监会，证监会、保监会和统计局负责解释。</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43"/>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pPr>
        <w:rPr>
          <w:rFonts w:hint="eastAsia" w:ascii="仿宋" w:hAnsi="仿宋" w:eastAsia="仿宋" w:cs="仿宋"/>
          <w:color w:val="auto"/>
          <w:sz w:val="24"/>
        </w:rPr>
      </w:pPr>
    </w:p>
    <w:p>
      <w:pPr>
        <w:ind w:firstLine="420" w:firstLineChars="200"/>
        <w:rPr>
          <w:rFonts w:hint="eastAsia" w:ascii="仿宋" w:hAnsi="仿宋" w:eastAsia="仿宋" w:cs="仿宋"/>
          <w:color w:val="auto"/>
        </w:rPr>
      </w:pPr>
    </w:p>
    <w:p>
      <w:pPr>
        <w:spacing w:line="360" w:lineRule="auto"/>
        <w:rPr>
          <w:rFonts w:hint="eastAsia" w:ascii="仿宋" w:hAnsi="仿宋" w:eastAsia="仿宋" w:cs="仿宋"/>
          <w:color w:val="auto"/>
          <w:kern w:val="0"/>
          <w:sz w:val="24"/>
        </w:rPr>
      </w:pPr>
    </w:p>
    <w:sectPr>
      <w:footerReference r:id="rId9" w:type="default"/>
      <w:footerReference r:id="rId10"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Malgun Gothic Semilight"/>
    <w:panose1 w:val="020B0604020202020204"/>
    <w:charset w:val="86"/>
    <w:family w:val="swiss"/>
    <w:pitch w:val="default"/>
    <w:sig w:usb0="00000000" w:usb1="00000000" w:usb2="0000003F" w:usb3="00000000" w:csb0="603F01FF" w:csb1="FFFF0000"/>
  </w:font>
  <w:font w:name="Malgun Gothic Semilight">
    <w:panose1 w:val="020B0502040204020203"/>
    <w:charset w:val="86"/>
    <w:family w:val="auto"/>
    <w:pitch w:val="default"/>
    <w:sig w:usb0="900002AF" w:usb1="01D77CFB" w:usb2="00000012" w:usb3="00000000" w:csb0="203E01BD" w:csb1="D7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pPr>
      <w:pStyle w:val="2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both"/>
    </w:pPr>
    <w:r>
      <w:rPr>
        <w:rFonts w:hint="eastAsia"/>
      </w:rPr>
      <w:t>华诚工程咨询集团有限公司                                     招标文件招标编号:</w:t>
    </w:r>
    <w:r>
      <w:t xml:space="preserve"> </w:t>
    </w:r>
    <w:r>
      <w:rPr>
        <w:rFonts w:hint="eastAsia"/>
      </w:rPr>
      <w:t>HCSF-2022-039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both"/>
    </w:pPr>
    <w:r>
      <w:rPr>
        <w:rFonts w:hint="eastAsia"/>
      </w:rPr>
      <w:t>华诚工程咨询集团有限公司                             招标文件招标编号:HCSF-2022-039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both"/>
    </w:pPr>
    <w:r>
      <w:rPr>
        <w:rFonts w:hint="eastAsia"/>
      </w:rPr>
      <w:t>华诚工程咨询集团有限公司                                     招标文件招标编号:HCSF-2022-039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324819"/>
    <w:multiLevelType w:val="singleLevel"/>
    <w:tmpl w:val="A0324819"/>
    <w:lvl w:ilvl="0" w:tentative="0">
      <w:start w:val="1"/>
      <w:numFmt w:val="decimal"/>
      <w:suff w:val="nothing"/>
      <w:lvlText w:val="（%1）"/>
      <w:lvlJc w:val="left"/>
    </w:lvl>
  </w:abstractNum>
  <w:abstractNum w:abstractNumId="1">
    <w:nsid w:val="B4D33B6A"/>
    <w:multiLevelType w:val="singleLevel"/>
    <w:tmpl w:val="B4D33B6A"/>
    <w:lvl w:ilvl="0" w:tentative="0">
      <w:start w:val="4"/>
      <w:numFmt w:val="decimal"/>
      <w:lvlText w:val="%1."/>
      <w:lvlJc w:val="left"/>
      <w:pPr>
        <w:tabs>
          <w:tab w:val="left" w:pos="312"/>
        </w:tabs>
      </w:pPr>
    </w:lvl>
  </w:abstractNum>
  <w:abstractNum w:abstractNumId="2">
    <w:nsid w:val="B63071E8"/>
    <w:multiLevelType w:val="singleLevel"/>
    <w:tmpl w:val="B63071E8"/>
    <w:lvl w:ilvl="0" w:tentative="0">
      <w:start w:val="2"/>
      <w:numFmt w:val="decimal"/>
      <w:suff w:val="nothing"/>
      <w:lvlText w:val="%1．"/>
      <w:lvlJc w:val="left"/>
    </w:lvl>
  </w:abstractNum>
  <w:abstractNum w:abstractNumId="3">
    <w:nsid w:val="FFFFFF7E"/>
    <w:multiLevelType w:val="singleLevel"/>
    <w:tmpl w:val="FFFFFF7E"/>
    <w:lvl w:ilvl="0" w:tentative="0">
      <w:start w:val="1"/>
      <w:numFmt w:val="decimal"/>
      <w:pStyle w:val="8"/>
      <w:lvlText w:val="%1."/>
      <w:lvlJc w:val="left"/>
      <w:pPr>
        <w:tabs>
          <w:tab w:val="left" w:pos="1200"/>
        </w:tabs>
        <w:ind w:left="1200" w:leftChars="400" w:hanging="360" w:hangingChars="200"/>
      </w:pPr>
    </w:lvl>
  </w:abstractNum>
  <w:abstractNum w:abstractNumId="4">
    <w:nsid w:val="FFFFFF88"/>
    <w:multiLevelType w:val="singleLevel"/>
    <w:tmpl w:val="FFFFFF88"/>
    <w:lvl w:ilvl="0" w:tentative="0">
      <w:start w:val="1"/>
      <w:numFmt w:val="decimal"/>
      <w:pStyle w:val="6"/>
      <w:lvlText w:val="%1."/>
      <w:lvlJc w:val="left"/>
      <w:pPr>
        <w:tabs>
          <w:tab w:val="left" w:pos="360"/>
        </w:tabs>
        <w:ind w:left="360" w:hanging="360" w:hangingChars="200"/>
      </w:pPr>
    </w:lvl>
  </w:abstractNum>
  <w:abstractNum w:abstractNumId="5">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6">
    <w:nsid w:val="5CB017FC"/>
    <w:multiLevelType w:val="multilevel"/>
    <w:tmpl w:val="5CB017FC"/>
    <w:lvl w:ilvl="0" w:tentative="0">
      <w:start w:val="1"/>
      <w:numFmt w:val="decimal"/>
      <w:pStyle w:val="5"/>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9"/>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19A40A5"/>
    <w:multiLevelType w:val="singleLevel"/>
    <w:tmpl w:val="619A40A5"/>
    <w:lvl w:ilvl="0" w:tentative="0">
      <w:start w:val="1"/>
      <w:numFmt w:val="decimal"/>
      <w:lvlText w:val="%1."/>
      <w:lvlJc w:val="left"/>
      <w:pPr>
        <w:ind w:left="425" w:hanging="425"/>
      </w:pPr>
      <w:rPr>
        <w:rFonts w:hint="default"/>
      </w:rPr>
    </w:lvl>
  </w:abstractNum>
  <w:abstractNum w:abstractNumId="8">
    <w:nsid w:val="6A383B68"/>
    <w:multiLevelType w:val="singleLevel"/>
    <w:tmpl w:val="6A383B68"/>
    <w:lvl w:ilvl="0" w:tentative="0">
      <w:start w:val="1"/>
      <w:numFmt w:val="upperLetter"/>
      <w:pStyle w:val="10"/>
      <w:lvlText w:val="%1、"/>
      <w:lvlJc w:val="left"/>
      <w:pPr>
        <w:tabs>
          <w:tab w:val="left" w:pos="405"/>
        </w:tabs>
        <w:ind w:left="405" w:hanging="405"/>
      </w:pPr>
    </w:lvl>
  </w:abstractNum>
  <w:abstractNum w:abstractNumId="9">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4"/>
  </w:num>
  <w:num w:numId="3">
    <w:abstractNumId w:val="3"/>
  </w:num>
  <w:num w:numId="4">
    <w:abstractNumId w:val="8"/>
  </w:num>
  <w:num w:numId="5">
    <w:abstractNumId w:val="1"/>
  </w:num>
  <w:num w:numId="6">
    <w:abstractNumId w:val="0"/>
  </w:num>
  <w:num w:numId="7">
    <w:abstractNumId w:val="9"/>
  </w:num>
  <w:num w:numId="8">
    <w:abstractNumId w:val="7"/>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4ZmY1MjRkOGQ4YThhNDg4MTRjODMyNGQyMTExYTQifQ=="/>
    <w:docVar w:name="KY_MEDREF_DOCUID" w:val="{1E9C5883-C55C-434B-A3A1-D67F929F9AD8}"/>
    <w:docVar w:name="KY_MEDREF_VERSION" w:val="3"/>
  </w:docVars>
  <w:rsids>
    <w:rsidRoot w:val="00417C8A"/>
    <w:rsid w:val="00002EF8"/>
    <w:rsid w:val="00003B69"/>
    <w:rsid w:val="00005125"/>
    <w:rsid w:val="0000551C"/>
    <w:rsid w:val="00010C9A"/>
    <w:rsid w:val="00010FC1"/>
    <w:rsid w:val="0001278F"/>
    <w:rsid w:val="00012B4F"/>
    <w:rsid w:val="0002045E"/>
    <w:rsid w:val="00021D87"/>
    <w:rsid w:val="0002203D"/>
    <w:rsid w:val="0002468D"/>
    <w:rsid w:val="00025A9F"/>
    <w:rsid w:val="00026762"/>
    <w:rsid w:val="00031F75"/>
    <w:rsid w:val="000329A7"/>
    <w:rsid w:val="00032E0A"/>
    <w:rsid w:val="00033D7B"/>
    <w:rsid w:val="000402F5"/>
    <w:rsid w:val="00040A03"/>
    <w:rsid w:val="00041E8E"/>
    <w:rsid w:val="00042BB5"/>
    <w:rsid w:val="00047118"/>
    <w:rsid w:val="00047D3B"/>
    <w:rsid w:val="0005172F"/>
    <w:rsid w:val="000517D0"/>
    <w:rsid w:val="00051C47"/>
    <w:rsid w:val="000535F4"/>
    <w:rsid w:val="00053625"/>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4E64"/>
    <w:rsid w:val="0009629C"/>
    <w:rsid w:val="00097421"/>
    <w:rsid w:val="00097868"/>
    <w:rsid w:val="0009797B"/>
    <w:rsid w:val="000A0868"/>
    <w:rsid w:val="000A176E"/>
    <w:rsid w:val="000A1F26"/>
    <w:rsid w:val="000A3FC5"/>
    <w:rsid w:val="000A4017"/>
    <w:rsid w:val="000A5AC0"/>
    <w:rsid w:val="000B0284"/>
    <w:rsid w:val="000B0821"/>
    <w:rsid w:val="000B14AE"/>
    <w:rsid w:val="000B1744"/>
    <w:rsid w:val="000B1D0B"/>
    <w:rsid w:val="000B23EC"/>
    <w:rsid w:val="000B2A94"/>
    <w:rsid w:val="000B625B"/>
    <w:rsid w:val="000C14CF"/>
    <w:rsid w:val="000C1F3C"/>
    <w:rsid w:val="000C3344"/>
    <w:rsid w:val="000C3620"/>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2888"/>
    <w:rsid w:val="000F51A7"/>
    <w:rsid w:val="000F5EF4"/>
    <w:rsid w:val="000F7FA8"/>
    <w:rsid w:val="001023D9"/>
    <w:rsid w:val="00103B47"/>
    <w:rsid w:val="00104327"/>
    <w:rsid w:val="00104663"/>
    <w:rsid w:val="00104806"/>
    <w:rsid w:val="00104A07"/>
    <w:rsid w:val="0010604D"/>
    <w:rsid w:val="0010763D"/>
    <w:rsid w:val="00111E93"/>
    <w:rsid w:val="00112B08"/>
    <w:rsid w:val="00114BF9"/>
    <w:rsid w:val="00114C81"/>
    <w:rsid w:val="00115363"/>
    <w:rsid w:val="00116EDA"/>
    <w:rsid w:val="0012018C"/>
    <w:rsid w:val="00120D86"/>
    <w:rsid w:val="001259AD"/>
    <w:rsid w:val="00125D70"/>
    <w:rsid w:val="00126CDE"/>
    <w:rsid w:val="00132EE2"/>
    <w:rsid w:val="00133F36"/>
    <w:rsid w:val="001345B3"/>
    <w:rsid w:val="0013527E"/>
    <w:rsid w:val="00136D12"/>
    <w:rsid w:val="00137525"/>
    <w:rsid w:val="0014024E"/>
    <w:rsid w:val="0014242C"/>
    <w:rsid w:val="0014545F"/>
    <w:rsid w:val="00145D25"/>
    <w:rsid w:val="00154591"/>
    <w:rsid w:val="00154E3A"/>
    <w:rsid w:val="00156633"/>
    <w:rsid w:val="001567E4"/>
    <w:rsid w:val="00157269"/>
    <w:rsid w:val="0015771E"/>
    <w:rsid w:val="00157914"/>
    <w:rsid w:val="00157FB7"/>
    <w:rsid w:val="00160B0A"/>
    <w:rsid w:val="00161F66"/>
    <w:rsid w:val="00162DD9"/>
    <w:rsid w:val="001637A2"/>
    <w:rsid w:val="00163B9C"/>
    <w:rsid w:val="00165068"/>
    <w:rsid w:val="001657B2"/>
    <w:rsid w:val="00167587"/>
    <w:rsid w:val="00171701"/>
    <w:rsid w:val="0017455C"/>
    <w:rsid w:val="00174F52"/>
    <w:rsid w:val="001751A8"/>
    <w:rsid w:val="0018130F"/>
    <w:rsid w:val="00181544"/>
    <w:rsid w:val="00182D73"/>
    <w:rsid w:val="001836B0"/>
    <w:rsid w:val="0018376B"/>
    <w:rsid w:val="001841D9"/>
    <w:rsid w:val="00184C15"/>
    <w:rsid w:val="00185F55"/>
    <w:rsid w:val="00186AA1"/>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10D6"/>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0F6F"/>
    <w:rsid w:val="001E3B20"/>
    <w:rsid w:val="001E4A9F"/>
    <w:rsid w:val="001E6F76"/>
    <w:rsid w:val="001F14C4"/>
    <w:rsid w:val="001F2767"/>
    <w:rsid w:val="001F429B"/>
    <w:rsid w:val="001F43C6"/>
    <w:rsid w:val="001F4C63"/>
    <w:rsid w:val="001F661E"/>
    <w:rsid w:val="001F7E31"/>
    <w:rsid w:val="00201062"/>
    <w:rsid w:val="0020236F"/>
    <w:rsid w:val="002029F3"/>
    <w:rsid w:val="00204DA6"/>
    <w:rsid w:val="0020567D"/>
    <w:rsid w:val="002056F9"/>
    <w:rsid w:val="002062F2"/>
    <w:rsid w:val="0020786F"/>
    <w:rsid w:val="002102AD"/>
    <w:rsid w:val="00210450"/>
    <w:rsid w:val="002105F0"/>
    <w:rsid w:val="00213AC9"/>
    <w:rsid w:val="00214A3F"/>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038"/>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87637"/>
    <w:rsid w:val="00291839"/>
    <w:rsid w:val="00291D57"/>
    <w:rsid w:val="00291D7E"/>
    <w:rsid w:val="00292E6E"/>
    <w:rsid w:val="002945E5"/>
    <w:rsid w:val="00295DD9"/>
    <w:rsid w:val="002A0921"/>
    <w:rsid w:val="002A13E9"/>
    <w:rsid w:val="002A168D"/>
    <w:rsid w:val="002A22BB"/>
    <w:rsid w:val="002A2667"/>
    <w:rsid w:val="002A3119"/>
    <w:rsid w:val="002A4A75"/>
    <w:rsid w:val="002A5124"/>
    <w:rsid w:val="002A5FEE"/>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F86"/>
    <w:rsid w:val="002D5386"/>
    <w:rsid w:val="002D6849"/>
    <w:rsid w:val="002D6DC6"/>
    <w:rsid w:val="002D7C56"/>
    <w:rsid w:val="002E2C11"/>
    <w:rsid w:val="002E34F4"/>
    <w:rsid w:val="002E35C4"/>
    <w:rsid w:val="002E4DCA"/>
    <w:rsid w:val="002E6CF6"/>
    <w:rsid w:val="002E7ADA"/>
    <w:rsid w:val="002F2363"/>
    <w:rsid w:val="002F2762"/>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29F"/>
    <w:rsid w:val="003214B7"/>
    <w:rsid w:val="00322583"/>
    <w:rsid w:val="00322E59"/>
    <w:rsid w:val="00323729"/>
    <w:rsid w:val="00323B52"/>
    <w:rsid w:val="00323E60"/>
    <w:rsid w:val="003250A1"/>
    <w:rsid w:val="00326CBB"/>
    <w:rsid w:val="0032789C"/>
    <w:rsid w:val="00327C7D"/>
    <w:rsid w:val="003302F0"/>
    <w:rsid w:val="003304A1"/>
    <w:rsid w:val="003325E6"/>
    <w:rsid w:val="00332DA4"/>
    <w:rsid w:val="00334D83"/>
    <w:rsid w:val="003371DD"/>
    <w:rsid w:val="003413F9"/>
    <w:rsid w:val="0034305B"/>
    <w:rsid w:val="00347CAD"/>
    <w:rsid w:val="00350E72"/>
    <w:rsid w:val="00351EEF"/>
    <w:rsid w:val="0035254A"/>
    <w:rsid w:val="003565A0"/>
    <w:rsid w:val="003618CE"/>
    <w:rsid w:val="003642FD"/>
    <w:rsid w:val="0036516C"/>
    <w:rsid w:val="00365766"/>
    <w:rsid w:val="00365F56"/>
    <w:rsid w:val="003670EB"/>
    <w:rsid w:val="00367EAB"/>
    <w:rsid w:val="0037368A"/>
    <w:rsid w:val="00375107"/>
    <w:rsid w:val="0037517D"/>
    <w:rsid w:val="0037698D"/>
    <w:rsid w:val="003803F8"/>
    <w:rsid w:val="003810CC"/>
    <w:rsid w:val="003822F9"/>
    <w:rsid w:val="00384E3C"/>
    <w:rsid w:val="00385323"/>
    <w:rsid w:val="0039130B"/>
    <w:rsid w:val="00391E7C"/>
    <w:rsid w:val="00393589"/>
    <w:rsid w:val="00393A4C"/>
    <w:rsid w:val="003949AE"/>
    <w:rsid w:val="003A137B"/>
    <w:rsid w:val="003A19D2"/>
    <w:rsid w:val="003A3963"/>
    <w:rsid w:val="003A546B"/>
    <w:rsid w:val="003A74F5"/>
    <w:rsid w:val="003B0C05"/>
    <w:rsid w:val="003B1CEB"/>
    <w:rsid w:val="003B24CA"/>
    <w:rsid w:val="003B2A7E"/>
    <w:rsid w:val="003B2B02"/>
    <w:rsid w:val="003B4EAE"/>
    <w:rsid w:val="003B6E95"/>
    <w:rsid w:val="003B774D"/>
    <w:rsid w:val="003B7907"/>
    <w:rsid w:val="003C46C5"/>
    <w:rsid w:val="003C4B74"/>
    <w:rsid w:val="003C527A"/>
    <w:rsid w:val="003C637D"/>
    <w:rsid w:val="003C7A48"/>
    <w:rsid w:val="003C7F20"/>
    <w:rsid w:val="003D10C3"/>
    <w:rsid w:val="003D1A22"/>
    <w:rsid w:val="003D3069"/>
    <w:rsid w:val="003D3253"/>
    <w:rsid w:val="003D5E7D"/>
    <w:rsid w:val="003D7052"/>
    <w:rsid w:val="003E074D"/>
    <w:rsid w:val="003E0777"/>
    <w:rsid w:val="003E2D56"/>
    <w:rsid w:val="003E4007"/>
    <w:rsid w:val="003E5724"/>
    <w:rsid w:val="003E6C02"/>
    <w:rsid w:val="003F2982"/>
    <w:rsid w:val="003F3C23"/>
    <w:rsid w:val="003F4084"/>
    <w:rsid w:val="003F77E0"/>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4CA"/>
    <w:rsid w:val="0042557D"/>
    <w:rsid w:val="00426003"/>
    <w:rsid w:val="00426CA3"/>
    <w:rsid w:val="00427B10"/>
    <w:rsid w:val="004350B7"/>
    <w:rsid w:val="004357E0"/>
    <w:rsid w:val="0043766D"/>
    <w:rsid w:val="0044066E"/>
    <w:rsid w:val="00441896"/>
    <w:rsid w:val="004418D2"/>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B29"/>
    <w:rsid w:val="00467CFF"/>
    <w:rsid w:val="0047117D"/>
    <w:rsid w:val="00471407"/>
    <w:rsid w:val="00471DA5"/>
    <w:rsid w:val="00472E4E"/>
    <w:rsid w:val="0047483C"/>
    <w:rsid w:val="00474BED"/>
    <w:rsid w:val="00476C0B"/>
    <w:rsid w:val="00477EFE"/>
    <w:rsid w:val="0048072F"/>
    <w:rsid w:val="004832BC"/>
    <w:rsid w:val="00485E04"/>
    <w:rsid w:val="00486B01"/>
    <w:rsid w:val="00487465"/>
    <w:rsid w:val="00487AE1"/>
    <w:rsid w:val="004939A7"/>
    <w:rsid w:val="00495C9D"/>
    <w:rsid w:val="00497699"/>
    <w:rsid w:val="00497DB2"/>
    <w:rsid w:val="004A0174"/>
    <w:rsid w:val="004A236E"/>
    <w:rsid w:val="004A3418"/>
    <w:rsid w:val="004A403F"/>
    <w:rsid w:val="004A51BA"/>
    <w:rsid w:val="004A5DF1"/>
    <w:rsid w:val="004A62A0"/>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524"/>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067"/>
    <w:rsid w:val="0050570A"/>
    <w:rsid w:val="0050576A"/>
    <w:rsid w:val="0050629F"/>
    <w:rsid w:val="005108F1"/>
    <w:rsid w:val="0051166D"/>
    <w:rsid w:val="00513DE6"/>
    <w:rsid w:val="005144B2"/>
    <w:rsid w:val="00517733"/>
    <w:rsid w:val="005215F9"/>
    <w:rsid w:val="00522169"/>
    <w:rsid w:val="005230CA"/>
    <w:rsid w:val="0052340D"/>
    <w:rsid w:val="0052376F"/>
    <w:rsid w:val="00524FD6"/>
    <w:rsid w:val="00527E1C"/>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1A9"/>
    <w:rsid w:val="005879E7"/>
    <w:rsid w:val="00590A70"/>
    <w:rsid w:val="00591190"/>
    <w:rsid w:val="00591584"/>
    <w:rsid w:val="00594CDD"/>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4A89"/>
    <w:rsid w:val="005D6575"/>
    <w:rsid w:val="005D70ED"/>
    <w:rsid w:val="005D7991"/>
    <w:rsid w:val="005E282B"/>
    <w:rsid w:val="005E33BD"/>
    <w:rsid w:val="005E4144"/>
    <w:rsid w:val="005E5B57"/>
    <w:rsid w:val="005E68E7"/>
    <w:rsid w:val="005F510E"/>
    <w:rsid w:val="005F5691"/>
    <w:rsid w:val="005F78A5"/>
    <w:rsid w:val="00601F1E"/>
    <w:rsid w:val="006029F2"/>
    <w:rsid w:val="00604250"/>
    <w:rsid w:val="00604458"/>
    <w:rsid w:val="00605CCE"/>
    <w:rsid w:val="00606ED5"/>
    <w:rsid w:val="006070BD"/>
    <w:rsid w:val="006073C6"/>
    <w:rsid w:val="00607E60"/>
    <w:rsid w:val="006107F3"/>
    <w:rsid w:val="006120C0"/>
    <w:rsid w:val="0061343E"/>
    <w:rsid w:val="00615BAF"/>
    <w:rsid w:val="006174CC"/>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09A"/>
    <w:rsid w:val="006527F3"/>
    <w:rsid w:val="006541FB"/>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4F54"/>
    <w:rsid w:val="006B6B67"/>
    <w:rsid w:val="006C002F"/>
    <w:rsid w:val="006C02F5"/>
    <w:rsid w:val="006C5FEF"/>
    <w:rsid w:val="006C73F3"/>
    <w:rsid w:val="006C7EB3"/>
    <w:rsid w:val="006D5227"/>
    <w:rsid w:val="006D629D"/>
    <w:rsid w:val="006E51D3"/>
    <w:rsid w:val="006E64A5"/>
    <w:rsid w:val="006E6C77"/>
    <w:rsid w:val="006E772C"/>
    <w:rsid w:val="006E797A"/>
    <w:rsid w:val="006E7E92"/>
    <w:rsid w:val="006F0A0C"/>
    <w:rsid w:val="006F1D8D"/>
    <w:rsid w:val="006F2510"/>
    <w:rsid w:val="006F3A0F"/>
    <w:rsid w:val="007014C0"/>
    <w:rsid w:val="00702458"/>
    <w:rsid w:val="00704455"/>
    <w:rsid w:val="007047D8"/>
    <w:rsid w:val="00707395"/>
    <w:rsid w:val="007122EB"/>
    <w:rsid w:val="00715B09"/>
    <w:rsid w:val="00716D25"/>
    <w:rsid w:val="0072144E"/>
    <w:rsid w:val="00721BF4"/>
    <w:rsid w:val="007266EE"/>
    <w:rsid w:val="00727382"/>
    <w:rsid w:val="0072764B"/>
    <w:rsid w:val="00727936"/>
    <w:rsid w:val="00727E2C"/>
    <w:rsid w:val="00727F6F"/>
    <w:rsid w:val="007327FF"/>
    <w:rsid w:val="00736ACD"/>
    <w:rsid w:val="007402C2"/>
    <w:rsid w:val="007402D5"/>
    <w:rsid w:val="00740EED"/>
    <w:rsid w:val="00741976"/>
    <w:rsid w:val="00741F19"/>
    <w:rsid w:val="007434B7"/>
    <w:rsid w:val="007435B2"/>
    <w:rsid w:val="00743C5C"/>
    <w:rsid w:val="0075094E"/>
    <w:rsid w:val="00751DF3"/>
    <w:rsid w:val="00752F32"/>
    <w:rsid w:val="0075304B"/>
    <w:rsid w:val="00754449"/>
    <w:rsid w:val="0075627A"/>
    <w:rsid w:val="00757BAC"/>
    <w:rsid w:val="0076108E"/>
    <w:rsid w:val="00762B5C"/>
    <w:rsid w:val="00765708"/>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0D50"/>
    <w:rsid w:val="007A160C"/>
    <w:rsid w:val="007A179B"/>
    <w:rsid w:val="007A4FF4"/>
    <w:rsid w:val="007A5361"/>
    <w:rsid w:val="007A6CC8"/>
    <w:rsid w:val="007B0001"/>
    <w:rsid w:val="007B3695"/>
    <w:rsid w:val="007B58B1"/>
    <w:rsid w:val="007B5ADD"/>
    <w:rsid w:val="007B5C1F"/>
    <w:rsid w:val="007B6A7E"/>
    <w:rsid w:val="007B7257"/>
    <w:rsid w:val="007C153F"/>
    <w:rsid w:val="007C2503"/>
    <w:rsid w:val="007C2B7A"/>
    <w:rsid w:val="007C40F5"/>
    <w:rsid w:val="007C4BF9"/>
    <w:rsid w:val="007C5716"/>
    <w:rsid w:val="007D0823"/>
    <w:rsid w:val="007D29E3"/>
    <w:rsid w:val="007D3E95"/>
    <w:rsid w:val="007D4361"/>
    <w:rsid w:val="007D506A"/>
    <w:rsid w:val="007D7005"/>
    <w:rsid w:val="007E3068"/>
    <w:rsid w:val="007E5A6E"/>
    <w:rsid w:val="007E6C18"/>
    <w:rsid w:val="007E765C"/>
    <w:rsid w:val="007F0029"/>
    <w:rsid w:val="007F0976"/>
    <w:rsid w:val="007F0EFA"/>
    <w:rsid w:val="007F168D"/>
    <w:rsid w:val="007F1749"/>
    <w:rsid w:val="007F3580"/>
    <w:rsid w:val="007F5965"/>
    <w:rsid w:val="007F5CEC"/>
    <w:rsid w:val="007F6983"/>
    <w:rsid w:val="00800AE2"/>
    <w:rsid w:val="00802471"/>
    <w:rsid w:val="008030DC"/>
    <w:rsid w:val="0080418D"/>
    <w:rsid w:val="008070FB"/>
    <w:rsid w:val="008125CD"/>
    <w:rsid w:val="00813057"/>
    <w:rsid w:val="00815230"/>
    <w:rsid w:val="00816151"/>
    <w:rsid w:val="00817564"/>
    <w:rsid w:val="00817EB6"/>
    <w:rsid w:val="0082016A"/>
    <w:rsid w:val="00820ECE"/>
    <w:rsid w:val="00821000"/>
    <w:rsid w:val="0082176B"/>
    <w:rsid w:val="00821954"/>
    <w:rsid w:val="008219AD"/>
    <w:rsid w:val="00822072"/>
    <w:rsid w:val="00822430"/>
    <w:rsid w:val="008231ED"/>
    <w:rsid w:val="0082403F"/>
    <w:rsid w:val="0082455A"/>
    <w:rsid w:val="008248BC"/>
    <w:rsid w:val="008249F4"/>
    <w:rsid w:val="00825C61"/>
    <w:rsid w:val="00826474"/>
    <w:rsid w:val="00827589"/>
    <w:rsid w:val="00827791"/>
    <w:rsid w:val="00830F84"/>
    <w:rsid w:val="008310B0"/>
    <w:rsid w:val="008325F0"/>
    <w:rsid w:val="00832C6E"/>
    <w:rsid w:val="00833EFB"/>
    <w:rsid w:val="00834788"/>
    <w:rsid w:val="00840AB3"/>
    <w:rsid w:val="008424CD"/>
    <w:rsid w:val="00842C80"/>
    <w:rsid w:val="00844F41"/>
    <w:rsid w:val="008457C1"/>
    <w:rsid w:val="0084613D"/>
    <w:rsid w:val="008469A6"/>
    <w:rsid w:val="00846C63"/>
    <w:rsid w:val="00846F1A"/>
    <w:rsid w:val="00850E6B"/>
    <w:rsid w:val="00852E88"/>
    <w:rsid w:val="008557E8"/>
    <w:rsid w:val="00863478"/>
    <w:rsid w:val="00863945"/>
    <w:rsid w:val="00864E3D"/>
    <w:rsid w:val="00866B33"/>
    <w:rsid w:val="00875064"/>
    <w:rsid w:val="00877F0F"/>
    <w:rsid w:val="008800C8"/>
    <w:rsid w:val="008808C6"/>
    <w:rsid w:val="0088255B"/>
    <w:rsid w:val="0088347A"/>
    <w:rsid w:val="00883D2D"/>
    <w:rsid w:val="00885797"/>
    <w:rsid w:val="00886234"/>
    <w:rsid w:val="008863D4"/>
    <w:rsid w:val="00886634"/>
    <w:rsid w:val="00887B85"/>
    <w:rsid w:val="00890B37"/>
    <w:rsid w:val="00890DCD"/>
    <w:rsid w:val="00896670"/>
    <w:rsid w:val="00896BE8"/>
    <w:rsid w:val="00896ED5"/>
    <w:rsid w:val="008A037C"/>
    <w:rsid w:val="008A17D1"/>
    <w:rsid w:val="008A251A"/>
    <w:rsid w:val="008A457B"/>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C7844"/>
    <w:rsid w:val="008D18D9"/>
    <w:rsid w:val="008D4AB1"/>
    <w:rsid w:val="008D7471"/>
    <w:rsid w:val="008D7B31"/>
    <w:rsid w:val="008E19EE"/>
    <w:rsid w:val="008E1A0D"/>
    <w:rsid w:val="008E316D"/>
    <w:rsid w:val="008E4B80"/>
    <w:rsid w:val="008E5413"/>
    <w:rsid w:val="008E6364"/>
    <w:rsid w:val="008F03D5"/>
    <w:rsid w:val="008F07DF"/>
    <w:rsid w:val="008F1A2E"/>
    <w:rsid w:val="008F526D"/>
    <w:rsid w:val="008F60AF"/>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6CF8"/>
    <w:rsid w:val="009379E5"/>
    <w:rsid w:val="00940FA0"/>
    <w:rsid w:val="009415ED"/>
    <w:rsid w:val="00944F1A"/>
    <w:rsid w:val="00947BAD"/>
    <w:rsid w:val="00947FE6"/>
    <w:rsid w:val="00952269"/>
    <w:rsid w:val="00952CE1"/>
    <w:rsid w:val="00953507"/>
    <w:rsid w:val="009557D2"/>
    <w:rsid w:val="009568DF"/>
    <w:rsid w:val="0095792B"/>
    <w:rsid w:val="0096068B"/>
    <w:rsid w:val="009626CD"/>
    <w:rsid w:val="00963566"/>
    <w:rsid w:val="009639DC"/>
    <w:rsid w:val="00963B11"/>
    <w:rsid w:val="00963C88"/>
    <w:rsid w:val="0096450C"/>
    <w:rsid w:val="00965D6D"/>
    <w:rsid w:val="009700D6"/>
    <w:rsid w:val="00970329"/>
    <w:rsid w:val="00970F9E"/>
    <w:rsid w:val="009712BD"/>
    <w:rsid w:val="00974BCB"/>
    <w:rsid w:val="00975C87"/>
    <w:rsid w:val="00976585"/>
    <w:rsid w:val="00983C30"/>
    <w:rsid w:val="00986357"/>
    <w:rsid w:val="009924D5"/>
    <w:rsid w:val="009931AC"/>
    <w:rsid w:val="00993E50"/>
    <w:rsid w:val="00995623"/>
    <w:rsid w:val="00995C94"/>
    <w:rsid w:val="0099775A"/>
    <w:rsid w:val="00997ACE"/>
    <w:rsid w:val="009A0277"/>
    <w:rsid w:val="009A2940"/>
    <w:rsid w:val="009A373E"/>
    <w:rsid w:val="009A5E9D"/>
    <w:rsid w:val="009A728E"/>
    <w:rsid w:val="009A74ED"/>
    <w:rsid w:val="009B0779"/>
    <w:rsid w:val="009B1146"/>
    <w:rsid w:val="009B206E"/>
    <w:rsid w:val="009B24E0"/>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825"/>
    <w:rsid w:val="009D3DD1"/>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818"/>
    <w:rsid w:val="009F7C75"/>
    <w:rsid w:val="00A01DAE"/>
    <w:rsid w:val="00A042F1"/>
    <w:rsid w:val="00A05568"/>
    <w:rsid w:val="00A058CD"/>
    <w:rsid w:val="00A0629A"/>
    <w:rsid w:val="00A10B9C"/>
    <w:rsid w:val="00A15C91"/>
    <w:rsid w:val="00A1715B"/>
    <w:rsid w:val="00A17478"/>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0599"/>
    <w:rsid w:val="00A81702"/>
    <w:rsid w:val="00A84FC6"/>
    <w:rsid w:val="00A85DEC"/>
    <w:rsid w:val="00A86340"/>
    <w:rsid w:val="00A864EB"/>
    <w:rsid w:val="00A9044C"/>
    <w:rsid w:val="00A90951"/>
    <w:rsid w:val="00A9106B"/>
    <w:rsid w:val="00A91DE3"/>
    <w:rsid w:val="00A91F9A"/>
    <w:rsid w:val="00A93222"/>
    <w:rsid w:val="00A93BC2"/>
    <w:rsid w:val="00A94237"/>
    <w:rsid w:val="00A9432E"/>
    <w:rsid w:val="00A94DF2"/>
    <w:rsid w:val="00A95DBC"/>
    <w:rsid w:val="00A95E12"/>
    <w:rsid w:val="00A96926"/>
    <w:rsid w:val="00A97180"/>
    <w:rsid w:val="00AA0167"/>
    <w:rsid w:val="00AA14A9"/>
    <w:rsid w:val="00AA17DC"/>
    <w:rsid w:val="00AA7A18"/>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58FF"/>
    <w:rsid w:val="00AD6ACB"/>
    <w:rsid w:val="00AE05FC"/>
    <w:rsid w:val="00AE1B40"/>
    <w:rsid w:val="00AE2ED6"/>
    <w:rsid w:val="00AF039F"/>
    <w:rsid w:val="00AF199C"/>
    <w:rsid w:val="00AF4A99"/>
    <w:rsid w:val="00AF6325"/>
    <w:rsid w:val="00AF7A6A"/>
    <w:rsid w:val="00B00F7A"/>
    <w:rsid w:val="00B012D5"/>
    <w:rsid w:val="00B0332B"/>
    <w:rsid w:val="00B03BEE"/>
    <w:rsid w:val="00B077EB"/>
    <w:rsid w:val="00B11F7D"/>
    <w:rsid w:val="00B1230F"/>
    <w:rsid w:val="00B127DA"/>
    <w:rsid w:val="00B12ECD"/>
    <w:rsid w:val="00B1363A"/>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25A9"/>
    <w:rsid w:val="00B55791"/>
    <w:rsid w:val="00B63318"/>
    <w:rsid w:val="00B665B5"/>
    <w:rsid w:val="00B66DC1"/>
    <w:rsid w:val="00B67101"/>
    <w:rsid w:val="00B706D0"/>
    <w:rsid w:val="00B73A67"/>
    <w:rsid w:val="00B76B6C"/>
    <w:rsid w:val="00B76F48"/>
    <w:rsid w:val="00B8043F"/>
    <w:rsid w:val="00B810F4"/>
    <w:rsid w:val="00B8308E"/>
    <w:rsid w:val="00B844D7"/>
    <w:rsid w:val="00B85012"/>
    <w:rsid w:val="00B874DF"/>
    <w:rsid w:val="00B91124"/>
    <w:rsid w:val="00B9180C"/>
    <w:rsid w:val="00B9298C"/>
    <w:rsid w:val="00B929F6"/>
    <w:rsid w:val="00B94480"/>
    <w:rsid w:val="00B97B7B"/>
    <w:rsid w:val="00B97BD6"/>
    <w:rsid w:val="00BA18A9"/>
    <w:rsid w:val="00BA2C2D"/>
    <w:rsid w:val="00BA4F14"/>
    <w:rsid w:val="00BA7B7F"/>
    <w:rsid w:val="00BB14F8"/>
    <w:rsid w:val="00BB1D3E"/>
    <w:rsid w:val="00BB1E93"/>
    <w:rsid w:val="00BB20A2"/>
    <w:rsid w:val="00BB5269"/>
    <w:rsid w:val="00BC02D7"/>
    <w:rsid w:val="00BC058F"/>
    <w:rsid w:val="00BC18C6"/>
    <w:rsid w:val="00BC1E6A"/>
    <w:rsid w:val="00BC3D6F"/>
    <w:rsid w:val="00BC500A"/>
    <w:rsid w:val="00BC57B1"/>
    <w:rsid w:val="00BC61AC"/>
    <w:rsid w:val="00BD081F"/>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4130"/>
    <w:rsid w:val="00C2561D"/>
    <w:rsid w:val="00C300F2"/>
    <w:rsid w:val="00C31239"/>
    <w:rsid w:val="00C31EB2"/>
    <w:rsid w:val="00C320DF"/>
    <w:rsid w:val="00C329C3"/>
    <w:rsid w:val="00C34C64"/>
    <w:rsid w:val="00C35B77"/>
    <w:rsid w:val="00C35D54"/>
    <w:rsid w:val="00C408A4"/>
    <w:rsid w:val="00C4126C"/>
    <w:rsid w:val="00C42C0C"/>
    <w:rsid w:val="00C42C40"/>
    <w:rsid w:val="00C45D96"/>
    <w:rsid w:val="00C50E4E"/>
    <w:rsid w:val="00C51F3B"/>
    <w:rsid w:val="00C55889"/>
    <w:rsid w:val="00C55E95"/>
    <w:rsid w:val="00C62563"/>
    <w:rsid w:val="00C6395F"/>
    <w:rsid w:val="00C64057"/>
    <w:rsid w:val="00C642F8"/>
    <w:rsid w:val="00C649BC"/>
    <w:rsid w:val="00C66128"/>
    <w:rsid w:val="00C66BD5"/>
    <w:rsid w:val="00C66EE6"/>
    <w:rsid w:val="00C66FCB"/>
    <w:rsid w:val="00C670AB"/>
    <w:rsid w:val="00C71D3E"/>
    <w:rsid w:val="00C721C3"/>
    <w:rsid w:val="00C826A0"/>
    <w:rsid w:val="00C83068"/>
    <w:rsid w:val="00C83429"/>
    <w:rsid w:val="00C8410F"/>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B16E8"/>
    <w:rsid w:val="00CB2CE8"/>
    <w:rsid w:val="00CB364F"/>
    <w:rsid w:val="00CB372F"/>
    <w:rsid w:val="00CB394A"/>
    <w:rsid w:val="00CB4B89"/>
    <w:rsid w:val="00CB7229"/>
    <w:rsid w:val="00CC049E"/>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5521"/>
    <w:rsid w:val="00CF7F2A"/>
    <w:rsid w:val="00CF7F8F"/>
    <w:rsid w:val="00D019ED"/>
    <w:rsid w:val="00D0225D"/>
    <w:rsid w:val="00D026F7"/>
    <w:rsid w:val="00D03B6A"/>
    <w:rsid w:val="00D05149"/>
    <w:rsid w:val="00D05597"/>
    <w:rsid w:val="00D05BBB"/>
    <w:rsid w:val="00D1373D"/>
    <w:rsid w:val="00D13912"/>
    <w:rsid w:val="00D13ABF"/>
    <w:rsid w:val="00D16316"/>
    <w:rsid w:val="00D200E4"/>
    <w:rsid w:val="00D2049A"/>
    <w:rsid w:val="00D213FC"/>
    <w:rsid w:val="00D23B0F"/>
    <w:rsid w:val="00D2429A"/>
    <w:rsid w:val="00D24803"/>
    <w:rsid w:val="00D24ACD"/>
    <w:rsid w:val="00D25F92"/>
    <w:rsid w:val="00D268BA"/>
    <w:rsid w:val="00D311D4"/>
    <w:rsid w:val="00D31883"/>
    <w:rsid w:val="00D322B6"/>
    <w:rsid w:val="00D32534"/>
    <w:rsid w:val="00D32B75"/>
    <w:rsid w:val="00D32C0A"/>
    <w:rsid w:val="00D32C17"/>
    <w:rsid w:val="00D353FF"/>
    <w:rsid w:val="00D402BD"/>
    <w:rsid w:val="00D402F9"/>
    <w:rsid w:val="00D434C3"/>
    <w:rsid w:val="00D44839"/>
    <w:rsid w:val="00D47043"/>
    <w:rsid w:val="00D47915"/>
    <w:rsid w:val="00D5093A"/>
    <w:rsid w:val="00D51479"/>
    <w:rsid w:val="00D55FFA"/>
    <w:rsid w:val="00D625F8"/>
    <w:rsid w:val="00D626F2"/>
    <w:rsid w:val="00D63968"/>
    <w:rsid w:val="00D63D29"/>
    <w:rsid w:val="00D649AA"/>
    <w:rsid w:val="00D72B29"/>
    <w:rsid w:val="00D73693"/>
    <w:rsid w:val="00D74A49"/>
    <w:rsid w:val="00D74BEC"/>
    <w:rsid w:val="00D75A07"/>
    <w:rsid w:val="00D8027D"/>
    <w:rsid w:val="00D80A4D"/>
    <w:rsid w:val="00D83294"/>
    <w:rsid w:val="00D832F2"/>
    <w:rsid w:val="00D83A4D"/>
    <w:rsid w:val="00D840D8"/>
    <w:rsid w:val="00D85827"/>
    <w:rsid w:val="00D85A00"/>
    <w:rsid w:val="00D92EA4"/>
    <w:rsid w:val="00D93A13"/>
    <w:rsid w:val="00D949A2"/>
    <w:rsid w:val="00D94B21"/>
    <w:rsid w:val="00D9558F"/>
    <w:rsid w:val="00DA0B33"/>
    <w:rsid w:val="00DA1B47"/>
    <w:rsid w:val="00DA2036"/>
    <w:rsid w:val="00DA32EA"/>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D17E8"/>
    <w:rsid w:val="00DD29D3"/>
    <w:rsid w:val="00DD4B24"/>
    <w:rsid w:val="00DD5651"/>
    <w:rsid w:val="00DD6196"/>
    <w:rsid w:val="00DD6438"/>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5F5"/>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715C6"/>
    <w:rsid w:val="00E720E4"/>
    <w:rsid w:val="00E7370C"/>
    <w:rsid w:val="00E76C25"/>
    <w:rsid w:val="00E775D2"/>
    <w:rsid w:val="00E77D36"/>
    <w:rsid w:val="00E8010C"/>
    <w:rsid w:val="00E80AE9"/>
    <w:rsid w:val="00E85789"/>
    <w:rsid w:val="00E9005A"/>
    <w:rsid w:val="00E90688"/>
    <w:rsid w:val="00E91461"/>
    <w:rsid w:val="00E91AE7"/>
    <w:rsid w:val="00E91B94"/>
    <w:rsid w:val="00E93356"/>
    <w:rsid w:val="00EA0EAA"/>
    <w:rsid w:val="00EA357D"/>
    <w:rsid w:val="00EA37AB"/>
    <w:rsid w:val="00EA4736"/>
    <w:rsid w:val="00EA5AA5"/>
    <w:rsid w:val="00EA5BEE"/>
    <w:rsid w:val="00EA5D3F"/>
    <w:rsid w:val="00EA5F9E"/>
    <w:rsid w:val="00EA60CE"/>
    <w:rsid w:val="00EA62B8"/>
    <w:rsid w:val="00EA69EF"/>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455"/>
    <w:rsid w:val="00F0661F"/>
    <w:rsid w:val="00F12CBB"/>
    <w:rsid w:val="00F1355C"/>
    <w:rsid w:val="00F16306"/>
    <w:rsid w:val="00F170CD"/>
    <w:rsid w:val="00F226E8"/>
    <w:rsid w:val="00F2566F"/>
    <w:rsid w:val="00F30E51"/>
    <w:rsid w:val="00F31980"/>
    <w:rsid w:val="00F31AD0"/>
    <w:rsid w:val="00F33527"/>
    <w:rsid w:val="00F3506F"/>
    <w:rsid w:val="00F35DF7"/>
    <w:rsid w:val="00F37F36"/>
    <w:rsid w:val="00F40CBC"/>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09F4"/>
    <w:rsid w:val="00F8143A"/>
    <w:rsid w:val="00F8198B"/>
    <w:rsid w:val="00F825E8"/>
    <w:rsid w:val="00F82E38"/>
    <w:rsid w:val="00F83C52"/>
    <w:rsid w:val="00F83D25"/>
    <w:rsid w:val="00F84A1B"/>
    <w:rsid w:val="00F85561"/>
    <w:rsid w:val="00F85A41"/>
    <w:rsid w:val="00F87203"/>
    <w:rsid w:val="00F87DA7"/>
    <w:rsid w:val="00F90575"/>
    <w:rsid w:val="00F90A9D"/>
    <w:rsid w:val="00F92229"/>
    <w:rsid w:val="00F942DD"/>
    <w:rsid w:val="00F94983"/>
    <w:rsid w:val="00F95111"/>
    <w:rsid w:val="00F97C8E"/>
    <w:rsid w:val="00F97E58"/>
    <w:rsid w:val="00FA0AAD"/>
    <w:rsid w:val="00FA1DC1"/>
    <w:rsid w:val="00FA791B"/>
    <w:rsid w:val="00FB0E70"/>
    <w:rsid w:val="00FB1EB6"/>
    <w:rsid w:val="00FB1F05"/>
    <w:rsid w:val="00FB3989"/>
    <w:rsid w:val="00FB3F42"/>
    <w:rsid w:val="00FB5FF6"/>
    <w:rsid w:val="00FB67DD"/>
    <w:rsid w:val="00FB748E"/>
    <w:rsid w:val="00FC02C4"/>
    <w:rsid w:val="00FC066F"/>
    <w:rsid w:val="00FC33BC"/>
    <w:rsid w:val="00FC5B79"/>
    <w:rsid w:val="00FC7905"/>
    <w:rsid w:val="00FD0273"/>
    <w:rsid w:val="00FE15C4"/>
    <w:rsid w:val="00FE5E89"/>
    <w:rsid w:val="00FE7260"/>
    <w:rsid w:val="00FF0866"/>
    <w:rsid w:val="00FF0CA9"/>
    <w:rsid w:val="00FF724C"/>
    <w:rsid w:val="00FF7BD2"/>
    <w:rsid w:val="02512C31"/>
    <w:rsid w:val="025A4269"/>
    <w:rsid w:val="03DC1511"/>
    <w:rsid w:val="04C10944"/>
    <w:rsid w:val="050339CA"/>
    <w:rsid w:val="05DE35BA"/>
    <w:rsid w:val="07266CFB"/>
    <w:rsid w:val="085E3C98"/>
    <w:rsid w:val="08832475"/>
    <w:rsid w:val="08ED2020"/>
    <w:rsid w:val="0B397602"/>
    <w:rsid w:val="0F067548"/>
    <w:rsid w:val="12102E41"/>
    <w:rsid w:val="12B35FF5"/>
    <w:rsid w:val="12E47394"/>
    <w:rsid w:val="152D5932"/>
    <w:rsid w:val="1815533C"/>
    <w:rsid w:val="18880917"/>
    <w:rsid w:val="199B2AFF"/>
    <w:rsid w:val="1AA364A8"/>
    <w:rsid w:val="1B5351CB"/>
    <w:rsid w:val="1E5D0B28"/>
    <w:rsid w:val="1FA016CB"/>
    <w:rsid w:val="227F3CCD"/>
    <w:rsid w:val="22C246D2"/>
    <w:rsid w:val="2426282A"/>
    <w:rsid w:val="25163428"/>
    <w:rsid w:val="273D4376"/>
    <w:rsid w:val="287F5058"/>
    <w:rsid w:val="28D21782"/>
    <w:rsid w:val="2AC46E26"/>
    <w:rsid w:val="2B41692C"/>
    <w:rsid w:val="2BD913CE"/>
    <w:rsid w:val="2D0F1781"/>
    <w:rsid w:val="2D41569A"/>
    <w:rsid w:val="2E896668"/>
    <w:rsid w:val="2EB64E83"/>
    <w:rsid w:val="2FE90CDE"/>
    <w:rsid w:val="30436BF9"/>
    <w:rsid w:val="31A511A8"/>
    <w:rsid w:val="31D36C36"/>
    <w:rsid w:val="33D16D61"/>
    <w:rsid w:val="343D72FA"/>
    <w:rsid w:val="34796AF7"/>
    <w:rsid w:val="391A39CD"/>
    <w:rsid w:val="39B55329"/>
    <w:rsid w:val="3AA361ED"/>
    <w:rsid w:val="3BAE3754"/>
    <w:rsid w:val="3BB20E00"/>
    <w:rsid w:val="3CB156D0"/>
    <w:rsid w:val="3DA212CB"/>
    <w:rsid w:val="3FDD2378"/>
    <w:rsid w:val="42513537"/>
    <w:rsid w:val="42AA5D36"/>
    <w:rsid w:val="44776514"/>
    <w:rsid w:val="45F83A49"/>
    <w:rsid w:val="475F6C58"/>
    <w:rsid w:val="489E515B"/>
    <w:rsid w:val="4AE9497A"/>
    <w:rsid w:val="4B9306C8"/>
    <w:rsid w:val="4D1B0752"/>
    <w:rsid w:val="4DE70CBB"/>
    <w:rsid w:val="4EA32C98"/>
    <w:rsid w:val="4F9009A8"/>
    <w:rsid w:val="527025BC"/>
    <w:rsid w:val="54597E8D"/>
    <w:rsid w:val="551B5793"/>
    <w:rsid w:val="57AF5237"/>
    <w:rsid w:val="583E6207"/>
    <w:rsid w:val="59857DFD"/>
    <w:rsid w:val="5BF94CB2"/>
    <w:rsid w:val="5D1C7808"/>
    <w:rsid w:val="61481242"/>
    <w:rsid w:val="61CD41BD"/>
    <w:rsid w:val="61DB6BDE"/>
    <w:rsid w:val="62704EC6"/>
    <w:rsid w:val="63EB6C79"/>
    <w:rsid w:val="647C4235"/>
    <w:rsid w:val="64DD780B"/>
    <w:rsid w:val="65F17E8E"/>
    <w:rsid w:val="66CF4630"/>
    <w:rsid w:val="67BB2E75"/>
    <w:rsid w:val="6895740C"/>
    <w:rsid w:val="69921112"/>
    <w:rsid w:val="6C3C031D"/>
    <w:rsid w:val="6C567EED"/>
    <w:rsid w:val="6CC021F8"/>
    <w:rsid w:val="6CE120B6"/>
    <w:rsid w:val="6F792565"/>
    <w:rsid w:val="70745494"/>
    <w:rsid w:val="71912506"/>
    <w:rsid w:val="72374BF5"/>
    <w:rsid w:val="724E6D50"/>
    <w:rsid w:val="72E87C49"/>
    <w:rsid w:val="73774A5F"/>
    <w:rsid w:val="74016E56"/>
    <w:rsid w:val="769405AF"/>
    <w:rsid w:val="77636E56"/>
    <w:rsid w:val="78AF25D7"/>
    <w:rsid w:val="78E37038"/>
    <w:rsid w:val="798D6EE4"/>
    <w:rsid w:val="79FE0A53"/>
    <w:rsid w:val="7ADE0B35"/>
    <w:rsid w:val="7B6145BF"/>
    <w:rsid w:val="7BD01788"/>
    <w:rsid w:val="7BDD1FDC"/>
    <w:rsid w:val="7C502A7A"/>
    <w:rsid w:val="7CA83501"/>
    <w:rsid w:val="7CED360A"/>
    <w:rsid w:val="7DFBB8BB"/>
    <w:rsid w:val="7F853FCE"/>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qFormat="1" w:unhideWhenUsed="0" w:uiPriority="0" w:semiHidden="0" w:name="List Number"/>
    <w:lsdException w:qFormat="1"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6">
    <w:name w:val="heading 2"/>
    <w:basedOn w:val="1"/>
    <w:next w:val="7"/>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8">
    <w:name w:val="heading 3"/>
    <w:basedOn w:val="1"/>
    <w:next w:val="7"/>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9">
    <w:name w:val="heading 4"/>
    <w:basedOn w:val="1"/>
    <w:next w:val="7"/>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10">
    <w:name w:val="heading 5"/>
    <w:basedOn w:val="1"/>
    <w:next w:val="7"/>
    <w:link w:val="58"/>
    <w:qFormat/>
    <w:uiPriority w:val="0"/>
    <w:pPr>
      <w:keepNext/>
      <w:widowControl/>
      <w:numPr>
        <w:ilvl w:val="0"/>
        <w:numId w:val="4"/>
      </w:numPr>
      <w:jc w:val="left"/>
      <w:outlineLvl w:val="4"/>
    </w:pPr>
    <w:rPr>
      <w:kern w:val="0"/>
      <w:sz w:val="24"/>
      <w:szCs w:val="20"/>
    </w:rPr>
  </w:style>
  <w:style w:type="paragraph" w:styleId="11">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2">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3">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4">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201"/>
    <w:qFormat/>
    <w:uiPriority w:val="0"/>
    <w:pPr>
      <w:spacing w:after="120" w:line="240" w:lineRule="auto"/>
      <w:ind w:firstLine="420" w:firstLineChars="100"/>
    </w:pPr>
    <w:rPr>
      <w:rFonts w:eastAsia="宋体"/>
      <w:sz w:val="21"/>
    </w:rPr>
  </w:style>
  <w:style w:type="paragraph" w:styleId="3">
    <w:name w:val="Body Text"/>
    <w:basedOn w:val="1"/>
    <w:next w:val="4"/>
    <w:link w:val="84"/>
    <w:qFormat/>
    <w:uiPriority w:val="0"/>
    <w:pPr>
      <w:spacing w:line="360" w:lineRule="auto"/>
    </w:pPr>
    <w:rPr>
      <w:rFonts w:eastAsia="仿宋_GB2312"/>
      <w:sz w:val="28"/>
    </w:rPr>
  </w:style>
  <w:style w:type="paragraph" w:customStyle="1" w:styleId="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7">
    <w:name w:val="Normal Indent"/>
    <w:basedOn w:val="1"/>
    <w:next w:val="1"/>
    <w:link w:val="53"/>
    <w:qFormat/>
    <w:uiPriority w:val="99"/>
    <w:pPr>
      <w:ind w:firstLine="420" w:firstLineChars="200"/>
    </w:pPr>
  </w:style>
  <w:style w:type="paragraph" w:styleId="15">
    <w:name w:val="List Number 2"/>
    <w:basedOn w:val="1"/>
    <w:qFormat/>
    <w:uiPriority w:val="0"/>
    <w:pPr>
      <w:widowControl/>
      <w:tabs>
        <w:tab w:val="left" w:pos="1697"/>
      </w:tabs>
      <w:spacing w:afterLines="50"/>
      <w:ind w:left="1697" w:hanging="420"/>
      <w:jc w:val="left"/>
    </w:pPr>
    <w:rPr>
      <w:kern w:val="0"/>
      <w:sz w:val="24"/>
      <w:szCs w:val="20"/>
    </w:rPr>
  </w:style>
  <w:style w:type="paragraph" w:styleId="16">
    <w:name w:val="List Number"/>
    <w:basedOn w:val="1"/>
    <w:qFormat/>
    <w:uiPriority w:val="0"/>
    <w:pPr>
      <w:widowControl/>
      <w:tabs>
        <w:tab w:val="left" w:pos="454"/>
      </w:tabs>
      <w:spacing w:afterLines="50"/>
      <w:ind w:left="454" w:hanging="284"/>
      <w:jc w:val="left"/>
    </w:pPr>
    <w:rPr>
      <w:kern w:val="0"/>
      <w:sz w:val="24"/>
      <w:szCs w:val="20"/>
    </w:rPr>
  </w:style>
  <w:style w:type="paragraph" w:styleId="17">
    <w:name w:val="caption"/>
    <w:basedOn w:val="1"/>
    <w:next w:val="1"/>
    <w:link w:val="279"/>
    <w:qFormat/>
    <w:uiPriority w:val="0"/>
    <w:pPr>
      <w:spacing w:line="360" w:lineRule="auto"/>
      <w:jc w:val="center"/>
    </w:pPr>
    <w:rPr>
      <w:rFonts w:ascii="Calibri" w:hAnsi="Calibri"/>
      <w:sz w:val="20"/>
      <w:szCs w:val="20"/>
    </w:rPr>
  </w:style>
  <w:style w:type="paragraph" w:styleId="18">
    <w:name w:val="Document Map"/>
    <w:basedOn w:val="1"/>
    <w:link w:val="118"/>
    <w:semiHidden/>
    <w:qFormat/>
    <w:uiPriority w:val="0"/>
    <w:pPr>
      <w:shd w:val="clear" w:color="auto" w:fill="000080"/>
    </w:pPr>
  </w:style>
  <w:style w:type="paragraph" w:styleId="19">
    <w:name w:val="annotation text"/>
    <w:basedOn w:val="1"/>
    <w:link w:val="71"/>
    <w:qFormat/>
    <w:uiPriority w:val="99"/>
    <w:pPr>
      <w:jc w:val="left"/>
    </w:pPr>
  </w:style>
  <w:style w:type="paragraph" w:styleId="20">
    <w:name w:val="Body Text Indent"/>
    <w:basedOn w:val="1"/>
    <w:link w:val="65"/>
    <w:qFormat/>
    <w:uiPriority w:val="0"/>
    <w:pPr>
      <w:spacing w:after="120"/>
      <w:ind w:left="420" w:leftChars="200"/>
    </w:pPr>
  </w:style>
  <w:style w:type="paragraph" w:styleId="21">
    <w:name w:val="List Number 3"/>
    <w:basedOn w:val="1"/>
    <w:qFormat/>
    <w:uiPriority w:val="0"/>
    <w:pPr>
      <w:widowControl/>
      <w:tabs>
        <w:tab w:val="left" w:pos="482"/>
      </w:tabs>
      <w:spacing w:afterLines="50"/>
      <w:ind w:left="482" w:hanging="340"/>
      <w:jc w:val="left"/>
    </w:pPr>
    <w:rPr>
      <w:kern w:val="0"/>
      <w:sz w:val="24"/>
      <w:szCs w:val="20"/>
    </w:rPr>
  </w:style>
  <w:style w:type="paragraph" w:styleId="22">
    <w:name w:val="List 2"/>
    <w:basedOn w:val="1"/>
    <w:unhideWhenUsed/>
    <w:qFormat/>
    <w:uiPriority w:val="0"/>
    <w:pPr>
      <w:ind w:left="100" w:leftChars="200" w:hanging="200" w:hangingChars="200"/>
      <w:contextualSpacing/>
    </w:pPr>
  </w:style>
  <w:style w:type="paragraph" w:styleId="23">
    <w:name w:val="Block Text"/>
    <w:basedOn w:val="1"/>
    <w:qFormat/>
    <w:uiPriority w:val="0"/>
    <w:pPr>
      <w:spacing w:before="120" w:line="360" w:lineRule="auto"/>
      <w:ind w:left="824" w:right="202"/>
    </w:pPr>
    <w:rPr>
      <w:rFonts w:ascii="宋体" w:hAnsi="宋体"/>
      <w:sz w:val="24"/>
      <w:szCs w:val="21"/>
    </w:rPr>
  </w:style>
  <w:style w:type="paragraph" w:styleId="24">
    <w:name w:val="toc 3"/>
    <w:basedOn w:val="1"/>
    <w:next w:val="1"/>
    <w:unhideWhenUsed/>
    <w:qFormat/>
    <w:uiPriority w:val="0"/>
    <w:pPr>
      <w:ind w:left="840" w:leftChars="400"/>
    </w:pPr>
    <w:rPr>
      <w:rFonts w:ascii="Calibri" w:hAnsi="Calibri"/>
      <w:szCs w:val="22"/>
    </w:rPr>
  </w:style>
  <w:style w:type="paragraph" w:styleId="25">
    <w:name w:val="Plain Text"/>
    <w:basedOn w:val="1"/>
    <w:next w:val="1"/>
    <w:link w:val="63"/>
    <w:qFormat/>
    <w:uiPriority w:val="0"/>
    <w:rPr>
      <w:rFonts w:ascii="宋体" w:hAnsi="Courier New"/>
      <w:szCs w:val="20"/>
    </w:rPr>
  </w:style>
  <w:style w:type="paragraph" w:styleId="26">
    <w:name w:val="Date"/>
    <w:basedOn w:val="1"/>
    <w:next w:val="1"/>
    <w:link w:val="66"/>
    <w:qFormat/>
    <w:uiPriority w:val="0"/>
    <w:rPr>
      <w:rFonts w:ascii="楷体_GB2312" w:eastAsia="楷体_GB2312"/>
      <w:b/>
      <w:sz w:val="28"/>
      <w:szCs w:val="20"/>
    </w:rPr>
  </w:style>
  <w:style w:type="paragraph" w:styleId="27">
    <w:name w:val="Body Text Indent 2"/>
    <w:basedOn w:val="1"/>
    <w:link w:val="80"/>
    <w:qFormat/>
    <w:uiPriority w:val="0"/>
    <w:pPr>
      <w:spacing w:after="120" w:line="480" w:lineRule="auto"/>
      <w:ind w:left="420" w:leftChars="200"/>
    </w:pPr>
  </w:style>
  <w:style w:type="paragraph" w:styleId="28">
    <w:name w:val="Balloon Text"/>
    <w:basedOn w:val="1"/>
    <w:link w:val="197"/>
    <w:semiHidden/>
    <w:qFormat/>
    <w:uiPriority w:val="0"/>
    <w:rPr>
      <w:sz w:val="18"/>
      <w:szCs w:val="18"/>
    </w:rPr>
  </w:style>
  <w:style w:type="paragraph" w:styleId="29">
    <w:name w:val="footer"/>
    <w:basedOn w:val="1"/>
    <w:link w:val="68"/>
    <w:qFormat/>
    <w:uiPriority w:val="99"/>
    <w:pPr>
      <w:tabs>
        <w:tab w:val="center" w:pos="4153"/>
        <w:tab w:val="right" w:pos="8306"/>
      </w:tabs>
      <w:snapToGrid w:val="0"/>
      <w:jc w:val="left"/>
    </w:pPr>
    <w:rPr>
      <w:sz w:val="18"/>
      <w:szCs w:val="18"/>
    </w:rPr>
  </w:style>
  <w:style w:type="paragraph" w:styleId="30">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semiHidden/>
    <w:qFormat/>
    <w:uiPriority w:val="0"/>
  </w:style>
  <w:style w:type="paragraph" w:styleId="32">
    <w:name w:val="toc 4"/>
    <w:basedOn w:val="1"/>
    <w:next w:val="1"/>
    <w:semiHidden/>
    <w:qFormat/>
    <w:uiPriority w:val="0"/>
    <w:pPr>
      <w:tabs>
        <w:tab w:val="right" w:leader="dot" w:pos="8314"/>
      </w:tabs>
      <w:ind w:firstLine="588" w:firstLineChars="245"/>
    </w:pPr>
  </w:style>
  <w:style w:type="paragraph" w:styleId="33">
    <w:name w:val="Body Text Indent 3"/>
    <w:basedOn w:val="1"/>
    <w:link w:val="198"/>
    <w:qFormat/>
    <w:uiPriority w:val="0"/>
    <w:pPr>
      <w:spacing w:after="120"/>
      <w:ind w:left="420" w:leftChars="200"/>
    </w:pPr>
    <w:rPr>
      <w:sz w:val="16"/>
      <w:szCs w:val="16"/>
    </w:rPr>
  </w:style>
  <w:style w:type="paragraph" w:styleId="34">
    <w:name w:val="toc 2"/>
    <w:basedOn w:val="1"/>
    <w:next w:val="1"/>
    <w:semiHidden/>
    <w:qFormat/>
    <w:uiPriority w:val="0"/>
    <w:pPr>
      <w:ind w:left="420" w:leftChars="200"/>
    </w:pPr>
  </w:style>
  <w:style w:type="paragraph" w:styleId="35">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6">
    <w:name w:val="List Continue 2"/>
    <w:basedOn w:val="1"/>
    <w:qFormat/>
    <w:uiPriority w:val="0"/>
    <w:pPr>
      <w:spacing w:after="120"/>
      <w:ind w:left="840" w:leftChars="400"/>
    </w:pPr>
  </w:style>
  <w:style w:type="paragraph" w:styleId="37">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9">
    <w:name w:val="index 1"/>
    <w:basedOn w:val="1"/>
    <w:next w:val="1"/>
    <w:semiHidden/>
    <w:qFormat/>
    <w:uiPriority w:val="0"/>
    <w:pPr>
      <w:spacing w:line="320" w:lineRule="exact"/>
    </w:pPr>
    <w:rPr>
      <w:b/>
      <w:snapToGrid w:val="0"/>
      <w:color w:val="FF6600"/>
      <w:kern w:val="0"/>
      <w:sz w:val="18"/>
      <w:szCs w:val="21"/>
    </w:rPr>
  </w:style>
  <w:style w:type="paragraph" w:styleId="40">
    <w:name w:val="Title"/>
    <w:basedOn w:val="1"/>
    <w:next w:val="1"/>
    <w:link w:val="173"/>
    <w:qFormat/>
    <w:uiPriority w:val="0"/>
    <w:pPr>
      <w:adjustRightInd w:val="0"/>
      <w:spacing w:before="240" w:after="60"/>
      <w:jc w:val="center"/>
      <w:outlineLvl w:val="0"/>
    </w:pPr>
    <w:rPr>
      <w:rFonts w:ascii="Calibri Light" w:hAnsi="Calibri Light"/>
      <w:b/>
      <w:bCs/>
      <w:sz w:val="32"/>
      <w:szCs w:val="32"/>
    </w:rPr>
  </w:style>
  <w:style w:type="paragraph" w:styleId="41">
    <w:name w:val="annotation subject"/>
    <w:basedOn w:val="19"/>
    <w:next w:val="19"/>
    <w:link w:val="200"/>
    <w:semiHidden/>
    <w:qFormat/>
    <w:uiPriority w:val="0"/>
    <w:pPr>
      <w:widowControl/>
      <w:spacing w:afterLines="50"/>
    </w:pPr>
    <w:rPr>
      <w:b/>
      <w:bCs/>
      <w:kern w:val="0"/>
      <w:sz w:val="24"/>
      <w:szCs w:val="20"/>
    </w:rPr>
  </w:style>
  <w:style w:type="paragraph" w:styleId="42">
    <w:name w:val="Body Text First Indent 2"/>
    <w:basedOn w:val="20"/>
    <w:link w:val="202"/>
    <w:qFormat/>
    <w:uiPriority w:val="0"/>
    <w:pPr>
      <w:ind w:firstLine="420" w:firstLineChars="200"/>
    </w:pPr>
  </w:style>
  <w:style w:type="table" w:styleId="44">
    <w:name w:val="Table Grid"/>
    <w:basedOn w:val="43"/>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99"/>
    <w:rPr>
      <w:sz w:val="21"/>
      <w:szCs w:val="21"/>
    </w:rPr>
  </w:style>
  <w:style w:type="character" w:customStyle="1" w:styleId="52">
    <w:name w:val="标题 1 字符"/>
    <w:link w:val="5"/>
    <w:qFormat/>
    <w:uiPriority w:val="0"/>
    <w:rPr>
      <w:rFonts w:eastAsia="仿宋_GB2312"/>
      <w:b/>
      <w:kern w:val="44"/>
      <w:sz w:val="44"/>
      <w:lang w:val="en-US" w:eastAsia="zh-CN" w:bidi="ar-SA"/>
    </w:rPr>
  </w:style>
  <w:style w:type="character" w:customStyle="1" w:styleId="53">
    <w:name w:val="正文缩进 字符"/>
    <w:link w:val="7"/>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字符"/>
    <w:link w:val="6"/>
    <w:qFormat/>
    <w:uiPriority w:val="0"/>
    <w:rPr>
      <w:rFonts w:ascii="Arial" w:hAnsi="Arial" w:eastAsia="黑体"/>
      <w:b/>
      <w:kern w:val="2"/>
      <w:sz w:val="32"/>
      <w:lang w:val="en-US" w:eastAsia="zh-CN" w:bidi="ar-SA"/>
    </w:rPr>
  </w:style>
  <w:style w:type="character" w:customStyle="1" w:styleId="56">
    <w:name w:val="标题 3 字符"/>
    <w:link w:val="8"/>
    <w:qFormat/>
    <w:uiPriority w:val="0"/>
    <w:rPr>
      <w:rFonts w:eastAsia="仿宋_GB2312"/>
      <w:b/>
      <w:kern w:val="2"/>
      <w:sz w:val="32"/>
      <w:lang w:val="en-US" w:eastAsia="zh-CN" w:bidi="ar-SA"/>
    </w:rPr>
  </w:style>
  <w:style w:type="character" w:customStyle="1" w:styleId="57">
    <w:name w:val="标题 4 字符"/>
    <w:link w:val="9"/>
    <w:qFormat/>
    <w:uiPriority w:val="0"/>
    <w:rPr>
      <w:rFonts w:ascii="Arial" w:hAnsi="Arial" w:eastAsia="黑体"/>
      <w:b/>
      <w:kern w:val="2"/>
      <w:sz w:val="28"/>
      <w:lang w:val="en-US" w:eastAsia="zh-CN" w:bidi="ar-SA"/>
    </w:rPr>
  </w:style>
  <w:style w:type="character" w:customStyle="1" w:styleId="58">
    <w:name w:val="标题 5 字符"/>
    <w:link w:val="10"/>
    <w:qFormat/>
    <w:uiPriority w:val="0"/>
    <w:rPr>
      <w:rFonts w:eastAsia="宋体"/>
      <w:sz w:val="24"/>
      <w:lang w:val="en-US" w:eastAsia="zh-CN" w:bidi="ar-SA"/>
    </w:rPr>
  </w:style>
  <w:style w:type="character" w:customStyle="1" w:styleId="59">
    <w:name w:val="标题 6 字符"/>
    <w:link w:val="11"/>
    <w:qFormat/>
    <w:uiPriority w:val="0"/>
    <w:rPr>
      <w:rFonts w:ascii="宋体" w:hAnsi="Arial" w:eastAsia="宋体"/>
      <w:sz w:val="24"/>
      <w:lang w:val="en-US" w:eastAsia="zh-CN" w:bidi="ar-SA"/>
    </w:rPr>
  </w:style>
  <w:style w:type="character" w:customStyle="1" w:styleId="60">
    <w:name w:val="标题 7 字符"/>
    <w:link w:val="12"/>
    <w:qFormat/>
    <w:uiPriority w:val="0"/>
    <w:rPr>
      <w:rFonts w:ascii="宋体" w:hAnsi="Arial" w:eastAsia="宋体"/>
      <w:b/>
      <w:sz w:val="24"/>
      <w:lang w:val="en-US" w:eastAsia="zh-CN" w:bidi="ar-SA"/>
    </w:rPr>
  </w:style>
  <w:style w:type="character" w:customStyle="1" w:styleId="61">
    <w:name w:val="标题 8 字符"/>
    <w:link w:val="13"/>
    <w:qFormat/>
    <w:uiPriority w:val="0"/>
    <w:rPr>
      <w:rFonts w:ascii="Arial" w:hAnsi="Arial" w:eastAsia="黑体"/>
      <w:sz w:val="24"/>
      <w:lang w:val="en-US" w:eastAsia="zh-CN" w:bidi="ar-SA"/>
    </w:rPr>
  </w:style>
  <w:style w:type="character" w:customStyle="1" w:styleId="62">
    <w:name w:val="标题 9 字符"/>
    <w:link w:val="14"/>
    <w:qFormat/>
    <w:uiPriority w:val="0"/>
    <w:rPr>
      <w:rFonts w:ascii="Arial" w:hAnsi="Arial" w:eastAsia="黑体"/>
      <w:sz w:val="24"/>
      <w:lang w:val="en-US" w:eastAsia="zh-CN" w:bidi="ar-SA"/>
    </w:rPr>
  </w:style>
  <w:style w:type="character" w:customStyle="1" w:styleId="63">
    <w:name w:val="纯文本 字符"/>
    <w:link w:val="25"/>
    <w:qFormat/>
    <w:uiPriority w:val="0"/>
    <w:rPr>
      <w:rFonts w:ascii="宋体" w:hAnsi="Courier New" w:eastAsia="宋体"/>
      <w:kern w:val="2"/>
      <w:sz w:val="21"/>
      <w:lang w:val="en-US" w:eastAsia="zh-CN" w:bidi="ar-SA"/>
    </w:rPr>
  </w:style>
  <w:style w:type="paragraph" w:customStyle="1" w:styleId="64">
    <w:name w:val="表正文"/>
    <w:basedOn w:val="1"/>
    <w:next w:val="25"/>
    <w:qFormat/>
    <w:uiPriority w:val="0"/>
    <w:rPr>
      <w:rFonts w:ascii="宋体" w:hAnsi="Courier New"/>
      <w:szCs w:val="20"/>
    </w:rPr>
  </w:style>
  <w:style w:type="character" w:customStyle="1" w:styleId="65">
    <w:name w:val="正文文本缩进 字符"/>
    <w:link w:val="20"/>
    <w:qFormat/>
    <w:uiPriority w:val="0"/>
    <w:rPr>
      <w:rFonts w:eastAsia="宋体"/>
      <w:kern w:val="2"/>
      <w:sz w:val="21"/>
      <w:szCs w:val="24"/>
      <w:lang w:val="en-US" w:eastAsia="zh-CN" w:bidi="ar-SA"/>
    </w:rPr>
  </w:style>
  <w:style w:type="character" w:customStyle="1" w:styleId="66">
    <w:name w:val="日期 字符"/>
    <w:link w:val="26"/>
    <w:qFormat/>
    <w:uiPriority w:val="0"/>
    <w:rPr>
      <w:rFonts w:ascii="楷体_GB2312" w:eastAsia="楷体_GB2312"/>
      <w:b/>
      <w:kern w:val="2"/>
      <w:sz w:val="28"/>
      <w:lang w:val="en-US" w:eastAsia="zh-CN" w:bidi="ar-SA"/>
    </w:rPr>
  </w:style>
  <w:style w:type="character" w:customStyle="1" w:styleId="67">
    <w:name w:val="页眉 字符"/>
    <w:link w:val="30"/>
    <w:qFormat/>
    <w:uiPriority w:val="0"/>
    <w:rPr>
      <w:rFonts w:eastAsia="宋体"/>
      <w:kern w:val="2"/>
      <w:sz w:val="18"/>
      <w:szCs w:val="18"/>
      <w:lang w:val="en-US" w:eastAsia="zh-CN" w:bidi="ar-SA"/>
    </w:rPr>
  </w:style>
  <w:style w:type="character" w:customStyle="1" w:styleId="68">
    <w:name w:val="页脚 字符"/>
    <w:link w:val="29"/>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字符"/>
    <w:link w:val="19"/>
    <w:qFormat/>
    <w:uiPriority w:val="99"/>
    <w:rPr>
      <w:rFonts w:eastAsia="宋体"/>
      <w:kern w:val="2"/>
      <w:sz w:val="21"/>
      <w:szCs w:val="24"/>
      <w:lang w:val="en-US" w:eastAsia="zh-CN" w:bidi="ar-SA"/>
    </w:rPr>
  </w:style>
  <w:style w:type="character" w:customStyle="1" w:styleId="72">
    <w:name w:val="正文文本 2 字符"/>
    <w:link w:val="35"/>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20"/>
    <w:qFormat/>
    <w:uiPriority w:val="0"/>
    <w:pPr>
      <w:spacing w:beforeLines="50" w:after="10" w:line="360" w:lineRule="auto"/>
      <w:ind w:left="0" w:leftChars="0" w:firstLine="175" w:firstLineChars="175"/>
      <w:jc w:val="left"/>
    </w:pPr>
    <w:rPr>
      <w:sz w:val="24"/>
    </w:rPr>
  </w:style>
  <w:style w:type="character" w:customStyle="1" w:styleId="80">
    <w:name w:val="正文文本缩进 2 字符"/>
    <w:link w:val="27"/>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字符"/>
    <w:link w:val="3"/>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5"/>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5"/>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自定义正文"/>
    <w:basedOn w:val="1"/>
    <w:link w:val="113"/>
    <w:qFormat/>
    <w:uiPriority w:val="0"/>
    <w:pPr>
      <w:spacing w:line="480" w:lineRule="exact"/>
      <w:ind w:firstLine="200" w:firstLineChars="200"/>
      <w:jc w:val="left"/>
    </w:pPr>
    <w:rPr>
      <w:rFonts w:ascii="仿宋_GB2312" w:eastAsia="仿宋_GB2312"/>
      <w:sz w:val="28"/>
    </w:rPr>
  </w:style>
  <w:style w:type="character" w:customStyle="1" w:styleId="113">
    <w:name w:val="自定义正文 Char"/>
    <w:link w:val="112"/>
    <w:qFormat/>
    <w:uiPriority w:val="0"/>
    <w:rPr>
      <w:rFonts w:ascii="仿宋_GB2312" w:eastAsia="仿宋_GB2312"/>
      <w:kern w:val="2"/>
      <w:sz w:val="28"/>
      <w:szCs w:val="24"/>
      <w:lang w:val="en-US" w:eastAsia="zh-CN" w:bidi="ar-SA"/>
    </w:rPr>
  </w:style>
  <w:style w:type="paragraph" w:customStyle="1" w:styleId="11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5">
    <w:name w:val="自定义表格文字"/>
    <w:basedOn w:val="1"/>
    <w:qFormat/>
    <w:uiPriority w:val="0"/>
    <w:pPr>
      <w:spacing w:before="60" w:after="60" w:line="320" w:lineRule="exact"/>
      <w:jc w:val="left"/>
    </w:pPr>
    <w:rPr>
      <w:rFonts w:ascii="宋体" w:eastAsia="楷体_GB2312"/>
    </w:rPr>
  </w:style>
  <w:style w:type="paragraph" w:customStyle="1" w:styleId="11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8">
    <w:name w:val="文档结构图 字符"/>
    <w:link w:val="18"/>
    <w:semiHidden/>
    <w:qFormat/>
    <w:uiPriority w:val="0"/>
    <w:rPr>
      <w:rFonts w:eastAsia="宋体"/>
      <w:kern w:val="2"/>
      <w:sz w:val="21"/>
      <w:szCs w:val="24"/>
      <w:lang w:val="en-US" w:eastAsia="zh-CN" w:bidi="ar-SA"/>
    </w:rPr>
  </w:style>
  <w:style w:type="character" w:customStyle="1" w:styleId="119">
    <w:name w:val="Char Char12"/>
    <w:qFormat/>
    <w:uiPriority w:val="0"/>
    <w:rPr>
      <w:rFonts w:ascii="宋体" w:hAnsi="Courier New" w:eastAsia="宋体"/>
      <w:kern w:val="2"/>
      <w:sz w:val="21"/>
      <w:lang w:val="en-US" w:eastAsia="zh-CN" w:bidi="ar-SA"/>
    </w:rPr>
  </w:style>
  <w:style w:type="character" w:customStyle="1" w:styleId="120">
    <w:name w:val="H4 Char"/>
    <w:qFormat/>
    <w:uiPriority w:val="0"/>
    <w:rPr>
      <w:rFonts w:ascii="宋体" w:hAnsi="宋体" w:eastAsia="黑体"/>
      <w:b/>
      <w:bCs/>
      <w:color w:val="000000"/>
      <w:spacing w:val="-4"/>
      <w:kern w:val="2"/>
      <w:sz w:val="24"/>
      <w:szCs w:val="30"/>
      <w:lang w:val="en-US" w:eastAsia="zh-CN" w:bidi="ar-SA"/>
    </w:rPr>
  </w:style>
  <w:style w:type="character" w:customStyle="1" w:styleId="121">
    <w:name w:val="H5 Char"/>
    <w:qFormat/>
    <w:uiPriority w:val="0"/>
    <w:rPr>
      <w:rFonts w:ascii="Arial" w:hAnsi="Arial" w:eastAsia="宋体"/>
      <w:sz w:val="24"/>
      <w:lang w:val="en-US" w:eastAsia="zh-CN" w:bidi="ar-SA"/>
    </w:rPr>
  </w:style>
  <w:style w:type="character" w:customStyle="1" w:styleId="122">
    <w:name w:val="Char Char8"/>
    <w:qFormat/>
    <w:uiPriority w:val="0"/>
    <w:rPr>
      <w:rFonts w:ascii="宋体" w:eastAsia="宋体"/>
      <w:kern w:val="2"/>
      <w:sz w:val="28"/>
      <w:lang w:val="en-US" w:eastAsia="zh-CN" w:bidi="ar-SA"/>
    </w:rPr>
  </w:style>
  <w:style w:type="character" w:customStyle="1" w:styleId="123">
    <w:name w:val="Char Char7"/>
    <w:qFormat/>
    <w:uiPriority w:val="0"/>
    <w:rPr>
      <w:rFonts w:eastAsia="仿宋_GB2312"/>
      <w:kern w:val="2"/>
      <w:sz w:val="24"/>
      <w:szCs w:val="24"/>
      <w:lang w:val="en-US" w:eastAsia="zh-CN" w:bidi="ar-SA"/>
    </w:rPr>
  </w:style>
  <w:style w:type="paragraph" w:customStyle="1" w:styleId="124">
    <w:name w:val="表内文字"/>
    <w:basedOn w:val="1"/>
    <w:qFormat/>
    <w:uiPriority w:val="0"/>
    <w:pPr>
      <w:jc w:val="center"/>
    </w:pPr>
    <w:rPr>
      <w:color w:val="FF0000"/>
      <w:kern w:val="0"/>
      <w:sz w:val="24"/>
    </w:rPr>
  </w:style>
  <w:style w:type="character" w:customStyle="1" w:styleId="125">
    <w:name w:val="Char Char3"/>
    <w:qFormat/>
    <w:uiPriority w:val="0"/>
    <w:rPr>
      <w:rFonts w:eastAsia="仿宋_GB2312"/>
      <w:kern w:val="2"/>
      <w:sz w:val="28"/>
      <w:szCs w:val="24"/>
      <w:lang w:val="en-US" w:eastAsia="zh-CN" w:bidi="ar-SA"/>
    </w:rPr>
  </w:style>
  <w:style w:type="paragraph" w:customStyle="1" w:styleId="12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0">
    <w:name w:val="项目1"/>
    <w:basedOn w:val="1"/>
    <w:qFormat/>
    <w:uiPriority w:val="0"/>
    <w:pPr>
      <w:tabs>
        <w:tab w:val="left" w:pos="840"/>
      </w:tabs>
      <w:spacing w:after="60"/>
      <w:ind w:left="840" w:hanging="420"/>
    </w:pPr>
    <w:rPr>
      <w:rFonts w:ascii="宋体"/>
      <w:spacing w:val="4"/>
      <w:szCs w:val="20"/>
    </w:rPr>
  </w:style>
  <w:style w:type="paragraph" w:customStyle="1" w:styleId="131">
    <w:name w:val="编10号"/>
    <w:basedOn w:val="1"/>
    <w:qFormat/>
    <w:uiPriority w:val="0"/>
    <w:pPr>
      <w:tabs>
        <w:tab w:val="left" w:pos="1620"/>
      </w:tabs>
      <w:ind w:left="1620" w:hanging="360"/>
    </w:pPr>
  </w:style>
  <w:style w:type="paragraph" w:customStyle="1" w:styleId="132">
    <w:name w:val="段"/>
    <w:basedOn w:val="1"/>
    <w:qFormat/>
    <w:uiPriority w:val="0"/>
    <w:pPr>
      <w:ind w:firstLine="425"/>
    </w:pPr>
    <w:rPr>
      <w:rFonts w:ascii="宋体"/>
      <w:szCs w:val="20"/>
    </w:rPr>
  </w:style>
  <w:style w:type="paragraph" w:customStyle="1" w:styleId="133">
    <w:name w:val="Char Char Char Char"/>
    <w:basedOn w:val="1"/>
    <w:qFormat/>
    <w:uiPriority w:val="0"/>
    <w:pPr>
      <w:widowControl/>
      <w:spacing w:after="160" w:line="240" w:lineRule="exact"/>
      <w:jc w:val="left"/>
    </w:pPr>
    <w:rPr>
      <w:kern w:val="0"/>
      <w:sz w:val="24"/>
    </w:rPr>
  </w:style>
  <w:style w:type="paragraph" w:customStyle="1" w:styleId="13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5">
    <w:name w:val="bulletintext1"/>
    <w:qFormat/>
    <w:uiPriority w:val="0"/>
    <w:rPr>
      <w:rFonts w:hint="eastAsia" w:ascii="宋体" w:hAnsi="宋体" w:eastAsia="宋体"/>
      <w:sz w:val="18"/>
      <w:szCs w:val="18"/>
    </w:rPr>
  </w:style>
  <w:style w:type="paragraph" w:customStyle="1" w:styleId="136">
    <w:name w:val="Char1 Char Char Char Char Char Char"/>
    <w:basedOn w:val="1"/>
    <w:qFormat/>
    <w:uiPriority w:val="0"/>
    <w:rPr>
      <w:rFonts w:ascii="Tahoma" w:hAnsi="Tahoma"/>
      <w:sz w:val="24"/>
      <w:szCs w:val="20"/>
    </w:rPr>
  </w:style>
  <w:style w:type="paragraph" w:customStyle="1" w:styleId="137">
    <w:name w:val="Char Char2 Char Char Char Char"/>
    <w:basedOn w:val="18"/>
    <w:qFormat/>
    <w:uiPriority w:val="0"/>
    <w:rPr>
      <w:rFonts w:ascii="Tahoma" w:hAnsi="Tahoma"/>
      <w:sz w:val="24"/>
    </w:rPr>
  </w:style>
  <w:style w:type="paragraph" w:customStyle="1" w:styleId="138">
    <w:name w:val="Char Char Char"/>
    <w:basedOn w:val="18"/>
    <w:qFormat/>
    <w:uiPriority w:val="0"/>
    <w:rPr>
      <w:rFonts w:ascii="Tahoma" w:hAnsi="Tahoma"/>
      <w:sz w:val="24"/>
    </w:rPr>
  </w:style>
  <w:style w:type="paragraph" w:customStyle="1" w:styleId="139">
    <w:name w:val="正文缩进 New"/>
    <w:basedOn w:val="1"/>
    <w:qFormat/>
    <w:uiPriority w:val="0"/>
    <w:pPr>
      <w:ind w:firstLine="420" w:firstLineChars="200"/>
    </w:pPr>
    <w:rPr>
      <w:szCs w:val="20"/>
    </w:rPr>
  </w:style>
  <w:style w:type="paragraph" w:customStyle="1" w:styleId="14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1">
    <w:name w:val="tpc_content1"/>
    <w:qFormat/>
    <w:uiPriority w:val="0"/>
    <w:rPr>
      <w:sz w:val="20"/>
      <w:szCs w:val="20"/>
    </w:rPr>
  </w:style>
  <w:style w:type="character" w:customStyle="1" w:styleId="142">
    <w:name w:val="Char Char11"/>
    <w:qFormat/>
    <w:uiPriority w:val="0"/>
    <w:rPr>
      <w:b/>
      <w:kern w:val="44"/>
      <w:sz w:val="44"/>
    </w:rPr>
  </w:style>
  <w:style w:type="character" w:customStyle="1" w:styleId="143">
    <w:name w:val="Char Char10"/>
    <w:qFormat/>
    <w:uiPriority w:val="0"/>
    <w:rPr>
      <w:b/>
      <w:kern w:val="2"/>
      <w:sz w:val="28"/>
      <w:szCs w:val="28"/>
    </w:rPr>
  </w:style>
  <w:style w:type="character" w:customStyle="1" w:styleId="144">
    <w:name w:val="Char Char9"/>
    <w:qFormat/>
    <w:uiPriority w:val="0"/>
    <w:rPr>
      <w:b/>
      <w:kern w:val="2"/>
      <w:sz w:val="24"/>
      <w:szCs w:val="24"/>
    </w:rPr>
  </w:style>
  <w:style w:type="paragraph" w:customStyle="1" w:styleId="145">
    <w:name w:val="Char Char Char 字元 字元"/>
    <w:basedOn w:val="1"/>
    <w:qFormat/>
    <w:uiPriority w:val="0"/>
    <w:pPr>
      <w:spacing w:line="360" w:lineRule="auto"/>
      <w:ind w:firstLine="200" w:firstLineChars="200"/>
    </w:pPr>
    <w:rPr>
      <w:szCs w:val="20"/>
    </w:rPr>
  </w:style>
  <w:style w:type="paragraph" w:customStyle="1" w:styleId="14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8">
    <w:name w:val="style11"/>
    <w:qFormat/>
    <w:uiPriority w:val="0"/>
    <w:rPr>
      <w:b/>
      <w:bCs/>
      <w:color w:val="FF0000"/>
    </w:rPr>
  </w:style>
  <w:style w:type="character" w:customStyle="1" w:styleId="149">
    <w:name w:val="info"/>
    <w:basedOn w:val="45"/>
    <w:qFormat/>
    <w:uiPriority w:val="0"/>
  </w:style>
  <w:style w:type="paragraph" w:customStyle="1" w:styleId="150">
    <w:name w:val="样式 正文缩进 + 首行缩进:  2 字符"/>
    <w:basedOn w:val="7"/>
    <w:link w:val="151"/>
    <w:qFormat/>
    <w:uiPriority w:val="0"/>
    <w:pPr>
      <w:spacing w:line="360" w:lineRule="auto"/>
      <w:ind w:firstLine="480"/>
    </w:pPr>
    <w:rPr>
      <w:rFonts w:ascii="宋体" w:hAnsi="宋体"/>
      <w:color w:val="000000"/>
      <w:kern w:val="0"/>
      <w:sz w:val="24"/>
      <w:szCs w:val="20"/>
    </w:rPr>
  </w:style>
  <w:style w:type="character" w:customStyle="1" w:styleId="151">
    <w:name w:val="样式 正文缩进 + 首行缩进:  2 字符 Char"/>
    <w:link w:val="150"/>
    <w:qFormat/>
    <w:locked/>
    <w:uiPriority w:val="0"/>
    <w:rPr>
      <w:rFonts w:ascii="宋体" w:hAnsi="宋体" w:eastAsia="宋体"/>
      <w:color w:val="000000"/>
      <w:sz w:val="24"/>
      <w:lang w:bidi="ar-SA"/>
    </w:rPr>
  </w:style>
  <w:style w:type="paragraph" w:customStyle="1" w:styleId="152">
    <w:name w:val="正文2"/>
    <w:basedOn w:val="1"/>
    <w:link w:val="153"/>
    <w:qFormat/>
    <w:uiPriority w:val="0"/>
    <w:pPr>
      <w:spacing w:before="156" w:line="360" w:lineRule="auto"/>
      <w:ind w:firstLine="510" w:firstLineChars="200"/>
    </w:pPr>
    <w:rPr>
      <w:sz w:val="24"/>
      <w:szCs w:val="20"/>
    </w:rPr>
  </w:style>
  <w:style w:type="character" w:customStyle="1" w:styleId="153">
    <w:name w:val="正文2 Char"/>
    <w:link w:val="152"/>
    <w:qFormat/>
    <w:uiPriority w:val="0"/>
    <w:rPr>
      <w:rFonts w:eastAsia="宋体"/>
      <w:kern w:val="2"/>
      <w:sz w:val="24"/>
      <w:lang w:val="en-US" w:eastAsia="zh-CN" w:bidi="ar-SA"/>
    </w:rPr>
  </w:style>
  <w:style w:type="paragraph" w:customStyle="1" w:styleId="154">
    <w:name w:val="p0"/>
    <w:basedOn w:val="1"/>
    <w:qFormat/>
    <w:uiPriority w:val="0"/>
    <w:pPr>
      <w:widowControl/>
    </w:pPr>
    <w:rPr>
      <w:kern w:val="0"/>
      <w:szCs w:val="21"/>
    </w:rPr>
  </w:style>
  <w:style w:type="character" w:customStyle="1" w:styleId="155">
    <w:name w:val="param-name"/>
    <w:basedOn w:val="45"/>
    <w:qFormat/>
    <w:uiPriority w:val="0"/>
  </w:style>
  <w:style w:type="character" w:customStyle="1" w:styleId="156">
    <w:name w:val="日期 Char"/>
    <w:qFormat/>
    <w:uiPriority w:val="0"/>
    <w:rPr>
      <w:rFonts w:ascii="楷体_GB2312" w:eastAsia="楷体_GB2312"/>
      <w:b/>
      <w:kern w:val="2"/>
      <w:sz w:val="28"/>
      <w:lang w:val="en-US" w:eastAsia="zh-CN" w:bidi="ar-SA"/>
    </w:rPr>
  </w:style>
  <w:style w:type="character" w:customStyle="1" w:styleId="157">
    <w:name w:val="标题 4 Char"/>
    <w:qFormat/>
    <w:uiPriority w:val="0"/>
    <w:rPr>
      <w:rFonts w:ascii="Arial" w:hAnsi="Arial" w:eastAsia="黑体"/>
      <w:b/>
      <w:kern w:val="2"/>
      <w:sz w:val="28"/>
      <w:lang w:val="en-US" w:eastAsia="zh-CN" w:bidi="ar-SA"/>
    </w:rPr>
  </w:style>
  <w:style w:type="character" w:customStyle="1" w:styleId="158">
    <w:name w:val="标题 6 Char"/>
    <w:qFormat/>
    <w:uiPriority w:val="0"/>
    <w:rPr>
      <w:rFonts w:ascii="宋体" w:hAnsi="Arial" w:eastAsia="宋体"/>
      <w:sz w:val="24"/>
      <w:lang w:val="en-US" w:eastAsia="zh-CN" w:bidi="ar-SA"/>
    </w:rPr>
  </w:style>
  <w:style w:type="character" w:customStyle="1" w:styleId="159">
    <w:name w:val="标题 8 Char"/>
    <w:qFormat/>
    <w:uiPriority w:val="0"/>
    <w:rPr>
      <w:rFonts w:ascii="Arial" w:hAnsi="Arial" w:eastAsia="黑体"/>
      <w:sz w:val="24"/>
      <w:lang w:val="en-US" w:eastAsia="zh-CN" w:bidi="ar-SA"/>
    </w:rPr>
  </w:style>
  <w:style w:type="character" w:customStyle="1" w:styleId="160">
    <w:name w:val="标题 9 Char"/>
    <w:qFormat/>
    <w:uiPriority w:val="0"/>
    <w:rPr>
      <w:rFonts w:ascii="Arial" w:hAnsi="Arial" w:eastAsia="黑体"/>
      <w:sz w:val="24"/>
      <w:lang w:val="en-US" w:eastAsia="zh-CN" w:bidi="ar-SA"/>
    </w:rPr>
  </w:style>
  <w:style w:type="character" w:customStyle="1" w:styleId="161">
    <w:name w:val="标题 5 Char"/>
    <w:qFormat/>
    <w:uiPriority w:val="0"/>
    <w:rPr>
      <w:rFonts w:eastAsia="宋体"/>
      <w:sz w:val="24"/>
      <w:lang w:val="en-US" w:eastAsia="zh-CN" w:bidi="ar-SA"/>
    </w:rPr>
  </w:style>
  <w:style w:type="character" w:customStyle="1" w:styleId="162">
    <w:name w:val="正文文本 Char"/>
    <w:qFormat/>
    <w:locked/>
    <w:uiPriority w:val="0"/>
    <w:rPr>
      <w:rFonts w:eastAsia="仿宋_GB2312"/>
      <w:kern w:val="2"/>
      <w:sz w:val="28"/>
      <w:szCs w:val="24"/>
      <w:lang w:val="en-US" w:eastAsia="zh-CN" w:bidi="ar-SA"/>
    </w:rPr>
  </w:style>
  <w:style w:type="character" w:customStyle="1" w:styleId="163">
    <w:name w:val="正文文本缩进 2 Char"/>
    <w:qFormat/>
    <w:locked/>
    <w:uiPriority w:val="0"/>
    <w:rPr>
      <w:rFonts w:eastAsia="宋体"/>
      <w:kern w:val="2"/>
      <w:sz w:val="21"/>
      <w:szCs w:val="24"/>
      <w:lang w:val="en-US" w:eastAsia="zh-CN" w:bidi="ar-SA"/>
    </w:rPr>
  </w:style>
  <w:style w:type="character" w:customStyle="1" w:styleId="164">
    <w:name w:val="正文文本 2 Char"/>
    <w:qFormat/>
    <w:uiPriority w:val="0"/>
    <w:rPr>
      <w:rFonts w:ascii="隶书" w:eastAsia="隶书"/>
      <w:bCs/>
      <w:sz w:val="72"/>
      <w:szCs w:val="84"/>
      <w:lang w:val="en-US" w:eastAsia="zh-CN" w:bidi="ar-SA"/>
    </w:rPr>
  </w:style>
  <w:style w:type="character" w:customStyle="1" w:styleId="165">
    <w:name w:val="标题 7 Char"/>
    <w:qFormat/>
    <w:uiPriority w:val="0"/>
    <w:rPr>
      <w:rFonts w:ascii="宋体" w:hAnsi="Arial" w:eastAsia="宋体"/>
      <w:b/>
      <w:sz w:val="24"/>
      <w:lang w:val="en-US" w:eastAsia="zh-CN" w:bidi="ar-SA"/>
    </w:rPr>
  </w:style>
  <w:style w:type="character" w:customStyle="1" w:styleId="166">
    <w:name w:val="页眉 Char"/>
    <w:qFormat/>
    <w:uiPriority w:val="0"/>
    <w:rPr>
      <w:rFonts w:eastAsia="宋体"/>
      <w:kern w:val="2"/>
      <w:sz w:val="18"/>
      <w:szCs w:val="18"/>
      <w:lang w:val="en-US" w:eastAsia="zh-CN" w:bidi="ar-SA"/>
    </w:rPr>
  </w:style>
  <w:style w:type="character" w:customStyle="1" w:styleId="167">
    <w:name w:val="批注文字 Char"/>
    <w:qFormat/>
    <w:uiPriority w:val="99"/>
    <w:rPr>
      <w:rFonts w:eastAsia="宋体"/>
      <w:kern w:val="2"/>
      <w:sz w:val="21"/>
      <w:szCs w:val="24"/>
      <w:lang w:val="en-US" w:eastAsia="zh-CN" w:bidi="ar-SA"/>
    </w:rPr>
  </w:style>
  <w:style w:type="character" w:customStyle="1" w:styleId="168">
    <w:name w:val="汇视源正文 Char"/>
    <w:link w:val="169"/>
    <w:qFormat/>
    <w:uiPriority w:val="0"/>
    <w:rPr>
      <w:rFonts w:cs="宋体"/>
      <w:kern w:val="2"/>
      <w:sz w:val="24"/>
      <w:lang w:val="en-US" w:eastAsia="zh-CN" w:bidi="ar-SA"/>
    </w:rPr>
  </w:style>
  <w:style w:type="paragraph" w:customStyle="1" w:styleId="169">
    <w:name w:val="汇视源正文"/>
    <w:link w:val="16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0">
    <w:name w:val="样式 列表编号 + 段后: 0.5 行"/>
    <w:basedOn w:val="16"/>
    <w:qFormat/>
    <w:uiPriority w:val="0"/>
    <w:pPr>
      <w:tabs>
        <w:tab w:val="left" w:pos="840"/>
      </w:tabs>
      <w:spacing w:afterLines="0"/>
      <w:ind w:left="425" w:hanging="425"/>
    </w:pPr>
    <w:rPr>
      <w:rFonts w:cs="宋体"/>
    </w:rPr>
  </w:style>
  <w:style w:type="paragraph" w:customStyle="1" w:styleId="17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2">
    <w:name w:val="TOC 标题1"/>
    <w:basedOn w:val="5"/>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3">
    <w:name w:val="标题 字符"/>
    <w:link w:val="40"/>
    <w:qFormat/>
    <w:locked/>
    <w:uiPriority w:val="0"/>
    <w:rPr>
      <w:rFonts w:ascii="Calibri Light" w:hAnsi="Calibri Light" w:eastAsia="宋体"/>
      <w:b/>
      <w:bCs/>
      <w:kern w:val="2"/>
      <w:sz w:val="32"/>
      <w:szCs w:val="32"/>
      <w:lang w:val="en-US" w:eastAsia="zh-CN" w:bidi="ar-SA"/>
    </w:rPr>
  </w:style>
  <w:style w:type="character" w:customStyle="1" w:styleId="174">
    <w:name w:val="Date Char"/>
    <w:qFormat/>
    <w:locked/>
    <w:uiPriority w:val="0"/>
    <w:rPr>
      <w:rFonts w:ascii="宋体"/>
      <w:sz w:val="21"/>
      <w:lang w:val="zh-CN"/>
    </w:rPr>
  </w:style>
  <w:style w:type="character" w:customStyle="1" w:styleId="175">
    <w:name w:val="Normal Indent Char"/>
    <w:qFormat/>
    <w:locked/>
    <w:uiPriority w:val="0"/>
    <w:rPr>
      <w:rFonts w:ascii="宋体" w:eastAsia="宋体"/>
      <w:snapToGrid w:val="0"/>
      <w:color w:val="000000"/>
      <w:kern w:val="28"/>
      <w:sz w:val="28"/>
    </w:rPr>
  </w:style>
  <w:style w:type="character" w:customStyle="1" w:styleId="176">
    <w:name w:val="Plain Text Char"/>
    <w:qFormat/>
    <w:locked/>
    <w:uiPriority w:val="0"/>
    <w:rPr>
      <w:rFonts w:ascii="宋体" w:hAnsi="Courier New" w:eastAsia="宋体"/>
      <w:snapToGrid w:val="0"/>
      <w:sz w:val="21"/>
    </w:rPr>
  </w:style>
  <w:style w:type="character" w:customStyle="1" w:styleId="177">
    <w:name w:val="日期 Char1"/>
    <w:qFormat/>
    <w:uiPriority w:val="0"/>
    <w:rPr>
      <w:rFonts w:ascii="Times New Roman" w:hAnsi="Times New Roman" w:eastAsia="宋体" w:cs="Times New Roman"/>
      <w:sz w:val="24"/>
      <w:szCs w:val="24"/>
    </w:rPr>
  </w:style>
  <w:style w:type="character" w:customStyle="1" w:styleId="178">
    <w:name w:val="纯文本 Char1"/>
    <w:link w:val="179"/>
    <w:qFormat/>
    <w:uiPriority w:val="0"/>
    <w:rPr>
      <w:rFonts w:ascii="宋体" w:hAnsi="Courier New" w:eastAsia="宋体" w:cs="Courier New"/>
      <w:sz w:val="21"/>
      <w:szCs w:val="21"/>
    </w:rPr>
  </w:style>
  <w:style w:type="paragraph" w:customStyle="1" w:styleId="179">
    <w:name w:val="纯文本1"/>
    <w:basedOn w:val="1"/>
    <w:link w:val="178"/>
    <w:qFormat/>
    <w:uiPriority w:val="0"/>
    <w:rPr>
      <w:rFonts w:ascii="宋体" w:hAnsi="Courier New" w:cs="Courier New"/>
      <w:kern w:val="0"/>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4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3">
    <w:name w:val="标题3def"/>
    <w:basedOn w:val="8"/>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字符"/>
    <w:basedOn w:val="45"/>
    <w:link w:val="28"/>
    <w:semiHidden/>
    <w:qFormat/>
    <w:uiPriority w:val="0"/>
    <w:rPr>
      <w:kern w:val="2"/>
      <w:sz w:val="18"/>
      <w:szCs w:val="18"/>
    </w:rPr>
  </w:style>
  <w:style w:type="character" w:customStyle="1" w:styleId="198">
    <w:name w:val="正文文本缩进 3 字符"/>
    <w:basedOn w:val="45"/>
    <w:link w:val="33"/>
    <w:qFormat/>
    <w:uiPriority w:val="0"/>
    <w:rPr>
      <w:kern w:val="2"/>
      <w:sz w:val="16"/>
      <w:szCs w:val="16"/>
    </w:rPr>
  </w:style>
  <w:style w:type="character" w:customStyle="1" w:styleId="199">
    <w:name w:val="HTML 预设格式 字符"/>
    <w:basedOn w:val="45"/>
    <w:link w:val="37"/>
    <w:qFormat/>
    <w:uiPriority w:val="0"/>
    <w:rPr>
      <w:rFonts w:ascii="黑体" w:hAnsi="Courier New" w:eastAsia="黑体" w:cs="Courier New"/>
    </w:rPr>
  </w:style>
  <w:style w:type="character" w:customStyle="1" w:styleId="200">
    <w:name w:val="批注主题 字符"/>
    <w:basedOn w:val="167"/>
    <w:link w:val="41"/>
    <w:semiHidden/>
    <w:qFormat/>
    <w:uiPriority w:val="0"/>
    <w:rPr>
      <w:rFonts w:eastAsia="宋体"/>
      <w:b/>
      <w:bCs/>
      <w:kern w:val="2"/>
      <w:sz w:val="24"/>
      <w:szCs w:val="24"/>
      <w:lang w:val="en-US" w:eastAsia="zh-CN" w:bidi="ar-SA"/>
    </w:rPr>
  </w:style>
  <w:style w:type="character" w:customStyle="1" w:styleId="201">
    <w:name w:val="正文首行缩进 字符"/>
    <w:basedOn w:val="162"/>
    <w:link w:val="2"/>
    <w:qFormat/>
    <w:uiPriority w:val="0"/>
    <w:rPr>
      <w:rFonts w:eastAsia="仿宋_GB2312"/>
      <w:kern w:val="2"/>
      <w:sz w:val="21"/>
      <w:szCs w:val="24"/>
      <w:lang w:val="en-US" w:eastAsia="zh-CN" w:bidi="ar-SA"/>
    </w:rPr>
  </w:style>
  <w:style w:type="character" w:customStyle="1" w:styleId="202">
    <w:name w:val="正文首行缩进 2 字符"/>
    <w:basedOn w:val="65"/>
    <w:link w:val="42"/>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1"/>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5"/>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5"/>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5"/>
    <w:qFormat/>
    <w:uiPriority w:val="0"/>
    <w:rPr>
      <w:rFonts w:hint="eastAsia" w:ascii="宋体" w:hAnsi="宋体" w:eastAsia="宋体" w:cs="宋体"/>
      <w:color w:val="000000"/>
      <w:sz w:val="22"/>
      <w:szCs w:val="22"/>
      <w:u w:val="none"/>
    </w:rPr>
  </w:style>
  <w:style w:type="character" w:customStyle="1" w:styleId="265">
    <w:name w:val="font11"/>
    <w:basedOn w:val="45"/>
    <w:qFormat/>
    <w:uiPriority w:val="0"/>
    <w:rPr>
      <w:rFonts w:hint="eastAsia" w:ascii="宋体" w:hAnsi="宋体" w:eastAsia="宋体" w:cs="宋体"/>
      <w:color w:val="FF0000"/>
      <w:sz w:val="22"/>
      <w:szCs w:val="22"/>
      <w:u w:val="none"/>
    </w:rPr>
  </w:style>
  <w:style w:type="character" w:customStyle="1" w:styleId="266">
    <w:name w:val="font41"/>
    <w:basedOn w:val="45"/>
    <w:qFormat/>
    <w:uiPriority w:val="0"/>
    <w:rPr>
      <w:rFonts w:hint="default" w:ascii="等线" w:hAnsi="等线" w:eastAsia="等线" w:cs="等线"/>
      <w:color w:val="FF0000"/>
      <w:sz w:val="22"/>
      <w:szCs w:val="22"/>
      <w:u w:val="none"/>
    </w:rPr>
  </w:style>
  <w:style w:type="character" w:customStyle="1" w:styleId="267">
    <w:name w:val="font21"/>
    <w:basedOn w:val="45"/>
    <w:qFormat/>
    <w:uiPriority w:val="0"/>
    <w:rPr>
      <w:rFonts w:hint="default" w:ascii="等线" w:hAnsi="等线" w:eastAsia="等线" w:cs="等线"/>
      <w:color w:val="000000"/>
      <w:sz w:val="22"/>
      <w:szCs w:val="22"/>
      <w:u w:val="none"/>
    </w:rPr>
  </w:style>
  <w:style w:type="character" w:customStyle="1" w:styleId="268">
    <w:name w:val="font51"/>
    <w:basedOn w:val="45"/>
    <w:qFormat/>
    <w:uiPriority w:val="0"/>
    <w:rPr>
      <w:rFonts w:hint="default" w:ascii="等线" w:hAnsi="等线" w:eastAsia="等线" w:cs="等线"/>
      <w:color w:val="FF0000"/>
      <w:sz w:val="22"/>
      <w:szCs w:val="22"/>
      <w:u w:val="none"/>
    </w:rPr>
  </w:style>
  <w:style w:type="character" w:customStyle="1" w:styleId="269">
    <w:name w:val="font61"/>
    <w:basedOn w:val="45"/>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未处理的提及1"/>
    <w:basedOn w:val="45"/>
    <w:semiHidden/>
    <w:unhideWhenUsed/>
    <w:qFormat/>
    <w:uiPriority w:val="99"/>
    <w:rPr>
      <w:color w:val="605E5C"/>
      <w:shd w:val="clear" w:color="auto" w:fill="E1DFDD"/>
    </w:rPr>
  </w:style>
  <w:style w:type="paragraph" w:customStyle="1" w:styleId="276">
    <w:name w:val="p15"/>
    <w:basedOn w:val="1"/>
    <w:qFormat/>
    <w:uiPriority w:val="0"/>
    <w:pPr>
      <w:widowControl/>
      <w:adjustRightInd w:val="0"/>
    </w:pPr>
    <w:rPr>
      <w:rFonts w:ascii="宋体" w:hAnsi="宋体" w:cs="宋体"/>
      <w:kern w:val="0"/>
      <w:sz w:val="20"/>
      <w:szCs w:val="20"/>
    </w:rPr>
  </w:style>
  <w:style w:type="character" w:customStyle="1" w:styleId="277">
    <w:name w:val="bookmark-item"/>
    <w:basedOn w:val="45"/>
    <w:qFormat/>
    <w:uiPriority w:val="0"/>
  </w:style>
  <w:style w:type="paragraph" w:customStyle="1" w:styleId="27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79">
    <w:name w:val="题注 字符"/>
    <w:link w:val="17"/>
    <w:qFormat/>
    <w:uiPriority w:val="0"/>
    <w:rPr>
      <w:rFonts w:ascii="Calibri" w:hAnsi="Calibri"/>
      <w:kern w:val="2"/>
    </w:rPr>
  </w:style>
  <w:style w:type="paragraph" w:customStyle="1" w:styleId="280">
    <w:name w:val="索引 11"/>
    <w:basedOn w:val="1"/>
    <w:next w:val="1"/>
    <w:qFormat/>
    <w:uiPriority w:val="99"/>
    <w:pPr>
      <w:spacing w:line="360" w:lineRule="auto"/>
    </w:pPr>
    <w:rPr>
      <w:rFonts w:ascii="仿宋_GB2312" w:eastAsia="仿宋_GB2312"/>
      <w:sz w:val="24"/>
      <w:szCs w:val="20"/>
    </w:rPr>
  </w:style>
  <w:style w:type="paragraph" w:customStyle="1" w:styleId="281">
    <w:name w:val="正文缩进1"/>
    <w:basedOn w:val="1"/>
    <w:next w:val="20"/>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2">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3">
    <w:name w:val="页脚 Char2"/>
    <w:qFormat/>
    <w:locked/>
    <w:uiPriority w:val="99"/>
    <w:rPr>
      <w:kern w:val="2"/>
      <w:sz w:val="18"/>
      <w:szCs w:val="18"/>
    </w:rPr>
  </w:style>
  <w:style w:type="character" w:customStyle="1" w:styleId="284">
    <w:name w:val="页眉 Char2"/>
    <w:qFormat/>
    <w:uiPriority w:val="99"/>
    <w:rPr>
      <w:kern w:val="2"/>
      <w:sz w:val="18"/>
      <w:szCs w:val="18"/>
    </w:rPr>
  </w:style>
  <w:style w:type="character" w:customStyle="1" w:styleId="285">
    <w:name w:val="正文缩进 Char1"/>
    <w:qFormat/>
    <w:uiPriority w:val="0"/>
    <w:rPr>
      <w:rFonts w:ascii="Times New Roman" w:hAnsi="Times New Roman" w:eastAsia="宋体" w:cs="Times New Roman"/>
      <w:szCs w:val="20"/>
    </w:rPr>
  </w:style>
  <w:style w:type="character" w:customStyle="1" w:styleId="286">
    <w:name w:val="纯文本 Char2"/>
    <w:qFormat/>
    <w:uiPriority w:val="0"/>
    <w:rPr>
      <w:rFonts w:ascii="宋体" w:hAnsi="Courier New" w:eastAsia="宋体" w:cs="Times New Roman"/>
      <w:szCs w:val="21"/>
    </w:rPr>
  </w:style>
  <w:style w:type="paragraph" w:customStyle="1" w:styleId="287">
    <w:name w:val="列表段落1"/>
    <w:basedOn w:val="1"/>
    <w:qFormat/>
    <w:uiPriority w:val="34"/>
    <w:pPr>
      <w:widowControl/>
      <w:spacing w:after="200" w:line="276" w:lineRule="auto"/>
      <w:ind w:left="720"/>
      <w:contextualSpacing/>
      <w:jc w:val="left"/>
    </w:pPr>
    <w:rPr>
      <w:rFonts w:ascii="Calibri" w:hAnsi="Calibri"/>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emf"/><Relationship Id="rId16" Type="http://schemas.openxmlformats.org/officeDocument/2006/relationships/oleObject" Target="embeddings/oleObject3.bin"/><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28C971-6232-43F2-B42B-3597AD65120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94</Pages>
  <Words>52825</Words>
  <Characters>56963</Characters>
  <Lines>461</Lines>
  <Paragraphs>129</Paragraphs>
  <TotalTime>26</TotalTime>
  <ScaleCrop>false</ScaleCrop>
  <LinksUpToDate>false</LinksUpToDate>
  <CharactersWithSpaces>62107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2022-10-17T07:17:00Z</dcterms:created>
  <dc:creator>USER</dc:creator>
  <cp:lastModifiedBy>ASUS</cp:lastModifiedBy>
  <cp:lastPrinted>2022-10-14T03:45:00Z</cp:lastPrinted>
  <dcterms:modified xsi:type="dcterms:W3CDTF">2022-11-22T03:08:58Z</dcterms:modified>
  <dc:title>绍兴文理学院计算机机房设备及录播系统供货项目</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954BD2C4AA9E4679B7E1D061C5C590D2</vt:lpwstr>
  </property>
</Properties>
</file>