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pacing w:val="-12"/>
          <w:sz w:val="13"/>
          <w:szCs w:val="48"/>
          <w:highlight w:val="none"/>
        </w:rPr>
      </w:pPr>
    </w:p>
    <w:p>
      <w:pPr>
        <w:jc w:val="center"/>
        <w:outlineLvl w:val="0"/>
        <w:rPr>
          <w:rFonts w:hint="eastAsia" w:ascii="仿宋" w:hAnsi="仿宋" w:eastAsia="仿宋" w:cs="仿宋"/>
          <w:b/>
          <w:color w:val="auto"/>
          <w:spacing w:val="-12"/>
          <w:sz w:val="48"/>
          <w:szCs w:val="48"/>
          <w:highlight w:val="none"/>
        </w:rPr>
      </w:pPr>
      <w:r>
        <w:rPr>
          <w:rFonts w:hint="eastAsia" w:ascii="仿宋" w:hAnsi="仿宋" w:eastAsia="仿宋" w:cs="仿宋"/>
          <w:b/>
          <w:color w:val="auto"/>
          <w:spacing w:val="-12"/>
          <w:sz w:val="48"/>
          <w:szCs w:val="48"/>
          <w:highlight w:val="none"/>
        </w:rPr>
        <w:t>绍兴市人民医院救护车采购项目</w:t>
      </w:r>
    </w:p>
    <w:p>
      <w:pPr>
        <w:jc w:val="center"/>
        <w:outlineLvl w:val="0"/>
        <w:rPr>
          <w:rFonts w:hint="eastAsia" w:ascii="仿宋" w:hAnsi="仿宋" w:eastAsia="仿宋" w:cs="仿宋"/>
          <w:b/>
          <w:color w:val="auto"/>
          <w:spacing w:val="-12"/>
          <w:sz w:val="48"/>
          <w:szCs w:val="48"/>
          <w:highlight w:val="none"/>
        </w:rPr>
      </w:pPr>
    </w:p>
    <w:p>
      <w:pPr>
        <w:jc w:val="center"/>
        <w:outlineLvl w:val="0"/>
        <w:rPr>
          <w:rFonts w:hint="eastAsia" w:ascii="仿宋" w:hAnsi="仿宋" w:eastAsia="仿宋" w:cs="仿宋"/>
          <w:b/>
          <w:color w:val="auto"/>
          <w:spacing w:val="-12"/>
          <w:sz w:val="48"/>
          <w:szCs w:val="48"/>
          <w:highlight w:val="none"/>
        </w:rPr>
      </w:pPr>
    </w:p>
    <w:p>
      <w:pPr>
        <w:pStyle w:val="24"/>
        <w:rPr>
          <w:rFonts w:hint="eastAsia" w:ascii="仿宋" w:hAnsi="仿宋" w:eastAsia="仿宋" w:cs="仿宋"/>
          <w:color w:val="auto"/>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jc w:val="center"/>
        <w:outlineLvl w:val="0"/>
        <w:rPr>
          <w:rFonts w:hint="eastAsia" w:ascii="仿宋" w:hAnsi="仿宋" w:eastAsia="仿宋" w:cs="仿宋"/>
          <w:color w:val="auto"/>
          <w:sz w:val="18"/>
          <w:highlight w:val="none"/>
        </w:rPr>
      </w:pPr>
    </w:p>
    <w:p>
      <w:pPr>
        <w:jc w:val="center"/>
        <w:outlineLvl w:val="0"/>
        <w:rPr>
          <w:rFonts w:hint="eastAsia" w:ascii="仿宋" w:hAnsi="仿宋" w:eastAsia="仿宋" w:cs="仿宋"/>
          <w:color w:val="auto"/>
          <w:sz w:val="44"/>
          <w:highlight w:val="none"/>
        </w:rPr>
      </w:pPr>
    </w:p>
    <w:p>
      <w:pPr>
        <w:jc w:val="center"/>
        <w:outlineLvl w:val="0"/>
        <w:rPr>
          <w:rFonts w:hint="eastAsia" w:ascii="仿宋" w:hAnsi="仿宋" w:eastAsia="仿宋" w:cs="仿宋"/>
          <w:color w:val="auto"/>
          <w:sz w:val="44"/>
          <w:highlight w:val="none"/>
        </w:rPr>
      </w:pPr>
    </w:p>
    <w:p>
      <w:pPr>
        <w:pStyle w:val="24"/>
        <w:rPr>
          <w:rFonts w:hint="eastAsia" w:ascii="仿宋" w:hAnsi="仿宋" w:eastAsia="仿宋" w:cs="仿宋"/>
          <w:color w:val="auto"/>
          <w:highlight w:val="none"/>
        </w:rPr>
      </w:pPr>
    </w:p>
    <w:p>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招标编号:HCSF-2022-027</w:t>
      </w:r>
    </w:p>
    <w:tbl>
      <w:tblPr>
        <w:tblStyle w:val="4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华诚工程咨询集团有限公司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
              </w:rPr>
              <w:t>监督单</w:t>
            </w:r>
            <w:r>
              <w:rPr>
                <w:rFonts w:hint="eastAsia" w:ascii="仿宋" w:hAnsi="仿宋" w:eastAsia="仿宋" w:cs="仿宋"/>
                <w:color w:val="auto"/>
                <w:spacing w:val="1"/>
                <w:kern w:val="0"/>
                <w:sz w:val="28"/>
                <w:szCs w:val="28"/>
                <w:highlight w:val="none"/>
                <w:fitText w:val="1680" w:id="2"/>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二○二二年</w:t>
            </w:r>
            <w:r>
              <w:rPr>
                <w:rFonts w:hint="eastAsia" w:ascii="仿宋" w:hAnsi="仿宋" w:eastAsia="仿宋" w:cs="仿宋"/>
                <w:color w:val="auto"/>
                <w:sz w:val="28"/>
                <w:szCs w:val="28"/>
                <w:highlight w:val="none"/>
                <w:lang w:val="en-US" w:eastAsia="zh-CN"/>
              </w:rPr>
              <w:t>十一</w:t>
            </w:r>
            <w:r>
              <w:rPr>
                <w:rFonts w:hint="eastAsia" w:ascii="仿宋" w:hAnsi="仿宋" w:eastAsia="仿宋" w:cs="仿宋"/>
                <w:color w:val="auto"/>
                <w:sz w:val="28"/>
                <w:szCs w:val="28"/>
                <w:highlight w:val="none"/>
              </w:rPr>
              <w:t xml:space="preserve"> 月</w:t>
            </w:r>
          </w:p>
        </w:tc>
      </w:tr>
    </w:tbl>
    <w:p>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color w:val="auto"/>
          <w:highlight w:val="none"/>
        </w:rPr>
      </w:pP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3"/>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43"/>
              <w:tblW w:w="82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atLeast"/>
              </w:trPr>
              <w:tc>
                <w:tcPr>
                  <w:tcW w:w="8236" w:type="dxa"/>
                </w:tcPr>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pPr>
                    <w:pStyle w:val="70"/>
                    <w:spacing w:afterLines="0" w:line="440" w:lineRule="exact"/>
                    <w:ind w:firstLine="480"/>
                    <w:rPr>
                      <w:rFonts w:hint="eastAsia" w:ascii="仿宋" w:hAnsi="仿宋" w:eastAsia="仿宋" w:cs="仿宋"/>
                      <w:color w:val="auto"/>
                      <w:szCs w:val="24"/>
                      <w:highlight w:val="none"/>
                    </w:rPr>
                  </w:pPr>
                  <w:bookmarkStart w:id="0" w:name="_Hlk47532823"/>
                  <w:r>
                    <w:rPr>
                      <w:rFonts w:hint="eastAsia" w:ascii="仿宋" w:hAnsi="仿宋" w:eastAsia="仿宋" w:cs="仿宋"/>
                      <w:color w:val="auto"/>
                      <w:szCs w:val="24"/>
                      <w:highlight w:val="none"/>
                    </w:rPr>
                    <w:t>绍兴</w:t>
                  </w:r>
                  <w:bookmarkEnd w:id="0"/>
                  <w:r>
                    <w:rPr>
                      <w:rFonts w:hint="eastAsia" w:ascii="仿宋" w:hAnsi="仿宋" w:eastAsia="仿宋" w:cs="仿宋"/>
                      <w:color w:val="auto"/>
                      <w:szCs w:val="24"/>
                      <w:highlight w:val="none"/>
                    </w:rPr>
                    <w:t xml:space="preserve">市人民医院救护车采购项目的潜在投标人应在https://www.zcygov.cn获取（下载）招标文件，并于2022年  </w:t>
                  </w:r>
                  <w:r>
                    <w:rPr>
                      <w:rFonts w:hint="eastAsia" w:ascii="仿宋" w:hAnsi="仿宋" w:eastAsia="仿宋" w:cs="仿宋"/>
                      <w:color w:val="auto"/>
                      <w:szCs w:val="24"/>
                      <w:highlight w:val="none"/>
                      <w:lang w:val="en-US" w:eastAsia="zh-CN"/>
                    </w:rPr>
                    <w:t>12</w:t>
                  </w:r>
                  <w:r>
                    <w:rPr>
                      <w:rFonts w:hint="eastAsia" w:ascii="仿宋" w:hAnsi="仿宋" w:eastAsia="仿宋" w:cs="仿宋"/>
                      <w:color w:val="auto"/>
                      <w:szCs w:val="24"/>
                      <w:highlight w:val="none"/>
                    </w:rPr>
                    <w:t xml:space="preserve">月 </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 xml:space="preserve"> 日  （北京时间）前递交（上传）投标文件。</w:t>
                  </w:r>
                </w:p>
              </w:tc>
            </w:tr>
          </w:tbl>
          <w:p>
            <w:pPr>
              <w:pStyle w:val="70"/>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项目编号：HCSF-2022-027</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项目名称：绍兴市人民医院救护车采购项目</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预算金额（元）：700000</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最高限价（元）：700000</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标项名称:绍兴市人民医院救护车采购项目</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数量（项）:1</w:t>
            </w:r>
          </w:p>
          <w:p>
            <w:pPr>
              <w:pStyle w:val="70"/>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  预算金额（元）:</w:t>
            </w:r>
            <w:r>
              <w:rPr>
                <w:rFonts w:hint="eastAsia" w:ascii="仿宋" w:hAnsi="仿宋" w:eastAsia="仿宋" w:cs="仿宋"/>
                <w:color w:val="auto"/>
                <w:highlight w:val="none"/>
              </w:rPr>
              <w:t>700000</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简要规格描述或项目基本概况介绍、用途：详见采购文件 </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备注：无</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pPr>
              <w:pStyle w:val="70"/>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2.落实政府采购政策需满足的资格要求：</w:t>
            </w:r>
          </w:p>
          <w:p>
            <w:pPr>
              <w:pStyle w:val="70"/>
              <w:spacing w:afterLines="0" w:line="440" w:lineRule="exact"/>
              <w:ind w:firstLine="420"/>
              <w:rPr>
                <w:rFonts w:hint="eastAsia" w:ascii="仿宋" w:hAnsi="仿宋" w:eastAsia="仿宋" w:cs="仿宋"/>
                <w:color w:val="auto"/>
                <w:szCs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highlight w:val="none"/>
              </w:rPr>
              <w:t>无；</w:t>
            </w:r>
          </w:p>
          <w:p>
            <w:pPr>
              <w:spacing w:line="360" w:lineRule="auto"/>
              <w:ind w:firstLine="420" w:firstLineChars="200"/>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F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360" w:lineRule="auto"/>
              <w:ind w:firstLine="785" w:firstLineChars="374"/>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F0FE"/>
                </w:r>
              </w:sdtContent>
            </w:sdt>
            <w:r>
              <w:rPr>
                <w:rFonts w:hint="eastAsia" w:ascii="仿宋" w:hAnsi="仿宋" w:eastAsia="仿宋" w:cs="仿宋"/>
                <w:color w:val="auto"/>
                <w:sz w:val="24"/>
                <w:highlight w:val="none"/>
              </w:rPr>
              <w:t>货物全部由符合政策要求的中小企业制造，提供中小企业声明函；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2365989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0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货物全部由符合政策要求的小微企业制造，提供中小企业声明函；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0690290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服务全部由符合政策要求的中小企业承接，提供中小企业声明函；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6959412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服务全部由符合政策要求的小微企业承接，提供中小企业声明函；</w:t>
            </w:r>
          </w:p>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60369722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highlight w:val="none"/>
              </w:rPr>
              <w:t>；</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3.本项目的特定资格要求：</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时间：/至2022年 </w:t>
            </w:r>
            <w:r>
              <w:rPr>
                <w:rFonts w:hint="eastAsia" w:ascii="仿宋" w:hAnsi="仿宋" w:eastAsia="仿宋" w:cs="仿宋"/>
                <w:color w:val="auto"/>
                <w:szCs w:val="24"/>
                <w:highlight w:val="none"/>
                <w:lang w:val="en-US" w:eastAsia="zh-CN"/>
              </w:rPr>
              <w:t>12</w:t>
            </w:r>
            <w:r>
              <w:rPr>
                <w:rFonts w:hint="eastAsia" w:ascii="仿宋" w:hAnsi="仿宋" w:eastAsia="仿宋" w:cs="仿宋"/>
                <w:color w:val="auto"/>
                <w:szCs w:val="24"/>
                <w:highlight w:val="none"/>
              </w:rPr>
              <w:t xml:space="preserve"> 月 </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 xml:space="preserve"> 日，每天上午00:00至12:00 ，下午12:00至23:59（北京时间，线上获取法定节假日均可，线下获取文件法定节假日除外）</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地点（网址）：</w:t>
            </w:r>
            <w:r>
              <w:rPr>
                <w:rFonts w:hint="eastAsia" w:ascii="仿宋" w:hAnsi="仿宋" w:eastAsia="仿宋" w:cs="仿宋"/>
                <w:bCs/>
                <w:color w:val="auto"/>
                <w:highlight w:val="none"/>
              </w:rPr>
              <w:t>http://www.zcygov.cn/</w:t>
            </w:r>
            <w:r>
              <w:rPr>
                <w:rFonts w:hint="eastAsia" w:ascii="仿宋" w:hAnsi="仿宋" w:eastAsia="仿宋" w:cs="仿宋"/>
                <w:color w:val="auto"/>
                <w:szCs w:val="24"/>
                <w:highlight w:val="none"/>
              </w:rPr>
              <w:t> </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方式：</w:t>
            </w:r>
            <w:r>
              <w:rPr>
                <w:rFonts w:hint="eastAsia" w:ascii="仿宋" w:hAnsi="仿宋" w:eastAsia="仿宋" w:cs="仿宋"/>
                <w:bCs/>
                <w:color w:val="auto"/>
                <w:highlight w:val="none"/>
              </w:rPr>
              <w:t>供应商登陆政采云平台http://www.zcygov.cn/，在线申请获取采购文件（进入“项目采购”应用，在获取采购文件菜单中选择项目，申请获取采购文件）。</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售价（元）：0 </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提交投标文件截止时间：2022年 </w:t>
            </w:r>
            <w:r>
              <w:rPr>
                <w:rFonts w:hint="eastAsia" w:ascii="仿宋" w:hAnsi="仿宋" w:eastAsia="仿宋" w:cs="仿宋"/>
                <w:color w:val="auto"/>
                <w:szCs w:val="24"/>
                <w:highlight w:val="none"/>
                <w:lang w:val="en-US" w:eastAsia="zh-CN"/>
              </w:rPr>
              <w:t>12</w:t>
            </w:r>
            <w:r>
              <w:rPr>
                <w:rFonts w:hint="eastAsia" w:ascii="仿宋" w:hAnsi="仿宋" w:eastAsia="仿宋" w:cs="仿宋"/>
                <w:color w:val="auto"/>
                <w:szCs w:val="24"/>
                <w:highlight w:val="none"/>
              </w:rPr>
              <w:t xml:space="preserve"> 月 </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 xml:space="preserve"> 日 </w:t>
            </w:r>
            <w:r>
              <w:rPr>
                <w:rFonts w:hint="eastAsia" w:ascii="仿宋" w:hAnsi="仿宋" w:eastAsia="仿宋" w:cs="仿宋"/>
                <w:color w:val="auto"/>
                <w:szCs w:val="24"/>
                <w:highlight w:val="none"/>
                <w:lang w:val="en-US" w:eastAsia="zh-CN"/>
              </w:rPr>
              <w:t>14:30</w:t>
            </w:r>
            <w:r>
              <w:rPr>
                <w:rFonts w:hint="eastAsia" w:ascii="仿宋" w:hAnsi="仿宋" w:eastAsia="仿宋" w:cs="仿宋"/>
                <w:color w:val="auto"/>
                <w:szCs w:val="24"/>
                <w:highlight w:val="none"/>
              </w:rPr>
              <w:t>（北京时间）</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投标地点（网址）：</w:t>
            </w:r>
            <w:r>
              <w:rPr>
                <w:rFonts w:hint="eastAsia" w:ascii="仿宋" w:hAnsi="仿宋" w:eastAsia="仿宋" w:cs="仿宋"/>
                <w:bCs/>
                <w:color w:val="auto"/>
                <w:highlight w:val="none"/>
              </w:rPr>
              <w:t>http://www.zcygov.cn/</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开标时间：2022年 </w:t>
            </w:r>
            <w:r>
              <w:rPr>
                <w:rFonts w:hint="eastAsia" w:ascii="仿宋" w:hAnsi="仿宋" w:eastAsia="仿宋" w:cs="仿宋"/>
                <w:color w:val="auto"/>
                <w:szCs w:val="24"/>
                <w:highlight w:val="none"/>
                <w:lang w:val="en-US" w:eastAsia="zh-CN"/>
              </w:rPr>
              <w:t>12</w:t>
            </w:r>
            <w:r>
              <w:rPr>
                <w:rFonts w:hint="eastAsia" w:ascii="仿宋" w:hAnsi="仿宋" w:eastAsia="仿宋" w:cs="仿宋"/>
                <w:color w:val="auto"/>
                <w:szCs w:val="24"/>
                <w:highlight w:val="none"/>
              </w:rPr>
              <w:t xml:space="preserve"> 月 </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 xml:space="preserve"> 日 </w:t>
            </w:r>
            <w:r>
              <w:rPr>
                <w:rFonts w:hint="eastAsia" w:ascii="仿宋" w:hAnsi="仿宋" w:eastAsia="仿宋" w:cs="仿宋"/>
                <w:color w:val="auto"/>
                <w:szCs w:val="24"/>
                <w:highlight w:val="none"/>
                <w:lang w:val="en-US" w:eastAsia="zh-CN"/>
              </w:rPr>
              <w:t>14:30</w:t>
            </w:r>
            <w:r>
              <w:rPr>
                <w:rFonts w:hint="eastAsia" w:ascii="仿宋" w:hAnsi="仿宋" w:eastAsia="仿宋" w:cs="仿宋"/>
                <w:color w:val="auto"/>
                <w:szCs w:val="24"/>
                <w:highlight w:val="none"/>
              </w:rPr>
              <w:t>（北京时间）</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开标地点（网址）：绍兴市越城区越西路800号金德隆商业中心8幢二楼华诚工程咨询集团有限公司二楼开标室，在政府采购云平台（www.zcygov.cn）上开启响应文件。</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五、公告期限 </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w:t>
            </w:r>
            <w:r>
              <w:rPr>
                <w:rFonts w:hint="eastAsia" w:ascii="仿宋" w:hAnsi="仿宋" w:eastAsia="仿宋" w:cs="仿宋"/>
                <w:color w:val="auto"/>
                <w:highlight w:val="none"/>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视为投标文件撤回；⑩具体操作指南：详见政采云平台“服务中心-帮助文档-项目采购-操作流程-电子招投标-政府采购项目电子交易管理操作指南-供应商”。</w:t>
            </w:r>
            <w:r>
              <w:rPr>
                <w:rFonts w:hint="eastAsia" w:ascii="仿宋" w:hAnsi="仿宋" w:eastAsia="仿宋" w:cs="仿宋"/>
                <w:color w:val="auto"/>
                <w:szCs w:val="24"/>
                <w:highlight w:val="none"/>
              </w:rPr>
              <w:t>  </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名称：绍兴市人民医院 </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地址：绍兴市越城区中兴北路568号 </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  </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项目联系人（询问）： 王永胜</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项目联系方式（询问）：0575-88558839</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质疑联系人：沈少卿   </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质疑联系方式：0575-0575-88558836</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2.采购代理机构信息       </w:t>
            </w:r>
          </w:p>
          <w:p>
            <w:pPr>
              <w:pStyle w:val="70"/>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名称：华诚工程咨询集团有限公司       </w:t>
            </w:r>
          </w:p>
          <w:p>
            <w:pPr>
              <w:pStyle w:val="70"/>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地址：绍兴市越城区越西路800号金德隆商业中心8幢二楼</w:t>
            </w:r>
          </w:p>
          <w:p>
            <w:pPr>
              <w:pStyle w:val="70"/>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      </w:t>
            </w:r>
          </w:p>
          <w:p>
            <w:pPr>
              <w:pStyle w:val="70"/>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项目联系人（询问）：毕龙梅</w:t>
            </w:r>
          </w:p>
          <w:p>
            <w:pPr>
              <w:pStyle w:val="70"/>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项目联系方式（询问）：15068545458</w:t>
            </w:r>
          </w:p>
          <w:p>
            <w:pPr>
              <w:pStyle w:val="70"/>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质疑联系人：柯翔郎</w:t>
            </w:r>
          </w:p>
          <w:p>
            <w:pPr>
              <w:pStyle w:val="70"/>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质疑联系方式：18267575010　　　　  　　　　　　   </w:t>
            </w:r>
          </w:p>
          <w:p>
            <w:pPr>
              <w:pStyle w:val="70"/>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       </w:t>
            </w:r>
          </w:p>
          <w:p>
            <w:pPr>
              <w:pStyle w:val="70"/>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       </w:t>
            </w:r>
          </w:p>
          <w:p>
            <w:pPr>
              <w:pStyle w:val="70"/>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       </w:t>
            </w:r>
          </w:p>
          <w:p>
            <w:pPr>
              <w:pStyle w:val="70"/>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传真：0575-85209697 </w:t>
            </w:r>
          </w:p>
          <w:p>
            <w:pPr>
              <w:pStyle w:val="70"/>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 ：宋晓林       </w:t>
            </w:r>
          </w:p>
          <w:p>
            <w:pPr>
              <w:pStyle w:val="70"/>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监督投诉电话：0575-85209697 </w:t>
            </w:r>
          </w:p>
          <w:p>
            <w:pPr>
              <w:pStyle w:val="70"/>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  若对项目采购电子交易系统操作有疑问，可登录政采云（https://www.zcygov.cn/），点击右侧咨询小采，获取采小蜜智能服务管家帮助，或拨打政采云服务热线400-881-7190获取热线服务帮助。</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CA问题联系电话（人工）：汇信CA 400-888-4636；天谷CA 400-087-8198。</w:t>
            </w:r>
          </w:p>
        </w:tc>
      </w:tr>
      <w:tr>
        <w:tblPrEx>
          <w:tblCellMar>
            <w:top w:w="0" w:type="dxa"/>
            <w:left w:w="0" w:type="dxa"/>
            <w:bottom w:w="0" w:type="dxa"/>
            <w:right w:w="0" w:type="dxa"/>
          </w:tblCellMar>
        </w:tblPrEx>
        <w:tc>
          <w:tcPr>
            <w:tcW w:w="8279"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w:t>
            </w:r>
          </w:p>
        </w:tc>
      </w:tr>
    </w:tbl>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ind w:left="238"/>
        <w:jc w:val="center"/>
        <w:rPr>
          <w:rFonts w:hint="eastAsia" w:ascii="仿宋" w:hAnsi="仿宋" w:eastAsia="仿宋" w:cs="仿宋"/>
          <w:b/>
          <w:color w:val="auto"/>
          <w:sz w:val="30"/>
          <w:szCs w:val="36"/>
          <w:highlight w:val="none"/>
        </w:rPr>
      </w:pPr>
      <w:bookmarkStart w:id="1" w:name="_Hlk47616320"/>
      <w:r>
        <w:rPr>
          <w:rFonts w:hint="eastAsia" w:ascii="仿宋" w:hAnsi="仿宋" w:eastAsia="仿宋" w:cs="仿宋"/>
          <w:b/>
          <w:color w:val="auto"/>
          <w:sz w:val="30"/>
          <w:szCs w:val="36"/>
          <w:highlight w:val="none"/>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1" w:type="dxa"/>
            <w:gridSpan w:val="2"/>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1" w:type="dxa"/>
            <w:gridSpan w:val="2"/>
            <w:vAlign w:val="center"/>
          </w:tcPr>
          <w:p>
            <w:pPr>
              <w:snapToGrid w:val="0"/>
              <w:spacing w:line="44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1" w:type="dxa"/>
            <w:gridSpan w:val="2"/>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1" w:type="dxa"/>
            <w:gridSpan w:val="2"/>
            <w:vAlign w:val="center"/>
          </w:tcPr>
          <w:p>
            <w:pPr>
              <w:autoSpaceDE w:val="0"/>
              <w:autoSpaceDN w:val="0"/>
              <w:spacing w:line="44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1"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1"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分包： </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spacing w:line="440" w:lineRule="exact"/>
              <w:ind w:firstLine="960" w:firstLineChars="4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1"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1" w:type="dxa"/>
            <w:gridSpan w:val="2"/>
            <w:vAlign w:val="center"/>
          </w:tcPr>
          <w:p>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b/>
                <w:color w:val="auto"/>
                <w:sz w:val="24"/>
                <w:highlight w:val="none"/>
              </w:rPr>
              <w:t>A不组织。</w:t>
            </w:r>
          </w:p>
          <w:p>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☐B组织，时间：,地点：，联系人：，联系方式：。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1"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74078883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0268319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303421454"/>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40417170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1474232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1" w:type="dxa"/>
            <w:gridSpan w:val="2"/>
            <w:vAlign w:val="center"/>
          </w:tcPr>
          <w:p>
            <w:pPr>
              <w:spacing w:line="360" w:lineRule="auto"/>
              <w:rPr>
                <w:rFonts w:hint="eastAsia" w:ascii="仿宋" w:hAnsi="仿宋" w:eastAsia="仿宋" w:cs="仿宋"/>
                <w:color w:val="auto"/>
                <w:highlight w:val="none"/>
              </w:rPr>
            </w:pPr>
            <w:r>
              <w:rPr>
                <w:rFonts w:hint="eastAsia" w:ascii="仿宋" w:hAnsi="仿宋" w:eastAsia="仿宋" w:cs="仿宋"/>
                <w:b/>
                <w:color w:val="auto"/>
                <w:sz w:val="24"/>
                <w:highlight w:val="none"/>
              </w:rPr>
              <w:t>演示(讲解)：</w:t>
            </w:r>
            <w:r>
              <w:rPr>
                <w:rFonts w:hint="eastAsia" w:ascii="仿宋" w:hAnsi="仿宋" w:eastAsia="仿宋" w:cs="仿宋"/>
                <w:color w:val="auto"/>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6" w:type="dxa"/>
            <w:vAlign w:val="center"/>
          </w:tcPr>
          <w:p>
            <w:pPr>
              <w:spacing w:line="36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7518134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pPr>
              <w:snapToGrid w:val="0"/>
              <w:spacing w:line="44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83321284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6" w:type="dxa"/>
            <w:vAlign w:val="center"/>
          </w:tcPr>
          <w:p>
            <w:pPr>
              <w:spacing w:line="360" w:lineRule="auto"/>
              <w:rPr>
                <w:rFonts w:hint="eastAsia" w:ascii="仿宋" w:hAnsi="仿宋" w:eastAsia="仿宋" w:cs="仿宋"/>
                <w:color w:val="auto"/>
                <w:highlight w:val="none"/>
                <w:lang w:val="zh-CN"/>
              </w:rPr>
            </w:pPr>
            <w:sdt>
              <w:sdtPr>
                <w:rPr>
                  <w:rFonts w:hint="eastAsia" w:ascii="仿宋" w:hAnsi="仿宋" w:eastAsia="仿宋" w:cs="仿宋"/>
                  <w:color w:val="auto"/>
                  <w:kern w:val="0"/>
                  <w:sz w:val="24"/>
                  <w:highlight w:val="none"/>
                </w:rPr>
                <w:id w:val="611332032"/>
              </w:sdtPr>
              <w:sdtEndPr>
                <w:rPr>
                  <w:rFonts w:hint="eastAsia" w:ascii="仿宋" w:hAnsi="仿宋" w:eastAsia="仿宋" w:cs="仿宋"/>
                  <w:b/>
                  <w:color w:val="auto"/>
                  <w:kern w:val="2"/>
                  <w:sz w:val="24"/>
                  <w:highlight w:val="none"/>
                </w:rPr>
              </w:sdtEndPr>
              <w:sdtContent>
                <w:sdt>
                  <w:sdtPr>
                    <w:rPr>
                      <w:rFonts w:hint="eastAsia" w:ascii="仿宋" w:hAnsi="仿宋" w:eastAsia="仿宋" w:cs="仿宋"/>
                      <w:color w:val="auto"/>
                      <w:kern w:val="0"/>
                      <w:sz w:val="24"/>
                      <w:highlight w:val="none"/>
                    </w:rPr>
                    <w:id w:val="611332033"/>
                    <w:showingPlcHdr/>
                  </w:sdtPr>
                  <w:sdtEndPr>
                    <w:rPr>
                      <w:rFonts w:hint="eastAsia" w:ascii="仿宋" w:hAnsi="仿宋" w:eastAsia="仿宋" w:cs="仿宋"/>
                      <w:b/>
                      <w:color w:val="auto"/>
                      <w:kern w:val="2"/>
                      <w:sz w:val="24"/>
                      <w:highlight w:val="none"/>
                    </w:rPr>
                  </w:sdtEndPr>
                  <w:sdtContent/>
                </w:sdt>
              </w:sdtContent>
            </w:sdt>
          </w:p>
          <w:p>
            <w:pPr>
              <w:spacing w:line="360" w:lineRule="auto"/>
              <w:rPr>
                <w:rFonts w:hint="eastAsia" w:ascii="仿宋" w:hAnsi="仿宋" w:eastAsia="仿宋" w:cs="仿宋"/>
                <w:color w:val="auto"/>
                <w:sz w:val="24"/>
                <w:highlight w:val="none"/>
              </w:rPr>
            </w:pPr>
            <w:r>
              <w:rPr>
                <w:rFonts w:hint="eastAsia" w:ascii="仿宋" w:hAnsi="仿宋" w:eastAsia="仿宋" w:cs="仿宋"/>
                <w:color w:val="auto"/>
                <w:highlight w:val="none"/>
              </w:rPr>
              <w:t>（1）标的：</w:t>
            </w:r>
            <w:r>
              <w:rPr>
                <w:rFonts w:hint="eastAsia" w:ascii="仿宋" w:hAnsi="仿宋" w:eastAsia="仿宋" w:cs="仿宋"/>
                <w:color w:val="auto"/>
                <w:highlight w:val="none"/>
                <w:u w:val="single"/>
              </w:rPr>
              <w:t xml:space="preserve">  01标 </w:t>
            </w:r>
            <w:r>
              <w:rPr>
                <w:rFonts w:hint="eastAsia" w:ascii="仿宋" w:hAnsi="仿宋" w:eastAsia="仿宋" w:cs="仿宋"/>
                <w:color w:val="auto"/>
                <w:kern w:val="0"/>
                <w:sz w:val="24"/>
                <w:highlight w:val="none"/>
              </w:rPr>
              <w:t xml:space="preserve"> </w:t>
            </w:r>
            <w:sdt>
              <w:sdtPr>
                <w:rPr>
                  <w:rFonts w:hint="eastAsia" w:ascii="仿宋" w:hAnsi="仿宋" w:eastAsia="仿宋" w:cs="仿宋"/>
                  <w:color w:val="auto"/>
                  <w:kern w:val="0"/>
                  <w:sz w:val="24"/>
                  <w:highlight w:val="none"/>
                </w:rPr>
                <w:id w:val="-55030516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负压型救护车  </w:t>
            </w:r>
            <w:r>
              <w:rPr>
                <w:rFonts w:hint="eastAsia" w:ascii="仿宋" w:hAnsi="仿宋" w:eastAsia="仿宋" w:cs="仿宋"/>
                <w:color w:val="auto"/>
                <w:sz w:val="24"/>
                <w:highlight w:val="none"/>
              </w:rPr>
              <w:t>。</w:t>
            </w:r>
          </w:p>
          <w:p>
            <w:pPr>
              <w:snapToGrid w:val="0"/>
              <w:spacing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81190615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snapToGrid w:val="0"/>
              <w:ind w:left="-18" w:leftChars="-9" w:right="-50" w:rightChars="-24"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6" w:type="dxa"/>
            <w:vAlign w:val="center"/>
          </w:tcPr>
          <w:p>
            <w:pPr>
              <w:numPr>
                <w:ilvl w:val="0"/>
                <w:numId w:val="5"/>
              </w:numPr>
              <w:snapToGrid w:val="0"/>
              <w:spacing w:line="360" w:lineRule="auto"/>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标的： </w:t>
            </w:r>
            <w:r>
              <w:rPr>
                <w:rFonts w:hint="eastAsia" w:ascii="仿宋" w:hAnsi="仿宋" w:eastAsia="仿宋" w:cs="仿宋"/>
                <w:color w:val="auto"/>
                <w:highlight w:val="none"/>
                <w:u w:val="single"/>
              </w:rPr>
              <w:t xml:space="preserve"> 01标</w:t>
            </w:r>
            <w:r>
              <w:rPr>
                <w:rFonts w:hint="eastAsia" w:ascii="仿宋" w:hAnsi="仿宋" w:eastAsia="仿宋" w:cs="仿宋"/>
                <w:color w:val="auto"/>
                <w:highlight w:val="none"/>
              </w:rPr>
              <w:t>，属于</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工业</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行业；</w:t>
            </w:r>
          </w:p>
          <w:p>
            <w:pPr>
              <w:pStyle w:val="24"/>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6"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40" w:lineRule="exact"/>
              <w:rPr>
                <w:rFonts w:hint="eastAsia" w:ascii="仿宋" w:hAnsi="仿宋" w:eastAsia="仿宋" w:cs="仿宋"/>
                <w:b/>
                <w:color w:val="auto"/>
                <w:sz w:val="24"/>
                <w:highlight w:val="none"/>
              </w:rPr>
            </w:pPr>
          </w:p>
        </w:tc>
        <w:tc>
          <w:tcPr>
            <w:tcW w:w="7516"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40" w:lineRule="exact"/>
              <w:rPr>
                <w:rFonts w:hint="eastAsia" w:ascii="仿宋" w:hAnsi="仿宋" w:eastAsia="仿宋" w:cs="仿宋"/>
                <w:b/>
                <w:color w:val="auto"/>
                <w:sz w:val="24"/>
                <w:highlight w:val="none"/>
              </w:rPr>
            </w:pPr>
          </w:p>
        </w:tc>
        <w:tc>
          <w:tcPr>
            <w:tcW w:w="7516" w:type="dxa"/>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1" w:type="dxa"/>
            <w:gridSpan w:val="2"/>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1"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1"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1"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1"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特别说明：</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napToGrid w:val="0"/>
              <w:spacing w:line="440" w:lineRule="exact"/>
              <w:rPr>
                <w:rFonts w:hint="eastAsia" w:ascii="仿宋" w:hAnsi="仿宋" w:eastAsia="仿宋" w:cs="仿宋"/>
                <w:color w:val="auto"/>
                <w:sz w:val="24"/>
                <w:highlight w:val="none"/>
              </w:rPr>
            </w:pPr>
          </w:p>
        </w:tc>
        <w:tc>
          <w:tcPr>
            <w:tcW w:w="8371" w:type="dxa"/>
            <w:gridSpan w:val="2"/>
            <w:vAlign w:val="center"/>
          </w:tcPr>
          <w:p>
            <w:pPr>
              <w:snapToGrid w:val="0"/>
              <w:spacing w:line="440" w:lineRule="exact"/>
              <w:rPr>
                <w:rFonts w:hint="eastAsia" w:ascii="仿宋" w:hAnsi="仿宋" w:eastAsia="仿宋" w:cs="仿宋"/>
                <w:color w:val="auto"/>
                <w:sz w:val="24"/>
                <w:highlight w:val="none"/>
              </w:rPr>
            </w:pPr>
            <w:sdt>
              <w:sdtPr>
                <w:rPr>
                  <w:rFonts w:hint="eastAsia" w:ascii="仿宋" w:hAnsi="仿宋" w:eastAsia="仿宋" w:cs="仿宋"/>
                  <w:color w:val="auto"/>
                  <w:sz w:val="24"/>
                  <w:highlight w:val="none"/>
                </w:rPr>
                <w:id w:val="-1816336663"/>
              </w:sdtPr>
              <w:sdtEndPr>
                <w:rPr>
                  <w:rFonts w:hint="eastAsia" w:ascii="仿宋" w:hAnsi="仿宋" w:eastAsia="仿宋" w:cs="仿宋"/>
                  <w:color w:val="auto"/>
                  <w:sz w:val="24"/>
                  <w:highlight w:val="none"/>
                </w:rPr>
              </w:sdtEndPr>
              <w:sdtContent>
                <w:r>
                  <w:rPr>
                    <w:rFonts w:hint="eastAsia" w:ascii="仿宋" w:hAnsi="仿宋" w:eastAsia="仿宋" w:cs="仿宋"/>
                    <w:color w:val="auto"/>
                    <w:sz w:val="24"/>
                    <w:highlight w:val="none"/>
                  </w:rPr>
                  <w:t>☐</w:t>
                </w:r>
              </w:sdtContent>
            </w:sdt>
            <w:r>
              <w:rPr>
                <w:rFonts w:hint="eastAsia" w:ascii="仿宋" w:hAnsi="仿宋" w:eastAsia="仿宋" w:cs="仿宋"/>
                <w:color w:val="auto"/>
                <w:sz w:val="24"/>
                <w:highlight w:val="none"/>
              </w:rPr>
              <w:t>联合体投标的，联合体各方均需按招标文件第四部分评标标准要求提供资信证明文件，否则视为不符合相关要求。</w:t>
            </w:r>
          </w:p>
          <w:p>
            <w:pPr>
              <w:snapToGrid w:val="0"/>
              <w:spacing w:line="440" w:lineRule="exact"/>
              <w:rPr>
                <w:rFonts w:hint="eastAsia" w:ascii="仿宋" w:hAnsi="仿宋" w:eastAsia="仿宋" w:cs="仿宋"/>
                <w:color w:val="auto"/>
                <w:sz w:val="24"/>
                <w:highlight w:val="none"/>
              </w:rPr>
            </w:pPr>
            <w:sdt>
              <w:sdtPr>
                <w:rPr>
                  <w:rFonts w:hint="eastAsia" w:ascii="仿宋" w:hAnsi="仿宋" w:eastAsia="仿宋" w:cs="仿宋"/>
                  <w:color w:val="auto"/>
                  <w:sz w:val="24"/>
                  <w:highlight w:val="none"/>
                </w:rPr>
                <w:id w:val="-232311894"/>
              </w:sdtPr>
              <w:sdtEndPr>
                <w:rPr>
                  <w:rFonts w:hint="eastAsia" w:ascii="仿宋" w:hAnsi="仿宋" w:eastAsia="仿宋" w:cs="仿宋"/>
                  <w:color w:val="auto"/>
                  <w:sz w:val="24"/>
                  <w:highlight w:val="none"/>
                </w:rPr>
              </w:sdtEndPr>
              <w:sdtContent>
                <w:r>
                  <w:rPr>
                    <w:rFonts w:hint="eastAsia" w:ascii="仿宋" w:hAnsi="仿宋" w:eastAsia="仿宋" w:cs="仿宋"/>
                    <w:color w:val="auto"/>
                    <w:sz w:val="24"/>
                    <w:highlight w:val="none"/>
                  </w:rPr>
                  <w:sym w:font="Wingdings" w:char="F0FE"/>
                </w:r>
              </w:sdtContent>
            </w:sdt>
            <w:r>
              <w:rPr>
                <w:rFonts w:hint="eastAsia" w:ascii="仿宋" w:hAnsi="仿宋" w:eastAsia="仿宋" w:cs="仿宋"/>
                <w:color w:val="auto"/>
                <w:sz w:val="24"/>
                <w:highlight w:val="none"/>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1" w:type="dxa"/>
            <w:gridSpan w:val="2"/>
            <w:vAlign w:val="center"/>
          </w:tcPr>
          <w:p>
            <w:pPr>
              <w:spacing w:line="34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采购代理服务费：</w:t>
            </w:r>
          </w:p>
          <w:p>
            <w:pPr>
              <w:spacing w:line="3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pacing w:line="3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（1）按《招标代理服务收费管理暂行办法》计价格[2002]1980号文和发改价格[2011]534号文件收费标准*60%计取，不足2000元按2000元计取，超过15000元按15000元计取。</w:t>
            </w:r>
          </w:p>
          <w:p>
            <w:pPr>
              <w:spacing w:line="3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（2）招标代理服务费的交纳方式：</w:t>
            </w:r>
          </w:p>
          <w:p>
            <w:pPr>
              <w:spacing w:line="3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用银行支票、汇票、电汇、现金等付款方式直接交纳招标代理服务费。</w:t>
            </w:r>
          </w:p>
          <w:p>
            <w:pPr>
              <w:spacing w:line="3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公司名称：华诚工程咨询集团有限公司</w:t>
            </w:r>
          </w:p>
          <w:p>
            <w:pPr>
              <w:spacing w:line="3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开户行：上海浦东发展银行股份有限公司杭州和睦支行</w:t>
            </w:r>
          </w:p>
          <w:p>
            <w:pPr>
              <w:spacing w:line="3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号：95220078801100000315</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解释：凡涉及本招标文件的解释权属于采购人和本中心。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1"/>
    </w:tbl>
    <w:p>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1.4本招标文件所称公章是指单位法定名称章或者冠以法定名称的投标业务专用章或单位法定名称电子公章。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绍兴市人民医院（合同中的甲方），华诚工程咨询集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2.6“电子交易平台”是指本项目政府采购活动所依托的政府采购云平台（https://www.zcygov.cn/）。</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2.7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 w:val="24"/>
                <w:highlight w:val="none"/>
              </w:rPr>
              <w:id w:val="-232311894"/>
            </w:sdtPr>
            <w:sdtEndPr>
              <w:rPr>
                <w:rFonts w:hint="eastAsia" w:ascii="仿宋" w:hAnsi="仿宋" w:eastAsia="仿宋" w:cs="仿宋"/>
                <w:color w:val="auto"/>
                <w:sz w:val="24"/>
                <w:highlight w:val="none"/>
              </w:rPr>
            </w:sdtEndPr>
            <w:sdtContent>
              <w:r>
                <w:rPr>
                  <w:rFonts w:hint="eastAsia" w:ascii="仿宋" w:hAnsi="仿宋" w:eastAsia="仿宋" w:cs="仿宋"/>
                  <w:color w:val="auto"/>
                  <w:sz w:val="24"/>
                  <w:highlight w:val="none"/>
                </w:rPr>
                <w:sym w:font="Wingdings" w:char="F0FE"/>
              </w:r>
            </w:sdtContent>
          </w:sdt>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系指不适用本项目的要求。</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2.8因特殊原因需要使用冠以法定名称的业务专用章的，投标时须提供《业务专用章使用说明函》(详见附件)</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修缮、装修类项目采购建材的，采购人应将绿色建筑和绿色建材性能、指标等作为实质性条件纳入招标文件和合同。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3.3小微企业价格扣除（2022年7月1日至2022年12月31日期间发布采购公告或者发出采购邀请的货物、服务采购项目按照下列规定执行,到期后按财库〔2022]19号文件规定执行。）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3.3.1小微企业是指在中华人民共和国境内依法设立，依据国务院批准的中小企业划分标准确定的中型企业、小型企业和微型企业，但与大企业的负责人为同一人，或者与大企业存在直接控股、管理关系的除外。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符合中小企业划分标准的个体工商户，在政府采购活动中视同中小企业。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3.3.2在货物采购项目中，货物由小微企业制造，即货物由小微企业生产且使用该小微企业商号或者注册商标。供应商提供的货物既有中小企业制造货物，也有大型企业制造货物的，不享受中小企业扶持政策。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之规定赔偿采购人，且民事赔偿并不免除违法供应商的行政与刑事责任。</w:t>
      </w:r>
    </w:p>
    <w:p>
      <w:pPr>
        <w:snapToGrid w:val="0"/>
        <w:spacing w:before="120" w:beforeLines="50" w:after="12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18"/>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pStyle w:val="13"/>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3"/>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r>
        <w:rPr>
          <w:rFonts w:hint="eastAsia" w:ascii="仿宋" w:hAnsi="仿宋" w:eastAsia="仿宋" w:cs="仿宋"/>
          <w:color w:val="auto"/>
          <w:highlight w:val="none"/>
        </w:rPr>
        <w:t>中标人需支付政府采购代理服务费。</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pPr>
        <w:pStyle w:val="13"/>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pPr>
        <w:pStyle w:val="13"/>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pPr>
        <w:pStyle w:val="13"/>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pPr>
        <w:numPr>
          <w:ilvl w:val="0"/>
          <w:numId w:val="6"/>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snapToGrid w:val="0"/>
        <w:spacing w:line="440" w:lineRule="exact"/>
        <w:ind w:firstLine="472" w:firstLineChars="196"/>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投标文件由“报价文件资料”、“商务技术（资信）文件资料”两部分组成，其中</w:t>
      </w:r>
      <w:r>
        <w:rPr>
          <w:rFonts w:hint="eastAsia" w:ascii="仿宋" w:hAnsi="仿宋" w:eastAsia="仿宋" w:cs="仿宋"/>
          <w:b/>
          <w:color w:val="auto"/>
          <w:sz w:val="24"/>
          <w:highlight w:val="none"/>
        </w:rPr>
        <w:t>电子投标文件中所须加盖公章部分均应采用电子签章。</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pPr>
        <w:pStyle w:val="25"/>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2.1.3中小企业声明函（格式见第六部分附件）；</w:t>
      </w:r>
    </w:p>
    <w:p>
      <w:pPr>
        <w:pStyle w:val="25"/>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2.2.4供应商基本资格条件书面承诺函（格式见第六部分附件）；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2.2.5供应商特定资格条件（如项目要求）的有关证明材料（复印件）；</w:t>
      </w:r>
    </w:p>
    <w:p>
      <w:pPr>
        <w:tabs>
          <w:tab w:val="left" w:pos="3870"/>
          <w:tab w:val="left" w:pos="4085"/>
        </w:tabs>
        <w:snapToGrid w:val="0"/>
        <w:spacing w:line="44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pPr>
        <w:tabs>
          <w:tab w:val="left" w:pos="3870"/>
          <w:tab w:val="left" w:pos="4085"/>
        </w:tabs>
        <w:snapToGrid w:val="0"/>
        <w:spacing w:line="44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tabs>
          <w:tab w:val="left" w:pos="3870"/>
          <w:tab w:val="left" w:pos="4085"/>
        </w:tabs>
        <w:snapToGrid w:val="0"/>
        <w:spacing w:line="44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2.2.9投标人在投标文件技术偏离说明表中，</w:t>
      </w:r>
      <w:r>
        <w:rPr>
          <w:rFonts w:hint="eastAsia" w:ascii="仿宋" w:hAnsi="仿宋" w:eastAsia="仿宋" w:cs="仿宋"/>
          <w:color w:val="auto"/>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tabs>
          <w:tab w:val="left" w:pos="3870"/>
          <w:tab w:val="left" w:pos="4085"/>
        </w:tabs>
        <w:snapToGrid w:val="0"/>
        <w:spacing w:line="44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2.2.</w:t>
      </w:r>
      <w:r>
        <w:rPr>
          <w:rFonts w:hint="eastAsia" w:ascii="仿宋" w:hAnsi="仿宋" w:eastAsia="仿宋" w:cs="仿宋"/>
          <w:color w:val="auto"/>
          <w:sz w:val="24"/>
          <w:highlight w:val="none"/>
        </w:rPr>
        <w:t>10</w:t>
      </w:r>
      <w:r>
        <w:rPr>
          <w:rFonts w:hint="eastAsia" w:ascii="仿宋" w:hAnsi="仿宋" w:eastAsia="仿宋" w:cs="仿宋"/>
          <w:color w:val="auto"/>
          <w:sz w:val="24"/>
          <w:highlight w:val="none"/>
          <w:lang w:val="zh-CN"/>
        </w:rPr>
        <w:t>针对本项目建设的详细实施计划。本项目详细工作实施组织方案，包括(但不限于)以下内容：组织机构、工作时间进度表、工作程序和步骤、管理和协调方法、关键步骤的思路和要点。</w:t>
      </w:r>
    </w:p>
    <w:p>
      <w:pPr>
        <w:tabs>
          <w:tab w:val="left" w:pos="3870"/>
          <w:tab w:val="left" w:pos="4085"/>
        </w:tabs>
        <w:snapToGrid w:val="0"/>
        <w:spacing w:line="44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2.2.1</w:t>
      </w: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tabs>
          <w:tab w:val="left" w:pos="3870"/>
          <w:tab w:val="left" w:pos="4085"/>
        </w:tabs>
        <w:snapToGrid w:val="0"/>
        <w:spacing w:line="44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2.2.</w:t>
      </w:r>
      <w:r>
        <w:rPr>
          <w:rFonts w:hint="eastAsia" w:ascii="仿宋" w:hAnsi="仿宋" w:eastAsia="仿宋" w:cs="仿宋"/>
          <w:color w:val="auto"/>
          <w:sz w:val="24"/>
          <w:highlight w:val="none"/>
        </w:rPr>
        <w:t>12</w:t>
      </w:r>
      <w:r>
        <w:rPr>
          <w:rFonts w:hint="eastAsia" w:ascii="仿宋" w:hAnsi="仿宋" w:eastAsia="仿宋" w:cs="仿宋"/>
          <w:color w:val="auto"/>
          <w:sz w:val="24"/>
          <w:highlight w:val="none"/>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3870"/>
          <w:tab w:val="left" w:pos="4085"/>
        </w:tabs>
        <w:snapToGrid w:val="0"/>
        <w:spacing w:line="44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2.2.1</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tabs>
          <w:tab w:val="left" w:pos="3870"/>
          <w:tab w:val="left" w:pos="4085"/>
        </w:tabs>
        <w:snapToGrid w:val="0"/>
        <w:spacing w:line="44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2.2.14</w:t>
      </w:r>
      <w:r>
        <w:rPr>
          <w:rFonts w:hint="eastAsia" w:ascii="仿宋" w:hAnsi="仿宋" w:eastAsia="仿宋" w:cs="仿宋"/>
          <w:color w:val="auto"/>
          <w:sz w:val="24"/>
          <w:highlight w:val="none"/>
          <w:lang w:val="zh-CN"/>
        </w:rPr>
        <w:t>培训计划（如有）；</w:t>
      </w:r>
    </w:p>
    <w:p>
      <w:pPr>
        <w:tabs>
          <w:tab w:val="left" w:pos="3870"/>
          <w:tab w:val="left" w:pos="4085"/>
        </w:tabs>
        <w:snapToGrid w:val="0"/>
        <w:spacing w:line="44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2.2.15验收方案；</w:t>
      </w:r>
    </w:p>
    <w:p>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2.2.16</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2.2.17廉政承诺书</w:t>
      </w:r>
      <w:r>
        <w:rPr>
          <w:rFonts w:hint="eastAsia" w:ascii="仿宋" w:hAnsi="仿宋" w:eastAsia="仿宋" w:cs="仿宋"/>
          <w:color w:val="auto"/>
          <w:sz w:val="24"/>
          <w:highlight w:val="none"/>
        </w:rPr>
        <w:t>（格式见第六部分附件）；</w:t>
      </w:r>
    </w:p>
    <w:p>
      <w:pPr>
        <w:pStyle w:val="19"/>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2.2.18联合协议（如有）；</w:t>
      </w:r>
    </w:p>
    <w:p>
      <w:pPr>
        <w:pStyle w:val="19"/>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2.2.19分包意向协议（如有）；</w:t>
      </w:r>
    </w:p>
    <w:p>
      <w:pPr>
        <w:pStyle w:val="19"/>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2.2.20中小企业声明函；</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2.2.21</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pPr>
        <w:pStyle w:val="19"/>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2.2.22投标人需要说明的其他文件和说明（格式自拟）。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0"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3.投标报价</w:t>
      </w:r>
    </w:p>
    <w:p>
      <w:pPr>
        <w:pStyle w:val="24"/>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i/>
          <w:color w:val="auto"/>
          <w:sz w:val="24"/>
          <w:highlight w:val="none"/>
        </w:rPr>
        <w:t>投标报价只允许有一个报价，有选择的报价将不予接受（除指定外）。</w:t>
      </w:r>
    </w:p>
    <w:p>
      <w:pPr>
        <w:pStyle w:val="13"/>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pPr>
        <w:pStyle w:val="13"/>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pPr>
        <w:pStyle w:val="13"/>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pPr>
        <w:pStyle w:val="13"/>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4.3投标人可拒绝接受延期要求而不会导致投标保证金被没收。同意延长有效期的投标人不能修改投标文件。</w:t>
      </w:r>
    </w:p>
    <w:p>
      <w:pPr>
        <w:snapToGrid w:val="0"/>
        <w:spacing w:line="440" w:lineRule="exact"/>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5.投标文件的规定</w:t>
      </w:r>
    </w:p>
    <w:p>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5.1投标文件由“商务技术（资信）文件资料”、“报价文件资料”两部分文件组成，应按统一格式填写。</w:t>
      </w:r>
    </w:p>
    <w:p>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5.2投标文件须按附件格式要求进行电子签章，投标人应写全称。</w:t>
      </w:r>
    </w:p>
    <w:p>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5.3投标文件不得涂改，若有修改错漏处，须加盖单位公章（或电子签章）或者法定代表人或其授权代表签字或盖章。</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5.4投标文件因字迹潦草或表达不清所引起的后果由投标人负责。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5.5投标人应认真阅读招标文件中所有的内容。如果投标人编制的投标文件实质上不响应招标文件的要求，其投标文件将被招标人拒绝。</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6.投标文件的提交</w:t>
      </w:r>
    </w:p>
    <w:p>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投标人应按“招标公告”规定的时间、方式将投标文件提交给采购机构，</w:t>
      </w:r>
      <w:r>
        <w:rPr>
          <w:rFonts w:hint="eastAsia" w:ascii="仿宋" w:hAnsi="仿宋" w:eastAsia="仿宋" w:cs="仿宋"/>
          <w:b/>
          <w:color w:val="auto"/>
          <w:sz w:val="24"/>
          <w:highlight w:val="none"/>
        </w:rPr>
        <w:t>采购机构将拒绝接受逾期提交的投标文件。</w:t>
      </w:r>
    </w:p>
    <w:p>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w:t>
      </w:r>
      <w:r>
        <w:rPr>
          <w:rFonts w:hint="eastAsia" w:ascii="仿宋" w:hAnsi="仿宋" w:eastAsia="仿宋" w:cs="仿宋"/>
          <w:b/>
          <w:color w:val="auto"/>
          <w:kern w:val="0"/>
          <w:sz w:val="24"/>
          <w:highlight w:val="none"/>
        </w:rPr>
        <w:t>投标文件的补充和修改</w:t>
      </w:r>
    </w:p>
    <w:p>
      <w:pPr>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w:t>
      </w:r>
      <w:r>
        <w:rPr>
          <w:rFonts w:hint="eastAsia" w:ascii="仿宋" w:hAnsi="仿宋" w:eastAsia="仿宋" w:cs="仿宋"/>
          <w:color w:val="auto"/>
          <w:sz w:val="24"/>
          <w:highlight w:val="none"/>
          <w:lang w:val="en-US" w:eastAsia="zh-CN"/>
        </w:rPr>
        <w:t>五</w:t>
      </w:r>
      <w:r>
        <w:rPr>
          <w:rFonts w:hint="eastAsia" w:ascii="仿宋" w:hAnsi="仿宋" w:eastAsia="仿宋" w:cs="仿宋"/>
          <w:color w:val="auto"/>
          <w:sz w:val="24"/>
          <w:highlight w:val="none"/>
        </w:rPr>
        <w:t>人以上单数。</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3.6评</w:t>
      </w:r>
      <w:r>
        <w:rPr>
          <w:rFonts w:hint="eastAsia" w:ascii="仿宋" w:hAnsi="仿宋" w:eastAsia="仿宋" w:cs="仿宋"/>
          <w:color w:val="auto"/>
          <w:sz w:val="24"/>
          <w:highlight w:val="none"/>
        </w:rPr>
        <w:t>标委员会</w:t>
      </w:r>
      <w:r>
        <w:rPr>
          <w:rFonts w:hint="eastAsia" w:ascii="仿宋" w:hAnsi="仿宋" w:eastAsia="仿宋" w:cs="仿宋"/>
          <w:color w:val="auto"/>
          <w:kern w:val="0"/>
          <w:sz w:val="24"/>
          <w:highlight w:val="none"/>
        </w:rPr>
        <w:t>对投标文件的判定，只依据投标文件和招标文件内容本身，不依据任何外来证明。</w:t>
      </w:r>
    </w:p>
    <w:p>
      <w:pPr>
        <w:widowControl/>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 《政府采购货物和服务招标投标管理办法》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w:t>
      </w:r>
      <w:r>
        <w:rPr>
          <w:rFonts w:hint="eastAsia" w:ascii="仿宋" w:hAnsi="仿宋" w:eastAsia="仿宋" w:cs="仿宋"/>
          <w:color w:val="auto"/>
          <w:sz w:val="24"/>
          <w:highlight w:val="none"/>
          <w:lang w:val="en-US" w:eastAsia="zh-CN"/>
        </w:rPr>
        <w:t>管理</w:t>
      </w:r>
      <w:r>
        <w:rPr>
          <w:rFonts w:hint="eastAsia" w:ascii="仿宋" w:hAnsi="仿宋" w:eastAsia="仿宋" w:cs="仿宋"/>
          <w:color w:val="auto"/>
          <w:sz w:val="24"/>
          <w:highlight w:val="none"/>
        </w:rPr>
        <w:t>办法》规定，对于非专门面向中小企业的项目，对小型和微型企业产品的价格给予一定的扣除，用扣除后的价格参与评审。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6.8评标委员会依据招标文件规定的评标标准和方法，对投标文件进行评审和比较后，向本中心提供书面评标报告，并按得分高低排序推荐中标候选供应商。</w:t>
      </w:r>
    </w:p>
    <w:p>
      <w:pPr>
        <w:pStyle w:val="13"/>
        <w:widowControl w:val="0"/>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3"/>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8.5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8.6《法定代表人授权委托书》或《法定代表人身份证明书》填写不全、错误、</w:t>
      </w:r>
      <w:r>
        <w:rPr>
          <w:rFonts w:hint="eastAsia" w:ascii="仿宋" w:hAnsi="仿宋" w:eastAsia="仿宋" w:cs="仿宋"/>
          <w:b/>
          <w:color w:val="auto"/>
          <w:kern w:val="0"/>
          <w:sz w:val="24"/>
          <w:highlight w:val="none"/>
        </w:rPr>
        <w:t>未电子签章(《法定代表人授权委托书》要求“电子签章”和“签字或盖章”缺一不可）的；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8.9报</w:t>
      </w:r>
      <w:r>
        <w:rPr>
          <w:rFonts w:hint="eastAsia" w:ascii="仿宋" w:hAnsi="仿宋" w:eastAsia="仿宋" w:cs="仿宋"/>
          <w:b/>
          <w:color w:val="auto"/>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8.10</w:t>
      </w:r>
      <w:r>
        <w:rPr>
          <w:rFonts w:hint="eastAsia" w:ascii="仿宋" w:hAnsi="仿宋" w:eastAsia="仿宋" w:cs="仿宋"/>
          <w:b/>
          <w:color w:val="auto"/>
          <w:sz w:val="24"/>
          <w:highlight w:val="none"/>
        </w:rPr>
        <w:t>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pPr>
        <w:pStyle w:val="2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8.11出现同一标的物或本次招标产品(服务)内的主要产品(重要组成部分)出现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pPr>
        <w:pStyle w:val="2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8.12《技</w:t>
      </w:r>
      <w:r>
        <w:rPr>
          <w:rFonts w:hint="eastAsia" w:ascii="仿宋" w:hAnsi="仿宋" w:eastAsia="仿宋" w:cs="仿宋"/>
          <w:b/>
          <w:color w:val="auto"/>
          <w:sz w:val="24"/>
          <w:highlight w:val="none"/>
        </w:rPr>
        <w:t>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8.13投</w:t>
      </w:r>
      <w:r>
        <w:rPr>
          <w:rFonts w:hint="eastAsia" w:ascii="仿宋" w:hAnsi="仿宋" w:eastAsia="仿宋" w:cs="仿宋"/>
          <w:b/>
          <w:color w:val="auto"/>
          <w:kern w:val="0"/>
          <w:sz w:val="24"/>
          <w:highlight w:val="none"/>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8.14评</w:t>
      </w:r>
      <w:r>
        <w:rPr>
          <w:rFonts w:hint="eastAsia" w:ascii="仿宋" w:hAnsi="仿宋" w:eastAsia="仿宋" w:cs="仿宋"/>
          <w:b/>
          <w:color w:val="auto"/>
          <w:sz w:val="24"/>
          <w:highlight w:val="none"/>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8.22.2供应商按照采购人或者采购机构的授意撤换、修改投标文件或者响应文件；</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8.22.3供应商之间协商报价、技术方案等投标文件或者响应文件的实质性内容；</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8.22.4属于同一集团、协会、商会等组织成员的供应商按照该组织要求协同参加政府采购活动；</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8.22.5供应商之间事先约定由某一特定供应商中标、成交；</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8.23</w:t>
      </w:r>
      <w:r>
        <w:rPr>
          <w:rFonts w:hint="eastAsia" w:ascii="仿宋" w:hAnsi="仿宋" w:eastAsia="仿宋" w:cs="仿宋"/>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spacing w:line="440" w:lineRule="exact"/>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pStyle w:val="24"/>
        <w:spacing w:line="800" w:lineRule="exact"/>
        <w:ind w:firstLine="726"/>
        <w:jc w:val="center"/>
        <w:rPr>
          <w:rFonts w:hint="eastAsia" w:ascii="仿宋" w:hAnsi="仿宋" w:eastAsia="仿宋" w:cs="仿宋"/>
          <w:b/>
          <w:color w:val="auto"/>
          <w:sz w:val="36"/>
          <w:szCs w:val="36"/>
          <w:highlight w:val="none"/>
        </w:rPr>
      </w:pPr>
      <w:bookmarkStart w:id="2" w:name="_Toc81372953"/>
      <w:bookmarkStart w:id="3" w:name="_Toc84325929"/>
      <w:bookmarkStart w:id="4" w:name="_Toc81372776"/>
      <w:r>
        <w:rPr>
          <w:rFonts w:hint="eastAsia" w:ascii="仿宋" w:hAnsi="仿宋" w:eastAsia="仿宋" w:cs="仿宋"/>
          <w:b/>
          <w:color w:val="auto"/>
          <w:sz w:val="36"/>
          <w:szCs w:val="36"/>
          <w:highlight w:val="none"/>
        </w:rPr>
        <w:t>五、授予合同</w:t>
      </w:r>
    </w:p>
    <w:p>
      <w:pPr>
        <w:pStyle w:val="13"/>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bookmarkEnd w:id="2"/>
    <w:bookmarkEnd w:id="3"/>
    <w:bookmarkEnd w:id="4"/>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pStyle w:val="154"/>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Style w:val="50"/>
          <w:rFonts w:hint="eastAsia" w:ascii="仿宋" w:hAnsi="仿宋" w:eastAsia="仿宋" w:cs="仿宋"/>
          <w:color w:val="auto"/>
          <w:kern w:val="0"/>
          <w:highlight w:val="none"/>
        </w:rPr>
        <w:t>http://zfcg.czt.zj.gov.cn/</w:t>
      </w:r>
      <w:r>
        <w:rPr>
          <w:rStyle w:val="50"/>
          <w:rFonts w:hint="eastAsia" w:ascii="仿宋" w:hAnsi="仿宋" w:eastAsia="仿宋" w:cs="仿宋"/>
          <w:color w:val="auto"/>
          <w:kern w:val="0"/>
          <w:highlight w:val="none"/>
        </w:rPr>
        <w:fldChar w:fldCharType="end"/>
      </w:r>
      <w:r>
        <w:rPr>
          <w:rFonts w:hint="eastAsia" w:ascii="仿宋" w:hAnsi="仿宋" w:eastAsia="仿宋" w:cs="仿宋"/>
          <w:color w:val="auto"/>
          <w:kern w:val="0"/>
          <w:highlight w:val="none"/>
        </w:rPr>
        <w:t>、绍兴公共资源交易网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"http://ggb.sx.gov.cn" </w:instrText>
      </w:r>
      <w:r>
        <w:rPr>
          <w:rFonts w:hint="eastAsia" w:ascii="仿宋" w:hAnsi="仿宋" w:eastAsia="仿宋" w:cs="仿宋"/>
          <w:color w:val="auto"/>
          <w:highlight w:val="none"/>
        </w:rPr>
        <w:fldChar w:fldCharType="separate"/>
      </w:r>
      <w:r>
        <w:rPr>
          <w:rStyle w:val="50"/>
          <w:rFonts w:hint="eastAsia" w:ascii="仿宋" w:hAnsi="仿宋" w:eastAsia="仿宋" w:cs="仿宋"/>
          <w:color w:val="auto"/>
          <w:highlight w:val="none"/>
        </w:rPr>
        <w:t>http://ggb.sx.gov.cn</w:t>
      </w:r>
      <w:r>
        <w:rPr>
          <w:rStyle w:val="50"/>
          <w:rFonts w:hint="eastAsia" w:ascii="仿宋" w:hAnsi="仿宋" w:eastAsia="仿宋" w:cs="仿宋"/>
          <w:color w:val="auto"/>
          <w:highlight w:val="none"/>
        </w:rPr>
        <w:fldChar w:fldCharType="end"/>
      </w:r>
      <w:r>
        <w:rPr>
          <w:rFonts w:hint="eastAsia" w:ascii="仿宋" w:hAnsi="仿宋" w:eastAsia="仿宋" w:cs="仿宋"/>
          <w:color w:val="auto"/>
          <w:kern w:val="0"/>
          <w:highlight w:val="none"/>
        </w:rPr>
        <w:t>）发布中标公告，中标公告期限为1个工作日。</w:t>
      </w:r>
    </w:p>
    <w:p>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，通过电子交易平台进行备案。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pPr>
        <w:pStyle w:val="24"/>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8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pPr>
        <w:pStyle w:val="70"/>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1.设备（材料）要求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pPr>
        <w:pStyle w:val="70"/>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2.数量调整</w:t>
      </w:r>
    </w:p>
    <w:p>
      <w:pPr>
        <w:pStyle w:val="70"/>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招标人保留在签约时调整部分方案及定购设备数量和服务的权力，投标人应对系统方案中设备和服务明细报价，按投标单价不变的前提下进行调整，双方不得拒绝。</w:t>
      </w:r>
    </w:p>
    <w:p>
      <w:pPr>
        <w:pStyle w:val="70"/>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如遇本次招标没有涉及的设备或服务时，由中标人提供申请，招标人确认后实施。</w:t>
      </w:r>
    </w:p>
    <w:p>
      <w:pPr>
        <w:pStyle w:val="70"/>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3.安装及调试、验收</w:t>
      </w:r>
    </w:p>
    <w:p>
      <w:pPr>
        <w:pStyle w:val="70"/>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pPr>
        <w:pStyle w:val="70"/>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4.技术培训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pPr>
        <w:pStyle w:val="19"/>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4.4.1原理、构成和功能的描述。</w:t>
      </w:r>
    </w:p>
    <w:p>
      <w:pPr>
        <w:pStyle w:val="19"/>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4.4.2常见故障的处理或排除。</w:t>
      </w:r>
    </w:p>
    <w:p>
      <w:pPr>
        <w:pStyle w:val="19"/>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4.4.3各系统部件（设备）的检查、调整和维护。</w:t>
      </w:r>
    </w:p>
    <w:p>
      <w:pPr>
        <w:pStyle w:val="19"/>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4.4.4对使用者关于设备基本操作技能的培训。</w:t>
      </w:r>
    </w:p>
    <w:p>
      <w:pPr>
        <w:pStyle w:val="19"/>
        <w:widowControl w:val="0"/>
        <w:tabs>
          <w:tab w:val="clear" w:pos="482"/>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5.售后服务</w:t>
      </w:r>
    </w:p>
    <w:p>
      <w:pPr>
        <w:pStyle w:val="2"/>
        <w:spacing w:line="440" w:lineRule="exact"/>
        <w:ind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w:t>
      </w:r>
      <w:r>
        <w:rPr>
          <w:rFonts w:hint="eastAsia" w:ascii="仿宋" w:hAnsi="仿宋" w:eastAsia="仿宋" w:cs="仿宋"/>
          <w:b/>
          <w:color w:val="auto"/>
          <w:sz w:val="24"/>
          <w:highlight w:val="none"/>
          <w:u w:val="single"/>
        </w:rPr>
        <w:t>绍兴附近</w:t>
      </w:r>
      <w:r>
        <w:rPr>
          <w:rFonts w:hint="eastAsia" w:ascii="仿宋" w:hAnsi="仿宋" w:eastAsia="仿宋" w:cs="仿宋"/>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color w:val="auto"/>
          <w:kern w:val="0"/>
          <w:sz w:val="24"/>
          <w:highlight w:val="none"/>
          <w:u w:val="wave"/>
        </w:rPr>
      </w:pPr>
      <w:r>
        <w:rPr>
          <w:rFonts w:hint="eastAsia" w:ascii="仿宋" w:hAnsi="仿宋" w:eastAsia="仿宋" w:cs="仿宋"/>
          <w:b/>
          <w:color w:val="auto"/>
          <w:sz w:val="24"/>
          <w:highlight w:val="none"/>
        </w:rPr>
        <w:t>6. 服务要求</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pPr>
        <w:numPr>
          <w:ilvl w:val="0"/>
          <w:numId w:val="7"/>
        </w:numPr>
        <w:snapToGrid w:val="0"/>
        <w:spacing w:line="440" w:lineRule="exact"/>
        <w:jc w:val="left"/>
        <w:rPr>
          <w:rFonts w:hint="eastAsia" w:ascii="仿宋" w:hAnsi="仿宋" w:eastAsia="仿宋" w:cs="仿宋"/>
          <w:b/>
          <w:color w:val="auto"/>
          <w:sz w:val="24"/>
          <w:highlight w:val="none"/>
        </w:rPr>
      </w:pPr>
      <w:bookmarkStart w:id="5" w:name="_Toc151354173"/>
      <w:bookmarkStart w:id="6" w:name="_Toc84325981"/>
      <w:bookmarkStart w:id="7" w:name="_Toc81372787"/>
      <w:bookmarkStart w:id="8" w:name="_Toc80157775"/>
      <w:bookmarkStart w:id="9" w:name="_Toc81372964"/>
      <w:r>
        <w:rPr>
          <w:rFonts w:hint="eastAsia" w:ascii="仿宋" w:hAnsi="仿宋" w:eastAsia="仿宋" w:cs="仿宋"/>
          <w:b/>
          <w:color w:val="auto"/>
          <w:sz w:val="24"/>
          <w:highlight w:val="none"/>
        </w:rPr>
        <w:t>招标项目设备名称及数量：</w:t>
      </w:r>
    </w:p>
    <w:p>
      <w:pPr>
        <w:pStyle w:val="52"/>
        <w:ind w:firstLine="0" w:firstLineChars="0"/>
        <w:rPr>
          <w:rFonts w:hint="eastAsia" w:ascii="仿宋" w:hAnsi="仿宋" w:eastAsia="仿宋" w:cs="仿宋"/>
          <w:color w:val="auto"/>
          <w:highlight w:val="none"/>
          <w:lang w:val="en-US"/>
        </w:rPr>
      </w:pPr>
      <w:r>
        <w:rPr>
          <w:rFonts w:hint="eastAsia" w:ascii="仿宋" w:hAnsi="仿宋" w:eastAsia="仿宋" w:cs="仿宋"/>
          <w:color w:val="auto"/>
          <w:highlight w:val="none"/>
          <w:bdr w:val="single" w:color="auto" w:sz="4" w:space="0"/>
          <w:lang w:val="en-US"/>
        </w:rPr>
        <w:t xml:space="preserve">01标 </w:t>
      </w:r>
      <w:r>
        <w:rPr>
          <w:rFonts w:hint="eastAsia" w:ascii="仿宋" w:hAnsi="仿宋" w:eastAsia="仿宋" w:cs="仿宋"/>
          <w:color w:val="auto"/>
          <w:highlight w:val="none"/>
          <w:lang w:val="en-US"/>
        </w:rPr>
        <w:t>绍兴市人民医院救护车采购项目   上限金额：70万</w:t>
      </w:r>
    </w:p>
    <w:p>
      <w:pPr>
        <w:pStyle w:val="52"/>
        <w:ind w:firstLine="0" w:firstLineChars="0"/>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一 救护车招标参数</w:t>
      </w:r>
    </w:p>
    <w:p>
      <w:pPr>
        <w:pStyle w:val="2"/>
        <w:rPr>
          <w:rFonts w:hint="eastAsia" w:ascii="仿宋" w:hAnsi="仿宋" w:eastAsia="仿宋" w:cs="仿宋"/>
          <w:color w:val="auto"/>
          <w:highlight w:val="none"/>
        </w:rPr>
      </w:pPr>
      <w:r>
        <w:rPr>
          <w:rFonts w:hint="eastAsia" w:ascii="仿宋" w:hAnsi="仿宋" w:eastAsia="仿宋" w:cs="仿宋"/>
          <w:color w:val="auto"/>
          <w:szCs w:val="21"/>
          <w:highlight w:val="none"/>
        </w:rPr>
        <w:t>★为</w:t>
      </w:r>
      <w:r>
        <w:rPr>
          <w:rFonts w:hint="eastAsia" w:ascii="仿宋" w:hAnsi="仿宋" w:eastAsia="仿宋" w:cs="仿宋"/>
          <w:color w:val="auto"/>
          <w:szCs w:val="21"/>
          <w:highlight w:val="none"/>
        </w:rPr>
        <w:t>不可偏离项</w:t>
      </w:r>
    </w:p>
    <w:tbl>
      <w:tblPr>
        <w:tblStyle w:val="43"/>
        <w:tblW w:w="9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1911"/>
        <w:gridCol w:w="6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序号</w:t>
            </w:r>
          </w:p>
        </w:tc>
        <w:tc>
          <w:tcPr>
            <w:tcW w:w="1911" w:type="dxa"/>
            <w:tcBorders>
              <w:top w:val="single" w:color="auto" w:sz="4" w:space="0"/>
              <w:left w:val="single" w:color="auto" w:sz="4" w:space="0"/>
              <w:bottom w:val="single" w:color="auto" w:sz="4" w:space="0"/>
              <w:right w:val="single" w:color="auto" w:sz="4" w:space="0"/>
            </w:tcBorders>
            <w:vAlign w:val="center"/>
          </w:tcPr>
          <w:p>
            <w:pPr>
              <w:tabs>
                <w:tab w:val="left" w:pos="631"/>
                <w:tab w:val="left" w:pos="1891"/>
                <w:tab w:val="left" w:pos="9394"/>
              </w:tabs>
              <w:snapToGrid w:val="0"/>
              <w:spacing w:line="276" w:lineRule="auto"/>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货物名称</w:t>
            </w:r>
          </w:p>
        </w:tc>
        <w:tc>
          <w:tcPr>
            <w:tcW w:w="6151" w:type="dxa"/>
            <w:tcBorders>
              <w:top w:val="single" w:color="auto" w:sz="4" w:space="0"/>
              <w:left w:val="single" w:color="auto" w:sz="4" w:space="0"/>
              <w:bottom w:val="single" w:color="auto" w:sz="4" w:space="0"/>
              <w:right w:val="single" w:color="auto" w:sz="4" w:space="0"/>
            </w:tcBorders>
            <w:vAlign w:val="center"/>
          </w:tcPr>
          <w:p>
            <w:pPr>
              <w:tabs>
                <w:tab w:val="left" w:pos="631"/>
                <w:tab w:val="left" w:pos="1891"/>
                <w:tab w:val="left" w:pos="9394"/>
              </w:tabs>
              <w:snapToGrid w:val="0"/>
              <w:spacing w:line="276" w:lineRule="auto"/>
              <w:jc w:val="center"/>
              <w:rPr>
                <w:rFonts w:hint="eastAsia" w:ascii="仿宋" w:hAnsi="仿宋" w:eastAsia="仿宋" w:cs="仿宋"/>
                <w:b/>
                <w:bCs/>
                <w:color w:val="auto"/>
                <w:kern w:val="0"/>
                <w:szCs w:val="21"/>
                <w:highlight w:val="none"/>
              </w:rPr>
            </w:pPr>
            <w:r>
              <w:rPr>
                <w:rFonts w:hint="eastAsia" w:ascii="仿宋" w:hAnsi="仿宋" w:eastAsia="仿宋" w:cs="仿宋"/>
                <w:b/>
                <w:color w:val="auto"/>
                <w:kern w:val="0"/>
                <w:szCs w:val="21"/>
                <w:highlight w:val="none"/>
              </w:rPr>
              <w:t>技术规格要求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整车基本要求</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投标车型主要功能为转运、救治和监护病人的专用救护车，基础车型满足操控性能好、动力强等要求，适合院前急救的需要。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1.2</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应提供急救车设计图、改装布线线路图、车内医疗设备配置图。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车辆技术要求</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主要参数</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外形尺寸</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5850mm</w:t>
            </w:r>
            <w:r>
              <w:rPr>
                <w:rFonts w:hint="eastAsia" w:ascii="仿宋" w:hAnsi="仿宋" w:eastAsia="仿宋" w:cs="仿宋"/>
                <w:color w:val="auto"/>
                <w:szCs w:val="21"/>
                <w:highlight w:val="none"/>
              </w:rPr>
              <w:t>≥长≥</w:t>
            </w:r>
            <w:r>
              <w:rPr>
                <w:rFonts w:hint="eastAsia" w:ascii="仿宋" w:hAnsi="仿宋" w:eastAsia="仿宋" w:cs="仿宋"/>
                <w:color w:val="auto"/>
                <w:szCs w:val="21"/>
                <w:highlight w:val="none"/>
              </w:rPr>
              <w:t>5800mm</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000mm</w:t>
            </w:r>
            <w:r>
              <w:rPr>
                <w:rFonts w:hint="eastAsia" w:ascii="仿宋" w:hAnsi="仿宋" w:eastAsia="仿宋" w:cs="仿宋"/>
                <w:color w:val="auto"/>
                <w:szCs w:val="21"/>
                <w:highlight w:val="none"/>
              </w:rPr>
              <w:t>≥宽≥19</w:t>
            </w:r>
            <w:r>
              <w:rPr>
                <w:rFonts w:hint="eastAsia" w:ascii="仿宋" w:hAnsi="仿宋" w:eastAsia="仿宋" w:cs="仿宋"/>
                <w:color w:val="auto"/>
                <w:szCs w:val="21"/>
                <w:highlight w:val="none"/>
              </w:rPr>
              <w:t>00mm</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2660mm</w:t>
            </w:r>
            <w:r>
              <w:rPr>
                <w:rFonts w:hint="eastAsia" w:ascii="仿宋" w:hAnsi="仿宋" w:eastAsia="仿宋" w:cs="仿宋"/>
                <w:color w:val="auto"/>
                <w:szCs w:val="21"/>
                <w:highlight w:val="none"/>
              </w:rPr>
              <w:t>≥高≥</w:t>
            </w:r>
            <w:r>
              <w:rPr>
                <w:rFonts w:hint="eastAsia" w:ascii="仿宋" w:hAnsi="仿宋" w:eastAsia="仿宋" w:cs="仿宋"/>
                <w:color w:val="auto"/>
                <w:szCs w:val="21"/>
                <w:highlight w:val="none"/>
              </w:rPr>
              <w:t>2590mm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医疗舱尺度</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3300mm</w:t>
            </w:r>
            <w:r>
              <w:rPr>
                <w:rFonts w:hint="eastAsia" w:ascii="仿宋" w:hAnsi="仿宋" w:eastAsia="仿宋" w:cs="仿宋"/>
                <w:color w:val="auto"/>
                <w:szCs w:val="21"/>
                <w:highlight w:val="none"/>
              </w:rPr>
              <w:t>≥长≥</w:t>
            </w:r>
            <w:r>
              <w:rPr>
                <w:rFonts w:hint="eastAsia" w:ascii="仿宋" w:hAnsi="仿宋" w:eastAsia="仿宋" w:cs="仿宋"/>
                <w:color w:val="auto"/>
                <w:szCs w:val="21"/>
                <w:highlight w:val="none"/>
              </w:rPr>
              <w:t>3200mm</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1800mm</w:t>
            </w:r>
            <w:r>
              <w:rPr>
                <w:rFonts w:hint="eastAsia" w:ascii="仿宋" w:hAnsi="仿宋" w:eastAsia="仿宋" w:cs="仿宋"/>
                <w:color w:val="auto"/>
                <w:szCs w:val="21"/>
                <w:highlight w:val="none"/>
              </w:rPr>
              <w:t>≥宽≥</w:t>
            </w:r>
            <w:r>
              <w:rPr>
                <w:rFonts w:hint="eastAsia" w:ascii="仿宋" w:hAnsi="仿宋" w:eastAsia="仿宋" w:cs="仿宋"/>
                <w:color w:val="auto"/>
                <w:szCs w:val="21"/>
                <w:highlight w:val="none"/>
              </w:rPr>
              <w:t>1700mm</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1900mm</w:t>
            </w:r>
            <w:r>
              <w:rPr>
                <w:rFonts w:hint="eastAsia" w:ascii="仿宋" w:hAnsi="仿宋" w:eastAsia="仿宋" w:cs="仿宋"/>
                <w:color w:val="auto"/>
                <w:szCs w:val="21"/>
                <w:highlight w:val="none"/>
              </w:rPr>
              <w:t>≥高≥</w:t>
            </w:r>
            <w:r>
              <w:rPr>
                <w:rFonts w:hint="eastAsia" w:ascii="仿宋" w:hAnsi="仿宋" w:eastAsia="仿宋" w:cs="仿宋"/>
                <w:color w:val="auto"/>
                <w:szCs w:val="21"/>
                <w:highlight w:val="none"/>
              </w:rPr>
              <w:t>1850mm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3</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轴距</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≥3750</w:t>
            </w:r>
            <w:r>
              <w:rPr>
                <w:rFonts w:hint="eastAsia" w:ascii="仿宋" w:hAnsi="仿宋" w:eastAsia="仿宋" w:cs="仿宋"/>
                <w:color w:val="auto"/>
                <w:szCs w:val="21"/>
                <w:highlight w:val="none"/>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4</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最高时速</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14</w:t>
            </w:r>
            <w:r>
              <w:rPr>
                <w:rFonts w:hint="eastAsia" w:ascii="仿宋" w:hAnsi="仿宋" w:eastAsia="仿宋" w:cs="仿宋"/>
                <w:color w:val="auto"/>
                <w:szCs w:val="21"/>
                <w:highlight w:val="none"/>
              </w:rPr>
              <w:t>5</w:t>
            </w:r>
            <w:r>
              <w:rPr>
                <w:rFonts w:hint="eastAsia" w:ascii="仿宋" w:hAnsi="仿宋" w:eastAsia="仿宋" w:cs="仿宋"/>
                <w:color w:val="auto"/>
                <w:szCs w:val="21"/>
                <w:highlight w:val="none"/>
              </w:rPr>
              <w:t>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5</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救护车装备质量</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≤2750</w:t>
            </w:r>
            <w:r>
              <w:rPr>
                <w:rFonts w:hint="eastAsia" w:ascii="仿宋" w:hAnsi="仿宋" w:eastAsia="仿宋" w:cs="仿宋"/>
                <w:color w:val="auto"/>
                <w:szCs w:val="21"/>
                <w:highlight w:val="none"/>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6</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总质量</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≥3700</w:t>
            </w:r>
            <w:r>
              <w:rPr>
                <w:rFonts w:hint="eastAsia" w:ascii="仿宋" w:hAnsi="仿宋" w:eastAsia="仿宋" w:cs="仿宋"/>
                <w:color w:val="auto"/>
                <w:szCs w:val="21"/>
                <w:highlight w:val="none"/>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2.1.7</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最小离地间隙</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≥195</w:t>
            </w:r>
            <w:r>
              <w:rPr>
                <w:rFonts w:hint="eastAsia" w:ascii="仿宋" w:hAnsi="仿宋" w:eastAsia="仿宋" w:cs="仿宋"/>
                <w:color w:val="auto"/>
                <w:szCs w:val="21"/>
                <w:highlight w:val="none"/>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2.1.8</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变速器</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6档手动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发动机</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排量</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燃油</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3</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额定功率</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100kw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.4</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最大扭矩</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≥360</w:t>
            </w:r>
            <w:r>
              <w:rPr>
                <w:rFonts w:hint="eastAsia" w:ascii="仿宋" w:hAnsi="仿宋" w:eastAsia="仿宋" w:cs="仿宋"/>
                <w:color w:val="auto"/>
                <w:szCs w:val="21"/>
                <w:highlight w:val="none"/>
              </w:rPr>
              <w:t>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5</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排放标准</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尾气排放必须符合</w:t>
            </w:r>
            <w:r>
              <w:rPr>
                <w:rFonts w:hint="eastAsia" w:ascii="仿宋" w:hAnsi="仿宋" w:eastAsia="仿宋" w:cs="仿宋"/>
                <w:color w:val="auto"/>
                <w:kern w:val="0"/>
                <w:szCs w:val="21"/>
                <w:highlight w:val="none"/>
              </w:rPr>
              <w:t>国</w:t>
            </w:r>
            <w:r>
              <w:rPr>
                <w:rFonts w:hint="eastAsia" w:ascii="仿宋" w:hAnsi="仿宋" w:eastAsia="仿宋" w:cs="仿宋"/>
                <w:color w:val="auto"/>
                <w:szCs w:val="21"/>
                <w:highlight w:val="none"/>
              </w:rPr>
              <w:t>Ⅵ</w:t>
            </w:r>
            <w:r>
              <w:rPr>
                <w:rFonts w:hint="eastAsia" w:ascii="仿宋" w:hAnsi="仿宋" w:eastAsia="仿宋" w:cs="仿宋"/>
                <w:color w:val="auto"/>
                <w:szCs w:val="21"/>
                <w:highlight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.2.6</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油箱容量</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≥80L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2.2.7</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百公里油耗</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≥8.0L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3</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发电机</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发电机为</w:t>
            </w:r>
            <w:r>
              <w:rPr>
                <w:rFonts w:hint="eastAsia" w:ascii="仿宋" w:hAnsi="仿宋" w:eastAsia="仿宋" w:cs="仿宋"/>
                <w:color w:val="auto"/>
                <w:szCs w:val="21"/>
                <w:highlight w:val="none"/>
              </w:rPr>
              <w:t>12V</w:t>
            </w:r>
            <w:r>
              <w:rPr>
                <w:rFonts w:hint="eastAsia" w:ascii="仿宋" w:hAnsi="仿宋" w:eastAsia="仿宋" w:cs="仿宋"/>
                <w:color w:val="auto"/>
                <w:szCs w:val="21"/>
                <w:highlight w:val="none"/>
              </w:rPr>
              <w:t>，功率为</w:t>
            </w:r>
            <w:r>
              <w:rPr>
                <w:rFonts w:hint="eastAsia" w:ascii="仿宋" w:hAnsi="仿宋" w:eastAsia="仿宋" w:cs="仿宋"/>
                <w:color w:val="auto"/>
                <w:szCs w:val="21"/>
                <w:highlight w:val="none"/>
              </w:rPr>
              <w:t>120AH</w:t>
            </w:r>
            <w:r>
              <w:rPr>
                <w:rFonts w:hint="eastAsia" w:ascii="仿宋" w:hAnsi="仿宋" w:eastAsia="仿宋" w:cs="仿宋"/>
                <w:color w:val="auto"/>
                <w:szCs w:val="21"/>
                <w:highlight w:val="none"/>
              </w:rPr>
              <w:t>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4</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制动系统</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盘式</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盘式，并带有ABS。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5</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空调系统</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应配备冷暖空调，前、后双空调，独立控制。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制热要求</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在环境温度-20摄氏度时，启动加热系统在15分钟内使车内温度至少达到1</w:t>
            </w:r>
            <w:r>
              <w:rPr>
                <w:rFonts w:hint="eastAsia" w:ascii="仿宋" w:hAnsi="仿宋" w:eastAsia="仿宋" w:cs="仿宋"/>
                <w:color w:val="auto"/>
                <w:kern w:val="0"/>
                <w:szCs w:val="21"/>
                <w:highlight w:val="none"/>
              </w:rPr>
              <w:t>6</w:t>
            </w:r>
            <w:r>
              <w:rPr>
                <w:rFonts w:hint="eastAsia" w:ascii="仿宋" w:hAnsi="仿宋" w:eastAsia="仿宋" w:cs="仿宋"/>
                <w:color w:val="auto"/>
                <w:kern w:val="0"/>
                <w:szCs w:val="21"/>
                <w:highlight w:val="none"/>
              </w:rPr>
              <w:t>摄氏度。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制冷要求</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在环境温度40摄氏度时，启动制冷系统在15分钟内，使车内温度至少低于环境温度7摄氏度以上。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6</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其他配置</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w:t>
            </w:r>
          </w:p>
        </w:tc>
        <w:tc>
          <w:tcPr>
            <w:tcW w:w="191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安全气囊</w:t>
            </w:r>
          </w:p>
        </w:tc>
        <w:tc>
          <w:tcPr>
            <w:tcW w:w="61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驾驶座应配有安全气囊。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轮毂</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轮毂应为原厂铝合金轮毂。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3</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踏板</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医疗舱右侧侧拉门处</w:t>
            </w:r>
            <w:r>
              <w:rPr>
                <w:rFonts w:hint="eastAsia" w:ascii="仿宋" w:hAnsi="仿宋" w:eastAsia="仿宋" w:cs="仿宋"/>
                <w:color w:val="auto"/>
                <w:kern w:val="0"/>
                <w:szCs w:val="21"/>
                <w:highlight w:val="none"/>
              </w:rPr>
              <w:t>应</w:t>
            </w:r>
            <w:r>
              <w:rPr>
                <w:rFonts w:hint="eastAsia" w:ascii="仿宋" w:hAnsi="仿宋" w:eastAsia="仿宋" w:cs="仿宋"/>
                <w:color w:val="auto"/>
                <w:szCs w:val="21"/>
                <w:highlight w:val="none"/>
              </w:rPr>
              <w:t>安装伸缩上车踏板。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6</w:t>
            </w:r>
            <w:r>
              <w:rPr>
                <w:rFonts w:hint="eastAsia" w:ascii="仿宋" w:hAnsi="仿宋" w:eastAsia="仿宋" w:cs="仿宋"/>
                <w:color w:val="auto"/>
                <w:szCs w:val="21"/>
                <w:highlight w:val="none"/>
              </w:rPr>
              <w:t>.4</w:t>
            </w:r>
          </w:p>
        </w:tc>
        <w:tc>
          <w:tcPr>
            <w:tcW w:w="1911" w:type="dxa"/>
            <w:tcBorders>
              <w:top w:val="single" w:color="auto" w:sz="4" w:space="0"/>
              <w:left w:val="single" w:color="auto" w:sz="4" w:space="0"/>
              <w:bottom w:val="single" w:color="auto" w:sz="4" w:space="0"/>
              <w:right w:val="single" w:color="auto" w:sz="4" w:space="0"/>
            </w:tcBorders>
            <w:vAlign w:val="center"/>
          </w:tcPr>
          <w:p>
            <w:pPr>
              <w:tabs>
                <w:tab w:val="left" w:pos="631"/>
                <w:tab w:val="left" w:pos="1891"/>
                <w:tab w:val="left" w:pos="9394"/>
              </w:tabs>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侧拉门</w:t>
            </w:r>
          </w:p>
        </w:tc>
        <w:tc>
          <w:tcPr>
            <w:tcW w:w="6151" w:type="dxa"/>
            <w:tcBorders>
              <w:top w:val="single" w:color="auto" w:sz="4" w:space="0"/>
              <w:left w:val="single" w:color="auto" w:sz="4" w:space="0"/>
              <w:bottom w:val="single" w:color="auto" w:sz="4" w:space="0"/>
              <w:right w:val="single" w:color="auto" w:sz="4" w:space="0"/>
            </w:tcBorders>
            <w:vAlign w:val="center"/>
          </w:tcPr>
          <w:p>
            <w:pPr>
              <w:tabs>
                <w:tab w:val="left" w:pos="631"/>
                <w:tab w:val="left" w:pos="1891"/>
                <w:tab w:val="left" w:pos="9394"/>
              </w:tabs>
              <w:snapToGrid w:val="0"/>
              <w:spacing w:line="276" w:lineRule="auto"/>
              <w:rPr>
                <w:rFonts w:hint="eastAsia" w:ascii="仿宋" w:hAnsi="仿宋" w:eastAsia="仿宋" w:cs="仿宋"/>
                <w:bCs/>
                <w:color w:val="auto"/>
                <w:szCs w:val="21"/>
                <w:highlight w:val="none"/>
              </w:rPr>
            </w:pPr>
            <w:r>
              <w:rPr>
                <w:rFonts w:hint="eastAsia" w:ascii="仿宋" w:hAnsi="仿宋" w:eastAsia="仿宋" w:cs="仿宋"/>
                <w:color w:val="auto"/>
                <w:kern w:val="0"/>
                <w:szCs w:val="21"/>
                <w:highlight w:val="none"/>
              </w:rPr>
              <w:t>医疗舱右侧侧拉门应</w:t>
            </w:r>
            <w:r>
              <w:rPr>
                <w:rFonts w:hint="eastAsia" w:ascii="仿宋" w:hAnsi="仿宋" w:eastAsia="仿宋" w:cs="仿宋"/>
                <w:color w:val="auto"/>
                <w:szCs w:val="21"/>
                <w:highlight w:val="none"/>
              </w:rPr>
              <w:t>为大开度侧拉门。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6</w:t>
            </w:r>
            <w:r>
              <w:rPr>
                <w:rFonts w:hint="eastAsia" w:ascii="仿宋" w:hAnsi="仿宋" w:eastAsia="仿宋" w:cs="仿宋"/>
                <w:color w:val="auto"/>
                <w:szCs w:val="21"/>
                <w:highlight w:val="none"/>
              </w:rPr>
              <w:t>.5</w:t>
            </w:r>
          </w:p>
        </w:tc>
        <w:tc>
          <w:tcPr>
            <w:tcW w:w="1911" w:type="dxa"/>
            <w:tcBorders>
              <w:top w:val="single" w:color="auto" w:sz="4" w:space="0"/>
              <w:left w:val="single" w:color="auto" w:sz="4" w:space="0"/>
              <w:bottom w:val="single" w:color="auto" w:sz="4" w:space="0"/>
              <w:right w:val="single" w:color="auto" w:sz="4" w:space="0"/>
            </w:tcBorders>
            <w:vAlign w:val="center"/>
          </w:tcPr>
          <w:p>
            <w:pPr>
              <w:tabs>
                <w:tab w:val="left" w:pos="631"/>
                <w:tab w:val="left" w:pos="1891"/>
                <w:tab w:val="left" w:pos="9394"/>
              </w:tabs>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车窗</w:t>
            </w:r>
          </w:p>
        </w:tc>
        <w:tc>
          <w:tcPr>
            <w:tcW w:w="6151" w:type="dxa"/>
            <w:tcBorders>
              <w:top w:val="single" w:color="auto" w:sz="4" w:space="0"/>
              <w:left w:val="single" w:color="auto" w:sz="4" w:space="0"/>
              <w:bottom w:val="single" w:color="auto" w:sz="4" w:space="0"/>
              <w:right w:val="single" w:color="auto" w:sz="4" w:space="0"/>
            </w:tcBorders>
            <w:vAlign w:val="center"/>
          </w:tcPr>
          <w:p>
            <w:pPr>
              <w:tabs>
                <w:tab w:val="left" w:pos="631"/>
                <w:tab w:val="left" w:pos="1891"/>
                <w:tab w:val="left" w:pos="9394"/>
              </w:tabs>
              <w:snapToGrid w:val="0"/>
              <w:spacing w:line="276" w:lineRule="auto"/>
              <w:rPr>
                <w:rFonts w:hint="eastAsia" w:ascii="仿宋" w:hAnsi="仿宋" w:eastAsia="仿宋" w:cs="仿宋"/>
                <w:bCs/>
                <w:color w:val="auto"/>
                <w:szCs w:val="21"/>
                <w:highlight w:val="none"/>
              </w:rPr>
            </w:pPr>
            <w:r>
              <w:rPr>
                <w:rFonts w:hint="eastAsia" w:ascii="仿宋" w:hAnsi="仿宋" w:eastAsia="仿宋" w:cs="仿宋"/>
                <w:color w:val="auto"/>
                <w:kern w:val="0"/>
                <w:szCs w:val="21"/>
                <w:highlight w:val="none"/>
              </w:rPr>
              <w:t>医疗舱右侧侧拉门上应为可开启式玻璃窗。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6</w:t>
            </w:r>
            <w:r>
              <w:rPr>
                <w:rFonts w:hint="eastAsia" w:ascii="仿宋" w:hAnsi="仿宋" w:eastAsia="仿宋" w:cs="仿宋"/>
                <w:color w:val="auto"/>
                <w:szCs w:val="21"/>
                <w:highlight w:val="none"/>
              </w:rPr>
              <w:t>.6</w:t>
            </w:r>
          </w:p>
        </w:tc>
        <w:tc>
          <w:tcPr>
            <w:tcW w:w="1911" w:type="dxa"/>
            <w:tcBorders>
              <w:top w:val="single" w:color="auto" w:sz="4" w:space="0"/>
              <w:left w:val="single" w:color="auto" w:sz="4" w:space="0"/>
              <w:bottom w:val="single" w:color="auto" w:sz="4" w:space="0"/>
              <w:right w:val="single" w:color="auto" w:sz="4" w:space="0"/>
            </w:tcBorders>
            <w:vAlign w:val="center"/>
          </w:tcPr>
          <w:p>
            <w:pPr>
              <w:tabs>
                <w:tab w:val="left" w:pos="631"/>
                <w:tab w:val="left" w:pos="1891"/>
                <w:tab w:val="left" w:pos="9394"/>
              </w:tabs>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后视镜</w:t>
            </w:r>
          </w:p>
        </w:tc>
        <w:tc>
          <w:tcPr>
            <w:tcW w:w="6151" w:type="dxa"/>
            <w:tcBorders>
              <w:top w:val="single" w:color="auto" w:sz="4" w:space="0"/>
              <w:left w:val="single" w:color="auto" w:sz="4" w:space="0"/>
              <w:bottom w:val="single" w:color="auto" w:sz="4" w:space="0"/>
              <w:right w:val="single" w:color="auto" w:sz="4" w:space="0"/>
            </w:tcBorders>
            <w:vAlign w:val="center"/>
          </w:tcPr>
          <w:p>
            <w:pPr>
              <w:tabs>
                <w:tab w:val="left" w:pos="631"/>
                <w:tab w:val="left" w:pos="1891"/>
                <w:tab w:val="left" w:pos="9394"/>
              </w:tabs>
              <w:snapToGrid w:val="0"/>
              <w:spacing w:line="276" w:lineRule="auto"/>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后视镜应为电动可调后视镜。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6</w:t>
            </w:r>
            <w:r>
              <w:rPr>
                <w:rFonts w:hint="eastAsia" w:ascii="仿宋" w:hAnsi="仿宋" w:eastAsia="仿宋" w:cs="仿宋"/>
                <w:color w:val="auto"/>
                <w:szCs w:val="21"/>
                <w:highlight w:val="none"/>
              </w:rPr>
              <w:t>.7</w:t>
            </w:r>
          </w:p>
        </w:tc>
        <w:tc>
          <w:tcPr>
            <w:tcW w:w="1911" w:type="dxa"/>
            <w:tcBorders>
              <w:top w:val="single" w:color="auto" w:sz="4" w:space="0"/>
              <w:left w:val="single" w:color="auto" w:sz="4" w:space="0"/>
              <w:bottom w:val="single" w:color="auto" w:sz="4" w:space="0"/>
              <w:right w:val="single" w:color="auto" w:sz="4" w:space="0"/>
            </w:tcBorders>
            <w:vAlign w:val="center"/>
          </w:tcPr>
          <w:p>
            <w:pPr>
              <w:tabs>
                <w:tab w:val="left" w:pos="631"/>
                <w:tab w:val="left" w:pos="1891"/>
                <w:tab w:val="left" w:pos="9394"/>
              </w:tabs>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倒车雷达</w:t>
            </w:r>
          </w:p>
        </w:tc>
        <w:tc>
          <w:tcPr>
            <w:tcW w:w="6151" w:type="dxa"/>
            <w:tcBorders>
              <w:top w:val="single" w:color="auto" w:sz="4" w:space="0"/>
              <w:left w:val="single" w:color="auto" w:sz="4" w:space="0"/>
              <w:bottom w:val="single" w:color="auto" w:sz="4" w:space="0"/>
              <w:right w:val="single" w:color="auto" w:sz="4" w:space="0"/>
            </w:tcBorders>
            <w:vAlign w:val="center"/>
          </w:tcPr>
          <w:p>
            <w:pPr>
              <w:tabs>
                <w:tab w:val="left" w:pos="631"/>
                <w:tab w:val="left" w:pos="1891"/>
                <w:tab w:val="left" w:pos="9394"/>
              </w:tabs>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应配备原厂三点式以上的尾部倒车雷达。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3</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医疗舱及改装</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外观</w:t>
            </w:r>
          </w:p>
        </w:tc>
        <w:tc>
          <w:tcPr>
            <w:tcW w:w="6151" w:type="dxa"/>
            <w:tcBorders>
              <w:top w:val="single" w:color="auto" w:sz="4" w:space="0"/>
              <w:left w:val="single" w:color="auto" w:sz="4" w:space="0"/>
              <w:bottom w:val="single" w:color="auto" w:sz="4" w:space="0"/>
              <w:right w:val="single" w:color="auto" w:sz="4" w:space="0"/>
            </w:tcBorders>
            <w:vAlign w:val="center"/>
          </w:tcPr>
          <w:p>
            <w:pPr>
              <w:tabs>
                <w:tab w:val="left" w:pos="631"/>
                <w:tab w:val="left" w:pos="1891"/>
                <w:tab w:val="left" w:pos="9394"/>
              </w:tabs>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1.车辆外观根据最终用户统一标准设计；</w:t>
            </w:r>
          </w:p>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2.所有标识采用优质品牌反光贴。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车身内饰</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防火性能</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车厢内结构及装饰材料的防火性能应符合</w:t>
            </w:r>
            <w:r>
              <w:rPr>
                <w:rFonts w:hint="eastAsia" w:ascii="仿宋" w:hAnsi="仿宋" w:eastAsia="仿宋" w:cs="仿宋"/>
                <w:color w:val="auto"/>
                <w:szCs w:val="21"/>
                <w:highlight w:val="none"/>
              </w:rPr>
              <w:t>GB8410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2006</w:t>
            </w:r>
            <w:r>
              <w:rPr>
                <w:rFonts w:hint="eastAsia" w:ascii="仿宋" w:hAnsi="仿宋" w:eastAsia="仿宋" w:cs="仿宋"/>
                <w:color w:val="auto"/>
                <w:szCs w:val="21"/>
                <w:highlight w:val="none"/>
              </w:rPr>
              <w:t>《汽车内饰材料的燃烧特性》的要求。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材料工艺</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药品器械柜、中隔墙、氧气瓶柜、柜式座椅、集成内顶应全部</w:t>
            </w:r>
            <w:r>
              <w:rPr>
                <w:rFonts w:hint="eastAsia" w:ascii="仿宋" w:hAnsi="仿宋" w:eastAsia="仿宋" w:cs="仿宋"/>
                <w:color w:val="auto"/>
                <w:kern w:val="0"/>
                <w:szCs w:val="21"/>
                <w:highlight w:val="none"/>
              </w:rPr>
              <w:t>采用ABS复合材料模具</w:t>
            </w:r>
            <w:r>
              <w:rPr>
                <w:rFonts w:hint="eastAsia" w:ascii="仿宋" w:hAnsi="仿宋" w:eastAsia="仿宋" w:cs="仿宋"/>
                <w:color w:val="auto"/>
                <w:szCs w:val="21"/>
                <w:highlight w:val="none"/>
              </w:rPr>
              <w:t>一次</w:t>
            </w:r>
            <w:r>
              <w:rPr>
                <w:rFonts w:hint="eastAsia" w:ascii="仿宋" w:hAnsi="仿宋" w:eastAsia="仿宋" w:cs="仿宋"/>
                <w:color w:val="auto"/>
                <w:kern w:val="0"/>
                <w:szCs w:val="21"/>
                <w:highlight w:val="none"/>
              </w:rPr>
              <w:t>成型工艺</w:t>
            </w:r>
            <w:r>
              <w:rPr>
                <w:rFonts w:hint="eastAsia" w:ascii="仿宋" w:hAnsi="仿宋" w:eastAsia="仿宋" w:cs="仿宋"/>
                <w:color w:val="auto"/>
                <w:szCs w:val="21"/>
                <w:highlight w:val="none"/>
              </w:rPr>
              <w:t>。内饰件应无尖锐突出形状，周边应修光，连接应平滑。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3</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材料特点</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ABS复合材料</w:t>
            </w:r>
            <w:r>
              <w:rPr>
                <w:rFonts w:hint="eastAsia" w:ascii="仿宋" w:hAnsi="仿宋" w:eastAsia="仿宋" w:cs="仿宋"/>
                <w:color w:val="auto"/>
                <w:szCs w:val="21"/>
                <w:highlight w:val="none"/>
              </w:rPr>
              <w:t>应具有防霉、防菌、防静电、防潮、阻燃、易清洗、易消毒、高强度、抗老化、无异味、无毒、安全性强等优点。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4</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安装要求</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医疗舱内饰安装必须与救护车车身结构件或连接件牢固连接，并应形成具有良好密封性和保温性。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3</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监护型救护舱</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地板革</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应采用耐磨、阻燃、防滑、防霉、易清洗医疗专用地板。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药品柜</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药品柜柜体应采用ABS复合材料模具一次成型工艺，高密度P</w:t>
            </w:r>
            <w:r>
              <w:rPr>
                <w:rFonts w:hint="eastAsia" w:ascii="仿宋" w:hAnsi="仿宋" w:eastAsia="仿宋" w:cs="仿宋"/>
                <w:color w:val="auto"/>
                <w:kern w:val="0"/>
                <w:szCs w:val="21"/>
                <w:highlight w:val="none"/>
              </w:rPr>
              <w:t>VC</w:t>
            </w:r>
            <w:r>
              <w:rPr>
                <w:rFonts w:hint="eastAsia" w:ascii="仿宋" w:hAnsi="仿宋" w:eastAsia="仿宋" w:cs="仿宋"/>
                <w:color w:val="auto"/>
                <w:kern w:val="0"/>
                <w:szCs w:val="21"/>
                <w:highlight w:val="none"/>
              </w:rPr>
              <w:t>板材加工制作，封边及接口处不可有触手感。药品柜三层设计，每层可放置注射用品及各种急救药品，药品柜的布置要便于医护人员的取放操作</w:t>
            </w:r>
            <w:r>
              <w:rPr>
                <w:rFonts w:hint="eastAsia" w:ascii="仿宋" w:hAnsi="仿宋" w:eastAsia="仿宋" w:cs="仿宋"/>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3</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中隔墙</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中隔墙应采用ABS复合材料模具一次成型工艺，并配有可开启移动式透明推窗，推窗玻璃带有锁定装置，中隔墙安装位置应不影响车辆维修。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3.3.4</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操作平台</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应位于医疗舱左侧，整体采用</w:t>
            </w:r>
            <w:r>
              <w:rPr>
                <w:rFonts w:hint="eastAsia" w:ascii="仿宋" w:hAnsi="仿宋" w:eastAsia="仿宋" w:cs="仿宋"/>
                <w:color w:val="auto"/>
                <w:kern w:val="0"/>
                <w:szCs w:val="21"/>
                <w:highlight w:val="none"/>
              </w:rPr>
              <w:t>ABS复合材料</w:t>
            </w:r>
            <w:r>
              <w:rPr>
                <w:rFonts w:hint="eastAsia" w:ascii="仿宋" w:hAnsi="仿宋" w:eastAsia="仿宋" w:cs="仿宋"/>
                <w:color w:val="auto"/>
                <w:szCs w:val="21"/>
                <w:highlight w:val="none"/>
              </w:rPr>
              <w:t>模具一次成型工艺。操作平台下面为电器柜及医疗器械柜，可根据用户实际要求布置。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.5</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辅料柜</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应位于</w:t>
            </w:r>
            <w:r>
              <w:rPr>
                <w:rFonts w:hint="eastAsia" w:ascii="仿宋" w:hAnsi="仿宋" w:eastAsia="仿宋" w:cs="仿宋"/>
                <w:color w:val="auto"/>
                <w:szCs w:val="21"/>
                <w:highlight w:val="none"/>
              </w:rPr>
              <w:t>医疗舱顶部两侧以及中隔墙上方</w:t>
            </w:r>
            <w:r>
              <w:rPr>
                <w:rFonts w:hint="eastAsia" w:ascii="仿宋" w:hAnsi="仿宋" w:eastAsia="仿宋" w:cs="仿宋"/>
                <w:color w:val="auto"/>
                <w:kern w:val="0"/>
                <w:szCs w:val="21"/>
                <w:highlight w:val="none"/>
              </w:rPr>
              <w:t>，左侧为带门式辅料柜，右侧为敞开式辅料柜，可分别放置一次性床单、外伤包扎用品、隔离防护用品、插管等辅料，辅料柜数量不少于</w:t>
            </w:r>
            <w:r>
              <w:rPr>
                <w:rFonts w:hint="eastAsia" w:ascii="仿宋" w:hAnsi="仿宋" w:eastAsia="仿宋" w:cs="仿宋"/>
                <w:color w:val="auto"/>
                <w:kern w:val="0"/>
                <w:szCs w:val="21"/>
                <w:highlight w:val="none"/>
              </w:rPr>
              <w:t>6</w:t>
            </w:r>
            <w:r>
              <w:rPr>
                <w:rFonts w:hint="eastAsia" w:ascii="仿宋" w:hAnsi="仿宋" w:eastAsia="仿宋" w:cs="仿宋"/>
                <w:color w:val="auto"/>
                <w:kern w:val="0"/>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.6</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前部操作柜</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操作柜应位于医疗舱前部，采用ABS</w:t>
            </w:r>
            <w:r>
              <w:rPr>
                <w:rFonts w:hint="eastAsia" w:ascii="仿宋" w:hAnsi="仿宋" w:eastAsia="仿宋" w:cs="仿宋"/>
                <w:color w:val="auto"/>
                <w:szCs w:val="21"/>
                <w:highlight w:val="none"/>
              </w:rPr>
              <w:t>复合材料</w:t>
            </w:r>
            <w:r>
              <w:rPr>
                <w:rFonts w:hint="eastAsia" w:ascii="仿宋" w:hAnsi="仿宋" w:eastAsia="仿宋" w:cs="仿宋"/>
                <w:color w:val="auto"/>
                <w:kern w:val="0"/>
                <w:szCs w:val="21"/>
                <w:highlight w:val="none"/>
              </w:rPr>
              <w:t>模具一次成型工艺，可放置急救箱等其他医疗用品。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.7</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器械平台</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应位于左侧中部，应按照招标方提供的设备及安装要求放置监护仪、心电图机、呼吸机、除颤仪等急救设备，安装牢固，便于医护人员的观察和操作。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.8</w:t>
            </w:r>
          </w:p>
        </w:tc>
        <w:tc>
          <w:tcPr>
            <w:tcW w:w="1911" w:type="dxa"/>
            <w:tcBorders>
              <w:top w:val="single" w:color="auto" w:sz="4" w:space="0"/>
              <w:left w:val="single" w:color="auto" w:sz="4" w:space="0"/>
              <w:bottom w:val="single" w:color="auto" w:sz="4" w:space="0"/>
              <w:right w:val="single" w:color="auto" w:sz="4" w:space="0"/>
            </w:tcBorders>
            <w:vAlign w:val="center"/>
          </w:tcPr>
          <w:p>
            <w:pPr>
              <w:widowControl/>
              <w:snapToGrid w:val="0"/>
              <w:spacing w:line="276"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护士椅</w:t>
            </w:r>
          </w:p>
        </w:tc>
        <w:tc>
          <w:tcPr>
            <w:tcW w:w="6151" w:type="dxa"/>
            <w:tcBorders>
              <w:top w:val="single" w:color="auto" w:sz="4" w:space="0"/>
              <w:left w:val="single" w:color="auto" w:sz="4" w:space="0"/>
              <w:bottom w:val="single" w:color="auto" w:sz="4" w:space="0"/>
              <w:right w:val="single" w:color="auto" w:sz="4" w:space="0"/>
            </w:tcBorders>
            <w:vAlign w:val="bottom"/>
          </w:tcPr>
          <w:p>
            <w:pPr>
              <w:widowControl/>
              <w:snapToGrid w:val="0"/>
              <w:spacing w:line="276" w:lineRule="auto"/>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护士椅应位于担架前部操作柜上，可折叠收起，配有安全带，座垫乘坐舒适，方便清洗。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.9</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医生椅</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应位于医疗舱右侧柜式床前方，医生椅的固定应符合GB 15083-2006 《汽车座椅、座椅固定装置及头枕强度要求和试验方法》。医生椅的座垫、靠背应采用自吸皮整体发泡工艺，表面不应有拼接线缝，并便于冲洗消毒。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.10</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柜式座椅</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应位于医疗舱右侧，采用</w:t>
            </w:r>
            <w:r>
              <w:rPr>
                <w:rFonts w:hint="eastAsia" w:ascii="仿宋" w:hAnsi="仿宋" w:eastAsia="仿宋" w:cs="仿宋"/>
                <w:color w:val="auto"/>
                <w:kern w:val="0"/>
                <w:szCs w:val="21"/>
                <w:highlight w:val="none"/>
              </w:rPr>
              <w:t>ABS复合材料模具一次成型工艺</w:t>
            </w:r>
            <w:r>
              <w:rPr>
                <w:rFonts w:hint="eastAsia" w:ascii="仿宋" w:hAnsi="仿宋" w:eastAsia="仿宋" w:cs="仿宋"/>
                <w:color w:val="auto"/>
                <w:szCs w:val="21"/>
                <w:highlight w:val="none"/>
              </w:rPr>
              <w:t>，可同时坐二人（有安全带及靠背），座垫下方两侧空间可做工具箱，柜式床上方应预留中门导轨维修孔。</w:t>
            </w:r>
            <w:r>
              <w:rPr>
                <w:rFonts w:hint="eastAsia" w:ascii="仿宋" w:hAnsi="仿宋" w:eastAsia="仿宋" w:cs="仿宋"/>
                <w:color w:val="auto"/>
                <w:kern w:val="0"/>
                <w:szCs w:val="21"/>
                <w:highlight w:val="none"/>
              </w:rPr>
              <w:t>座垫、靠背应采用自吸皮整体发泡工艺，表面不应有拼接线缝，并便于冲洗消毒</w:t>
            </w:r>
            <w:r>
              <w:rPr>
                <w:rFonts w:hint="eastAsia" w:ascii="仿宋" w:hAnsi="仿宋" w:eastAsia="仿宋" w:cs="仿宋"/>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3.3.11</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氧气瓶柜</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氧气瓶柜应</w:t>
            </w:r>
            <w:r>
              <w:rPr>
                <w:rFonts w:hint="eastAsia" w:ascii="仿宋" w:hAnsi="仿宋" w:eastAsia="仿宋" w:cs="仿宋"/>
                <w:color w:val="auto"/>
                <w:kern w:val="0"/>
                <w:szCs w:val="21"/>
                <w:highlight w:val="none"/>
              </w:rPr>
              <w:t>采用ABS复合材料模具</w:t>
            </w:r>
            <w:r>
              <w:rPr>
                <w:rFonts w:hint="eastAsia" w:ascii="仿宋" w:hAnsi="仿宋" w:eastAsia="仿宋" w:cs="仿宋"/>
                <w:color w:val="auto"/>
                <w:szCs w:val="21"/>
                <w:highlight w:val="none"/>
              </w:rPr>
              <w:t>一次</w:t>
            </w:r>
            <w:r>
              <w:rPr>
                <w:rFonts w:hint="eastAsia" w:ascii="仿宋" w:hAnsi="仿宋" w:eastAsia="仿宋" w:cs="仿宋"/>
                <w:color w:val="auto"/>
                <w:kern w:val="0"/>
                <w:szCs w:val="21"/>
                <w:highlight w:val="none"/>
              </w:rPr>
              <w:t>成型工艺</w:t>
            </w:r>
            <w:r>
              <w:rPr>
                <w:rFonts w:hint="eastAsia" w:ascii="仿宋" w:hAnsi="仿宋" w:eastAsia="仿宋" w:cs="仿宋"/>
                <w:color w:val="auto"/>
                <w:szCs w:val="21"/>
                <w:highlight w:val="none"/>
              </w:rPr>
              <w:t>，位于医疗舱左侧后部，操作方便，固定可靠。柜内可放置</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个</w:t>
            </w:r>
            <w:r>
              <w:rPr>
                <w:rFonts w:hint="eastAsia" w:ascii="仿宋" w:hAnsi="仿宋" w:eastAsia="仿宋" w:cs="仿宋"/>
                <w:color w:val="auto"/>
                <w:szCs w:val="21"/>
                <w:highlight w:val="none"/>
              </w:rPr>
              <w:t>10</w:t>
            </w:r>
            <w:r>
              <w:rPr>
                <w:rFonts w:hint="eastAsia" w:ascii="仿宋" w:hAnsi="仿宋" w:eastAsia="仿宋" w:cs="仿宋"/>
                <w:color w:val="auto"/>
                <w:szCs w:val="21"/>
                <w:highlight w:val="none"/>
              </w:rPr>
              <w:t>升铝合金氧气瓶。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3.3.12</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集成内顶</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集成内顶应</w:t>
            </w:r>
            <w:r>
              <w:rPr>
                <w:rFonts w:hint="eastAsia" w:ascii="仿宋" w:hAnsi="仿宋" w:eastAsia="仿宋" w:cs="仿宋"/>
                <w:color w:val="auto"/>
                <w:kern w:val="0"/>
                <w:szCs w:val="21"/>
                <w:highlight w:val="none"/>
              </w:rPr>
              <w:t>采用ABS复合材料模具</w:t>
            </w:r>
            <w:r>
              <w:rPr>
                <w:rFonts w:hint="eastAsia" w:ascii="仿宋" w:hAnsi="仿宋" w:eastAsia="仿宋" w:cs="仿宋"/>
                <w:color w:val="auto"/>
                <w:szCs w:val="21"/>
                <w:highlight w:val="none"/>
              </w:rPr>
              <w:t>一次</w:t>
            </w:r>
            <w:r>
              <w:rPr>
                <w:rFonts w:hint="eastAsia" w:ascii="仿宋" w:hAnsi="仿宋" w:eastAsia="仿宋" w:cs="仿宋"/>
                <w:color w:val="auto"/>
                <w:kern w:val="0"/>
                <w:szCs w:val="21"/>
                <w:highlight w:val="none"/>
              </w:rPr>
              <w:t>成型工艺</w:t>
            </w:r>
            <w:r>
              <w:rPr>
                <w:rFonts w:hint="eastAsia" w:ascii="仿宋" w:hAnsi="仿宋" w:eastAsia="仿宋" w:cs="仿宋"/>
                <w:color w:val="auto"/>
                <w:szCs w:val="21"/>
                <w:highlight w:val="none"/>
              </w:rPr>
              <w:t>，根据实际操作要求内顶应集成照明、储物、杀菌、输液、安全扶手等功能。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3.3.13</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污物桶</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在不影响医护人员急救工作且方便操作的位置应配有免洗消毒液固定装置、污物桶。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3.3.14</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安全扶手</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在上下车门处及顶部应安装相应的安全扶手。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4</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电控系统</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w:t>
            </w:r>
          </w:p>
        </w:tc>
        <w:tc>
          <w:tcPr>
            <w:tcW w:w="191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控制电路</w:t>
            </w:r>
          </w:p>
        </w:tc>
        <w:tc>
          <w:tcPr>
            <w:tcW w:w="61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）需采用集成电路控制系统，薄膜开关操作，且电瓶电量、工作灯状态、换气状态、吸引器状态等相关用电设备的工作状态能够在液晶屏上显示，工作人员能够直观的掌握用电设备的工作状态和及时发现故障。</w:t>
            </w:r>
          </w:p>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）应配有独立应急手动切换控制系统一套，应对突发故障。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附加电瓶</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应为汽车专用电瓶，容量不小于65AH，在驻车时可供医疗器械使用。电瓶安装于医疗舱内，便于检修。蓄电池安装及其所有连接应防止任何情况下发生短路的可能。在车辆熄火后，附加电瓶和启动电瓶自动断开。车辆启动时自动连接，以保证救护车的正常启动和附加电设备的用电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3</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逆变器</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应为智能逆变/充电一体机，12V输入，输出为220V、不小于600W纯正弦波电源。用电安全：220V供电线路要有断电保护和接地保护，要求符合交流工频三级移动电站的要求。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4</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供电要求</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车辆启动状态下，可实现24小时不间断供电，可输出220V，不小于600W纯正弦波电源可供医疗设备使用，并在相应的位置安置12V电源插座两只、220V电源插座四只、5V插座两只。在总开关关闭后所有用电器应与主、副电瓶断开，防止漏电，以保证蓄电池保存充足电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5</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安全保护</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每个分电路应设有相应规范的过载保护装置，以确保医疗救护设备的电器正常使用。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6</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备份控制电路</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在主控制系统在故障状态下，有相应的手动备份控制系统，确保在故障状态下，仍能使用医疗舱内电器设施。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4</w:t>
            </w:r>
            <w:r>
              <w:rPr>
                <w:rFonts w:hint="eastAsia" w:ascii="仿宋" w:hAnsi="仿宋" w:eastAsia="仿宋" w:cs="仿宋"/>
                <w:color w:val="auto"/>
                <w:szCs w:val="21"/>
                <w:highlight w:val="none"/>
              </w:rPr>
              <w:t>.7</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驾驶室配电</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驾驶舱预留保险盒及连接端口（由电源经由保险盒至用电器连接端口），以便于加装GPS、行车记录仪、计价器等设备，保证车辆电路系统及外接用电器安全。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4</w:t>
            </w:r>
            <w:r>
              <w:rPr>
                <w:rFonts w:hint="eastAsia" w:ascii="仿宋" w:hAnsi="仿宋" w:eastAsia="仿宋" w:cs="仿宋"/>
                <w:color w:val="auto"/>
                <w:szCs w:val="21"/>
                <w:highlight w:val="none"/>
              </w:rPr>
              <w:t>.8</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外接充电</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应配备内置大功率充电设备，可提供对蓄电池的充电，同时也可提供电力供车载医疗设备充电，需配备防水外接充电接口，外接充电线缆长度≥10M。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5</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担架系统</w:t>
            </w:r>
          </w:p>
          <w:p>
            <w:pPr>
              <w:snapToGrid w:val="0"/>
              <w:spacing w:line="276" w:lineRule="auto"/>
              <w:jc w:val="center"/>
              <w:rPr>
                <w:rFonts w:hint="eastAsia" w:ascii="仿宋" w:hAnsi="仿宋" w:eastAsia="仿宋" w:cs="仿宋"/>
                <w:color w:val="auto"/>
                <w:szCs w:val="21"/>
                <w:highlight w:val="none"/>
              </w:rPr>
            </w:pP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上车担架1副，铲式担架1副,软担架1副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.5.1</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上车担架</w:t>
            </w:r>
          </w:p>
        </w:tc>
        <w:tc>
          <w:tcPr>
            <w:tcW w:w="6151" w:type="dxa"/>
            <w:tcBorders>
              <w:top w:val="single" w:color="auto" w:sz="4" w:space="0"/>
              <w:left w:val="single" w:color="auto" w:sz="4" w:space="0"/>
              <w:bottom w:val="single" w:color="auto" w:sz="4" w:space="0"/>
              <w:right w:val="single" w:color="auto" w:sz="4" w:space="0"/>
            </w:tcBorders>
            <w:vAlign w:val="center"/>
          </w:tcPr>
          <w:p>
            <w:pPr>
              <w:widowControl/>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上车担架适合救护车车载配置，</w:t>
            </w:r>
            <w:r>
              <w:rPr>
                <w:rFonts w:hint="eastAsia" w:ascii="仿宋" w:hAnsi="仿宋" w:eastAsia="仿宋" w:cs="仿宋"/>
                <w:color w:val="auto"/>
                <w:kern w:val="0"/>
                <w:szCs w:val="21"/>
                <w:highlight w:val="none"/>
              </w:rPr>
              <w:t>性能参数：</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1、长度：≥200cm</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2、宽度：≥</w:t>
            </w:r>
            <w:r>
              <w:rPr>
                <w:rFonts w:hint="eastAsia" w:ascii="仿宋" w:hAnsi="仿宋" w:eastAsia="仿宋" w:cs="仿宋"/>
                <w:color w:val="auto"/>
                <w:szCs w:val="21"/>
                <w:highlight w:val="none"/>
              </w:rPr>
              <w:t>55</w:t>
            </w:r>
            <w:r>
              <w:rPr>
                <w:rFonts w:hint="eastAsia" w:ascii="仿宋" w:hAnsi="仿宋" w:eastAsia="仿宋" w:cs="仿宋"/>
                <w:color w:val="auto"/>
                <w:szCs w:val="21"/>
                <w:highlight w:val="none"/>
              </w:rPr>
              <w:t>cm</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、高度范围：33cm -97cm</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4、最大载重负荷：≥290kg</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r>
              <w:rPr>
                <w:rFonts w:hint="eastAsia" w:ascii="仿宋" w:hAnsi="仿宋" w:eastAsia="仿宋" w:cs="仿宋"/>
                <w:color w:val="auto"/>
                <w:szCs w:val="21"/>
                <w:highlight w:val="none"/>
              </w:rPr>
              <w:t>、自重：≤40kg</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6、气压助力背板：背板调节范围0°-</w:t>
            </w:r>
            <w:r>
              <w:rPr>
                <w:rFonts w:hint="eastAsia" w:ascii="仿宋" w:hAnsi="仿宋" w:eastAsia="仿宋" w:cs="仿宋"/>
                <w:color w:val="auto"/>
                <w:szCs w:val="21"/>
                <w:highlight w:val="none"/>
              </w:rPr>
              <w:t>70</w:t>
            </w:r>
            <w:r>
              <w:rPr>
                <w:rFonts w:hint="eastAsia" w:ascii="仿宋" w:hAnsi="仿宋" w:eastAsia="仿宋" w:cs="仿宋"/>
                <w:color w:val="auto"/>
                <w:szCs w:val="21"/>
                <w:highlight w:val="none"/>
              </w:rPr>
              <w:t>°</w:t>
            </w:r>
          </w:p>
          <w:p>
            <w:pPr>
              <w:rPr>
                <w:rFonts w:hint="eastAsia" w:ascii="仿宋" w:hAnsi="仿宋" w:eastAsia="仿宋" w:cs="仿宋"/>
                <w:color w:val="auto"/>
                <w:highlight w:val="none"/>
              </w:rPr>
            </w:pPr>
            <w:r>
              <w:rPr>
                <w:rFonts w:hint="eastAsia" w:ascii="仿宋" w:hAnsi="仿宋" w:eastAsia="仿宋" w:cs="仿宋"/>
                <w:color w:val="auto"/>
                <w:szCs w:val="21"/>
                <w:highlight w:val="none"/>
              </w:rPr>
              <w:t>7</w:t>
            </w:r>
            <w:r>
              <w:rPr>
                <w:rFonts w:hint="eastAsia" w:ascii="仿宋" w:hAnsi="仿宋" w:eastAsia="仿宋" w:cs="仿宋"/>
                <w:color w:val="auto"/>
                <w:szCs w:val="21"/>
                <w:highlight w:val="none"/>
              </w:rPr>
              <w:t>、可升降保险杆：7档调节，调节范围35cm-95cm，适用对于身材较矮小的医务人员的操作及通过不良道路时的安全保证</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r>
              <w:rPr>
                <w:rFonts w:hint="eastAsia" w:ascii="仿宋" w:hAnsi="仿宋" w:eastAsia="仿宋" w:cs="仿宋"/>
                <w:color w:val="auto"/>
                <w:szCs w:val="21"/>
                <w:highlight w:val="none"/>
              </w:rPr>
              <w:t>、简单易用的释放杆：应有二个不同高度释放杆，红色释放杆，颜色应醒目，以便于与担架其它部位颜色区分，能避免误操作</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9、担架头端部分：担架头端部分可向下折叠，折叠后担架长度为≤160cm，适用电梯、狭窄地段转弯等病人转运</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0</w:t>
            </w:r>
            <w:r>
              <w:rPr>
                <w:rFonts w:hint="eastAsia" w:ascii="仿宋" w:hAnsi="仿宋" w:eastAsia="仿宋" w:cs="仿宋"/>
                <w:color w:val="auto"/>
                <w:szCs w:val="21"/>
                <w:highlight w:val="none"/>
              </w:rPr>
              <w:t>、床边护栏：可向下放倒，给救护人员预留操作空间。护栏放倒按钮内置于护栏内</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、床垫：增大型床垫，加大患者接触面积，易于运送高大患者，无缝床面，床垫应易清洗、消毒、可拆卸</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、足端床架兼推床把手内收设计：应运用人机工程学设计，能够通过将足端床架兼推床把手内收30角，达到救护人员最舒适的操作位置</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、X—构架：可以在快速的下降过程中起到缓冲作用</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4</w:t>
            </w:r>
            <w:r>
              <w:rPr>
                <w:rFonts w:hint="eastAsia" w:ascii="仿宋" w:hAnsi="仿宋" w:eastAsia="仿宋" w:cs="仿宋"/>
                <w:color w:val="auto"/>
                <w:szCs w:val="21"/>
                <w:highlight w:val="none"/>
              </w:rPr>
              <w:t>、加大型车轮：应有单轮锁定功能</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5</w:t>
            </w:r>
            <w:r>
              <w:rPr>
                <w:rFonts w:hint="eastAsia" w:ascii="仿宋" w:hAnsi="仿宋" w:eastAsia="仿宋" w:cs="仿宋"/>
                <w:color w:val="auto"/>
                <w:szCs w:val="21"/>
                <w:highlight w:val="none"/>
              </w:rPr>
              <w:t>、颜色：高能见度框架颜色设计，整体桔黄色</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6</w:t>
            </w:r>
            <w:r>
              <w:rPr>
                <w:rFonts w:hint="eastAsia" w:ascii="仿宋" w:hAnsi="仿宋" w:eastAsia="仿宋" w:cs="仿宋"/>
                <w:color w:val="auto"/>
                <w:szCs w:val="21"/>
                <w:highlight w:val="none"/>
              </w:rPr>
              <w:t>、氧气瓶架：担架头端应装有氧气瓶架，可固定氧气瓶或气动力呼吸机</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7</w:t>
            </w:r>
            <w:r>
              <w:rPr>
                <w:rFonts w:hint="eastAsia" w:ascii="仿宋" w:hAnsi="仿宋" w:eastAsia="仿宋" w:cs="仿宋"/>
                <w:color w:val="auto"/>
                <w:szCs w:val="21"/>
                <w:highlight w:val="none"/>
              </w:rPr>
              <w:t>、输液架：应有可伸缩式输液架</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8</w:t>
            </w:r>
            <w:r>
              <w:rPr>
                <w:rFonts w:hint="eastAsia" w:ascii="仿宋" w:hAnsi="仿宋" w:eastAsia="仿宋" w:cs="仿宋"/>
                <w:color w:val="auto"/>
                <w:szCs w:val="21"/>
                <w:highlight w:val="none"/>
              </w:rPr>
              <w:t>、收放控制手柄：担架上下有多个收放控制手柄，红色手柄，颜色应醒目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.5.2</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铲式担架</w:t>
            </w:r>
          </w:p>
        </w:tc>
        <w:tc>
          <w:tcPr>
            <w:tcW w:w="6151"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铲式担架为医疗用途铲式担架，具有可伸缩折叠功能，适合救护车车载配置，</w:t>
            </w:r>
            <w:r>
              <w:rPr>
                <w:rFonts w:hint="eastAsia" w:ascii="仿宋" w:hAnsi="仿宋" w:eastAsia="仿宋" w:cs="仿宋"/>
                <w:color w:val="auto"/>
                <w:kern w:val="0"/>
                <w:szCs w:val="21"/>
                <w:highlight w:val="none"/>
              </w:rPr>
              <w:t>性能参数：</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1、材料采用须高强度碳纤维纱制作，具有良好的弹性和较强的复原性</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2、最大承重量：≥2</w:t>
            </w: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0KG</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3、自重：≤</w:t>
            </w:r>
            <w:r>
              <w:rPr>
                <w:rFonts w:hint="eastAsia" w:ascii="仿宋" w:hAnsi="仿宋" w:eastAsia="仿宋" w:cs="仿宋"/>
                <w:color w:val="auto"/>
                <w:szCs w:val="21"/>
                <w:highlight w:val="none"/>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5</w:t>
            </w:r>
            <w:r>
              <w:rPr>
                <w:rFonts w:hint="eastAsia" w:ascii="仿宋" w:hAnsi="仿宋" w:eastAsia="仿宋" w:cs="仿宋"/>
                <w:color w:val="auto"/>
                <w:szCs w:val="21"/>
                <w:highlight w:val="none"/>
              </w:rPr>
              <w:t>KG</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4、最大可延展尺寸：≥</w:t>
            </w:r>
            <w:r>
              <w:rPr>
                <w:rFonts w:hint="eastAsia" w:ascii="仿宋" w:hAnsi="仿宋" w:eastAsia="仿宋" w:cs="仿宋"/>
                <w:color w:val="auto"/>
                <w:szCs w:val="21"/>
                <w:highlight w:val="none"/>
              </w:rPr>
              <w:t>1600</w:t>
            </w:r>
            <w:r>
              <w:rPr>
                <w:rFonts w:hint="eastAsia" w:ascii="仿宋" w:hAnsi="仿宋" w:eastAsia="仿宋" w:cs="仿宋"/>
                <w:color w:val="auto"/>
                <w:szCs w:val="21"/>
                <w:highlight w:val="none"/>
              </w:rPr>
              <w:t xml:space="preserve">mm x </w:t>
            </w:r>
            <w:r>
              <w:rPr>
                <w:rFonts w:hint="eastAsia" w:ascii="仿宋" w:hAnsi="仿宋" w:eastAsia="仿宋" w:cs="仿宋"/>
                <w:color w:val="auto"/>
                <w:szCs w:val="21"/>
                <w:highlight w:val="none"/>
              </w:rPr>
              <w:t>430</w:t>
            </w:r>
            <w:r>
              <w:rPr>
                <w:rFonts w:hint="eastAsia" w:ascii="仿宋" w:hAnsi="仿宋" w:eastAsia="仿宋" w:cs="仿宋"/>
                <w:color w:val="auto"/>
                <w:szCs w:val="21"/>
                <w:highlight w:val="none"/>
              </w:rPr>
              <w:t xml:space="preserve">mm x </w:t>
            </w:r>
            <w:r>
              <w:rPr>
                <w:rFonts w:hint="eastAsia" w:ascii="仿宋" w:hAnsi="仿宋" w:eastAsia="仿宋" w:cs="仿宋"/>
                <w:color w:val="auto"/>
                <w:szCs w:val="21"/>
                <w:highlight w:val="none"/>
              </w:rPr>
              <w:t>65</w:t>
            </w:r>
            <w:r>
              <w:rPr>
                <w:rFonts w:hint="eastAsia" w:ascii="仿宋" w:hAnsi="仿宋" w:eastAsia="仿宋" w:cs="仿宋"/>
                <w:color w:val="auto"/>
                <w:szCs w:val="21"/>
                <w:highlight w:val="none"/>
              </w:rPr>
              <w:t xml:space="preserve">mm </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5、最大可收缩尺寸：≤</w:t>
            </w:r>
            <w:r>
              <w:rPr>
                <w:rFonts w:hint="eastAsia" w:ascii="仿宋" w:hAnsi="仿宋" w:eastAsia="仿宋" w:cs="仿宋"/>
                <w:color w:val="auto"/>
                <w:szCs w:val="21"/>
                <w:highlight w:val="none"/>
              </w:rPr>
              <w:t>1150</w:t>
            </w:r>
            <w:r>
              <w:rPr>
                <w:rFonts w:hint="eastAsia" w:ascii="仿宋" w:hAnsi="仿宋" w:eastAsia="仿宋" w:cs="仿宋"/>
                <w:color w:val="auto"/>
                <w:szCs w:val="21"/>
                <w:highlight w:val="none"/>
              </w:rPr>
              <w:t>mm x</w:t>
            </w:r>
            <w:r>
              <w:rPr>
                <w:rFonts w:hint="eastAsia" w:ascii="仿宋" w:hAnsi="仿宋" w:eastAsia="仿宋" w:cs="仿宋"/>
                <w:color w:val="auto"/>
                <w:szCs w:val="21"/>
                <w:highlight w:val="none"/>
              </w:rPr>
              <w:t>430</w:t>
            </w:r>
            <w:r>
              <w:rPr>
                <w:rFonts w:hint="eastAsia" w:ascii="仿宋" w:hAnsi="仿宋" w:eastAsia="仿宋" w:cs="仿宋"/>
                <w:color w:val="auto"/>
                <w:szCs w:val="21"/>
                <w:highlight w:val="none"/>
              </w:rPr>
              <w:t xml:space="preserve">mm x </w:t>
            </w:r>
            <w:r>
              <w:rPr>
                <w:rFonts w:hint="eastAsia" w:ascii="仿宋" w:hAnsi="仿宋" w:eastAsia="仿宋" w:cs="仿宋"/>
                <w:color w:val="auto"/>
                <w:szCs w:val="21"/>
                <w:highlight w:val="none"/>
              </w:rPr>
              <w:t>65</w:t>
            </w:r>
            <w:r>
              <w:rPr>
                <w:rFonts w:hint="eastAsia" w:ascii="仿宋" w:hAnsi="仿宋" w:eastAsia="仿宋" w:cs="仿宋"/>
                <w:color w:val="auto"/>
                <w:szCs w:val="21"/>
                <w:highlight w:val="none"/>
              </w:rPr>
              <w:t xml:space="preserve">mm </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6、可多档定位调节尺寸，便于铲式担架针对不同身材病人的使用； </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7</w:t>
            </w:r>
            <w:r>
              <w:rPr>
                <w:rFonts w:hint="eastAsia" w:ascii="仿宋" w:hAnsi="仿宋" w:eastAsia="仿宋" w:cs="仿宋"/>
                <w:color w:val="auto"/>
                <w:szCs w:val="21"/>
                <w:highlight w:val="none"/>
              </w:rPr>
              <w:t>、铲式担架既可固定于墙面，摘取方便快捷，同时也可以折叠储存</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8、配备两条保险带，用于上下肢固定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6</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警示系统</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驾驶室控制。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警灯</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bCs/>
                <w:color w:val="auto"/>
                <w:kern w:val="0"/>
                <w:szCs w:val="21"/>
                <w:highlight w:val="none"/>
              </w:rPr>
              <w:t>车顶前部安装三段内嵌式蓝色爆闪警灯，车身左、右两侧装有内嵌式蓝色LED爆闪警示灯各2组，后顶部装有蓝色长条形LED爆闪警示灯1组。</w:t>
            </w:r>
            <w:r>
              <w:rPr>
                <w:rFonts w:hint="eastAsia" w:ascii="仿宋" w:hAnsi="仿宋" w:eastAsia="仿宋" w:cs="仿宋"/>
                <w:color w:val="auto"/>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警报器</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分体式控制手柄设计</w:t>
            </w:r>
            <w:r>
              <w:rPr>
                <w:rFonts w:hint="eastAsia" w:ascii="仿宋" w:hAnsi="仿宋" w:eastAsia="仿宋" w:cs="仿宋"/>
                <w:color w:val="auto"/>
                <w:szCs w:val="21"/>
                <w:highlight w:val="none"/>
              </w:rPr>
              <w:t>，多档调节，</w:t>
            </w:r>
            <w:r>
              <w:rPr>
                <w:rFonts w:hint="eastAsia" w:ascii="仿宋" w:hAnsi="仿宋" w:eastAsia="仿宋" w:cs="仿宋"/>
                <w:color w:val="auto"/>
                <w:kern w:val="0"/>
                <w:szCs w:val="21"/>
                <w:highlight w:val="none"/>
              </w:rPr>
              <w:t>专为救护车开发，驾驶室控制，并符合国家标准G</w:t>
            </w:r>
            <w:r>
              <w:rPr>
                <w:rFonts w:hint="eastAsia" w:ascii="仿宋" w:hAnsi="仿宋" w:eastAsia="仿宋" w:cs="仿宋"/>
                <w:color w:val="auto"/>
                <w:kern w:val="0"/>
                <w:szCs w:val="21"/>
                <w:highlight w:val="none"/>
              </w:rPr>
              <w:t>B</w:t>
            </w:r>
            <w:r>
              <w:rPr>
                <w:rFonts w:hint="eastAsia" w:ascii="仿宋" w:hAnsi="仿宋" w:eastAsia="仿宋" w:cs="仿宋"/>
                <w:color w:val="auto"/>
                <w:kern w:val="0"/>
                <w:szCs w:val="21"/>
                <w:highlight w:val="none"/>
              </w:rPr>
              <w:t>8</w:t>
            </w:r>
            <w:r>
              <w:rPr>
                <w:rFonts w:hint="eastAsia" w:ascii="仿宋" w:hAnsi="仿宋" w:eastAsia="仿宋" w:cs="仿宋"/>
                <w:color w:val="auto"/>
                <w:kern w:val="0"/>
                <w:szCs w:val="21"/>
                <w:highlight w:val="none"/>
              </w:rPr>
              <w:t>108</w:t>
            </w:r>
            <w:r>
              <w:rPr>
                <w:rFonts w:hint="eastAsia" w:ascii="仿宋" w:hAnsi="仿宋" w:eastAsia="仿宋" w:cs="仿宋"/>
                <w:color w:val="auto"/>
                <w:kern w:val="0"/>
                <w:szCs w:val="21"/>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7</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供氧系统</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7</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氧气管道</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氧气主连接管道应采用金属管，并隐藏于内饰与车身之间， 氧气阀与管道连接应采用金属快速活接，确保安全性及便捷性。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7</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氧气瓶</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10</w:t>
            </w:r>
            <w:r>
              <w:rPr>
                <w:rFonts w:hint="eastAsia" w:ascii="仿宋" w:hAnsi="仿宋" w:eastAsia="仿宋" w:cs="仿宋"/>
                <w:color w:val="auto"/>
                <w:szCs w:val="21"/>
                <w:highlight w:val="none"/>
              </w:rPr>
              <w:t>升铝合金氧气瓶两只（带高压减压阀及不锈钢固定装置）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7</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3</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湿化瓶</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即插即用湿化瓶。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8</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电动吸引器</w:t>
            </w:r>
          </w:p>
          <w:p>
            <w:pPr>
              <w:snapToGrid w:val="0"/>
              <w:spacing w:line="276" w:lineRule="auto"/>
              <w:jc w:val="center"/>
              <w:rPr>
                <w:rFonts w:hint="eastAsia" w:ascii="仿宋" w:hAnsi="仿宋" w:eastAsia="仿宋" w:cs="仿宋"/>
                <w:color w:val="auto"/>
                <w:szCs w:val="21"/>
                <w:highlight w:val="none"/>
              </w:rPr>
            </w:pPr>
          </w:p>
        </w:tc>
        <w:tc>
          <w:tcPr>
            <w:tcW w:w="6151"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360" w:lineRule="auto"/>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性能参数：设备</w:t>
            </w:r>
            <w:r>
              <w:rPr>
                <w:rFonts w:hint="eastAsia" w:ascii="仿宋" w:hAnsi="仿宋" w:eastAsia="仿宋" w:cs="仿宋"/>
                <w:color w:val="auto"/>
                <w:szCs w:val="21"/>
                <w:highlight w:val="none"/>
              </w:rPr>
              <w:t>适合救护车车载上使用</w:t>
            </w:r>
          </w:p>
          <w:p>
            <w:pPr>
              <w:widowControl/>
              <w:shd w:val="clear" w:color="auto" w:fill="FFFFFF"/>
              <w:spacing w:line="360" w:lineRule="auto"/>
              <w:jc w:val="lef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1.供电方式：交流、外接直流和机内电池三种供电方式</w:t>
            </w:r>
          </w:p>
          <w:p>
            <w:pPr>
              <w:widowControl/>
              <w:shd w:val="clear" w:color="auto" w:fill="FFFFFF"/>
              <w:spacing w:line="360" w:lineRule="auto"/>
              <w:jc w:val="lef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通过管路上的负压调节阀控制吸引时所需要的负压值，并由面板上的真空表来显示</w:t>
            </w:r>
          </w:p>
          <w:p>
            <w:pPr>
              <w:widowControl/>
              <w:rPr>
                <w:rFonts w:hint="eastAsia" w:ascii="仿宋" w:hAnsi="仿宋" w:eastAsia="仿宋" w:cs="仿宋"/>
                <w:color w:val="auto"/>
                <w:szCs w:val="21"/>
                <w:highlight w:val="none"/>
              </w:rPr>
            </w:pPr>
            <w:r>
              <w:rPr>
                <w:rFonts w:hint="eastAsia" w:ascii="仿宋" w:hAnsi="仿宋" w:eastAsia="仿宋" w:cs="仿宋"/>
                <w:color w:val="auto"/>
                <w:szCs w:val="21"/>
                <w:highlight w:val="none"/>
              </w:rPr>
              <w:t>3.主要技术参数：</w:t>
            </w:r>
          </w:p>
          <w:p>
            <w:pPr>
              <w:widowControl/>
              <w:rPr>
                <w:rFonts w:hint="eastAsia" w:ascii="仿宋" w:hAnsi="仿宋" w:eastAsia="仿宋" w:cs="仿宋"/>
                <w:color w:val="auto"/>
                <w:szCs w:val="21"/>
                <w:highlight w:val="none"/>
              </w:rPr>
            </w:pPr>
            <w:r>
              <w:rPr>
                <w:rFonts w:hint="eastAsia" w:ascii="仿宋" w:hAnsi="仿宋" w:eastAsia="仿宋" w:cs="仿宋"/>
                <w:color w:val="auto"/>
                <w:szCs w:val="21"/>
                <w:highlight w:val="none"/>
              </w:rPr>
              <w:t>3.1、极限负压值：≥0.08MPa (600mmHg)</w:t>
            </w:r>
          </w:p>
          <w:p>
            <w:pPr>
              <w:widowControl/>
              <w:rPr>
                <w:rFonts w:hint="eastAsia" w:ascii="仿宋" w:hAnsi="仿宋" w:eastAsia="仿宋" w:cs="仿宋"/>
                <w:color w:val="auto"/>
                <w:szCs w:val="21"/>
                <w:highlight w:val="none"/>
              </w:rPr>
            </w:pPr>
            <w:r>
              <w:rPr>
                <w:rFonts w:hint="eastAsia" w:ascii="仿宋" w:hAnsi="仿宋" w:eastAsia="仿宋" w:cs="仿宋"/>
                <w:color w:val="auto"/>
                <w:szCs w:val="21"/>
                <w:highlight w:val="none"/>
              </w:rPr>
              <w:t>3.2、负压调节范围：0.02MPa(150mmHg)～极限负压值</w:t>
            </w:r>
          </w:p>
          <w:p>
            <w:pPr>
              <w:widowControl/>
              <w:rPr>
                <w:rFonts w:hint="eastAsia" w:ascii="仿宋" w:hAnsi="仿宋" w:eastAsia="仿宋" w:cs="仿宋"/>
                <w:color w:val="auto"/>
                <w:szCs w:val="21"/>
                <w:highlight w:val="none"/>
              </w:rPr>
            </w:pPr>
            <w:r>
              <w:rPr>
                <w:rFonts w:hint="eastAsia" w:ascii="仿宋" w:hAnsi="仿宋" w:eastAsia="仿宋" w:cs="仿宋"/>
                <w:color w:val="auto"/>
                <w:szCs w:val="21"/>
                <w:highlight w:val="none"/>
              </w:rPr>
              <w:t>3.3、抽气速率：≥20 L/min</w:t>
            </w:r>
          </w:p>
          <w:p>
            <w:pPr>
              <w:widowControl/>
              <w:rPr>
                <w:rFonts w:hint="eastAsia" w:ascii="仿宋" w:hAnsi="仿宋" w:eastAsia="仿宋" w:cs="仿宋"/>
                <w:color w:val="auto"/>
                <w:szCs w:val="21"/>
                <w:highlight w:val="none"/>
              </w:rPr>
            </w:pPr>
            <w:r>
              <w:rPr>
                <w:rFonts w:hint="eastAsia" w:ascii="仿宋" w:hAnsi="仿宋" w:eastAsia="仿宋" w:cs="仿宋"/>
                <w:color w:val="auto"/>
                <w:szCs w:val="21"/>
                <w:highlight w:val="none"/>
              </w:rPr>
              <w:t>3.4、噪声：≤70 dB(A)</w:t>
            </w:r>
          </w:p>
          <w:p>
            <w:pPr>
              <w:rPr>
                <w:rFonts w:hint="eastAsia" w:ascii="仿宋" w:hAnsi="仿宋" w:eastAsia="仿宋" w:cs="仿宋"/>
                <w:color w:val="auto"/>
                <w:highlight w:val="none"/>
              </w:rPr>
            </w:pPr>
            <w:r>
              <w:rPr>
                <w:rFonts w:hint="eastAsia" w:ascii="仿宋" w:hAnsi="仿宋" w:eastAsia="仿宋" w:cs="仿宋"/>
                <w:color w:val="auto"/>
                <w:szCs w:val="21"/>
                <w:highlight w:val="none"/>
              </w:rPr>
              <w:t>3.5、贮液瓶：1000mL（PC塑料）</w:t>
            </w:r>
          </w:p>
          <w:p>
            <w:pPr>
              <w:snapToGrid w:val="0"/>
              <w:spacing w:line="276" w:lineRule="auto"/>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9</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换气系统</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应采用低噪音换气装置，车厢内换气次数大于20次/小时。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10</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杀菌系统</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应配备长条型紫外线消毒灯，杀菌有效空间可达10m</w:t>
            </w:r>
            <w:r>
              <w:rPr>
                <w:rFonts w:hint="eastAsia" w:ascii="仿宋" w:hAnsi="仿宋" w:eastAsia="仿宋" w:cs="仿宋"/>
                <w:bCs/>
                <w:color w:val="auto"/>
                <w:szCs w:val="21"/>
                <w:highlight w:val="none"/>
                <w:vertAlign w:val="superscript"/>
              </w:rPr>
              <w:t xml:space="preserve">3 </w:t>
            </w:r>
            <w:r>
              <w:rPr>
                <w:rFonts w:hint="eastAsia" w:ascii="仿宋" w:hAnsi="仿宋" w:eastAsia="仿宋" w:cs="仿宋"/>
                <w:bCs/>
                <w:color w:val="auto"/>
                <w:szCs w:val="21"/>
                <w:highlight w:val="none"/>
              </w:rPr>
              <w:t>，并具有延时启动功能，定时控制。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11</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照明系统</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11</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工作灯</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医疗舱内应配有2条LED平板光带，光线应均匀、柔和，应考虑病人直视的舒适性。在病人区域最高照度为不小于300lx，也可根据实际情况调节亮度。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11</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专用射灯</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医疗舱内应配有专用射灯，LED冷光源，聚光型，高亮度，可调节照射角度，可在实施急救时辅助照明使用。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11</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3</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后射灯</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应采用大功率LED后射灯1组，有效距离不小于10米。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3.11.4</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夜间外部照明系统</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救护车应配备夜间外部照明系统，便于夜间急救工作的开展。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12</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输液固定系统</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在担架车上方要求安装垂直式输液架（要求能负重</w:t>
            </w:r>
            <w:r>
              <w:rPr>
                <w:rFonts w:hint="eastAsia" w:ascii="仿宋" w:hAnsi="仿宋" w:eastAsia="仿宋" w:cs="仿宋"/>
                <w:color w:val="auto"/>
                <w:szCs w:val="21"/>
                <w:highlight w:val="none"/>
              </w:rPr>
              <w:t>&gt;5kg</w:t>
            </w:r>
            <w:r>
              <w:rPr>
                <w:rFonts w:hint="eastAsia" w:ascii="仿宋" w:hAnsi="仿宋" w:eastAsia="仿宋" w:cs="仿宋"/>
                <w:color w:val="auto"/>
                <w:szCs w:val="21"/>
                <w:highlight w:val="none"/>
              </w:rPr>
              <w:t>）以及输液泵固定支架。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13</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通讯系统</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在驾驶室和医疗舱相应的位置预留通讯系统的电源接线柱和安装监控设备及</w:t>
            </w:r>
            <w:r>
              <w:rPr>
                <w:rFonts w:hint="eastAsia" w:ascii="仿宋" w:hAnsi="仿宋" w:eastAsia="仿宋" w:cs="仿宋"/>
                <w:color w:val="auto"/>
                <w:szCs w:val="21"/>
                <w:highlight w:val="none"/>
              </w:rPr>
              <w:t>GPS</w:t>
            </w:r>
            <w:r>
              <w:rPr>
                <w:rFonts w:hint="eastAsia" w:ascii="仿宋" w:hAnsi="仿宋" w:eastAsia="仿宋" w:cs="仿宋"/>
                <w:color w:val="auto"/>
                <w:szCs w:val="21"/>
                <w:highlight w:val="none"/>
              </w:rPr>
              <w:t>天线的空线孔。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3.14</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对讲系统</w:t>
            </w:r>
          </w:p>
          <w:p>
            <w:pPr>
              <w:snapToGrid w:val="0"/>
              <w:spacing w:line="276" w:lineRule="auto"/>
              <w:jc w:val="center"/>
              <w:rPr>
                <w:rFonts w:hint="eastAsia" w:ascii="仿宋" w:hAnsi="仿宋" w:eastAsia="仿宋" w:cs="仿宋"/>
                <w:color w:val="auto"/>
                <w:szCs w:val="21"/>
                <w:highlight w:val="none"/>
              </w:rPr>
            </w:pP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应配有对讲系统，可实现驾驶舱与医疗舱前后对讲、医疗舱可实现单向对讲控制，保证医疗舱隐私，双向对讲音量可调。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3.15</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负压系统</w:t>
            </w:r>
          </w:p>
        </w:tc>
        <w:tc>
          <w:tcPr>
            <w:tcW w:w="6151" w:type="dxa"/>
            <w:tcBorders>
              <w:top w:val="single" w:color="auto" w:sz="4" w:space="0"/>
              <w:left w:val="single" w:color="auto" w:sz="4" w:space="0"/>
              <w:bottom w:val="single" w:color="auto" w:sz="4" w:space="0"/>
              <w:right w:val="single" w:color="auto" w:sz="4" w:space="0"/>
            </w:tcBorders>
            <w:vAlign w:val="center"/>
          </w:tcPr>
          <w:p>
            <w:pPr>
              <w:widowControl/>
              <w:spacing w:line="276" w:lineRule="auto"/>
              <w:rPr>
                <w:rFonts w:hint="eastAsia" w:ascii="仿宋" w:hAnsi="仿宋" w:eastAsia="仿宋" w:cs="仿宋"/>
                <w:color w:val="auto"/>
                <w:szCs w:val="21"/>
                <w:highlight w:val="none"/>
              </w:rPr>
            </w:pPr>
            <w:bookmarkStart w:id="10" w:name="_Hlk33169601"/>
            <w:r>
              <w:rPr>
                <w:rFonts w:hint="eastAsia" w:ascii="仿宋" w:hAnsi="仿宋" w:eastAsia="仿宋" w:cs="仿宋"/>
                <w:color w:val="auto"/>
                <w:kern w:val="0"/>
                <w:szCs w:val="21"/>
                <w:highlight w:val="none"/>
              </w:rPr>
              <w:t>性能参数：</w:t>
            </w:r>
          </w:p>
          <w:p>
            <w:pPr>
              <w:widowControl/>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1.专用强效排风：排风量：＞600m</w:t>
            </w:r>
            <w:r>
              <w:rPr>
                <w:rFonts w:hint="eastAsia" w:ascii="仿宋" w:hAnsi="仿宋" w:eastAsia="仿宋" w:cs="仿宋"/>
                <w:color w:val="auto"/>
                <w:szCs w:val="21"/>
                <w:highlight w:val="none"/>
                <w:vertAlign w:val="superscript"/>
              </w:rPr>
              <w:t>3</w:t>
            </w:r>
            <w:r>
              <w:rPr>
                <w:rFonts w:hint="eastAsia" w:ascii="仿宋" w:hAnsi="仿宋" w:eastAsia="仿宋" w:cs="仿宋"/>
                <w:color w:val="auto"/>
                <w:szCs w:val="21"/>
                <w:highlight w:val="none"/>
              </w:rPr>
              <w:t>/h，功率12V、150W；</w:t>
            </w:r>
          </w:p>
          <w:p>
            <w:pPr>
              <w:widowControl/>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2.高效过滤装置：滤材：</w:t>
            </w:r>
            <w:r>
              <w:rPr>
                <w:rFonts w:hint="eastAsia" w:ascii="仿宋" w:hAnsi="仿宋" w:eastAsia="仿宋" w:cs="仿宋"/>
                <w:color w:val="auto"/>
                <w:szCs w:val="21"/>
                <w:highlight w:val="none"/>
              </w:rPr>
              <w:t>HEPA</w:t>
            </w:r>
            <w:r>
              <w:rPr>
                <w:rFonts w:hint="eastAsia" w:ascii="仿宋" w:hAnsi="仿宋" w:eastAsia="仿宋" w:cs="仿宋"/>
                <w:color w:val="auto"/>
                <w:szCs w:val="21"/>
                <w:highlight w:val="none"/>
              </w:rPr>
              <w:t>超细玻璃纤维，有效面积：0.15</w:t>
            </w:r>
            <w:bookmarkStart w:id="11" w:name="_Hlk33169381"/>
            <w:r>
              <w:rPr>
                <w:rFonts w:hint="eastAsia" w:ascii="仿宋" w:hAnsi="仿宋" w:eastAsia="仿宋" w:cs="仿宋"/>
                <w:color w:val="auto"/>
                <w:szCs w:val="21"/>
                <w:highlight w:val="none"/>
              </w:rPr>
              <w:t>m</w:t>
            </w:r>
            <w:r>
              <w:rPr>
                <w:rFonts w:hint="eastAsia" w:ascii="仿宋" w:hAnsi="仿宋" w:eastAsia="仿宋" w:cs="仿宋"/>
                <w:color w:val="auto"/>
                <w:szCs w:val="21"/>
                <w:highlight w:val="none"/>
                <w:vertAlign w:val="superscript"/>
              </w:rPr>
              <w:t>2</w:t>
            </w:r>
            <w:bookmarkEnd w:id="11"/>
            <w:r>
              <w:rPr>
                <w:rFonts w:hint="eastAsia" w:ascii="仿宋" w:hAnsi="仿宋" w:eastAsia="仿宋" w:cs="仿宋"/>
                <w:color w:val="auto"/>
                <w:szCs w:val="21"/>
                <w:highlight w:val="none"/>
              </w:rPr>
              <w:t>，最大空气通过率：0.8M/S，滤出率：对粒径0.3微米，达到99.995%以上（标准99.7%），使用寿命：平均寿命为8-12个月（与负压系统开启时间有关）；</w:t>
            </w:r>
          </w:p>
          <w:p>
            <w:pPr>
              <w:widowControl/>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3.杀菌装置：臭氧产量：2克/小时,功率：</w:t>
            </w:r>
            <w:r>
              <w:rPr>
                <w:rFonts w:hint="eastAsia" w:ascii="仿宋" w:hAnsi="仿宋" w:eastAsia="仿宋" w:cs="仿宋"/>
                <w:color w:val="auto"/>
                <w:szCs w:val="21"/>
                <w:highlight w:val="none"/>
              </w:rPr>
              <w:t>12V 40W</w:t>
            </w:r>
            <w:r>
              <w:rPr>
                <w:rFonts w:hint="eastAsia" w:ascii="仿宋" w:hAnsi="仿宋" w:eastAsia="仿宋" w:cs="仿宋"/>
                <w:color w:val="auto"/>
                <w:szCs w:val="21"/>
                <w:highlight w:val="none"/>
              </w:rPr>
              <w:t>；</w:t>
            </w:r>
          </w:p>
          <w:p>
            <w:pPr>
              <w:spacing w:line="276"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4.初级过滤装置：（活性碳除尘）</w:t>
            </w:r>
          </w:p>
          <w:p>
            <w:pPr>
              <w:spacing w:line="276"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过滤级别：G3级，进风流量：200m</w:t>
            </w:r>
            <w:r>
              <w:rPr>
                <w:rFonts w:hint="eastAsia" w:ascii="仿宋" w:hAnsi="仿宋" w:eastAsia="仿宋" w:cs="仿宋"/>
                <w:color w:val="auto"/>
                <w:szCs w:val="21"/>
                <w:highlight w:val="none"/>
                <w:vertAlign w:val="superscript"/>
              </w:rPr>
              <w:t>3</w:t>
            </w:r>
            <w:r>
              <w:rPr>
                <w:rFonts w:hint="eastAsia" w:ascii="仿宋" w:hAnsi="仿宋" w:eastAsia="仿宋" w:cs="仿宋"/>
                <w:color w:val="auto"/>
                <w:szCs w:val="21"/>
                <w:highlight w:val="none"/>
              </w:rPr>
              <w:t>/h</w:t>
            </w:r>
          </w:p>
          <w:p>
            <w:pPr>
              <w:spacing w:line="276"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主要优级点：</w:t>
            </w:r>
          </w:p>
          <w:p>
            <w:pPr>
              <w:spacing w:line="276"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1）舱内空气初级净化：使车辆在经过粉尘路面时，不会影响舱内空气环境，以保证医患人员舒适性，更能够对高效过滤装置起到保护作用。</w:t>
            </w:r>
          </w:p>
          <w:p>
            <w:pPr>
              <w:spacing w:line="276"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2）高效负压：通过进排风的流量差，医疗舱内形成了-</w:t>
            </w:r>
            <w:r>
              <w:rPr>
                <w:rFonts w:hint="eastAsia" w:ascii="仿宋" w:hAnsi="仿宋" w:eastAsia="仿宋" w:cs="仿宋"/>
                <w:color w:val="auto"/>
                <w:szCs w:val="21"/>
                <w:highlight w:val="none"/>
              </w:rPr>
              <w:t>30</w:t>
            </w:r>
            <w:r>
              <w:rPr>
                <w:rFonts w:hint="eastAsia" w:ascii="仿宋" w:hAnsi="仿宋" w:eastAsia="仿宋" w:cs="仿宋"/>
                <w:color w:val="auto"/>
                <w:szCs w:val="21"/>
                <w:highlight w:val="none"/>
              </w:rPr>
              <w:t>Pa至</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0Pa左右的相对压差，避免舱内空气勿外泄。</w:t>
            </w:r>
          </w:p>
          <w:p>
            <w:pPr>
              <w:spacing w:line="276"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集中杀菌：在舱内污染空气通过进风口进入臭氧杀菌腔内，此时腔内的臭氧浓度达到有效杀菌的浓度，对被拦截在腔内及高效过滤装置上的病菌进行强效杀灭。避免在系统关闭时腔内空气回流时，把病菌带回舱内。</w:t>
            </w:r>
          </w:p>
          <w:p>
            <w:pPr>
              <w:spacing w:line="276"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4）高效过滤：采用</w:t>
            </w:r>
            <w:r>
              <w:rPr>
                <w:rFonts w:hint="eastAsia" w:ascii="仿宋" w:hAnsi="仿宋" w:eastAsia="仿宋" w:cs="仿宋"/>
                <w:color w:val="auto"/>
                <w:szCs w:val="21"/>
                <w:highlight w:val="none"/>
              </w:rPr>
              <w:t>HEPA</w:t>
            </w:r>
            <w:r>
              <w:rPr>
                <w:rFonts w:hint="eastAsia" w:ascii="仿宋" w:hAnsi="仿宋" w:eastAsia="仿宋" w:cs="仿宋"/>
                <w:color w:val="auto"/>
                <w:szCs w:val="21"/>
                <w:highlight w:val="none"/>
              </w:rPr>
              <w:t>高效过滤网，对粒径0.3微米，达到99.995%以上，使排到舱外的空气保持洁净安全。</w:t>
            </w:r>
          </w:p>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r>
              <w:rPr>
                <w:rFonts w:hint="eastAsia" w:ascii="仿宋" w:hAnsi="仿宋" w:eastAsia="仿宋" w:cs="仿宋"/>
                <w:color w:val="auto"/>
                <w:szCs w:val="21"/>
                <w:highlight w:val="none"/>
              </w:rPr>
              <w:t>）负压系统已满足WS_T292-2008 救护车-卫生行业标准相关参数。</w:t>
            </w:r>
            <w:bookmarkEnd w:id="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3.16</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呼吸机</w:t>
            </w:r>
            <w:r>
              <w:rPr>
                <w:rFonts w:hint="eastAsia" w:ascii="仿宋" w:hAnsi="仿宋" w:eastAsia="仿宋" w:cs="仿宋"/>
                <w:color w:val="auto"/>
                <w:szCs w:val="21"/>
                <w:highlight w:val="none"/>
                <w:lang w:eastAsia="zh-CN"/>
              </w:rPr>
              <w:t>（第三类医疗器械）</w:t>
            </w:r>
          </w:p>
        </w:tc>
        <w:tc>
          <w:tcPr>
            <w:tcW w:w="6151" w:type="dxa"/>
            <w:tcBorders>
              <w:top w:val="single" w:color="auto" w:sz="4" w:space="0"/>
              <w:left w:val="single" w:color="auto" w:sz="4" w:space="0"/>
              <w:bottom w:val="single" w:color="auto" w:sz="4" w:space="0"/>
              <w:right w:val="single" w:color="auto" w:sz="4" w:space="0"/>
            </w:tcBorders>
            <w:vAlign w:val="center"/>
          </w:tcPr>
          <w:p>
            <w:pPr>
              <w:widowControl/>
              <w:spacing w:line="276" w:lineRule="auto"/>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性能参数：设备</w:t>
            </w:r>
            <w:r>
              <w:rPr>
                <w:rFonts w:hint="eastAsia" w:ascii="仿宋" w:hAnsi="仿宋" w:eastAsia="仿宋" w:cs="仿宋"/>
                <w:color w:val="auto"/>
                <w:szCs w:val="21"/>
                <w:highlight w:val="none"/>
              </w:rPr>
              <w:t>适合救护车车载上使用</w:t>
            </w:r>
          </w:p>
          <w:p>
            <w:pPr>
              <w:autoSpaceDE w:val="0"/>
              <w:autoSpaceDN w:val="0"/>
              <w:adjustRightIn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1、适用于</w:t>
            </w:r>
            <w:r>
              <w:rPr>
                <w:rFonts w:hint="eastAsia" w:ascii="仿宋" w:hAnsi="仿宋" w:eastAsia="仿宋" w:cs="仿宋"/>
                <w:color w:val="auto"/>
                <w:szCs w:val="21"/>
                <w:highlight w:val="none"/>
              </w:rPr>
              <w:t>10</w:t>
            </w:r>
            <w:r>
              <w:rPr>
                <w:rFonts w:hint="eastAsia" w:ascii="仿宋" w:hAnsi="仿宋" w:eastAsia="仿宋" w:cs="仿宋"/>
                <w:color w:val="auto"/>
                <w:szCs w:val="21"/>
                <w:highlight w:val="none"/>
              </w:rPr>
              <w:t>公斤以上婴幼儿、儿童及成人</w:t>
            </w:r>
          </w:p>
          <w:p>
            <w:pPr>
              <w:autoSpaceDE w:val="0"/>
              <w:autoSpaceDN w:val="0"/>
              <w:adjustRightIn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、气动电控驱动控制模式</w:t>
            </w:r>
          </w:p>
          <w:p>
            <w:pPr>
              <w:autoSpaceDE w:val="0"/>
              <w:autoSpaceDN w:val="0"/>
              <w:adjustRightIn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、气源为氧气瓶，已配备中心供氧快速接口，切换时无需关闭呼吸机或气瓶</w:t>
            </w:r>
          </w:p>
          <w:p>
            <w:pPr>
              <w:autoSpaceDE w:val="0"/>
              <w:autoSpaceDN w:val="0"/>
              <w:adjustRightIn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IPPV</w:t>
            </w:r>
            <w:r>
              <w:rPr>
                <w:rFonts w:hint="eastAsia" w:ascii="仿宋" w:hAnsi="仿宋" w:eastAsia="仿宋" w:cs="仿宋"/>
                <w:color w:val="auto"/>
                <w:szCs w:val="21"/>
                <w:highlight w:val="none"/>
              </w:rPr>
              <w:t>通气模式、</w:t>
            </w:r>
            <w:r>
              <w:rPr>
                <w:rFonts w:hint="eastAsia" w:ascii="仿宋" w:hAnsi="仿宋" w:eastAsia="仿宋" w:cs="仿宋"/>
                <w:color w:val="auto"/>
                <w:szCs w:val="21"/>
                <w:highlight w:val="none"/>
              </w:rPr>
              <w:t>CPR</w:t>
            </w:r>
            <w:r>
              <w:rPr>
                <w:rFonts w:hint="eastAsia" w:ascii="仿宋" w:hAnsi="仿宋" w:eastAsia="仿宋" w:cs="仿宋"/>
                <w:color w:val="auto"/>
                <w:szCs w:val="21"/>
                <w:highlight w:val="none"/>
              </w:rPr>
              <w:t>手动通气模式、</w:t>
            </w:r>
            <w:r>
              <w:rPr>
                <w:rFonts w:hint="eastAsia" w:ascii="仿宋" w:hAnsi="仿宋" w:eastAsia="仿宋" w:cs="仿宋"/>
                <w:color w:val="auto"/>
                <w:szCs w:val="21"/>
                <w:highlight w:val="none"/>
              </w:rPr>
              <w:t>demand flow</w:t>
            </w:r>
            <w:r>
              <w:rPr>
                <w:rFonts w:hint="eastAsia" w:ascii="仿宋" w:hAnsi="仿宋" w:eastAsia="仿宋" w:cs="仿宋"/>
                <w:color w:val="auto"/>
                <w:szCs w:val="21"/>
                <w:highlight w:val="none"/>
              </w:rPr>
              <w:t>同步模式</w:t>
            </w:r>
          </w:p>
          <w:p>
            <w:pPr>
              <w:rPr>
                <w:rFonts w:hint="eastAsia" w:ascii="仿宋" w:hAnsi="仿宋" w:eastAsia="仿宋" w:cs="仿宋"/>
                <w:color w:val="auto"/>
                <w:highlight w:val="none"/>
              </w:rPr>
            </w:pPr>
            <w:r>
              <w:rPr>
                <w:rFonts w:hint="eastAsia" w:ascii="仿宋" w:hAnsi="仿宋" w:eastAsia="仿宋" w:cs="仿宋"/>
                <w:color w:val="auto"/>
                <w:szCs w:val="21"/>
                <w:highlight w:val="none"/>
              </w:rPr>
              <w:t>5、呼吸机适用于救护车</w:t>
            </w:r>
          </w:p>
          <w:p>
            <w:pPr>
              <w:autoSpaceDE w:val="0"/>
              <w:autoSpaceDN w:val="0"/>
              <w:adjustRightIn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6、具有操作和报警中文语音提示，</w:t>
            </w:r>
            <w:r>
              <w:rPr>
                <w:rFonts w:hint="eastAsia" w:ascii="仿宋" w:hAnsi="仿宋" w:eastAsia="仿宋" w:cs="仿宋"/>
                <w:color w:val="auto"/>
                <w:szCs w:val="21"/>
                <w:highlight w:val="none"/>
              </w:rPr>
              <w:t>CPR</w:t>
            </w:r>
            <w:r>
              <w:rPr>
                <w:rFonts w:hint="eastAsia" w:ascii="仿宋" w:hAnsi="仿宋" w:eastAsia="仿宋" w:cs="仿宋"/>
                <w:color w:val="auto"/>
                <w:szCs w:val="21"/>
                <w:highlight w:val="none"/>
              </w:rPr>
              <w:t>模式下通过语音节拍器引导胸腹按压</w:t>
            </w:r>
          </w:p>
          <w:p>
            <w:pPr>
              <w:autoSpaceDE w:val="0"/>
              <w:autoSpaceDN w:val="0"/>
              <w:adjustRightIn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w:t>
            </w:r>
            <w:r>
              <w:rPr>
                <w:rFonts w:hint="eastAsia" w:ascii="仿宋" w:hAnsi="仿宋" w:eastAsia="仿宋" w:cs="仿宋"/>
                <w:color w:val="auto"/>
                <w:szCs w:val="21"/>
                <w:highlight w:val="none"/>
              </w:rPr>
              <w:t>、呼吸频率：每分钟</w:t>
            </w:r>
            <w:r>
              <w:rPr>
                <w:rFonts w:hint="eastAsia" w:ascii="仿宋" w:hAnsi="仿宋" w:eastAsia="仿宋" w:cs="仿宋"/>
                <w:color w:val="auto"/>
                <w:szCs w:val="21"/>
                <w:highlight w:val="none"/>
              </w:rPr>
              <w:t>10-25</w:t>
            </w:r>
            <w:r>
              <w:rPr>
                <w:rFonts w:hint="eastAsia" w:ascii="仿宋" w:hAnsi="仿宋" w:eastAsia="仿宋" w:cs="仿宋"/>
                <w:color w:val="auto"/>
                <w:szCs w:val="21"/>
                <w:highlight w:val="none"/>
              </w:rPr>
              <w:t>次，连续可调</w:t>
            </w:r>
          </w:p>
          <w:p>
            <w:pPr>
              <w:autoSpaceDE w:val="0"/>
              <w:autoSpaceDN w:val="0"/>
              <w:adjustRightIn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r>
              <w:rPr>
                <w:rFonts w:hint="eastAsia" w:ascii="仿宋" w:hAnsi="仿宋" w:eastAsia="仿宋" w:cs="仿宋"/>
                <w:color w:val="auto"/>
                <w:szCs w:val="21"/>
                <w:highlight w:val="none"/>
              </w:rPr>
              <w:t>、潮气量：</w:t>
            </w:r>
            <w:r>
              <w:rPr>
                <w:rFonts w:hint="eastAsia" w:ascii="仿宋" w:hAnsi="仿宋" w:eastAsia="仿宋" w:cs="仿宋"/>
                <w:color w:val="auto"/>
                <w:szCs w:val="21"/>
                <w:highlight w:val="none"/>
              </w:rPr>
              <w:t>70-900ml</w:t>
            </w:r>
            <w:r>
              <w:rPr>
                <w:rFonts w:hint="eastAsia" w:ascii="仿宋" w:hAnsi="仿宋" w:eastAsia="仿宋" w:cs="仿宋"/>
                <w:color w:val="auto"/>
                <w:szCs w:val="21"/>
                <w:highlight w:val="none"/>
              </w:rPr>
              <w:t>，连续可调</w:t>
            </w:r>
          </w:p>
          <w:p>
            <w:pPr>
              <w:autoSpaceDE w:val="0"/>
              <w:autoSpaceDN w:val="0"/>
              <w:adjustRightIn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9</w:t>
            </w:r>
            <w:r>
              <w:rPr>
                <w:rFonts w:hint="eastAsia" w:ascii="仿宋" w:hAnsi="仿宋" w:eastAsia="仿宋" w:cs="仿宋"/>
                <w:color w:val="auto"/>
                <w:szCs w:val="21"/>
                <w:highlight w:val="none"/>
              </w:rPr>
              <w:t>、带有二次供气功能，自动补偿潮气量</w:t>
            </w:r>
          </w:p>
          <w:p>
            <w:pPr>
              <w:autoSpaceDE w:val="0"/>
              <w:autoSpaceDN w:val="0"/>
              <w:adjustRightIn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10</w:t>
            </w:r>
            <w:r>
              <w:rPr>
                <w:rFonts w:hint="eastAsia" w:ascii="仿宋" w:hAnsi="仿宋" w:eastAsia="仿宋" w:cs="仿宋"/>
                <w:color w:val="auto"/>
                <w:szCs w:val="21"/>
                <w:highlight w:val="none"/>
              </w:rPr>
              <w:t>、内置标配免维护电池，无须充电或连接外接电源，电池续航≥</w:t>
            </w:r>
            <w:r>
              <w:rPr>
                <w:rFonts w:hint="eastAsia" w:ascii="仿宋" w:hAnsi="仿宋" w:eastAsia="仿宋" w:cs="仿宋"/>
                <w:color w:val="auto"/>
                <w:szCs w:val="21"/>
                <w:highlight w:val="none"/>
              </w:rPr>
              <w:t>200</w:t>
            </w:r>
            <w:r>
              <w:rPr>
                <w:rFonts w:hint="eastAsia" w:ascii="仿宋" w:hAnsi="仿宋" w:eastAsia="仿宋" w:cs="仿宋"/>
                <w:color w:val="auto"/>
                <w:szCs w:val="21"/>
                <w:highlight w:val="none"/>
              </w:rPr>
              <w:t>小时</w:t>
            </w:r>
          </w:p>
          <w:p>
            <w:pPr>
              <w:autoSpaceDE w:val="0"/>
              <w:autoSpaceDN w:val="0"/>
              <w:adjustRightIn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w:t>
            </w:r>
            <w:r>
              <w:rPr>
                <w:rFonts w:hint="eastAsia" w:ascii="仿宋" w:hAnsi="仿宋" w:eastAsia="仿宋" w:cs="仿宋"/>
                <w:color w:val="auto"/>
                <w:szCs w:val="21"/>
                <w:highlight w:val="none"/>
              </w:rPr>
              <w:t>、通气压力报警上限：</w:t>
            </w:r>
            <w:r>
              <w:rPr>
                <w:rFonts w:hint="eastAsia" w:ascii="仿宋" w:hAnsi="仿宋" w:eastAsia="仿宋" w:cs="仿宋"/>
                <w:color w:val="auto"/>
                <w:szCs w:val="21"/>
                <w:highlight w:val="none"/>
              </w:rPr>
              <w:t>45mbar</w:t>
            </w:r>
            <w:r>
              <w:rPr>
                <w:rFonts w:hint="eastAsia" w:ascii="仿宋" w:hAnsi="仿宋" w:eastAsia="仿宋" w:cs="仿宋"/>
                <w:color w:val="auto"/>
                <w:szCs w:val="21"/>
                <w:highlight w:val="none"/>
              </w:rPr>
              <w:t>（有创）</w:t>
            </w:r>
            <w:r>
              <w:rPr>
                <w:rFonts w:hint="eastAsia" w:ascii="仿宋" w:hAnsi="仿宋" w:eastAsia="仿宋" w:cs="仿宋"/>
                <w:color w:val="auto"/>
                <w:szCs w:val="21"/>
                <w:highlight w:val="none"/>
              </w:rPr>
              <w:t>20mbar</w:t>
            </w:r>
            <w:r>
              <w:rPr>
                <w:rFonts w:hint="eastAsia" w:ascii="仿宋" w:hAnsi="仿宋" w:eastAsia="仿宋" w:cs="仿宋"/>
                <w:color w:val="auto"/>
                <w:szCs w:val="21"/>
                <w:highlight w:val="none"/>
              </w:rPr>
              <w:t>（无创）</w:t>
            </w:r>
          </w:p>
          <w:p>
            <w:pPr>
              <w:autoSpaceDE w:val="0"/>
              <w:autoSpaceDN w:val="0"/>
              <w:adjustRightIn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w:t>
            </w:r>
            <w:r>
              <w:rPr>
                <w:rFonts w:hint="eastAsia" w:ascii="仿宋" w:hAnsi="仿宋" w:eastAsia="仿宋" w:cs="仿宋"/>
                <w:color w:val="auto"/>
                <w:szCs w:val="21"/>
                <w:highlight w:val="none"/>
              </w:rPr>
              <w:t>、吸呼比：</w:t>
            </w:r>
            <w:r>
              <w:rPr>
                <w:rFonts w:hint="eastAsia" w:ascii="仿宋" w:hAnsi="仿宋" w:eastAsia="仿宋" w:cs="仿宋"/>
                <w:color w:val="auto"/>
                <w:szCs w:val="21"/>
                <w:highlight w:val="none"/>
              </w:rPr>
              <w:t>1:1-1:3</w:t>
            </w:r>
          </w:p>
          <w:p>
            <w:pPr>
              <w:autoSpaceDE w:val="0"/>
              <w:autoSpaceDN w:val="0"/>
              <w:adjustRightIn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、具备有创</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无创一键快速切换</w:t>
            </w:r>
          </w:p>
          <w:p>
            <w:pPr>
              <w:autoSpaceDE w:val="0"/>
              <w:autoSpaceDN w:val="0"/>
              <w:adjustRightIn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14</w:t>
            </w:r>
            <w:r>
              <w:rPr>
                <w:rFonts w:hint="eastAsia" w:ascii="仿宋" w:hAnsi="仿宋" w:eastAsia="仿宋" w:cs="仿宋"/>
                <w:color w:val="auto"/>
                <w:szCs w:val="21"/>
                <w:highlight w:val="none"/>
              </w:rPr>
              <w:t>、具备高压、低压</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管道脱落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漏气、低电量、气源压力不足、窒息和系统故障等声音和光学</w:t>
            </w:r>
            <w:r>
              <w:rPr>
                <w:rFonts w:hint="eastAsia" w:ascii="仿宋" w:hAnsi="仿宋" w:eastAsia="仿宋" w:cs="仿宋"/>
                <w:color w:val="auto"/>
                <w:szCs w:val="21"/>
                <w:highlight w:val="none"/>
              </w:rPr>
              <w:t>LED</w:t>
            </w:r>
            <w:r>
              <w:rPr>
                <w:rFonts w:hint="eastAsia" w:ascii="仿宋" w:hAnsi="仿宋" w:eastAsia="仿宋" w:cs="仿宋"/>
                <w:color w:val="auto"/>
                <w:szCs w:val="21"/>
                <w:highlight w:val="none"/>
              </w:rPr>
              <w:t>报警，同时语音提示报警内容和排除方法</w:t>
            </w:r>
          </w:p>
          <w:p>
            <w:pPr>
              <w:autoSpaceDE w:val="0"/>
              <w:autoSpaceDN w:val="0"/>
              <w:adjustRightIn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5</w:t>
            </w:r>
            <w:r>
              <w:rPr>
                <w:rFonts w:hint="eastAsia" w:ascii="仿宋" w:hAnsi="仿宋" w:eastAsia="仿宋" w:cs="仿宋"/>
                <w:color w:val="auto"/>
                <w:szCs w:val="21"/>
                <w:highlight w:val="none"/>
              </w:rPr>
              <w:t>、配备专业设计的便携转运平台，可手提、肩背，或快速固定于担架、转运床等</w:t>
            </w:r>
          </w:p>
          <w:p>
            <w:pPr>
              <w:autoSpaceDE w:val="0"/>
              <w:autoSpaceDN w:val="0"/>
              <w:adjustRightIn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6</w:t>
            </w:r>
            <w:r>
              <w:rPr>
                <w:rFonts w:hint="eastAsia" w:ascii="仿宋" w:hAnsi="仿宋" w:eastAsia="仿宋" w:cs="仿宋"/>
                <w:color w:val="auto"/>
                <w:szCs w:val="21"/>
                <w:highlight w:val="none"/>
              </w:rPr>
              <w:t>、操作界面带有触摸点设计，方便黑暗弱光等环境下操作使用</w:t>
            </w:r>
          </w:p>
          <w:p>
            <w:pPr>
              <w:autoSpaceDE w:val="0"/>
              <w:autoSpaceDN w:val="0"/>
              <w:adjustRightIn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具有参数调节色块指示，便于救护人员快速选择合理和安全的通气参数</w:t>
            </w:r>
          </w:p>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7</w:t>
            </w:r>
            <w:r>
              <w:rPr>
                <w:rFonts w:hint="eastAsia" w:ascii="仿宋" w:hAnsi="仿宋" w:eastAsia="仿宋" w:cs="仿宋"/>
                <w:color w:val="auto"/>
                <w:szCs w:val="21"/>
                <w:highlight w:val="none"/>
              </w:rPr>
              <w:t>、防尘防水级别达到</w:t>
            </w:r>
            <w:r>
              <w:rPr>
                <w:rFonts w:hint="eastAsia" w:ascii="仿宋" w:hAnsi="仿宋" w:eastAsia="仿宋" w:cs="仿宋"/>
                <w:color w:val="auto"/>
                <w:szCs w:val="21"/>
                <w:highlight w:val="none"/>
              </w:rPr>
              <w:t>IP54</w:t>
            </w:r>
            <w:r>
              <w:rPr>
                <w:rFonts w:hint="eastAsia" w:ascii="仿宋" w:hAnsi="仿宋" w:eastAsia="仿宋" w:cs="仿宋"/>
                <w:color w:val="auto"/>
                <w:szCs w:val="21"/>
                <w:highlight w:val="none"/>
              </w:rPr>
              <w:t>标准</w:t>
            </w:r>
          </w:p>
          <w:p>
            <w:pPr>
              <w:pStyle w:val="2"/>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18</w:t>
            </w:r>
            <w:r>
              <w:rPr>
                <w:rFonts w:hint="eastAsia" w:ascii="仿宋" w:hAnsi="仿宋" w:eastAsia="仿宋" w:cs="仿宋"/>
                <w:color w:val="auto"/>
                <w:highlight w:val="none"/>
              </w:rPr>
              <w:t>、主机重量≤1kg</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19、签订合同时需出具该产品授权书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3.17</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心</w:t>
            </w:r>
            <w:r>
              <w:rPr>
                <w:rFonts w:hint="eastAsia" w:ascii="仿宋" w:hAnsi="仿宋" w:eastAsia="仿宋" w:cs="仿宋"/>
                <w:color w:val="auto"/>
                <w:szCs w:val="21"/>
                <w:highlight w:val="none"/>
              </w:rPr>
              <w:t>肺复苏机</w:t>
            </w:r>
            <w:r>
              <w:rPr>
                <w:rFonts w:hint="eastAsia" w:ascii="仿宋" w:hAnsi="仿宋" w:eastAsia="仿宋" w:cs="仿宋"/>
                <w:color w:val="auto"/>
                <w:szCs w:val="21"/>
                <w:highlight w:val="none"/>
                <w:lang w:eastAsia="zh-CN"/>
              </w:rPr>
              <w:t>（第</w:t>
            </w:r>
            <w:r>
              <w:rPr>
                <w:rFonts w:hint="eastAsia" w:ascii="仿宋" w:hAnsi="仿宋" w:eastAsia="仿宋" w:cs="仿宋"/>
                <w:color w:val="auto"/>
                <w:szCs w:val="21"/>
                <w:highlight w:val="none"/>
                <w:lang w:val="en-US" w:eastAsia="zh-CN"/>
              </w:rPr>
              <w:t>二</w:t>
            </w:r>
            <w:r>
              <w:rPr>
                <w:rFonts w:hint="eastAsia" w:ascii="仿宋" w:hAnsi="仿宋" w:eastAsia="仿宋" w:cs="仿宋"/>
                <w:color w:val="auto"/>
                <w:szCs w:val="21"/>
                <w:highlight w:val="none"/>
                <w:lang w:eastAsia="zh-CN"/>
              </w:rPr>
              <w:t>类医疗器械）</w:t>
            </w:r>
          </w:p>
        </w:tc>
        <w:tc>
          <w:tcPr>
            <w:tcW w:w="6151" w:type="dxa"/>
            <w:tcBorders>
              <w:top w:val="single" w:color="auto" w:sz="4" w:space="0"/>
              <w:left w:val="single" w:color="auto" w:sz="4" w:space="0"/>
              <w:bottom w:val="single" w:color="auto" w:sz="4" w:space="0"/>
              <w:right w:val="single" w:color="auto" w:sz="4" w:space="0"/>
            </w:tcBorders>
            <w:vAlign w:val="center"/>
          </w:tcPr>
          <w:p>
            <w:pPr>
              <w:widowControl/>
              <w:spacing w:line="276" w:lineRule="auto"/>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性能参数：设备</w:t>
            </w:r>
            <w:r>
              <w:rPr>
                <w:rFonts w:hint="eastAsia" w:ascii="仿宋" w:hAnsi="仿宋" w:eastAsia="仿宋" w:cs="仿宋"/>
                <w:color w:val="auto"/>
                <w:szCs w:val="21"/>
                <w:highlight w:val="none"/>
              </w:rPr>
              <w:t>适合救护车车载上使用</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1、符合《2015AHA心肺复苏及心血管急救指南》中“心肺复苏的替代技术和辅助装置”的相关规范，符合《2016中国心肺复苏专家共识》中“机械复苏装置”的相关技术类型</w:t>
            </w:r>
          </w:p>
          <w:p>
            <w:pPr>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、按压技术：采用结合胸泵和心泵机制、模拟心脏搏动原理的智能心肺复苏技术，减少复苏过程引起的损伤</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3、按压频率：100-120次／分钟实际按压频率误差≤±1次/分钟</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4、按压深度：3.0-5.5厘米，实际按压深度误差≤±0.2厘米</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5、默认按压释放比范围: 50%±5%</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6、按压通气模式：连续按压模式和30:2模式</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7、具备两种按压模式无间隙切换功能</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r>
              <w:rPr>
                <w:rFonts w:hint="eastAsia" w:ascii="仿宋" w:hAnsi="仿宋" w:eastAsia="仿宋" w:cs="仿宋"/>
                <w:color w:val="auto"/>
                <w:szCs w:val="21"/>
                <w:highlight w:val="none"/>
              </w:rPr>
              <w:t>、30:2模式下，30次按压后，2次通气停顿时间不大于3秒</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9</w:t>
            </w:r>
            <w:r>
              <w:rPr>
                <w:rFonts w:hint="eastAsia" w:ascii="仿宋" w:hAnsi="仿宋" w:eastAsia="仿宋" w:cs="仿宋"/>
                <w:color w:val="auto"/>
                <w:szCs w:val="21"/>
                <w:highlight w:val="none"/>
              </w:rPr>
              <w:t>、最大工作倾斜度：≥4</w:t>
            </w:r>
            <w:r>
              <w:rPr>
                <w:rFonts w:hint="eastAsia" w:ascii="仿宋" w:hAnsi="仿宋" w:eastAsia="仿宋" w:cs="仿宋"/>
                <w:color w:val="auto"/>
                <w:szCs w:val="21"/>
                <w:highlight w:val="none"/>
              </w:rPr>
              <w:t>5</w:t>
            </w:r>
            <w:r>
              <w:rPr>
                <w:rFonts w:hint="eastAsia" w:ascii="仿宋" w:hAnsi="仿宋" w:eastAsia="仿宋" w:cs="仿宋"/>
                <w:color w:val="auto"/>
                <w:szCs w:val="21"/>
                <w:highlight w:val="none"/>
              </w:rPr>
              <w:t>°，确保下楼梯、转运途中能持续稳定实施胸腔按压</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9</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在主机工作倾斜度范围内工作状态下，实际按压频率与设定值误差≤±1次/分钟</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9</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在主机工作倾斜度范围内工作状态下，实际按压深度与设定值误差≤±0.2厘米</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9</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在主机工作倾斜度范围内工作状态下，按压释放比保持在 50%~60%±5%范围内</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0</w:t>
            </w:r>
            <w:r>
              <w:rPr>
                <w:rFonts w:hint="eastAsia" w:ascii="仿宋" w:hAnsi="仿宋" w:eastAsia="仿宋" w:cs="仿宋"/>
                <w:color w:val="auto"/>
                <w:szCs w:val="21"/>
                <w:highlight w:val="none"/>
              </w:rPr>
              <w:t>、在温度低温和高温下设备能持续稳定实施胸腔按压，以满足院外急救的使用需求。</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在额定工作低温状态下，实际按压频率与设定值误差≤±1次/分钟</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在额定工作低温状态下，实际按压深度与设定值误差≤±0.2厘米</w:t>
            </w:r>
          </w:p>
          <w:p>
            <w:pPr>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在额定工作低温状态下，按压释放比保持在 50%~60%±5%范围内</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4</w:t>
            </w:r>
            <w:r>
              <w:rPr>
                <w:rFonts w:hint="eastAsia" w:ascii="仿宋" w:hAnsi="仿宋" w:eastAsia="仿宋" w:cs="仿宋"/>
                <w:color w:val="auto"/>
                <w:szCs w:val="21"/>
                <w:highlight w:val="none"/>
              </w:rPr>
              <w:t>在额定工作湿热环境状态下，实际按压频率与设定值误差≤±1次/分钟</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5</w:t>
            </w:r>
            <w:r>
              <w:rPr>
                <w:rFonts w:hint="eastAsia" w:ascii="仿宋" w:hAnsi="仿宋" w:eastAsia="仿宋" w:cs="仿宋"/>
                <w:color w:val="auto"/>
                <w:szCs w:val="21"/>
                <w:highlight w:val="none"/>
              </w:rPr>
              <w:t>在额定工作湿热环境状态下，实际按压深度与设定值误差≤±0.2厘米</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6</w:t>
            </w:r>
            <w:r>
              <w:rPr>
                <w:rFonts w:hint="eastAsia" w:ascii="仿宋" w:hAnsi="仿宋" w:eastAsia="仿宋" w:cs="仿宋"/>
                <w:color w:val="auto"/>
                <w:szCs w:val="21"/>
                <w:highlight w:val="none"/>
              </w:rPr>
              <w:t>在额定工作湿热环境状态下，按压释放比保持在 50%~60%±5%范围内</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、车载运行性能：在三级公路、行驶速度40km／h，运行200km状态下，能持续稳定实施胸腔按压，以满足长距离转运期院外急救的使用需求</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在车载运行环境状态下，实际按压频率与设定值误差≤±1次/分钟</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在车载运行环境状态下，实际按压深度与设定值误差≤±0.2厘米</w:t>
            </w:r>
          </w:p>
          <w:p>
            <w:pPr>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在车载运行环境状态下，按压释放比保持在 50%~60%±5%范围内</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、驱动方式：电动电控。</w:t>
            </w:r>
          </w:p>
          <w:p>
            <w:pPr>
              <w:rPr>
                <w:rFonts w:hint="eastAsia" w:ascii="仿宋" w:hAnsi="仿宋" w:eastAsia="仿宋" w:cs="仿宋"/>
                <w:color w:val="auto"/>
                <w:highlight w:val="none"/>
              </w:rPr>
            </w:pPr>
            <w:r>
              <w:rPr>
                <w:rFonts w:hint="eastAsia" w:ascii="仿宋" w:hAnsi="仿宋" w:eastAsia="仿宋" w:cs="仿宋"/>
                <w:color w:val="auto"/>
                <w:szCs w:val="21"/>
                <w:highlight w:val="none"/>
              </w:rPr>
              <w:t>13</w:t>
            </w:r>
            <w:r>
              <w:rPr>
                <w:rFonts w:hint="eastAsia" w:ascii="仿宋" w:hAnsi="仿宋" w:eastAsia="仿宋" w:cs="仿宋"/>
                <w:color w:val="auto"/>
                <w:szCs w:val="21"/>
                <w:highlight w:val="none"/>
              </w:rPr>
              <w:t>、电池运行时间：单块电池最大运行时间≥60分钟；电池最大充电时间：≤4小时。</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4</w:t>
            </w:r>
            <w:r>
              <w:rPr>
                <w:rFonts w:hint="eastAsia" w:ascii="仿宋" w:hAnsi="仿宋" w:eastAsia="仿宋" w:cs="仿宋"/>
                <w:color w:val="auto"/>
                <w:szCs w:val="21"/>
                <w:highlight w:val="none"/>
              </w:rPr>
              <w:t>、外部交流电源：接220V交流电，具有直接提供动力功能，并同时给予电池充电功能</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5</w:t>
            </w:r>
            <w:r>
              <w:rPr>
                <w:rFonts w:hint="eastAsia" w:ascii="仿宋" w:hAnsi="仿宋" w:eastAsia="仿宋" w:cs="仿宋"/>
                <w:color w:val="auto"/>
                <w:szCs w:val="21"/>
                <w:highlight w:val="none"/>
              </w:rPr>
              <w:t>、紧急关闭：当主机发生错误，不能继续工作时，可暂停、停止按压或关闭主机</w:t>
            </w:r>
          </w:p>
          <w:p>
            <w:pPr>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6</w:t>
            </w:r>
            <w:r>
              <w:rPr>
                <w:rFonts w:hint="eastAsia" w:ascii="仿宋" w:hAnsi="仿宋" w:eastAsia="仿宋" w:cs="仿宋"/>
                <w:color w:val="auto"/>
                <w:szCs w:val="21"/>
                <w:highlight w:val="none"/>
              </w:rPr>
              <w:t>、按压头手动归位：当主机发生错误，若按压头为归位，能够手动将按压头推回零位</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7</w:t>
            </w:r>
            <w:r>
              <w:rPr>
                <w:rFonts w:hint="eastAsia" w:ascii="仿宋" w:hAnsi="仿宋" w:eastAsia="仿宋" w:cs="仿宋"/>
                <w:color w:val="auto"/>
                <w:szCs w:val="21"/>
                <w:highlight w:val="none"/>
              </w:rPr>
              <w:t>、抗振性能：频率循环范围5Hz-35Hz-5Hz，振幅值35±3mm，振动循环15次后，实际按压频率与按压频率设定值误差≤±1次/分钟，实际按压深度与按压深度设定值误差≤±0.2厘米</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8</w:t>
            </w:r>
            <w:r>
              <w:rPr>
                <w:rFonts w:hint="eastAsia" w:ascii="仿宋" w:hAnsi="仿宋" w:eastAsia="仿宋" w:cs="仿宋"/>
                <w:color w:val="auto"/>
                <w:szCs w:val="21"/>
                <w:highlight w:val="none"/>
              </w:rPr>
              <w:t>、防撞性能：加速度50m/s2，脉冲持续时间11ms，碰撞1000次后，实际按压频率与按压频率设定值误差≤±1次/分钟，实际按压深度与按压深度设定值误差≤±0.2厘米</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9</w:t>
            </w:r>
            <w:r>
              <w:rPr>
                <w:rFonts w:hint="eastAsia" w:ascii="仿宋" w:hAnsi="仿宋" w:eastAsia="仿宋" w:cs="仿宋"/>
                <w:color w:val="auto"/>
                <w:szCs w:val="21"/>
                <w:highlight w:val="none"/>
              </w:rPr>
              <w:t>、便携性能：</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9</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主机（含动力电池）重量≤3.5Kg</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9</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便携包：具有</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9</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 xml:space="preserve">3 </w:t>
            </w:r>
            <w:r>
              <w:rPr>
                <w:rFonts w:hint="eastAsia" w:ascii="仿宋" w:hAnsi="仿宋" w:eastAsia="仿宋" w:cs="仿宋"/>
                <w:color w:val="auto"/>
                <w:szCs w:val="21"/>
                <w:highlight w:val="none"/>
              </w:rPr>
              <w:t>无挡板设计，不受软床垫影响</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9</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4</w:t>
            </w:r>
            <w:r>
              <w:rPr>
                <w:rFonts w:hint="eastAsia" w:ascii="仿宋" w:hAnsi="仿宋" w:eastAsia="仿宋" w:cs="仿宋"/>
                <w:color w:val="auto"/>
                <w:szCs w:val="21"/>
                <w:highlight w:val="none"/>
              </w:rPr>
              <w:t>体积小，在持续按压状态下，急诊经皮冠脉介入治疗时不遮挡视野，满足急诊PCI时实施CPR的方案</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0</w:t>
            </w:r>
            <w:r>
              <w:rPr>
                <w:rFonts w:hint="eastAsia" w:ascii="仿宋" w:hAnsi="仿宋" w:eastAsia="仿宋" w:cs="仿宋"/>
                <w:color w:val="auto"/>
                <w:szCs w:val="21"/>
                <w:highlight w:val="none"/>
              </w:rPr>
              <w:t>、签订合同时需出具该产品授权书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3.18</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心电图</w:t>
            </w:r>
            <w:r>
              <w:rPr>
                <w:rFonts w:hint="eastAsia" w:ascii="仿宋" w:hAnsi="仿宋" w:eastAsia="仿宋" w:cs="仿宋"/>
                <w:color w:val="auto"/>
                <w:szCs w:val="21"/>
                <w:highlight w:val="none"/>
              </w:rPr>
              <w:t>机</w:t>
            </w:r>
            <w:r>
              <w:rPr>
                <w:rFonts w:hint="eastAsia" w:ascii="仿宋" w:hAnsi="仿宋" w:eastAsia="仿宋" w:cs="仿宋"/>
                <w:color w:val="auto"/>
                <w:szCs w:val="21"/>
                <w:highlight w:val="none"/>
                <w:lang w:eastAsia="zh-CN"/>
              </w:rPr>
              <w:t>（第</w:t>
            </w:r>
            <w:r>
              <w:rPr>
                <w:rFonts w:hint="eastAsia" w:ascii="仿宋" w:hAnsi="仿宋" w:eastAsia="仿宋" w:cs="仿宋"/>
                <w:color w:val="auto"/>
                <w:szCs w:val="21"/>
                <w:highlight w:val="none"/>
                <w:lang w:val="en-US" w:eastAsia="zh-CN"/>
              </w:rPr>
              <w:t>二</w:t>
            </w:r>
            <w:r>
              <w:rPr>
                <w:rFonts w:hint="eastAsia" w:ascii="仿宋" w:hAnsi="仿宋" w:eastAsia="仿宋" w:cs="仿宋"/>
                <w:color w:val="auto"/>
                <w:szCs w:val="21"/>
                <w:highlight w:val="none"/>
                <w:lang w:eastAsia="zh-CN"/>
              </w:rPr>
              <w:t>类医疗器械）</w:t>
            </w:r>
          </w:p>
        </w:tc>
        <w:tc>
          <w:tcPr>
            <w:tcW w:w="6151" w:type="dxa"/>
            <w:tcBorders>
              <w:top w:val="single" w:color="auto" w:sz="4" w:space="0"/>
              <w:left w:val="single" w:color="auto" w:sz="4" w:space="0"/>
              <w:bottom w:val="single" w:color="auto" w:sz="4" w:space="0"/>
              <w:right w:val="single" w:color="auto" w:sz="4" w:space="0"/>
            </w:tcBorders>
            <w:vAlign w:val="center"/>
          </w:tcPr>
          <w:p>
            <w:pPr>
              <w:widowControl/>
              <w:spacing w:line="276" w:lineRule="auto"/>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性能参数：设备</w:t>
            </w:r>
            <w:r>
              <w:rPr>
                <w:rFonts w:hint="eastAsia" w:ascii="仿宋" w:hAnsi="仿宋" w:eastAsia="仿宋" w:cs="仿宋"/>
                <w:color w:val="auto"/>
                <w:szCs w:val="21"/>
                <w:highlight w:val="none"/>
              </w:rPr>
              <w:t>适合救护车车载上使用</w:t>
            </w:r>
          </w:p>
          <w:p>
            <w:pPr>
              <w:rPr>
                <w:rFonts w:hint="eastAsia" w:ascii="仿宋" w:hAnsi="仿宋" w:eastAsia="仿宋" w:cs="仿宋"/>
                <w:color w:val="auto"/>
                <w:highlight w:val="none"/>
              </w:rPr>
            </w:pP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、ECG输入12导联同步采集分析：具备</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、输入阻抗：≥10MΩ@10Hz，抗除颤电击保护功能</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、频率响应：0.04-150Hz(-3db)</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4、抗极化电压：≥±300mV</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5、共模抑制比：≥135dB</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6、采样率：≥15000HZ</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7、分析频率：≥500HZ</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8、采集模式 </w:t>
            </w: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t>后采集，10秒预采集</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9</w:t>
            </w:r>
            <w:r>
              <w:rPr>
                <w:rFonts w:hint="eastAsia" w:ascii="仿宋" w:hAnsi="仿宋" w:eastAsia="仿宋" w:cs="仿宋"/>
                <w:color w:val="auto"/>
                <w:szCs w:val="21"/>
                <w:highlight w:val="none"/>
              </w:rPr>
              <w:t>、抗干扰滤波：具有交流滤波、肌电滤波、漂移滤波功能</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10</w:t>
            </w:r>
            <w:r>
              <w:rPr>
                <w:rFonts w:hint="eastAsia" w:ascii="仿宋" w:hAnsi="仿宋" w:eastAsia="仿宋" w:cs="仿宋"/>
                <w:color w:val="auto"/>
                <w:szCs w:val="21"/>
                <w:highlight w:val="none"/>
              </w:rPr>
              <w:t>、起搏检测：0.2ms@0.5mv/ 2.0ms@250mv</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11</w:t>
            </w:r>
            <w:r>
              <w:rPr>
                <w:rFonts w:hint="eastAsia" w:ascii="仿宋" w:hAnsi="仿宋" w:eastAsia="仿宋" w:cs="仿宋"/>
                <w:color w:val="auto"/>
                <w:szCs w:val="21"/>
                <w:highlight w:val="none"/>
              </w:rPr>
              <w:t>、起搏检测频率：≥70000/秒/通道</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12</w:t>
            </w:r>
            <w:r>
              <w:rPr>
                <w:rFonts w:hint="eastAsia" w:ascii="仿宋" w:hAnsi="仿宋" w:eastAsia="仿宋" w:cs="仿宋"/>
                <w:color w:val="auto"/>
                <w:szCs w:val="21"/>
                <w:highlight w:val="none"/>
              </w:rPr>
              <w:t>、患者漏电流：≤10 μA</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、显示要求：</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显示器规格：≥7英寸液晶显示屏</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 xml:space="preserve">显示分辨率：800x480 </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显示信息可显示12导联波形；显示菜单、心率、病人姓名、导联选择、走纸速度、增益、滤波器、时钟、导联脱落等</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4</w:t>
            </w:r>
            <w:r>
              <w:rPr>
                <w:rFonts w:hint="eastAsia" w:ascii="仿宋" w:hAnsi="仿宋" w:eastAsia="仿宋" w:cs="仿宋"/>
                <w:color w:val="auto"/>
                <w:szCs w:val="21"/>
                <w:highlight w:val="none"/>
              </w:rPr>
              <w:t>显示通道12</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4</w:t>
            </w:r>
            <w:r>
              <w:rPr>
                <w:rFonts w:hint="eastAsia" w:ascii="仿宋" w:hAnsi="仿宋" w:eastAsia="仿宋" w:cs="仿宋"/>
                <w:color w:val="auto"/>
                <w:szCs w:val="21"/>
                <w:highlight w:val="none"/>
              </w:rPr>
              <w:t>、记录要求：</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记录类型热敏式点阵打印机</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分辨率水平： 40 dots/mm（25mm/S），垂直8 dots/mm</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振幅精度±5%</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4</w:t>
            </w:r>
            <w:r>
              <w:rPr>
                <w:rFonts w:hint="eastAsia" w:ascii="仿宋" w:hAnsi="仿宋" w:eastAsia="仿宋" w:cs="仿宋"/>
                <w:color w:val="auto"/>
                <w:szCs w:val="21"/>
                <w:highlight w:val="none"/>
              </w:rPr>
              <w:t>记录通道：12</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5</w:t>
            </w:r>
            <w:r>
              <w:rPr>
                <w:rFonts w:hint="eastAsia" w:ascii="仿宋" w:hAnsi="仿宋" w:eastAsia="仿宋" w:cs="仿宋"/>
                <w:color w:val="auto"/>
                <w:szCs w:val="21"/>
                <w:highlight w:val="none"/>
              </w:rPr>
              <w:t>记录速度：5, 12.5, 25 and 50mm/s</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6</w:t>
            </w:r>
            <w:r>
              <w:rPr>
                <w:rFonts w:hint="eastAsia" w:ascii="仿宋" w:hAnsi="仿宋" w:eastAsia="仿宋" w:cs="仿宋"/>
                <w:color w:val="auto"/>
                <w:szCs w:val="21"/>
                <w:highlight w:val="none"/>
              </w:rPr>
              <w:t>记录灵敏度：2.5, 5, 10, 20 and 40mm/mV及自动</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7</w:t>
            </w:r>
            <w:r>
              <w:rPr>
                <w:rFonts w:hint="eastAsia" w:ascii="仿宋" w:hAnsi="仿宋" w:eastAsia="仿宋" w:cs="仿宋"/>
                <w:color w:val="auto"/>
                <w:szCs w:val="21"/>
                <w:highlight w:val="none"/>
              </w:rPr>
              <w:t>记录纸规格：Z型热敏折纸（210mmx297mm）</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8</w:t>
            </w:r>
            <w:r>
              <w:rPr>
                <w:rFonts w:hint="eastAsia" w:ascii="仿宋" w:hAnsi="仿宋" w:eastAsia="仿宋" w:cs="仿宋"/>
                <w:color w:val="auto"/>
                <w:szCs w:val="21"/>
                <w:highlight w:val="none"/>
              </w:rPr>
              <w:t>记录模式自动模式，手动模式，心律失常模式</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5</w:t>
            </w:r>
            <w:r>
              <w:rPr>
                <w:rFonts w:hint="eastAsia" w:ascii="仿宋" w:hAnsi="仿宋" w:eastAsia="仿宋" w:cs="仿宋"/>
                <w:color w:val="auto"/>
                <w:szCs w:val="21"/>
                <w:highlight w:val="none"/>
              </w:rPr>
              <w:t>、分析软件</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分析软件具有自动测量诊断软件</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具有信号质量检测连续信号质量检测软件</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语言支持：支持中文语言</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4</w:t>
            </w:r>
            <w:r>
              <w:rPr>
                <w:rFonts w:hint="eastAsia" w:ascii="仿宋" w:hAnsi="仿宋" w:eastAsia="仿宋" w:cs="仿宋"/>
                <w:color w:val="auto"/>
                <w:szCs w:val="21"/>
                <w:highlight w:val="none"/>
              </w:rPr>
              <w:t>再分析功能：具有再分析功能，可修改测量点重新进行测量及分析</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5</w:t>
            </w:r>
            <w:r>
              <w:rPr>
                <w:rFonts w:hint="eastAsia" w:ascii="仿宋" w:hAnsi="仿宋" w:eastAsia="仿宋" w:cs="仿宋"/>
                <w:color w:val="auto"/>
                <w:szCs w:val="21"/>
                <w:highlight w:val="none"/>
              </w:rPr>
              <w:t>心电图参数：心室率,心房率,P电轴，QRS电轴，T电轴，QT间期，QTC间期，每导联的P波时间，P波幅值，Q波时间，Q波幅值，R波时间，R波幅值，S波时间，S波幅值，T波时间，T波幅值等100种以上参数</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 xml:space="preserve">6 </w:t>
            </w:r>
            <w:r>
              <w:rPr>
                <w:rFonts w:hint="eastAsia" w:ascii="仿宋" w:hAnsi="仿宋" w:eastAsia="仿宋" w:cs="仿宋"/>
                <w:color w:val="auto"/>
                <w:szCs w:val="21"/>
                <w:highlight w:val="none"/>
              </w:rPr>
              <w:t>QTC计算：提供2种以上计算公式</w:t>
            </w:r>
          </w:p>
          <w:p>
            <w:pPr>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7</w:t>
            </w:r>
            <w:r>
              <w:rPr>
                <w:rFonts w:hint="eastAsia" w:ascii="仿宋" w:hAnsi="仿宋" w:eastAsia="仿宋" w:cs="仿宋"/>
                <w:color w:val="auto"/>
                <w:szCs w:val="21"/>
                <w:highlight w:val="none"/>
              </w:rPr>
              <w:t>扩展连接方式：支持NEHB导联体系</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6</w:t>
            </w:r>
            <w:r>
              <w:rPr>
                <w:rFonts w:hint="eastAsia" w:ascii="仿宋" w:hAnsi="仿宋" w:eastAsia="仿宋" w:cs="仿宋"/>
                <w:color w:val="auto"/>
                <w:szCs w:val="21"/>
                <w:highlight w:val="none"/>
              </w:rPr>
              <w:t>、联网要求：设备开放端口，可联接采购人救护车上及医院内部网络系统，由此产生的费用由中标方承担</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网络接口：支持LAN、串口、Modem、WIFI等</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传输模式：直连心电管理系统</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17</w:t>
            </w:r>
            <w:r>
              <w:rPr>
                <w:rFonts w:hint="eastAsia" w:ascii="仿宋" w:hAnsi="仿宋" w:eastAsia="仿宋" w:cs="仿宋"/>
                <w:color w:val="auto"/>
                <w:szCs w:val="21"/>
                <w:highlight w:val="none"/>
              </w:rPr>
              <w:t>、数据存储</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7</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内存心电图：≥200份</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17</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SD卡：≥200份心电图</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8</w:t>
            </w:r>
            <w:r>
              <w:rPr>
                <w:rFonts w:hint="eastAsia" w:ascii="仿宋" w:hAnsi="仿宋" w:eastAsia="仿宋" w:cs="仿宋"/>
                <w:color w:val="auto"/>
                <w:szCs w:val="21"/>
                <w:highlight w:val="none"/>
              </w:rPr>
              <w:t>、文件导出格式：支持PDF，hilltop，XML格式</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9</w:t>
            </w:r>
            <w:r>
              <w:rPr>
                <w:rFonts w:hint="eastAsia" w:ascii="仿宋" w:hAnsi="仿宋" w:eastAsia="仿宋" w:cs="仿宋"/>
                <w:color w:val="auto"/>
                <w:szCs w:val="21"/>
                <w:highlight w:val="none"/>
              </w:rPr>
              <w:t>、签订合同时需出具该产品授权书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3.1</w:t>
            </w:r>
            <w:r>
              <w:rPr>
                <w:rFonts w:hint="eastAsia" w:ascii="仿宋" w:hAnsi="仿宋" w:eastAsia="仿宋" w:cs="仿宋"/>
                <w:color w:val="auto"/>
                <w:szCs w:val="21"/>
                <w:highlight w:val="none"/>
              </w:rPr>
              <w:t>9</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除颤监护一体机</w:t>
            </w:r>
            <w:r>
              <w:rPr>
                <w:rFonts w:hint="eastAsia" w:ascii="仿宋" w:hAnsi="仿宋" w:eastAsia="仿宋" w:cs="仿宋"/>
                <w:color w:val="auto"/>
                <w:szCs w:val="21"/>
                <w:highlight w:val="none"/>
                <w:lang w:eastAsia="zh-CN"/>
              </w:rPr>
              <w:t>（第三类医疗器械）</w:t>
            </w:r>
          </w:p>
        </w:tc>
        <w:tc>
          <w:tcPr>
            <w:tcW w:w="6151" w:type="dxa"/>
            <w:tcBorders>
              <w:top w:val="single" w:color="auto" w:sz="4" w:space="0"/>
              <w:left w:val="single" w:color="auto" w:sz="4" w:space="0"/>
              <w:bottom w:val="single" w:color="auto" w:sz="4" w:space="0"/>
              <w:right w:val="single" w:color="auto" w:sz="4" w:space="0"/>
            </w:tcBorders>
            <w:vAlign w:val="center"/>
          </w:tcPr>
          <w:p>
            <w:pPr>
              <w:widowControl/>
              <w:spacing w:line="276" w:lineRule="auto"/>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性能参数：设备</w:t>
            </w:r>
            <w:r>
              <w:rPr>
                <w:rFonts w:hint="eastAsia" w:ascii="仿宋" w:hAnsi="仿宋" w:eastAsia="仿宋" w:cs="仿宋"/>
                <w:color w:val="auto"/>
                <w:szCs w:val="21"/>
                <w:highlight w:val="none"/>
              </w:rPr>
              <w:t>适合救护车车载上使用</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1、重量：≤7kg，含电池、体外板和心电导联线</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、显示屏：≥8英寸, 彩色TFT屏， 分辨率800×600像素，可显示≥4通道监护参数波形，有高对比度显示界面，具备外接屏幕显示功能</w:t>
            </w:r>
          </w:p>
          <w:p>
            <w:pP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rPr>
              <w:t>3、支持中文操作界面</w:t>
            </w:r>
          </w:p>
          <w:p>
            <w:pP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rPr>
              <w:t>4、屏幕显示心电波形扫描时间：≥16s</w:t>
            </w:r>
          </w:p>
          <w:p>
            <w:pP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rPr>
              <w:t>5、具备功能：具备手动除颤、十二道心电监护、血压血氧监护、呼吸监护、自动体外除颤（AED）等功能</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6、除颤采用双相波技术，具备自动阻抗补偿功能</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7、手动除颤：具有同步和非同步两种方式，能量分20档以上，可通过体外电极板进行能量选择，最大能量可达360J</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8、体内除颤手柄：具备，体内手动除颤能力选择：1/2/3/4/5/6/7/8/9/10/15/20/30/50 J，支持三种尺寸体内除颤电极板</w:t>
            </w:r>
          </w:p>
          <w:p>
            <w:pPr>
              <w:rPr>
                <w:rFonts w:hint="eastAsia" w:ascii="仿宋" w:hAnsi="仿宋" w:eastAsia="仿宋" w:cs="仿宋"/>
                <w:color w:val="auto"/>
                <w:highlight w:val="none"/>
              </w:rPr>
            </w:pPr>
            <w:r>
              <w:rPr>
                <w:rFonts w:hint="eastAsia" w:ascii="仿宋" w:hAnsi="仿宋" w:eastAsia="仿宋" w:cs="仿宋"/>
                <w:color w:val="auto"/>
                <w:szCs w:val="21"/>
                <w:highlight w:val="none"/>
              </w:rPr>
              <w:t>9</w:t>
            </w:r>
            <w:r>
              <w:rPr>
                <w:rFonts w:hint="eastAsia" w:ascii="仿宋" w:hAnsi="仿宋" w:eastAsia="仿宋" w:cs="仿宋"/>
                <w:color w:val="auto"/>
                <w:szCs w:val="21"/>
                <w:highlight w:val="none"/>
              </w:rPr>
              <w:t>、体外除颤电极板同时支持成人和小儿，一体化设计，支持快速切换</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0</w:t>
            </w:r>
            <w:r>
              <w:rPr>
                <w:rFonts w:hint="eastAsia" w:ascii="仿宋" w:hAnsi="仿宋" w:eastAsia="仿宋" w:cs="仿宋"/>
                <w:color w:val="auto"/>
                <w:szCs w:val="21"/>
                <w:highlight w:val="none"/>
              </w:rPr>
              <w:t>、电极板支持能量选择，充电和放电三步操作，满足单人除颤操作</w:t>
            </w:r>
          </w:p>
          <w:p>
            <w:pPr>
              <w:rPr>
                <w:rFonts w:hint="eastAsia" w:ascii="仿宋" w:hAnsi="仿宋" w:eastAsia="仿宋" w:cs="仿宋"/>
                <w:color w:val="auto"/>
                <w:highlight w:val="none"/>
              </w:rPr>
            </w:pPr>
            <w:r>
              <w:rPr>
                <w:rFonts w:hint="eastAsia" w:ascii="仿宋" w:hAnsi="仿宋" w:eastAsia="仿宋" w:cs="仿宋"/>
                <w:color w:val="auto"/>
                <w:szCs w:val="21"/>
                <w:highlight w:val="none"/>
              </w:rPr>
              <w:t>11</w:t>
            </w:r>
            <w:r>
              <w:rPr>
                <w:rFonts w:hint="eastAsia" w:ascii="仿宋" w:hAnsi="仿宋" w:eastAsia="仿宋" w:cs="仿宋"/>
                <w:color w:val="auto"/>
                <w:szCs w:val="21"/>
                <w:highlight w:val="none"/>
              </w:rPr>
              <w:t>、AED除颤功能提供中文语音和中文提醒功能，对于抢救过程支持自动录音功能，记录时长≥60min</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、除颤充电时间：除颤充电至200J：≤4s</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、除颤后心电基线恢复时间≤2.5s</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14</w:t>
            </w:r>
            <w:r>
              <w:rPr>
                <w:rFonts w:hint="eastAsia" w:ascii="仿宋" w:hAnsi="仿宋" w:eastAsia="仿宋" w:cs="仿宋"/>
                <w:color w:val="auto"/>
                <w:szCs w:val="21"/>
                <w:highlight w:val="none"/>
              </w:rPr>
              <w:t>、从开始AED分析到放电准备就绪：≤10s</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15</w:t>
            </w:r>
            <w:r>
              <w:rPr>
                <w:rFonts w:hint="eastAsia" w:ascii="仿宋" w:hAnsi="仿宋" w:eastAsia="仿宋" w:cs="仿宋"/>
                <w:color w:val="auto"/>
                <w:szCs w:val="21"/>
                <w:highlight w:val="none"/>
              </w:rPr>
              <w:t>、实时显示：支持病人接触状态和阻抗值实时显示</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6</w:t>
            </w:r>
            <w:r>
              <w:rPr>
                <w:rFonts w:hint="eastAsia" w:ascii="仿宋" w:hAnsi="仿宋" w:eastAsia="仿宋" w:cs="仿宋"/>
                <w:color w:val="auto"/>
                <w:szCs w:val="21"/>
                <w:highlight w:val="none"/>
              </w:rPr>
              <w:t>、体外起搏：支持配置体外起搏功能，起搏分为固定和按需两种模式，具备降速起搏功能</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7</w:t>
            </w:r>
            <w:r>
              <w:rPr>
                <w:rFonts w:hint="eastAsia" w:ascii="仿宋" w:hAnsi="仿宋" w:eastAsia="仿宋" w:cs="仿宋"/>
                <w:color w:val="auto"/>
                <w:szCs w:val="21"/>
                <w:highlight w:val="none"/>
              </w:rPr>
              <w:t>、CPR辅助：支持配置CPR辅助功能，CPR传感器设计符合2015 AHA/ERC指南，提供即时的按压反馈，设备界面提供按压深度和按压频率实时参数显示</w:t>
            </w:r>
          </w:p>
          <w:p>
            <w:pPr>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8</w:t>
            </w:r>
            <w:r>
              <w:rPr>
                <w:rFonts w:hint="eastAsia" w:ascii="仿宋" w:hAnsi="仿宋" w:eastAsia="仿宋" w:cs="仿宋"/>
                <w:color w:val="auto"/>
                <w:szCs w:val="21"/>
                <w:highlight w:val="none"/>
              </w:rPr>
              <w:t>、心电波形速度：50 mm/s、25 mm/s、12.5 mm/s、6.25 mm/s</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9</w:t>
            </w:r>
            <w:r>
              <w:rPr>
                <w:rFonts w:hint="eastAsia" w:ascii="仿宋" w:hAnsi="仿宋" w:eastAsia="仿宋" w:cs="仿宋"/>
                <w:color w:val="auto"/>
                <w:szCs w:val="21"/>
                <w:highlight w:val="none"/>
              </w:rPr>
              <w:t>、监护参数适用于成人，小儿和新生儿，并通过国家三类注册、CE认证</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0</w:t>
            </w:r>
            <w:r>
              <w:rPr>
                <w:rFonts w:hint="eastAsia" w:ascii="仿宋" w:hAnsi="仿宋" w:eastAsia="仿宋" w:cs="仿宋"/>
                <w:color w:val="auto"/>
                <w:szCs w:val="21"/>
                <w:highlight w:val="none"/>
              </w:rPr>
              <w:t>、无创血压收缩压测量范围：25-290mmHg（成人）、25-240mmHg（小儿）、25-140mmHg（新生儿），舒张压测量范围：10-250mmHg（成人）、10-200mmHg（小儿），10-115mmHg（新生儿）</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、联网要求：设备开放端口，可联接采购人救护车上及医院内部网络系统，由此产生的费用由中标方承担</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21.1</w:t>
            </w:r>
            <w:r>
              <w:rPr>
                <w:rFonts w:hint="eastAsia" w:ascii="仿宋" w:hAnsi="仿宋" w:eastAsia="仿宋" w:cs="仿宋"/>
                <w:color w:val="auto"/>
                <w:szCs w:val="21"/>
                <w:highlight w:val="none"/>
              </w:rPr>
              <w:t>支持连接中央站，与科室床旁监护仪共用监护网络</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21</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支持提供IHE HL7协议，满足院前院内急救系统的联网通讯。提供成功案例心电监护及12道心电图传输画面图片</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、电池要求：标配1块外置智能锂电池，可支持200J除颤≥300次</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、具备生理报警和技术报警功能，通过声音、文字和灯光3种方式进行报警</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4</w:t>
            </w:r>
            <w:r>
              <w:rPr>
                <w:rFonts w:hint="eastAsia" w:ascii="仿宋" w:hAnsi="仿宋" w:eastAsia="仿宋" w:cs="仿宋"/>
                <w:color w:val="auto"/>
                <w:szCs w:val="21"/>
                <w:highlight w:val="none"/>
              </w:rPr>
              <w:t>、配置50mm记录纸记录仪，自动打印除颤记录，单次波形记录时间最大不小于30s；支持连续波形记录</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5</w:t>
            </w:r>
            <w:r>
              <w:rPr>
                <w:rFonts w:hint="eastAsia" w:ascii="仿宋" w:hAnsi="仿宋" w:eastAsia="仿宋" w:cs="仿宋"/>
                <w:color w:val="auto"/>
                <w:szCs w:val="21"/>
                <w:highlight w:val="none"/>
              </w:rPr>
              <w:t>、可存储24小时连续ECG波形，数据可导出至电脑</w:t>
            </w:r>
          </w:p>
          <w:p>
            <w:pPr>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6</w:t>
            </w:r>
            <w:r>
              <w:rPr>
                <w:rFonts w:hint="eastAsia" w:ascii="仿宋" w:hAnsi="仿宋" w:eastAsia="仿宋" w:cs="仿宋"/>
                <w:color w:val="auto"/>
                <w:szCs w:val="21"/>
                <w:highlight w:val="none"/>
              </w:rPr>
              <w:t>、自检功能：关机状态下设备支持每天定时自动运行自检（含监护模块和治疗模块），支持定期自动大能量自检（最大放电能量），设备自检后支持对于自检报告进行自动打印或按需打印</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7</w:t>
            </w:r>
            <w:r>
              <w:rPr>
                <w:rFonts w:hint="eastAsia" w:ascii="仿宋" w:hAnsi="仿宋" w:eastAsia="仿宋" w:cs="仿宋"/>
                <w:color w:val="auto"/>
                <w:szCs w:val="21"/>
                <w:highlight w:val="none"/>
              </w:rPr>
              <w:t>、防尘防水级别IP44。</w:t>
            </w:r>
          </w:p>
          <w:p>
            <w:pPr>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8</w:t>
            </w:r>
            <w:r>
              <w:rPr>
                <w:rFonts w:hint="eastAsia" w:ascii="仿宋" w:hAnsi="仿宋" w:eastAsia="仿宋" w:cs="仿宋"/>
                <w:color w:val="auto"/>
                <w:szCs w:val="21"/>
                <w:highlight w:val="none"/>
              </w:rPr>
              <w:t>、抗跌落性能：满足救护车标准EN1789 中6.3.4.3 关于跌落试验的要求，裸机可承受6面0.75m跌落冲击</w:t>
            </w:r>
          </w:p>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9</w:t>
            </w:r>
            <w:r>
              <w:rPr>
                <w:rFonts w:hint="eastAsia" w:ascii="仿宋" w:hAnsi="仿宋" w:eastAsia="仿宋" w:cs="仿宋"/>
                <w:color w:val="auto"/>
                <w:szCs w:val="21"/>
                <w:highlight w:val="none"/>
              </w:rPr>
              <w:t>、签订合同时需出具该产品授权书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3.19</w:t>
            </w:r>
          </w:p>
        </w:tc>
        <w:tc>
          <w:tcPr>
            <w:tcW w:w="191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其它</w:t>
            </w:r>
          </w:p>
        </w:tc>
        <w:tc>
          <w:tcPr>
            <w:tcW w:w="61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其它设备配置要求：</w:t>
            </w:r>
          </w:p>
          <w:p>
            <w:pPr>
              <w:snapToGrid w:val="0"/>
              <w:spacing w:line="276" w:lineRule="auto"/>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1、耳温枪：1把</w:t>
            </w:r>
          </w:p>
          <w:p>
            <w:pPr>
              <w:snapToGrid w:val="0"/>
              <w:spacing w:line="276" w:lineRule="auto"/>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2、电子血压计：1台</w:t>
            </w:r>
          </w:p>
          <w:p>
            <w:pPr>
              <w:snapToGrid w:val="0"/>
              <w:spacing w:line="276" w:lineRule="auto"/>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3、环甲膜穿刺针： 1支</w:t>
            </w:r>
          </w:p>
          <w:p>
            <w:pPr>
              <w:snapToGrid w:val="0"/>
              <w:spacing w:line="276" w:lineRule="auto"/>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4、胸腔减压装置： 1台</w:t>
            </w:r>
          </w:p>
          <w:p>
            <w:pPr>
              <w:snapToGrid w:val="0"/>
              <w:spacing w:line="276" w:lineRule="auto"/>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5、氧气枕： 1个</w:t>
            </w:r>
          </w:p>
          <w:p>
            <w:pPr>
              <w:snapToGrid w:val="0"/>
              <w:spacing w:line="276" w:lineRule="auto"/>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6、急救箱： 1个</w:t>
            </w:r>
          </w:p>
          <w:p>
            <w:pPr>
              <w:snapToGrid w:val="0"/>
              <w:spacing w:line="276" w:lineRule="auto"/>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7、输液加压装置： 1台</w:t>
            </w:r>
          </w:p>
          <w:p>
            <w:pPr>
              <w:snapToGrid w:val="0"/>
              <w:spacing w:line="276" w:lineRule="auto"/>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8、光纤喉镜： 1台</w:t>
            </w:r>
          </w:p>
          <w:p>
            <w:pPr>
              <w:snapToGrid w:val="0"/>
              <w:spacing w:line="276" w:lineRule="auto"/>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9、复苏囊：成人、儿童各1个</w:t>
            </w:r>
          </w:p>
        </w:tc>
      </w:tr>
    </w:tbl>
    <w:p>
      <w:pPr>
        <w:tabs>
          <w:tab w:val="left" w:pos="5880"/>
        </w:tabs>
        <w:spacing w:line="360" w:lineRule="auto"/>
        <w:jc w:val="left"/>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w:t>
      </w:r>
      <w:bookmarkStart w:id="12" w:name="_GoBack"/>
      <w:r>
        <w:rPr>
          <w:rFonts w:hint="eastAsia" w:ascii="仿宋" w:hAnsi="仿宋" w:eastAsia="仿宋" w:cs="仿宋"/>
          <w:b/>
          <w:color w:val="auto"/>
          <w:sz w:val="24"/>
          <w:highlight w:val="none"/>
        </w:rPr>
        <w:t>食品</w:t>
      </w:r>
      <w:bookmarkEnd w:id="12"/>
      <w:r>
        <w:rPr>
          <w:rFonts w:hint="eastAsia" w:ascii="仿宋" w:hAnsi="仿宋" w:eastAsia="仿宋" w:cs="仿宋"/>
          <w:b/>
          <w:color w:val="auto"/>
          <w:sz w:val="24"/>
          <w:highlight w:val="none"/>
        </w:rPr>
        <w:t>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r>
        <w:rPr>
          <w:rFonts w:hint="eastAsia" w:ascii="仿宋" w:hAnsi="仿宋" w:eastAsia="仿宋" w:cs="仿宋"/>
          <w:b/>
          <w:color w:val="auto"/>
          <w:sz w:val="24"/>
          <w:highlight w:val="none"/>
          <w:lang w:eastAsia="zh-CN"/>
        </w:rPr>
        <w:t>。</w:t>
      </w:r>
    </w:p>
    <w:p>
      <w:pPr>
        <w:tabs>
          <w:tab w:val="left" w:pos="5880"/>
        </w:tabs>
        <w:spacing w:line="360" w:lineRule="auto"/>
        <w:jc w:val="left"/>
        <w:rPr>
          <w:rFonts w:hint="eastAsia" w:ascii="仿宋" w:hAnsi="仿宋" w:eastAsia="仿宋" w:cs="仿宋"/>
          <w:color w:val="auto"/>
          <w:highlight w:val="none"/>
        </w:rPr>
      </w:pPr>
      <w:r>
        <w:rPr>
          <w:rFonts w:hint="eastAsia" w:ascii="仿宋" w:hAnsi="仿宋" w:eastAsia="仿宋" w:cs="仿宋"/>
          <w:b/>
          <w:color w:val="auto"/>
          <w:sz w:val="24"/>
          <w:highlight w:val="none"/>
        </w:rPr>
        <w:t>★.投标车型应具备国家发改委目录公告，能在买方所在地公安交通管理部门办理特种车上牌照手续。</w:t>
      </w:r>
    </w:p>
    <w:p>
      <w:pPr>
        <w:tabs>
          <w:tab w:val="left" w:pos="5880"/>
        </w:tabs>
        <w:spacing w:line="360"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二、其他要求：</w:t>
      </w:r>
    </w:p>
    <w:p>
      <w:pPr>
        <w:spacing w:line="480" w:lineRule="exact"/>
        <w:ind w:firstLine="480" w:firstLineChars="200"/>
        <w:jc w:val="lef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质量保证:中标后</w:t>
      </w:r>
      <w:r>
        <w:rPr>
          <w:rFonts w:hint="eastAsia" w:ascii="仿宋" w:hAnsi="仿宋" w:eastAsia="仿宋" w:cs="仿宋"/>
          <w:color w:val="auto"/>
          <w:sz w:val="24"/>
          <w:highlight w:val="none"/>
          <w:u w:val="single"/>
          <w:shd w:val="clear" w:color="auto" w:fill="FFFFFF"/>
        </w:rPr>
        <w:t>签订合同前</w:t>
      </w:r>
      <w:r>
        <w:rPr>
          <w:rFonts w:hint="eastAsia" w:ascii="仿宋" w:hAnsi="仿宋" w:eastAsia="仿宋" w:cs="仿宋"/>
          <w:color w:val="auto"/>
          <w:sz w:val="24"/>
          <w:highlight w:val="none"/>
          <w:u w:val="single"/>
        </w:rPr>
        <w:t>提供救护车生产厂家及主要车载医疗设备呼吸机、除颤监护仪的针对此次招标的质保书并加盖公章。底盘2年或5万公里（以先到达为准），医疗舱售后服务免费保修2年，随车医疗设备按照生产厂家统一期限保修。</w:t>
      </w:r>
    </w:p>
    <w:p>
      <w:pPr>
        <w:spacing w:line="4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2、供货时间和地点：合同签订之日起45个工作日内在绍兴市人民医院交付。</w:t>
      </w:r>
    </w:p>
    <w:p>
      <w:pPr>
        <w:spacing w:line="4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3、报价应包括车身价、随车设施及改装费、安装调试、检测验收、培训、质保期保障、车辆运输费、所有税费等费用（不包括车辆购置税、上牌费用、交强险、财产险、路桥费等用户使用后产生的费用）。</w:t>
      </w:r>
    </w:p>
    <w:p>
      <w:pPr>
        <w:spacing w:line="4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4、为了保障医疗舱用材的环保和安全性，医疗舱内饰全部采用高分子材料，具有防霉、防菌、防静电、防潮、阻燃、易清洗、易消毒、高强度、高韧性、抗老化、无异味、无毒、安全性强。</w:t>
      </w:r>
    </w:p>
    <w:p>
      <w:pPr>
        <w:spacing w:line="480" w:lineRule="exact"/>
        <w:ind w:firstLine="480" w:firstLineChars="200"/>
        <w:rPr>
          <w:rFonts w:hint="eastAsia" w:ascii="仿宋" w:hAnsi="仿宋" w:eastAsia="仿宋" w:cs="仿宋"/>
          <w:snapToGrid w:val="0"/>
          <w:color w:val="auto"/>
          <w:sz w:val="24"/>
          <w:highlight w:val="none"/>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rPr>
        <w:t>救护车及车载设备的履约保证金，按照合同价的1%收取。履约保证金在签订合同后3日内汇入绍兴市人民医院账户，如中标方无法提供招标车辆或所提供的车辆、设备及其资质与招标要求不符，将没收全部履约保证金并追究相关的法律责任，并列入政府采购黑名单并报备到省政府采购办。绍兴市人民医院签具《验收合格通知单》后，</w:t>
      </w:r>
      <w:r>
        <w:rPr>
          <w:rFonts w:hint="eastAsia" w:ascii="仿宋" w:hAnsi="仿宋" w:eastAsia="仿宋" w:cs="仿宋"/>
          <w:snapToGrid w:val="0"/>
          <w:color w:val="auto"/>
          <w:sz w:val="24"/>
          <w:highlight w:val="none"/>
        </w:rPr>
        <w:t>在合同约定交货验收合格5个工作日内</w:t>
      </w:r>
      <w:r>
        <w:rPr>
          <w:rFonts w:hint="eastAsia" w:ascii="仿宋" w:hAnsi="仿宋" w:eastAsia="仿宋" w:cs="仿宋"/>
          <w:color w:val="auto"/>
          <w:sz w:val="24"/>
          <w:highlight w:val="none"/>
        </w:rPr>
        <w:t>全额</w:t>
      </w:r>
      <w:r>
        <w:rPr>
          <w:rFonts w:hint="eastAsia" w:ascii="仿宋" w:hAnsi="仿宋" w:eastAsia="仿宋" w:cs="仿宋"/>
          <w:snapToGrid w:val="0"/>
          <w:color w:val="auto"/>
          <w:sz w:val="24"/>
          <w:highlight w:val="none"/>
        </w:rPr>
        <w:t>无息退还履约保证金。</w:t>
      </w:r>
    </w:p>
    <w:p>
      <w:pPr>
        <w:spacing w:line="4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 根据车辆和信息化相关的要求，做好线缆预埋和传输相关的设备安装，确保与120信息平台对接。</w:t>
      </w:r>
    </w:p>
    <w:p>
      <w:pPr>
        <w:spacing w:line="4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 要求车辆至少提供正极、负极、ACC三个电源的接线端子。 确保后面的</w:t>
      </w:r>
      <w:r>
        <w:rPr>
          <w:rFonts w:hint="eastAsia" w:ascii="仿宋" w:hAnsi="仿宋" w:eastAsia="仿宋" w:cs="仿宋"/>
          <w:color w:val="auto"/>
          <w:sz w:val="24"/>
          <w:highlight w:val="none"/>
        </w:rPr>
        <w:t>信息化设备从同一个地方取电来保障用电安全。</w:t>
      </w:r>
    </w:p>
    <w:p>
      <w:pPr>
        <w:spacing w:line="4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根据医疗设备(监护仪、心电图机等)和其他设备(市民卡读卡器)的通讯要求，规划安装位置、方便操作、供电线缆、通讯线缆、维护空间的问题。</w:t>
      </w:r>
    </w:p>
    <w:p>
      <w:pPr>
        <w:spacing w:line="480" w:lineRule="exact"/>
        <w:ind w:firstLine="480" w:firstLineChars="200"/>
        <w:rPr>
          <w:rFonts w:hint="eastAsia" w:ascii="仿宋" w:hAnsi="仿宋" w:eastAsia="仿宋" w:cs="仿宋"/>
          <w:color w:val="auto"/>
          <w:szCs w:val="21"/>
          <w:highlight w:val="none"/>
        </w:rPr>
      </w:pPr>
      <w:r>
        <w:rPr>
          <w:rFonts w:hint="eastAsia" w:ascii="仿宋" w:hAnsi="仿宋" w:eastAsia="仿宋" w:cs="仿宋"/>
          <w:color w:val="auto"/>
          <w:sz w:val="24"/>
          <w:highlight w:val="none"/>
        </w:rPr>
        <w:t>9. 提供所投产品（医疗器械）的原厂技术白皮书</w:t>
      </w:r>
      <w:r>
        <w:rPr>
          <w:rFonts w:hint="eastAsia" w:ascii="仿宋" w:hAnsi="仿宋" w:eastAsia="仿宋" w:cs="仿宋"/>
          <w:color w:val="auto"/>
          <w:szCs w:val="21"/>
          <w:highlight w:val="none"/>
        </w:rPr>
        <w:t>（DATASHEET）。</w:t>
      </w:r>
    </w:p>
    <w:p>
      <w:pPr>
        <w:spacing w:line="4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10.本项目核心产品为：负压型救护车。</w:t>
      </w:r>
      <w:r>
        <w:rPr>
          <w:rFonts w:hint="eastAsia" w:ascii="仿宋" w:hAnsi="仿宋" w:eastAsia="仿宋" w:cs="仿宋"/>
          <w:color w:val="auto"/>
          <w:highlight w:val="none"/>
        </w:rPr>
        <w:t xml:space="preserve"> </w:t>
      </w:r>
    </w:p>
    <w:p>
      <w:pPr>
        <w:spacing w:line="480" w:lineRule="exact"/>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rPr>
        <w:t>三、付款方式：</w:t>
      </w:r>
    </w:p>
    <w:p>
      <w:pPr>
        <w:spacing w:line="48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tabs>
          <w:tab w:val="left" w:pos="3870"/>
          <w:tab w:val="left" w:pos="4085"/>
        </w:tabs>
        <w:autoSpaceDE w:val="0"/>
        <w:autoSpaceDN w:val="0"/>
        <w:adjustRightInd w:val="0"/>
        <w:spacing w:line="440" w:lineRule="exact"/>
        <w:jc w:val="left"/>
        <w:rPr>
          <w:rFonts w:hint="eastAsia" w:ascii="仿宋" w:hAnsi="仿宋" w:eastAsia="仿宋" w:cs="仿宋"/>
          <w:color w:val="auto"/>
          <w:sz w:val="24"/>
          <w:highlight w:val="none"/>
        </w:rPr>
      </w:pPr>
    </w:p>
    <w:bookmarkEnd w:id="5"/>
    <w:p>
      <w:pPr>
        <w:pStyle w:val="24"/>
        <w:pageBreakBefore/>
        <w:spacing w:before="120" w:beforeLines="50" w:line="44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政府采购合同参考范本</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pPr>
        <w:pStyle w:val="283"/>
        <w:rPr>
          <w:rFonts w:hint="eastAsia" w:ascii="仿宋" w:hAnsi="仿宋" w:eastAsia="仿宋" w:cs="仿宋"/>
          <w:color w:val="auto"/>
          <w:szCs w:val="24"/>
          <w:highlight w:val="none"/>
        </w:rPr>
      </w:pPr>
    </w:p>
    <w:p>
      <w:pPr>
        <w:pStyle w:val="283"/>
        <w:rPr>
          <w:rFonts w:hint="eastAsia" w:ascii="仿宋" w:hAnsi="仿宋" w:eastAsia="仿宋" w:cs="仿宋"/>
          <w:color w:val="auto"/>
          <w:szCs w:val="24"/>
          <w:highlight w:val="none"/>
        </w:rPr>
      </w:pPr>
    </w:p>
    <w:p>
      <w:pPr>
        <w:pStyle w:val="283"/>
        <w:jc w:val="center"/>
        <w:rPr>
          <w:rFonts w:hint="eastAsia" w:ascii="仿宋" w:hAnsi="仿宋" w:eastAsia="仿宋" w:cs="仿宋"/>
          <w:color w:val="auto"/>
          <w:szCs w:val="24"/>
          <w:highlight w:val="none"/>
        </w:rPr>
      </w:pPr>
    </w:p>
    <w:p>
      <w:pPr>
        <w:pStyle w:val="283"/>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pStyle w:val="283"/>
        <w:rPr>
          <w:rFonts w:hint="eastAsia" w:ascii="仿宋" w:hAnsi="仿宋" w:eastAsia="仿宋" w:cs="仿宋"/>
          <w:color w:val="auto"/>
          <w:szCs w:val="24"/>
          <w:highlight w:val="none"/>
        </w:rPr>
      </w:pPr>
    </w:p>
    <w:p>
      <w:pPr>
        <w:pStyle w:val="283"/>
        <w:rPr>
          <w:rFonts w:hint="eastAsia" w:ascii="仿宋" w:hAnsi="仿宋" w:eastAsia="仿宋" w:cs="仿宋"/>
          <w:color w:val="auto"/>
          <w:szCs w:val="24"/>
          <w:highlight w:val="none"/>
        </w:rPr>
      </w:pPr>
    </w:p>
    <w:p>
      <w:pPr>
        <w:spacing w:before="120" w:line="22" w:lineRule="atLeast"/>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282"/>
        <w:spacing w:before="120" w:line="22" w:lineRule="atLeast"/>
        <w:rPr>
          <w:rFonts w:hint="eastAsia" w:ascii="仿宋" w:hAnsi="仿宋" w:eastAsia="仿宋" w:cs="仿宋"/>
          <w:color w:val="auto"/>
          <w:szCs w:val="24"/>
          <w:highlight w:val="none"/>
        </w:rPr>
      </w:pPr>
    </w:p>
    <w:p>
      <w:pPr>
        <w:pStyle w:val="282"/>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headerReference r:id="rId4" w:type="first"/>
          <w:headerReference r:id="rId3" w:type="default"/>
          <w:footerReference r:id="rId5"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（同前页项目名称）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（中标供应商名称）</w:t>
      </w:r>
      <w:r>
        <w:rPr>
          <w:rFonts w:hint="eastAsia" w:ascii="仿宋" w:hAnsi="仿宋" w:eastAsia="仿宋" w:cs="仿宋"/>
          <w:color w:val="auto"/>
          <w:sz w:val="24"/>
          <w:highlight w:val="none"/>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1.1 合同组成部分</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中标通知书；</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投标文件（含澄清或者说明文件）；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招标文件（含澄清或者修改文件）；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 货物</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4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highlight w:val="none"/>
              </w:rPr>
            </w:pPr>
          </w:p>
        </w:tc>
      </w:tr>
    </w:tbl>
    <w:p>
      <w:pPr>
        <w:spacing w:line="44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1.4 付款方式、时间和条件</w:t>
      </w:r>
    </w:p>
    <w:p>
      <w:pPr>
        <w:pStyle w:val="284"/>
        <w:spacing w:before="0" w:beforeAutospacing="0" w:after="0" w:afterAutospacing="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1.4.4资金支付的方式、时间和条件详见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 货物交付期限、地点和方式</w:t>
      </w:r>
    </w:p>
    <w:p>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1.5.1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1.6 违约责任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1.6.7违约责任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合同争议的解决</w:t>
      </w:r>
    </w:p>
    <w:p>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合同专用条款  </w:t>
      </w:r>
      <w:r>
        <w:rPr>
          <w:rFonts w:hint="eastAsia" w:ascii="仿宋" w:hAnsi="仿宋" w:eastAsia="仿宋" w:cs="仿宋"/>
          <w:color w:val="auto"/>
          <w:sz w:val="24"/>
          <w:highlight w:val="none"/>
        </w:rPr>
        <w:t>条款规定的方式解决：</w:t>
      </w:r>
    </w:p>
    <w:p>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1.7.1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1.7.2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1.8 合同生效</w:t>
      </w:r>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本合同自双方当事人盖章或者签字时生效。</w:t>
      </w:r>
    </w:p>
    <w:p>
      <w:pPr>
        <w:autoSpaceDE w:val="0"/>
        <w:autoSpaceDN w:val="0"/>
        <w:spacing w:line="24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24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spacing w:line="560" w:lineRule="exact"/>
        <w:jc w:val="left"/>
        <w:rPr>
          <w:rFonts w:hint="eastAsia" w:ascii="仿宋" w:hAnsi="仿宋" w:eastAsia="仿宋" w:cs="仿宋"/>
          <w:b/>
          <w:color w:val="auto"/>
          <w:sz w:val="24"/>
          <w:highlight w:val="none"/>
        </w:rPr>
      </w:pPr>
    </w:p>
    <w:p>
      <w:pPr>
        <w:pStyle w:val="283"/>
        <w:pageBreakBefore/>
        <w:spacing w:line="560" w:lineRule="exact"/>
        <w:ind w:firstLine="723"/>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合同一般条款</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2.1 定义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“甲方”系指与中标供应商签署合同的采购人。</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交付货物的中标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“现场”系指合同约定货物将要运至或者安装的地点。</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2.2 技术规范</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2.3 知识产权</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包装和装运</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2.5 履约检查和问题反馈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2.5.1甲方有权在其认为必要时，对乙方是否能够按照合同约定交付货物进行履约检查，以确保乙方所交付的货物能够依约满足甲方之项目需求，但不得因履约检查妨碍乙方的正常工作，乙方应予积极配合；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2.6 技术资料和保密义务</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2.7 质量保证</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2.8 货物的风险负担</w:t>
      </w:r>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2.9 延迟交货</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2.10 合同变更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2.11 合同转让和分包（如有）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2.12 不可抗力</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2.13 税费</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2.14乙方破产</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2.15 合同中止、终止</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2.16检验和验收</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2.17 通知和送达</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2.18 计量单位</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2.19 合同使用的文字和适用的法律</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2.20 履约保证金</w:t>
      </w:r>
    </w:p>
    <w:p>
      <w:pPr>
        <w:pStyle w:val="284"/>
        <w:spacing w:before="0" w:beforeAutospacing="0" w:after="0" w:afterAutospacing="0"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rPr>
        <w:t>2.20.1 采购文件要求乙方提交履约保证金的，乙方应按</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2.20.2  履约保证金在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约定期间内不予退还。乙方在前述约定期间届满前能履行完合同约定义务事项的，甲方在前述约定期间届满之日起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个工作日内，按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约定的方式将履约保证金退还乙方，逾期退还的，乙方可要求甲方支付违约金，违约金按每迟延退还一日的应退还而未退还金额的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%计算，最高限额为本合同履约保证金的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2.21对于因甲方原因导致变更、中止或者终止政府采购合同的，甲方应当依照合同约定对供应商受到的损失予以赔偿或者补偿。</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2.22合同份数</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pStyle w:val="283"/>
        <w:spacing w:line="560" w:lineRule="exact"/>
        <w:jc w:val="center"/>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r>
        <w:rPr>
          <w:rFonts w:hint="eastAsia" w:ascii="仿宋" w:hAnsi="仿宋" w:eastAsia="仿宋" w:cs="仿宋"/>
          <w:b/>
          <w:color w:val="auto"/>
          <w:szCs w:val="24"/>
          <w:highlight w:val="none"/>
        </w:rPr>
        <w:t xml:space="preserve"> 第三部分  合同专用条款</w:t>
      </w:r>
    </w:p>
    <w:p>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2.22 </w:t>
            </w:r>
          </w:p>
        </w:tc>
        <w:tc>
          <w:tcPr>
            <w:tcW w:w="8275" w:type="dxa"/>
            <w:vAlign w:val="center"/>
          </w:tcPr>
          <w:p>
            <w:pPr>
              <w:spacing w:line="360" w:lineRule="auto"/>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pPr>
        <w:rPr>
          <w:rFonts w:hint="eastAsia" w:ascii="仿宋" w:hAnsi="仿宋" w:eastAsia="仿宋" w:cs="仿宋"/>
          <w:color w:val="auto"/>
          <w:highlight w:val="none"/>
        </w:rPr>
      </w:pPr>
    </w:p>
    <w:p>
      <w:pPr>
        <w:pStyle w:val="24"/>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bCs/>
          <w:color w:val="auto"/>
          <w:sz w:val="24"/>
          <w:highlight w:val="none"/>
        </w:rPr>
        <w:t>共100分，其中商务技术分60分，价格分40分。评分依下述所列为评标打分依据，分值如下（计算分值时，按其算术平均值保留小数2位）</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2.1商务技术分（60分）</w:t>
      </w:r>
    </w:p>
    <w:tbl>
      <w:tblPr>
        <w:tblStyle w:val="43"/>
        <w:tblW w:w="904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546"/>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Align w:val="center"/>
          </w:tcPr>
          <w:p>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7546" w:type="dxa"/>
            <w:vAlign w:val="center"/>
          </w:tcPr>
          <w:p>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评分标准</w:t>
            </w:r>
          </w:p>
        </w:tc>
        <w:tc>
          <w:tcPr>
            <w:tcW w:w="787" w:type="dxa"/>
            <w:vAlign w:val="center"/>
          </w:tcPr>
          <w:p>
            <w:pPr>
              <w:ind w:left="-103" w:leftChars="-49" w:right="-113" w:rightChars="-54"/>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trPr>
        <w:tc>
          <w:tcPr>
            <w:tcW w:w="709"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7546"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完全满足招标文件要求的</w:t>
            </w:r>
            <w:r>
              <w:rPr>
                <w:rFonts w:hint="eastAsia" w:ascii="仿宋" w:hAnsi="仿宋" w:eastAsia="仿宋" w:cs="仿宋"/>
                <w:color w:val="auto"/>
                <w:sz w:val="24"/>
                <w:highlight w:val="none"/>
                <w:lang w:val="en-US" w:eastAsia="zh-CN"/>
              </w:rPr>
              <w:t>得</w:t>
            </w:r>
            <w:r>
              <w:rPr>
                <w:rFonts w:hint="eastAsia" w:ascii="仿宋" w:hAnsi="仿宋" w:eastAsia="仿宋" w:cs="仿宋"/>
                <w:color w:val="auto"/>
                <w:sz w:val="24"/>
                <w:highlight w:val="none"/>
              </w:rPr>
              <w:t>20分；打★指标负偏离的作无效投标处理；打▲指标出现负偏离每项扣4分；其他一般性指标负偏离扣2分，扣完为止。非量化类的，若是功能一样，表述方式不一样则为符合，量化类的由评委视情况讨论决定。</w:t>
            </w:r>
          </w:p>
        </w:tc>
        <w:tc>
          <w:tcPr>
            <w:tcW w:w="787" w:type="dxa"/>
            <w:vAlign w:val="center"/>
          </w:tcPr>
          <w:p>
            <w:pPr>
              <w:ind w:left="-107" w:leftChars="-51" w:right="-113" w:rightChars="-5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709"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7546"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所投的产品</w:t>
            </w:r>
            <w:r>
              <w:rPr>
                <w:rFonts w:hint="eastAsia" w:ascii="仿宋" w:hAnsi="仿宋" w:eastAsia="仿宋" w:cs="仿宋"/>
                <w:color w:val="auto"/>
                <w:sz w:val="24"/>
                <w:highlight w:val="none"/>
                <w:lang w:val="en-US" w:eastAsia="zh-CN"/>
              </w:rPr>
              <w:t>有</w:t>
            </w:r>
            <w:r>
              <w:rPr>
                <w:rFonts w:hint="eastAsia" w:ascii="仿宋" w:hAnsi="仿宋" w:eastAsia="仿宋" w:cs="仿宋"/>
                <w:color w:val="auto"/>
                <w:sz w:val="24"/>
                <w:highlight w:val="none"/>
              </w:rPr>
              <w:t>成功销售案列合同，每个案例1分，最高4分。</w:t>
            </w:r>
          </w:p>
          <w:p>
            <w:pPr>
              <w:rPr>
                <w:rFonts w:hint="eastAsia" w:ascii="仿宋" w:hAnsi="仿宋" w:eastAsia="仿宋" w:cs="仿宋"/>
                <w:color w:val="auto"/>
                <w:highlight w:val="none"/>
              </w:rPr>
            </w:pPr>
            <w:r>
              <w:rPr>
                <w:rFonts w:hint="eastAsia" w:ascii="仿宋" w:hAnsi="仿宋" w:eastAsia="仿宋" w:cs="仿宋"/>
                <w:color w:val="auto"/>
                <w:sz w:val="24"/>
                <w:highlight w:val="none"/>
              </w:rPr>
              <w:t>（提供复印件并加盖公章）</w:t>
            </w:r>
          </w:p>
        </w:tc>
        <w:tc>
          <w:tcPr>
            <w:tcW w:w="787" w:type="dxa"/>
            <w:vAlign w:val="center"/>
          </w:tcPr>
          <w:p>
            <w:pPr>
              <w:ind w:left="-107" w:leftChars="-51" w:right="-113" w:rightChars="-5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09"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7546"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对质量目标措施的可行性、供货安装进度的安排合理性、现场安全措施的可行性等方面由评委进行综合评分。优于招标文件要求的得10-7.1分，满足招标文件要求的得7-4.1分，部分满足招标文件要求或不满足的得4-0分。</w:t>
            </w:r>
          </w:p>
        </w:tc>
        <w:tc>
          <w:tcPr>
            <w:tcW w:w="787" w:type="dxa"/>
            <w:vAlign w:val="center"/>
          </w:tcPr>
          <w:p>
            <w:pPr>
              <w:ind w:left="-107" w:leftChars="-51" w:right="-113" w:rightChars="-5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709"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7546"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在满足招标文件免费质保年限要求的基础上，每延长免费原厂质保期1年2分，最高4分。 </w:t>
            </w:r>
          </w:p>
        </w:tc>
        <w:tc>
          <w:tcPr>
            <w:tcW w:w="787" w:type="dxa"/>
            <w:vAlign w:val="center"/>
          </w:tcPr>
          <w:p>
            <w:pPr>
              <w:ind w:left="-107" w:leftChars="-51" w:right="-113" w:rightChars="-5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709"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7546"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提供的售后服务方式、故障响应修复时间等方面由评委进行综合评分。优于招标文件要求的得10-7.1分，满足招标文件要求的得7-4.1分，部分满足招标文件要求或不满足的得4-0分。</w:t>
            </w:r>
          </w:p>
        </w:tc>
        <w:tc>
          <w:tcPr>
            <w:tcW w:w="787" w:type="dxa"/>
            <w:vAlign w:val="center"/>
          </w:tcPr>
          <w:p>
            <w:pPr>
              <w:ind w:left="-107" w:leftChars="-51" w:right="-113" w:rightChars="-5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709"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7546"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提供的配件供应、优惠条件情况等方面由评委进行综合评分。优于招标文件要求的得10-7.1分，满足招标文件要求的得7-4.1分，部分满足招标文件要求或不满足的得4-0分。</w:t>
            </w:r>
          </w:p>
        </w:tc>
        <w:tc>
          <w:tcPr>
            <w:tcW w:w="787" w:type="dxa"/>
            <w:vAlign w:val="center"/>
          </w:tcPr>
          <w:p>
            <w:pPr>
              <w:ind w:left="-107" w:leftChars="-51" w:right="-113" w:rightChars="-5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09"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7546"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根据投标文件制作情况，询标情况，投标文件不以大量无关内容充数。提供产品生产商盖章的投标产品同型号官方datasheet或中文说明书为好得2-1.1分，其他1-0分。</w:t>
            </w:r>
          </w:p>
        </w:tc>
        <w:tc>
          <w:tcPr>
            <w:tcW w:w="787" w:type="dxa"/>
            <w:vAlign w:val="center"/>
          </w:tcPr>
          <w:p>
            <w:pPr>
              <w:ind w:left="-107" w:leftChars="-51" w:right="-113" w:rightChars="-5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r>
    </w:tbl>
    <w:p>
      <w:pPr>
        <w:spacing w:line="440" w:lineRule="exact"/>
        <w:rPr>
          <w:rFonts w:hint="eastAsia" w:ascii="仿宋" w:hAnsi="仿宋" w:eastAsia="仿宋" w:cs="仿宋"/>
          <w:b/>
          <w:bCs/>
          <w:iCs/>
          <w:color w:val="auto"/>
          <w:sz w:val="24"/>
          <w:highlight w:val="none"/>
        </w:rPr>
      </w:pP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2.2价格分（40分）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即：投标报价得分=(评标基准价／投标报价)×40</w:t>
      </w:r>
    </w:p>
    <w:p>
      <w:pPr>
        <w:pStyle w:val="24"/>
        <w:rPr>
          <w:rFonts w:hint="eastAsia" w:ascii="仿宋" w:hAnsi="仿宋" w:eastAsia="仿宋" w:cs="仿宋"/>
          <w:bCs/>
          <w:iCs/>
          <w:color w:val="auto"/>
          <w:sz w:val="24"/>
          <w:highlight w:val="none"/>
        </w:rPr>
      </w:pPr>
    </w:p>
    <w:p>
      <w:pPr>
        <w:rPr>
          <w:rFonts w:hint="eastAsia" w:ascii="仿宋" w:hAnsi="仿宋" w:eastAsia="仿宋" w:cs="仿宋"/>
          <w:bCs/>
          <w:iCs/>
          <w:color w:val="auto"/>
          <w:sz w:val="24"/>
          <w:highlight w:val="none"/>
        </w:rPr>
      </w:pPr>
    </w:p>
    <w:p>
      <w:pPr>
        <w:pStyle w:val="24"/>
        <w:rPr>
          <w:rFonts w:hint="eastAsia" w:ascii="仿宋" w:hAnsi="仿宋" w:eastAsia="仿宋" w:cs="仿宋"/>
          <w:bCs/>
          <w:iCs/>
          <w:color w:val="auto"/>
          <w:sz w:val="24"/>
          <w:highlight w:val="none"/>
        </w:rPr>
      </w:pPr>
    </w:p>
    <w:p>
      <w:pPr>
        <w:rPr>
          <w:rFonts w:hint="eastAsia" w:ascii="仿宋" w:hAnsi="仿宋" w:eastAsia="仿宋" w:cs="仿宋"/>
          <w:color w:val="auto"/>
          <w:highlight w:val="none"/>
        </w:rPr>
      </w:pPr>
    </w:p>
    <w:p>
      <w:pPr>
        <w:snapToGrid w:val="0"/>
        <w:rPr>
          <w:rFonts w:hint="eastAsia" w:ascii="仿宋" w:hAnsi="仿宋" w:eastAsia="仿宋" w:cs="仿宋"/>
          <w:b/>
          <w:color w:val="auto"/>
          <w:sz w:val="24"/>
          <w:highlight w:val="none"/>
          <w:u w:val="single"/>
        </w:rPr>
      </w:pPr>
    </w:p>
    <w:bookmarkEnd w:id="6"/>
    <w:bookmarkEnd w:id="7"/>
    <w:bookmarkEnd w:id="8"/>
    <w:bookmarkEnd w:id="9"/>
    <w:p>
      <w:pPr>
        <w:snapToGrid w:val="0"/>
        <w:spacing w:line="360" w:lineRule="auto"/>
        <w:jc w:val="center"/>
        <w:rPr>
          <w:rFonts w:hint="eastAsia" w:ascii="仿宋" w:hAnsi="仿宋" w:eastAsia="仿宋" w:cs="仿宋"/>
          <w:b/>
          <w:color w:val="auto"/>
          <w:sz w:val="36"/>
          <w:szCs w:val="20"/>
          <w:highlight w:val="none"/>
        </w:rPr>
      </w:pPr>
    </w:p>
    <w:p>
      <w:pPr>
        <w:snapToGrid w:val="0"/>
        <w:spacing w:line="360" w:lineRule="auto"/>
        <w:rPr>
          <w:rFonts w:hint="eastAsia" w:ascii="仿宋" w:hAnsi="仿宋" w:eastAsia="仿宋" w:cs="仿宋"/>
          <w:b/>
          <w:color w:val="auto"/>
          <w:sz w:val="36"/>
          <w:szCs w:val="20"/>
          <w:highlight w:val="none"/>
        </w:rPr>
      </w:pPr>
    </w:p>
    <w:p>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（3）中小企业声明函………………………………………………（页码）</w:t>
      </w:r>
    </w:p>
    <w:p>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（4）残疾人福利性单位声明函</w:t>
      </w:r>
      <w:r>
        <w:rPr>
          <w:rFonts w:hint="eastAsia" w:ascii="仿宋" w:hAnsi="仿宋" w:eastAsia="仿宋" w:cs="仿宋"/>
          <w:color w:val="auto"/>
          <w:kern w:val="0"/>
          <w:sz w:val="24"/>
          <w:highlight w:val="none"/>
        </w:rPr>
        <w:t>……………………………………（页码）</w:t>
      </w:r>
    </w:p>
    <w:p>
      <w:pPr>
        <w:pStyle w:val="18"/>
        <w:spacing w:line="800" w:lineRule="atLeast"/>
        <w:ind w:left="0" w:leftChars="0"/>
        <w:rPr>
          <w:rFonts w:hint="eastAsia" w:ascii="仿宋" w:hAnsi="仿宋" w:eastAsia="仿宋" w:cs="仿宋"/>
          <w:b/>
          <w:color w:val="auto"/>
          <w:sz w:val="36"/>
          <w:szCs w:val="36"/>
          <w:highlight w:val="none"/>
        </w:rPr>
      </w:pPr>
    </w:p>
    <w:p>
      <w:pPr>
        <w:pStyle w:val="18"/>
        <w:spacing w:line="800" w:lineRule="atLeast"/>
        <w:ind w:left="0" w:leftChars="0"/>
        <w:rPr>
          <w:rFonts w:hint="eastAsia" w:ascii="仿宋" w:hAnsi="仿宋" w:eastAsia="仿宋" w:cs="仿宋"/>
          <w:b/>
          <w:color w:val="auto"/>
          <w:sz w:val="36"/>
          <w:szCs w:val="36"/>
          <w:highlight w:val="none"/>
        </w:rPr>
      </w:pPr>
    </w:p>
    <w:p>
      <w:pPr>
        <w:pStyle w:val="18"/>
        <w:spacing w:line="800" w:lineRule="atLeast"/>
        <w:ind w:left="0" w:leftChars="0"/>
        <w:rPr>
          <w:rFonts w:hint="eastAsia" w:ascii="仿宋" w:hAnsi="仿宋" w:eastAsia="仿宋" w:cs="仿宋"/>
          <w:b/>
          <w:color w:val="auto"/>
          <w:sz w:val="36"/>
          <w:szCs w:val="36"/>
          <w:highlight w:val="none"/>
        </w:rPr>
      </w:pPr>
    </w:p>
    <w:p>
      <w:pPr>
        <w:rPr>
          <w:rFonts w:hint="eastAsia" w:ascii="仿宋" w:hAnsi="仿宋" w:eastAsia="仿宋" w:cs="仿宋"/>
          <w:b/>
          <w:color w:val="auto"/>
          <w:sz w:val="30"/>
          <w:szCs w:val="30"/>
          <w:highlight w:val="none"/>
        </w:rPr>
      </w:pPr>
    </w:p>
    <w:p>
      <w:pPr>
        <w:rPr>
          <w:rFonts w:hint="eastAsia" w:ascii="仿宋" w:hAnsi="仿宋" w:eastAsia="仿宋" w:cs="仿宋"/>
          <w:b/>
          <w:color w:val="auto"/>
          <w:sz w:val="30"/>
          <w:szCs w:val="30"/>
          <w:highlight w:val="none"/>
        </w:rPr>
      </w:pPr>
    </w:p>
    <w:p>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pPr>
        <w:pStyle w:val="70"/>
        <w:spacing w:afterLines="0" w:line="440" w:lineRule="exact"/>
        <w:ind w:firstLine="0" w:firstLineChars="0"/>
        <w:rPr>
          <w:rFonts w:hint="eastAsia" w:ascii="仿宋" w:hAnsi="仿宋" w:eastAsia="仿宋" w:cs="仿宋"/>
          <w:color w:val="auto"/>
          <w:szCs w:val="24"/>
          <w:highlight w:val="none"/>
        </w:rPr>
      </w:pPr>
    </w:p>
    <w:p>
      <w:pPr>
        <w:pStyle w:val="70"/>
        <w:spacing w:afterLines="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绍兴市人民医院、华诚工程咨询集团有限公司</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2"/>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70"/>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华诚工程咨询集团有限公司提供可能另外要求的与投标有关的任何数据或资料。</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2"/>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pPr>
        <w:pStyle w:val="70"/>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pStyle w:val="70"/>
        <w:spacing w:afterLines="0" w:line="440" w:lineRule="exact"/>
        <w:ind w:firstLine="480"/>
        <w:rPr>
          <w:rFonts w:hint="eastAsia" w:ascii="仿宋" w:hAnsi="仿宋" w:eastAsia="仿宋" w:cs="仿宋"/>
          <w:b/>
          <w:color w:val="auto"/>
          <w:sz w:val="30"/>
          <w:szCs w:val="30"/>
          <w:highlight w:val="none"/>
        </w:rPr>
      </w:pPr>
      <w:r>
        <w:rPr>
          <w:rFonts w:hint="eastAsia" w:ascii="仿宋" w:hAnsi="仿宋" w:eastAsia="仿宋" w:cs="仿宋"/>
          <w:color w:val="auto"/>
          <w:szCs w:val="24"/>
          <w:highlight w:val="none"/>
        </w:rPr>
        <w:t xml:space="preserve">投标人(电子签章)：　　　　　　　　　日期：   </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pPr>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3"/>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型号和规格</w:t>
            </w:r>
            <w:r>
              <w:rPr>
                <w:rFonts w:hint="eastAsia" w:ascii="仿宋" w:hAnsi="仿宋" w:eastAsia="仿宋" w:cs="仿宋"/>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p>
        </w:tc>
        <w:tc>
          <w:tcPr>
            <w:tcW w:w="1080" w:type="dxa"/>
            <w:tcBorders>
              <w:right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p>
        </w:tc>
        <w:tc>
          <w:tcPr>
            <w:tcW w:w="1080" w:type="dxa"/>
            <w:tcBorders>
              <w:right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p>
        </w:tc>
        <w:tc>
          <w:tcPr>
            <w:tcW w:w="1080" w:type="dxa"/>
            <w:tcBorders>
              <w:right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p>
        </w:tc>
        <w:tc>
          <w:tcPr>
            <w:tcW w:w="1080" w:type="dxa"/>
            <w:tcBorders>
              <w:right w:val="single" w:color="auto" w:sz="4" w:space="0"/>
            </w:tcBorders>
            <w:vAlign w:val="center"/>
          </w:tcPr>
          <w:p>
            <w:pPr>
              <w:adjustRightInd w:val="0"/>
              <w:snapToGrid w:val="0"/>
              <w:ind w:right="172" w:rightChars="82"/>
              <w:jc w:val="center"/>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大写：</w:t>
            </w:r>
          </w:p>
        </w:tc>
      </w:tr>
    </w:tbl>
    <w:p>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1.报价一经涂改，应在涂改处加盖单位电子签章或者由法定代表人或其授权代表签字或盖章，否则其投标作无效投标处理。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3.投标人需按本表格式填写，如无对应内容，则填写：“无或/”。</w:t>
      </w:r>
    </w:p>
    <w:p>
      <w:pPr>
        <w:snapToGrid w:val="0"/>
        <w:ind w:left="48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4.有关本项目实施所涉及的一切费用均计入报价。</w:t>
      </w:r>
    </w:p>
    <w:p>
      <w:pPr>
        <w:snapToGrid w:val="0"/>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5.以上表格要求细分项目及报价，</w:t>
      </w:r>
      <w:r>
        <w:rPr>
          <w:rFonts w:hint="eastAsia" w:ascii="仿宋" w:hAnsi="仿宋" w:eastAsia="仿宋" w:cs="仿宋"/>
          <w:b/>
          <w:color w:val="auto"/>
          <w:kern w:val="0"/>
          <w:sz w:val="24"/>
          <w:highlight w:val="none"/>
        </w:rPr>
        <w:t>在“规格型号（或具体服务）”一栏中，货物类项目填写规格型号，服务类项目填写具体服务。</w:t>
      </w:r>
      <w:r>
        <w:rPr>
          <w:rFonts w:hint="eastAsia" w:ascii="仿宋" w:hAnsi="仿宋" w:eastAsia="仿宋" w:cs="仿宋"/>
          <w:b/>
          <w:color w:val="auto"/>
          <w:sz w:val="24"/>
          <w:highlight w:val="none"/>
        </w:rPr>
        <w:t>服务包含但不仅限于：服务方案、次数或人数、服务年限等，产品包含但不仅限于:名称、品牌、型号、生产厂商、数量、质保期等。</w:t>
      </w:r>
    </w:p>
    <w:p>
      <w:pPr>
        <w:ind w:firstLine="482" w:firstLineChars="200"/>
        <w:rPr>
          <w:rFonts w:hint="eastAsia" w:ascii="仿宋" w:hAnsi="仿宋" w:eastAsia="仿宋" w:cs="仿宋"/>
          <w:b/>
          <w:color w:val="auto"/>
          <w:kern w:val="0"/>
          <w:sz w:val="24"/>
          <w:highlight w:val="none"/>
          <w:lang w:val="zh-CN"/>
        </w:rPr>
      </w:pPr>
      <w:r>
        <w:rPr>
          <w:rFonts w:hint="eastAsia" w:ascii="仿宋" w:hAnsi="仿宋" w:eastAsia="仿宋" w:cs="仿宋"/>
          <w:b/>
          <w:color w:val="auto"/>
          <w:sz w:val="24"/>
          <w:highlight w:val="none"/>
        </w:rPr>
        <w:t>6</w:t>
      </w:r>
      <w:r>
        <w:rPr>
          <w:rFonts w:hint="eastAsia" w:ascii="仿宋" w:hAnsi="仿宋" w:eastAsia="仿宋" w:cs="仿宋"/>
          <w:b/>
          <w:color w:val="auto"/>
          <w:kern w:val="0"/>
          <w:sz w:val="24"/>
          <w:highlight w:val="none"/>
          <w:lang w:val="zh-CN"/>
        </w:rPr>
        <w:t>.特别提示：采购机构将对</w:t>
      </w:r>
      <w:r>
        <w:rPr>
          <w:rFonts w:hint="eastAsia" w:ascii="仿宋" w:hAnsi="仿宋" w:eastAsia="仿宋" w:cs="仿宋"/>
          <w:b/>
          <w:color w:val="auto"/>
          <w:kern w:val="0"/>
          <w:sz w:val="24"/>
          <w:highlight w:val="none"/>
        </w:rPr>
        <w:t>项目名称和项目编号，中标供应商名称、地址和中标金额，主要中标标的的名称、规格型号、数量、单价、服务要求等</w:t>
      </w:r>
      <w:r>
        <w:rPr>
          <w:rFonts w:hint="eastAsia" w:ascii="仿宋" w:hAnsi="仿宋" w:eastAsia="仿宋" w:cs="仿宋"/>
          <w:b/>
          <w:color w:val="auto"/>
          <w:kern w:val="0"/>
          <w:sz w:val="24"/>
          <w:highlight w:val="none"/>
          <w:lang w:val="zh-CN"/>
        </w:rPr>
        <w:t>予以公示。请把上述涉及的内容完整填写在开标一览表中。</w:t>
      </w:r>
    </w:p>
    <w:p>
      <w:pPr>
        <w:spacing w:line="360" w:lineRule="auto"/>
        <w:ind w:left="-3" w:leftChars="-72" w:right="-817" w:rightChars="-389" w:hanging="148" w:hangingChars="62"/>
        <w:rPr>
          <w:rFonts w:hint="eastAsia" w:ascii="仿宋" w:hAnsi="仿宋" w:eastAsia="仿宋" w:cs="仿宋"/>
          <w:color w:val="auto"/>
          <w:sz w:val="24"/>
          <w:highlight w:val="none"/>
        </w:rPr>
      </w:pPr>
    </w:p>
    <w:p>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            日期：    年   月   日</w:t>
      </w:r>
    </w:p>
    <w:p>
      <w:pPr>
        <w:pageBreakBefore/>
        <w:spacing w:line="800" w:lineRule="exact"/>
        <w:rPr>
          <w:rFonts w:hint="eastAsia" w:ascii="仿宋" w:hAnsi="仿宋" w:eastAsia="仿宋" w:cs="仿宋"/>
          <w:b/>
          <w:color w:val="auto"/>
          <w:sz w:val="30"/>
          <w:szCs w:val="30"/>
          <w:highlight w:val="none"/>
        </w:rPr>
        <w:sectPr>
          <w:headerReference r:id="rId6" w:type="first"/>
          <w:footerReference r:id="rId8" w:type="first"/>
          <w:footerReference r:id="rId7" w:type="default"/>
          <w:pgSz w:w="11906" w:h="16838"/>
          <w:pgMar w:top="1276" w:right="1418" w:bottom="1247" w:left="1418" w:header="851" w:footer="992" w:gutter="0"/>
          <w:cols w:space="720" w:num="1"/>
          <w:docGrid w:linePitch="312" w:charSpace="0"/>
        </w:sectPr>
      </w:pPr>
    </w:p>
    <w:p>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19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pPr>
        <w:pStyle w:val="19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pPr>
        <w:pStyle w:val="19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pPr>
        <w:pStyle w:val="19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pStyle w:val="194"/>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pPr>
        <w:pStyle w:val="19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snapToGrid w:val="0"/>
          <w:color w:val="auto"/>
          <w:highlight w:val="none"/>
        </w:rPr>
        <w:t>投标人售后服务证明材料</w:t>
      </w:r>
      <w:r>
        <w:rPr>
          <w:rFonts w:hint="eastAsia" w:ascii="仿宋" w:hAnsi="仿宋" w:eastAsia="仿宋" w:cs="仿宋"/>
          <w:color w:val="auto"/>
          <w:highlight w:val="none"/>
        </w:rPr>
        <w:t>……………………………………………………（页码）</w:t>
      </w:r>
    </w:p>
    <w:p>
      <w:pPr>
        <w:pStyle w:val="19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（20）</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（22）中小企业声明函…………………………………………………………（页码）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绍兴市人民医院、华诚工程咨询集团有限公司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绍兴市人民医院、华诚工程咨询集团有限公司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800" w:lineRule="exact"/>
        <w:rPr>
          <w:rFonts w:hint="eastAsia" w:ascii="仿宋" w:hAnsi="仿宋" w:eastAsia="仿宋" w:cs="仿宋"/>
          <w:b/>
          <w:color w:val="auto"/>
          <w:sz w:val="24"/>
          <w:highlight w:val="none"/>
        </w:r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ind w:firstLine="4320" w:firstLineChars="1800"/>
        <w:rPr>
          <w:rFonts w:hint="eastAsia" w:ascii="仿宋" w:hAnsi="仿宋" w:eastAsia="仿宋" w:cs="仿宋"/>
          <w:color w:val="auto"/>
          <w:sz w:val="24"/>
          <w:highlight w:val="none"/>
        </w:rPr>
      </w:pPr>
    </w:p>
    <w:p>
      <w:pPr>
        <w:spacing w:line="800" w:lineRule="exact"/>
        <w:ind w:firstLine="4337" w:firstLineChars="1800"/>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pageBreakBefore/>
        <w:spacing w:after="240"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绍兴人民医院、华诚工程咨询集团有限公司</w:t>
      </w:r>
      <w:r>
        <w:rPr>
          <w:rFonts w:hint="eastAsia" w:ascii="仿宋" w:hAnsi="仿宋" w:eastAsia="仿宋" w:cs="仿宋"/>
          <w:color w:val="auto"/>
          <w:kern w:val="0"/>
          <w:sz w:val="24"/>
          <w:highlight w:val="none"/>
          <w:lang w:val="zh-CN"/>
        </w:rPr>
        <w:t>：</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）招标文件中关于申请人资格要求的下列条件：</w:t>
      </w:r>
    </w:p>
    <w:p>
      <w:pPr>
        <w:pStyle w:val="70"/>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p>
    <w:p>
      <w:pPr>
        <w:pStyle w:val="24"/>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（由投标人根据招标公告合格的投标人应具备的特定资格要求编制）</w:t>
      </w: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napToGrid w:val="0"/>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pStyle w:val="52"/>
        <w:ind w:firstLine="643"/>
        <w:rPr>
          <w:rFonts w:hint="eastAsia" w:ascii="仿宋" w:hAnsi="仿宋" w:eastAsia="仿宋" w:cs="仿宋"/>
          <w:b/>
          <w:color w:val="auto"/>
          <w:sz w:val="32"/>
          <w:szCs w:val="32"/>
          <w:highlight w:val="none"/>
        </w:rPr>
      </w:pPr>
    </w:p>
    <w:p>
      <w:pPr>
        <w:pStyle w:val="52"/>
        <w:ind w:firstLine="643"/>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Style w:val="195"/>
        <w:ind w:firstLine="0"/>
        <w:jc w:val="both"/>
        <w:rPr>
          <w:rFonts w:hint="eastAsia" w:ascii="仿宋" w:hAnsi="仿宋" w:eastAsia="仿宋" w:cs="仿宋"/>
          <w:color w:val="auto"/>
          <w:highlight w:val="none"/>
        </w:rPr>
      </w:pPr>
    </w:p>
    <w:p>
      <w:pPr>
        <w:pStyle w:val="195"/>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绍兴市人民医院</w:t>
      </w:r>
      <w:r>
        <w:rPr>
          <w:rFonts w:hint="eastAsia" w:ascii="仿宋" w:hAnsi="仿宋" w:eastAsia="仿宋" w:cs="仿宋"/>
          <w:color w:val="auto"/>
          <w:kern w:val="0"/>
          <w:sz w:val="24"/>
          <w:highlight w:val="none"/>
          <w:lang w:val="zh-CN"/>
        </w:rPr>
        <w:t xml:space="preserve">：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3"/>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bl>
    <w:p>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w:t>
      </w:r>
      <w:r>
        <w:rPr>
          <w:rFonts w:hint="eastAsia" w:ascii="仿宋" w:hAnsi="仿宋" w:eastAsia="仿宋" w:cs="仿宋"/>
          <w:b/>
          <w:bCs/>
          <w:color w:val="auto"/>
          <w:kern w:val="0"/>
          <w:sz w:val="32"/>
          <w:szCs w:val="32"/>
          <w:highlight w:val="none"/>
        </w:rPr>
        <w:t>2</w:t>
      </w:r>
      <w:r>
        <w:rPr>
          <w:rFonts w:hint="eastAsia" w:ascii="仿宋" w:hAnsi="仿宋" w:eastAsia="仿宋" w:cs="仿宋"/>
          <w:b/>
          <w:bCs/>
          <w:color w:val="auto"/>
          <w:kern w:val="0"/>
          <w:sz w:val="32"/>
          <w:szCs w:val="32"/>
          <w:highlight w:val="none"/>
          <w:lang w:val="zh-CN"/>
        </w:rPr>
        <w:t>、组织实施方案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18"/>
          <w:szCs w:val="18"/>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16、</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napToGrid w:val="0"/>
        <w:spacing w:line="360" w:lineRule="auto"/>
        <w:ind w:right="144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17、</w:t>
      </w:r>
      <w:r>
        <w:rPr>
          <w:rFonts w:hint="eastAsia" w:ascii="仿宋" w:hAnsi="仿宋" w:eastAsia="仿宋" w:cs="仿宋"/>
          <w:b/>
          <w:color w:val="auto"/>
          <w:kern w:val="0"/>
          <w:sz w:val="32"/>
          <w:szCs w:val="32"/>
          <w:highlight w:val="none"/>
          <w:lang w:val="zh-CN"/>
        </w:rPr>
        <w:t>培训计划</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3"/>
        <w:tblW w:w="9000" w:type="dxa"/>
        <w:tblInd w:w="12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20" w:type="dxa"/>
            <w:bottom w:w="0" w:type="dxa"/>
            <w:right w:w="120" w:type="dxa"/>
          </w:tblCellMar>
        </w:tblPrEx>
        <w:trPr>
          <w:trHeight w:val="764" w:hRule="atLeast"/>
        </w:trPr>
        <w:tc>
          <w:tcPr>
            <w:tcW w:w="1806" w:type="dxa"/>
            <w:shd w:val="clear"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shd w:val="clear"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shd w:val="clear"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shd w:val="clear"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shd w:val="clear"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shd w:val="clear"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shd w:val="clear"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20" w:type="dxa"/>
            <w:bottom w:w="0" w:type="dxa"/>
            <w:right w:w="120" w:type="dxa"/>
          </w:tblCellMar>
        </w:tblPrEx>
        <w:trPr>
          <w:trHeight w:val="281" w:hRule="atLeast"/>
        </w:trPr>
        <w:tc>
          <w:tcPr>
            <w:tcW w:w="1806" w:type="dxa"/>
            <w:shd w:val="clear" w:color="auto" w:fill="auto"/>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shd w:val="clear" w:color="auto" w:fill="auto"/>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shd w:val="clear" w:color="auto" w:fill="auto"/>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shd w:val="clear" w:color="auto" w:fill="auto"/>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shd w:val="clear" w:color="auto" w:fill="auto"/>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shd w:val="clear" w:color="auto" w:fill="auto"/>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shd w:val="clear" w:color="auto" w:fill="auto"/>
          </w:tcPr>
          <w:p>
            <w:pPr>
              <w:suppressAutoHyphens/>
              <w:autoSpaceDE w:val="0"/>
              <w:autoSpaceDN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20" w:type="dxa"/>
            <w:bottom w:w="0" w:type="dxa"/>
            <w:right w:w="120" w:type="dxa"/>
          </w:tblCellMar>
        </w:tblPrEx>
        <w:trPr>
          <w:trHeight w:val="110" w:hRule="atLeast"/>
        </w:trPr>
        <w:tc>
          <w:tcPr>
            <w:tcW w:w="1806" w:type="dxa"/>
            <w:shd w:val="clear" w:color="auto" w:fill="auto"/>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shd w:val="clear" w:color="auto" w:fill="auto"/>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shd w:val="clear" w:color="auto" w:fill="auto"/>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shd w:val="clear" w:color="auto" w:fill="auto"/>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shd w:val="clear" w:color="auto" w:fill="auto"/>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shd w:val="clear" w:color="auto" w:fill="auto"/>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shd w:val="clear" w:color="auto" w:fill="auto"/>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18、验收方案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rPr>
        <w:t>20</w:t>
      </w:r>
      <w:r>
        <w:rPr>
          <w:rFonts w:hint="eastAsia" w:ascii="仿宋" w:hAnsi="仿宋" w:eastAsia="仿宋" w:cs="仿宋"/>
          <w:b/>
          <w:color w:val="auto"/>
          <w:kern w:val="0"/>
          <w:sz w:val="32"/>
          <w:szCs w:val="32"/>
          <w:highlight w:val="none"/>
          <w:lang w:val="zh-CN"/>
        </w:rPr>
        <w:t>、联合协议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w:t>
      </w:r>
      <w:r>
        <w:rPr>
          <w:rFonts w:hint="eastAsia" w:ascii="仿宋" w:hAnsi="仿宋" w:eastAsia="仿宋" w:cs="仿宋"/>
          <w:b/>
          <w:color w:val="auto"/>
          <w:kern w:val="0"/>
          <w:sz w:val="24"/>
          <w:highlight w:val="none"/>
        </w:rPr>
        <w:t>6</w:t>
      </w:r>
      <w:r>
        <w:rPr>
          <w:rFonts w:hint="eastAsia" w:ascii="仿宋" w:hAnsi="仿宋" w:eastAsia="仿宋" w:cs="仿宋"/>
          <w:b/>
          <w:color w:val="auto"/>
          <w:kern w:val="0"/>
          <w:sz w:val="24"/>
          <w:highlight w:val="none"/>
          <w:lang w:val="zh-CN"/>
        </w:rPr>
        <w:t>%的扣除，须提供《中小企业声明函》。）</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联合体成员名称(电子签章/公章)：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napToGrid w:val="0"/>
        <w:spacing w:line="360" w:lineRule="auto"/>
        <w:ind w:right="480"/>
        <w:rPr>
          <w:rFonts w:hint="eastAsia" w:ascii="仿宋" w:hAnsi="仿宋" w:eastAsia="仿宋" w:cs="仿宋"/>
          <w:b/>
          <w:color w:val="auto"/>
          <w:kern w:val="0"/>
          <w:sz w:val="32"/>
          <w:szCs w:val="32"/>
          <w:highlight w:val="none"/>
          <w:lang w:val="zh-CN"/>
        </w:rPr>
        <w:sectPr>
          <w:pgSz w:w="11906" w:h="16838"/>
          <w:pgMar w:top="1276" w:right="1418" w:bottom="1247" w:left="1418" w:header="851" w:footer="992" w:gutter="0"/>
          <w:cols w:space="720" w:num="1"/>
          <w:docGrid w:linePitch="312" w:charSpace="0"/>
        </w:sect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w:t>
      </w:r>
      <w:r>
        <w:rPr>
          <w:rFonts w:hint="eastAsia" w:ascii="仿宋" w:hAnsi="仿宋" w:eastAsia="仿宋" w:cs="仿宋"/>
          <w:b/>
          <w:color w:val="auto"/>
          <w:kern w:val="0"/>
          <w:sz w:val="32"/>
          <w:szCs w:val="32"/>
          <w:highlight w:val="none"/>
        </w:rPr>
        <w:t>1</w:t>
      </w:r>
      <w:r>
        <w:rPr>
          <w:rFonts w:hint="eastAsia" w:ascii="仿宋" w:hAnsi="仿宋" w:eastAsia="仿宋" w:cs="仿宋"/>
          <w:b/>
          <w:color w:val="auto"/>
          <w:kern w:val="0"/>
          <w:sz w:val="32"/>
          <w:szCs w:val="32"/>
          <w:highlight w:val="none"/>
          <w:lang w:val="zh-CN"/>
        </w:rPr>
        <w:t>、分包意向协议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u w:val="single"/>
        </w:rPr>
        <w:t>（分包供应商名称）提供的货物全部由小微企业制造，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 30%以上的，对大中型企业的报价给予</w:t>
      </w:r>
      <w:r>
        <w:rPr>
          <w:rFonts w:hint="eastAsia" w:ascii="仿宋" w:hAnsi="仿宋" w:eastAsia="仿宋" w:cs="仿宋"/>
          <w:b/>
          <w:color w:val="auto"/>
          <w:kern w:val="0"/>
          <w:sz w:val="24"/>
          <w:highlight w:val="none"/>
        </w:rPr>
        <w:t>6</w:t>
      </w:r>
      <w:r>
        <w:rPr>
          <w:rFonts w:hint="eastAsia" w:ascii="仿宋" w:hAnsi="仿宋" w:eastAsia="仿宋" w:cs="仿宋"/>
          <w:b/>
          <w:color w:val="auto"/>
          <w:kern w:val="0"/>
          <w:sz w:val="24"/>
          <w:highlight w:val="none"/>
          <w:lang w:val="zh-CN"/>
        </w:rPr>
        <w:t>%的扣除）</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投标人名称(电子签章)：</w:t>
      </w:r>
    </w:p>
    <w:p>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w:t>
      </w:r>
      <w:r>
        <w:rPr>
          <w:rFonts w:hint="eastAsia" w:ascii="仿宋" w:hAnsi="仿宋" w:eastAsia="仿宋" w:cs="仿宋"/>
          <w:b/>
          <w:color w:val="auto"/>
          <w:kern w:val="0"/>
          <w:sz w:val="32"/>
          <w:szCs w:val="32"/>
          <w:highlight w:val="none"/>
        </w:rPr>
        <w:t>2</w:t>
      </w:r>
      <w:r>
        <w:rPr>
          <w:rFonts w:hint="eastAsia" w:ascii="仿宋" w:hAnsi="仿宋" w:eastAsia="仿宋" w:cs="仿宋"/>
          <w:b/>
          <w:color w:val="auto"/>
          <w:kern w:val="0"/>
          <w:sz w:val="32"/>
          <w:szCs w:val="32"/>
          <w:highlight w:val="none"/>
          <w:lang w:val="zh-CN"/>
        </w:rPr>
        <w:t>、落实政府采购政策需满足的资格要求</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 xml:space="preserve">（附件）。 </w:t>
      </w:r>
    </w:p>
    <w:p>
      <w:pPr>
        <w:widowControl/>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pageBreakBefore/>
        <w:spacing w:line="360" w:lineRule="auto"/>
        <w:ind w:firstLine="482" w:firstLineChars="200"/>
        <w:rPr>
          <w:rFonts w:hint="eastAsia" w:ascii="仿宋" w:hAnsi="仿宋" w:eastAsia="仿宋" w:cs="仿宋"/>
          <w:b/>
          <w:color w:val="auto"/>
          <w:kern w:val="0"/>
          <w:sz w:val="32"/>
          <w:szCs w:val="32"/>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w:t>
      </w:r>
      <w:r>
        <w:rPr>
          <w:rFonts w:hint="eastAsia" w:ascii="仿宋" w:hAnsi="仿宋" w:eastAsia="仿宋" w:cs="仿宋"/>
          <w:b/>
          <w:color w:val="auto"/>
          <w:sz w:val="24"/>
          <w:highlight w:val="none"/>
        </w:rPr>
        <w:t>中小企业声明函（附件）</w:t>
      </w:r>
      <w:r>
        <w:rPr>
          <w:rFonts w:hint="eastAsia" w:ascii="仿宋" w:hAnsi="仿宋" w:eastAsia="仿宋" w:cs="仿宋"/>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1026"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path/>
            <v:fill focussize="0,0"/>
            <v:stroke miterlimit="2"/>
            <v:imagedata o:title=""/>
            <o:lock v:ext="edit"/>
          </v:rect>
        </w:pict>
      </w:r>
      <w:r>
        <w:rPr>
          <w:rFonts w:hint="eastAsia" w:ascii="仿宋" w:hAnsi="仿宋" w:eastAsia="仿宋" w:cs="仿宋"/>
          <w:b/>
          <w:bCs/>
          <w:color w:val="auto"/>
          <w:sz w:val="24"/>
          <w:highlight w:val="none"/>
        </w:rPr>
        <w:pict>
          <v:rect id="Rectangle 16" o:spid="_x0000_s1028"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path/>
            <v:fill focussize="0,0"/>
            <v:stroke miterlimit="2"/>
            <v:imagedata o:title=""/>
            <o:lock v:ext="edit"/>
          </v:rect>
        </w:pict>
      </w:r>
      <w:r>
        <w:rPr>
          <w:rFonts w:hint="eastAsia" w:ascii="仿宋" w:hAnsi="仿宋" w:eastAsia="仿宋" w:cs="仿宋"/>
          <w:color w:val="auto"/>
          <w:sz w:val="24"/>
          <w:highlight w:val="none"/>
        </w:rPr>
        <w:t>投标单位法定名称章（印模）                投标单位“XX专用章”（印模）</w:t>
      </w: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pageBreakBefor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w:t>
      </w:r>
    </w:p>
    <w:p>
      <w:pPr>
        <w:rPr>
          <w:rFonts w:hint="eastAsia" w:ascii="仿宋" w:hAnsi="仿宋" w:eastAsia="仿宋" w:cs="仿宋"/>
          <w:b/>
          <w:color w:val="auto"/>
          <w:sz w:val="32"/>
          <w:szCs w:val="32"/>
          <w:highlight w:val="none"/>
        </w:rPr>
      </w:pPr>
      <w:r>
        <w:rPr>
          <w:rFonts w:hint="eastAsia" w:ascii="仿宋" w:hAnsi="仿宋" w:eastAsia="仿宋" w:cs="仿宋"/>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highlight w:val="none"/>
        </w:rPr>
      </w:pPr>
    </w:p>
    <w:p>
      <w:pPr>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jc w:val="center"/>
        <w:rPr>
          <w:rFonts w:hint="eastAsia" w:ascii="仿宋" w:hAnsi="仿宋" w:eastAsia="仿宋" w:cs="仿宋"/>
          <w:b/>
          <w:color w:val="auto"/>
          <w:sz w:val="18"/>
          <w:highlight w:val="none"/>
        </w:rPr>
      </w:pPr>
    </w:p>
    <w:p>
      <w:pPr>
        <w:jc w:val="center"/>
        <w:rPr>
          <w:rFonts w:hint="eastAsia" w:ascii="仿宋" w:hAnsi="仿宋" w:eastAsia="仿宋" w:cs="仿宋"/>
          <w:b/>
          <w:color w:val="auto"/>
          <w:sz w:val="32"/>
          <w:highlight w:val="none"/>
        </w:rPr>
      </w:pPr>
    </w:p>
    <w:p>
      <w:pPr>
        <w:jc w:val="center"/>
        <w:rPr>
          <w:rFonts w:hint="eastAsia" w:ascii="仿宋" w:hAnsi="仿宋" w:eastAsia="仿宋" w:cs="仿宋"/>
          <w:b/>
          <w:color w:val="auto"/>
          <w:sz w:val="32"/>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2.根据《政府采购促进中小企业发展管理办法》的通知（财库〔2020〕46号）规定，中标、成交供应商享受中小企业扶持政策的，采购代理机构将随中标、成交结果公开中标、成交供应商的《中小企业声明函》。 </w:t>
      </w:r>
    </w:p>
    <w:p>
      <w:pPr>
        <w:pageBreakBefore/>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highlight w:val="none"/>
        </w:rPr>
      </w:pPr>
    </w:p>
    <w:p>
      <w:pPr>
        <w:pageBreakBefore/>
        <w:spacing w:line="588"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p>
      <w:pPr>
        <w:spacing w:line="588" w:lineRule="exact"/>
        <w:rPr>
          <w:rFonts w:hint="eastAsia" w:ascii="仿宋" w:hAnsi="仿宋" w:eastAsia="仿宋" w:cs="仿宋"/>
          <w:b/>
          <w:color w:val="auto"/>
          <w:spacing w:val="6"/>
          <w:sz w:val="30"/>
          <w:szCs w:val="30"/>
          <w:highlight w:val="none"/>
        </w:rPr>
      </w:pP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highlight w:val="none"/>
        </w:rPr>
      </w:pPr>
    </w:p>
    <w:p>
      <w:pPr>
        <w:spacing w:line="588" w:lineRule="exact"/>
        <w:ind w:firstLine="480" w:firstLineChars="200"/>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注：根据《财政部 民政部 中国残疾人联合会关于促进残疾人就业政府采购政策的通知》（财库〔2017〕141号）规定填报。</w:t>
      </w:r>
    </w:p>
    <w:p>
      <w:pPr>
        <w:rPr>
          <w:rFonts w:hint="eastAsia" w:ascii="仿宋" w:hAnsi="仿宋" w:eastAsia="仿宋" w:cs="仿宋"/>
          <w:color w:val="auto"/>
          <w:highlight w:val="none"/>
        </w:rPr>
      </w:pPr>
    </w:p>
    <w:p>
      <w:pPr>
        <w:tabs>
          <w:tab w:val="left" w:pos="4860"/>
        </w:tabs>
        <w:ind w:right="1559"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object>
          <v:shape id="_x0000_i1027" o:spt="75" type="#_x0000_t75" style="height:42pt;width:390pt;" o:ole="t" filled="f" o:preferrelative="t" stroked="f" coordsize="21600,21600">
            <v:path/>
            <v:fill on="f" focussize="0,0"/>
            <v:stroke on="f" joinstyle="miter"/>
            <v:imagedata r:id="rId17" o:title=""/>
            <o:lock v:ext="edit" aspectratio="t"/>
            <w10:wrap type="none"/>
            <w10:anchorlock/>
          </v:shape>
          <o:OLEObject Type="Embed" ProgID="Package" ShapeID="_x0000_i1027" DrawAspect="Content" ObjectID="_1468075727" r:id="rId16">
            <o:LockedField>false</o:LockedField>
          </o:OLEObject>
        </w:object>
      </w: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rPr>
          <w:rFonts w:hint="eastAsia" w:ascii="仿宋" w:hAnsi="仿宋" w:eastAsia="仿宋" w:cs="仿宋"/>
          <w:b/>
          <w:color w:val="auto"/>
          <w:sz w:val="24"/>
          <w:highlight w:val="none"/>
        </w:rPr>
      </w:pPr>
    </w:p>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color w:val="auto"/>
          <w:sz w:val="44"/>
          <w:szCs w:val="44"/>
          <w:highlight w:val="none"/>
        </w:rPr>
      </w:pP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pPr>
        <w:adjustRightInd w:val="0"/>
        <w:snapToGrid w:val="0"/>
        <w:spacing w:line="360" w:lineRule="auto"/>
        <w:rPr>
          <w:rFonts w:hint="eastAsia" w:ascii="仿宋" w:hAnsi="仿宋" w:eastAsia="仿宋" w:cs="仿宋"/>
          <w:color w:val="auto"/>
          <w:sz w:val="32"/>
          <w:szCs w:val="32"/>
          <w:highlight w:val="none"/>
        </w:rPr>
      </w:pPr>
    </w:p>
    <w:p>
      <w:pPr>
        <w:adjustRightInd w:val="0"/>
        <w:snapToGrid w:val="0"/>
        <w:spacing w:line="360" w:lineRule="auto"/>
        <w:rPr>
          <w:rFonts w:hint="eastAsia" w:ascii="仿宋" w:hAnsi="仿宋" w:eastAsia="仿宋" w:cs="仿宋"/>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pacing w:line="440" w:lineRule="exact"/>
        <w:jc w:val="center"/>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spacing w:line="440" w:lineRule="exact"/>
        <w:jc w:val="left"/>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各省、自治区、直辖市统计局，新疆生产建设兵团统计局，国务院各有关部门，国家统计局各调查总队：</w:t>
      </w:r>
    </w:p>
    <w:p>
      <w:pPr>
        <w:spacing w:line="440" w:lineRule="exact"/>
        <w:ind w:firstLine="480" w:firstLineChars="200"/>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spacing w:line="440" w:lineRule="exact"/>
        <w:jc w:val="left"/>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附件：《统计上大中小微型企业划分办法（2017）》修订说明</w:t>
      </w:r>
    </w:p>
    <w:p>
      <w:pPr>
        <w:spacing w:line="440" w:lineRule="exact"/>
        <w:ind w:firstLine="420" w:firstLineChars="200"/>
        <w:jc w:val="righ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spacing w:line="440" w:lineRule="exact"/>
        <w:ind w:firstLine="420" w:firstLineChars="200"/>
        <w:jc w:val="righ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spacing w:line="440" w:lineRule="exact"/>
        <w:ind w:firstLine="420" w:firstLineChars="200"/>
        <w:jc w:val="righ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p>
    <w:p>
      <w:pPr>
        <w:spacing w:line="440" w:lineRule="exact"/>
        <w:jc w:val="center"/>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spacing w:line="440" w:lineRule="exact"/>
        <w:jc w:val="left"/>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spacing w:line="440" w:lineRule="exact"/>
        <w:jc w:val="left"/>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二、本办法适用对象为在中华人民共和国境内依法设立的各种组织形式的法人企业或单位。个体工商户参照本办法进行划分。</w:t>
      </w:r>
    </w:p>
    <w:p>
      <w:pPr>
        <w:spacing w:line="440" w:lineRule="exact"/>
        <w:jc w:val="left"/>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spacing w:line="440" w:lineRule="exact"/>
        <w:jc w:val="left"/>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四、本办法按照行业门类、大类、中类和组合类别，依据从业人员、营业收入、资产总额等指标或替代指标，将我国的企业划分为大型、中型、小型、微型等四种类型。具体划分标准见附表。</w:t>
      </w:r>
    </w:p>
    <w:p>
      <w:pPr>
        <w:spacing w:line="440" w:lineRule="exact"/>
        <w:jc w:val="left"/>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五、企业划分由政府综合统计部门根据统计年报每年确定一次，定报统计原则上不进行调整。</w:t>
      </w:r>
    </w:p>
    <w:p>
      <w:pPr>
        <w:spacing w:line="440" w:lineRule="exact"/>
        <w:jc w:val="left"/>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六、本办法自印发之日起执行，国家统计局2011年印发的《统计上大中小微型企业划分办法》（国统字〔2011〕75号）同时废止。</w:t>
      </w:r>
    </w:p>
    <w:p>
      <w:pPr>
        <w:spacing w:line="440" w:lineRule="exact"/>
        <w:jc w:val="left"/>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附表：统计上大中小微型企业划分标准</w:t>
      </w:r>
    </w:p>
    <w:p>
      <w:pPr>
        <w:widowControl/>
        <w:spacing w:before="120" w:beforeLines="50" w:after="120" w:afterLines="50"/>
        <w:jc w:val="center"/>
        <w:rPr>
          <w:rFonts w:hint="eastAsia" w:ascii="仿宋" w:hAnsi="仿宋" w:eastAsia="仿宋" w:cs="仿宋"/>
          <w:b/>
          <w:bCs/>
          <w:color w:val="auto"/>
          <w:kern w:val="0"/>
          <w:sz w:val="36"/>
          <w:szCs w:val="36"/>
          <w:highlight w:val="none"/>
        </w:rPr>
      </w:pPr>
    </w:p>
    <w:p>
      <w:pPr>
        <w:widowControl/>
        <w:spacing w:before="120" w:beforeLines="50" w:after="120" w:afterLines="50"/>
        <w:jc w:val="center"/>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43"/>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pStyle w:val="2"/>
        <w:rPr>
          <w:rFonts w:hint="eastAsia" w:ascii="仿宋" w:hAnsi="仿宋" w:eastAsia="仿宋" w:cs="仿宋"/>
          <w:color w:val="auto"/>
          <w:highlight w:val="none"/>
        </w:rPr>
      </w:pPr>
    </w:p>
    <w:p>
      <w:pPr>
        <w:widowControl/>
        <w:spacing w:before="120" w:beforeLines="50" w:after="120" w:afterLines="50"/>
        <w:jc w:val="center"/>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spacing w:line="440" w:lineRule="exact"/>
        <w:jc w:val="left"/>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spacing w:line="440" w:lineRule="exact"/>
        <w:jc w:val="left"/>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pStyle w:val="2"/>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widowControl/>
        <w:spacing w:before="120" w:beforeLines="50" w:after="120" w:afterLines="50"/>
        <w:jc w:val="center"/>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pacing w:before="120" w:beforeLines="50" w:after="120" w:afterLines="50"/>
        <w:jc w:val="center"/>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pacing w:before="120" w:beforeLines="50" w:after="120" w:afterLines="50"/>
        <w:jc w:val="center"/>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pacing w:before="120" w:beforeLines="50" w:after="120" w:afterLines="50"/>
        <w:jc w:val="center"/>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spacing w:line="4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pacing w:before="120" w:beforeLines="50" w:after="120" w:afterLines="50"/>
        <w:jc w:val="center"/>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43"/>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rPr>
          <w:rFonts w:hint="eastAsia" w:ascii="仿宋" w:hAnsi="仿宋" w:eastAsia="仿宋" w:cs="仿宋"/>
          <w:color w:val="auto"/>
          <w:kern w:val="0"/>
          <w:sz w:val="24"/>
          <w:highlight w:val="none"/>
        </w:rPr>
      </w:pPr>
    </w:p>
    <w:sectPr>
      <w:footerReference r:id="rId9" w:type="default"/>
      <w:footerReference r:id="rId10" w:type="even"/>
      <w:pgSz w:w="11906" w:h="16838"/>
      <w:pgMar w:top="1276" w:right="1418" w:bottom="1247" w:left="1418" w:header="1021" w:footer="90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宋体-简">
    <w:altName w:val="宋体"/>
    <w:panose1 w:val="00000000000000000000"/>
    <w:charset w:val="86"/>
    <w:family w:val="auto"/>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pPr>
      <w:pStyle w:val="2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pPr>
      <w:pStyle w:val="2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4" w:space="1"/>
      </w:pBdr>
    </w:pPr>
    <w:r>
      <w:rPr>
        <w:rFonts w:hint="eastAsia"/>
      </w:rPr>
      <w:t>华诚工程咨询集团有限公司                                 招标文件招标编号HCSF-2022-027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4" w:space="1"/>
      </w:pBdr>
    </w:pPr>
    <w:r>
      <w:rPr>
        <w:rFonts w:hint="eastAsia"/>
      </w:rPr>
      <w:t>华诚工程咨询集团有限公司                                 招标文件招标编号HCSF-2022-027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rPr>
        <w:rFonts w:hint="eastAsia"/>
      </w:rPr>
      <w:t>绍兴市公共资源交易中心                                    招标文件招标编号:</w:t>
    </w:r>
    <w:r>
      <w:t>202</w:t>
    </w:r>
    <w:r>
      <w:rPr>
        <w:rFonts w:hint="eastAsia"/>
      </w:rPr>
      <w:t>2</w:t>
    </w:r>
    <w:r>
      <w:t>-01-0002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737CA3"/>
    <w:multiLevelType w:val="singleLevel"/>
    <w:tmpl w:val="AD737CA3"/>
    <w:lvl w:ilvl="0" w:tentative="0">
      <w:start w:val="8"/>
      <w:numFmt w:val="decimal"/>
      <w:lvlText w:val="%1."/>
      <w:lvlJc w:val="left"/>
      <w:pPr>
        <w:tabs>
          <w:tab w:val="left" w:pos="312"/>
        </w:tabs>
      </w:pPr>
    </w:lvl>
  </w:abstractNum>
  <w:abstractNum w:abstractNumId="1">
    <w:nsid w:val="E6DF2E21"/>
    <w:multiLevelType w:val="singleLevel"/>
    <w:tmpl w:val="E6DF2E21"/>
    <w:lvl w:ilvl="0" w:tentative="0">
      <w:start w:val="1"/>
      <w:numFmt w:val="decimal"/>
      <w:suff w:val="nothing"/>
      <w:lvlText w:val="（%1）"/>
      <w:lvlJc w:val="left"/>
    </w:lvl>
  </w:abstractNum>
  <w:abstractNum w:abstractNumId="2">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7">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3"/>
  </w:num>
  <w:num w:numId="3">
    <w:abstractNumId w:val="2"/>
  </w:num>
  <w:num w:numId="4">
    <w:abstractNumId w:val="6"/>
  </w:num>
  <w:num w:numId="5">
    <w:abstractNumId w:val="1"/>
  </w:num>
  <w:num w:numId="6">
    <w:abstractNumId w:val="7"/>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TY4ZmY1MjRkOGQ4YThhNDg4MTRjODMyNGQyMTExYTQifQ=="/>
  </w:docVars>
  <w:rsids>
    <w:rsidRoot w:val="00417C8A"/>
    <w:rsid w:val="00002EF8"/>
    <w:rsid w:val="00003B69"/>
    <w:rsid w:val="00005125"/>
    <w:rsid w:val="0000551C"/>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223C"/>
    <w:rsid w:val="00074373"/>
    <w:rsid w:val="000751F9"/>
    <w:rsid w:val="00075850"/>
    <w:rsid w:val="0007656E"/>
    <w:rsid w:val="000812D0"/>
    <w:rsid w:val="00082DC1"/>
    <w:rsid w:val="00083E93"/>
    <w:rsid w:val="00083EB1"/>
    <w:rsid w:val="00087605"/>
    <w:rsid w:val="000933A2"/>
    <w:rsid w:val="0009629C"/>
    <w:rsid w:val="00097421"/>
    <w:rsid w:val="00097868"/>
    <w:rsid w:val="000A0868"/>
    <w:rsid w:val="000A1F26"/>
    <w:rsid w:val="000A20CB"/>
    <w:rsid w:val="000A3FC5"/>
    <w:rsid w:val="000A4017"/>
    <w:rsid w:val="000A5AC0"/>
    <w:rsid w:val="000B0284"/>
    <w:rsid w:val="000B1744"/>
    <w:rsid w:val="000B1D0B"/>
    <w:rsid w:val="000B2A94"/>
    <w:rsid w:val="000B625B"/>
    <w:rsid w:val="000C0A04"/>
    <w:rsid w:val="000C14CF"/>
    <w:rsid w:val="000C1F3C"/>
    <w:rsid w:val="000C3344"/>
    <w:rsid w:val="000D0E6C"/>
    <w:rsid w:val="000D110F"/>
    <w:rsid w:val="000D122E"/>
    <w:rsid w:val="000D1267"/>
    <w:rsid w:val="000D1D59"/>
    <w:rsid w:val="000D2C0A"/>
    <w:rsid w:val="000D44C7"/>
    <w:rsid w:val="000D4D0E"/>
    <w:rsid w:val="000E1C88"/>
    <w:rsid w:val="000E21E7"/>
    <w:rsid w:val="000E3723"/>
    <w:rsid w:val="000E4A4F"/>
    <w:rsid w:val="000E5C9B"/>
    <w:rsid w:val="000E6F8C"/>
    <w:rsid w:val="000E72A0"/>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7D"/>
    <w:rsid w:val="00120D86"/>
    <w:rsid w:val="001259AD"/>
    <w:rsid w:val="00125D70"/>
    <w:rsid w:val="00126CDE"/>
    <w:rsid w:val="00132EE2"/>
    <w:rsid w:val="001345B3"/>
    <w:rsid w:val="0013527E"/>
    <w:rsid w:val="00137525"/>
    <w:rsid w:val="0014024E"/>
    <w:rsid w:val="0014242C"/>
    <w:rsid w:val="00143610"/>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1BE"/>
    <w:rsid w:val="0018376B"/>
    <w:rsid w:val="001841D9"/>
    <w:rsid w:val="00184C15"/>
    <w:rsid w:val="00185F55"/>
    <w:rsid w:val="001873DB"/>
    <w:rsid w:val="00187AB1"/>
    <w:rsid w:val="0019064E"/>
    <w:rsid w:val="00190DB7"/>
    <w:rsid w:val="00191263"/>
    <w:rsid w:val="00191BE8"/>
    <w:rsid w:val="00191EE1"/>
    <w:rsid w:val="00193494"/>
    <w:rsid w:val="00194225"/>
    <w:rsid w:val="00194583"/>
    <w:rsid w:val="001A0C24"/>
    <w:rsid w:val="001A15C0"/>
    <w:rsid w:val="001A2036"/>
    <w:rsid w:val="001A4123"/>
    <w:rsid w:val="001A4A9D"/>
    <w:rsid w:val="001A6712"/>
    <w:rsid w:val="001A7E2A"/>
    <w:rsid w:val="001B2770"/>
    <w:rsid w:val="001B485F"/>
    <w:rsid w:val="001B4C51"/>
    <w:rsid w:val="001B589D"/>
    <w:rsid w:val="001B70E5"/>
    <w:rsid w:val="001C07C7"/>
    <w:rsid w:val="001C57F3"/>
    <w:rsid w:val="001C5AA3"/>
    <w:rsid w:val="001C6042"/>
    <w:rsid w:val="001C6EC1"/>
    <w:rsid w:val="001D24BB"/>
    <w:rsid w:val="001D30DD"/>
    <w:rsid w:val="001D3CEA"/>
    <w:rsid w:val="001D6ED7"/>
    <w:rsid w:val="001D76A1"/>
    <w:rsid w:val="001E3B20"/>
    <w:rsid w:val="001E4A9F"/>
    <w:rsid w:val="001F14C4"/>
    <w:rsid w:val="001F2767"/>
    <w:rsid w:val="001F429B"/>
    <w:rsid w:val="001F43C6"/>
    <w:rsid w:val="001F4C63"/>
    <w:rsid w:val="001F661E"/>
    <w:rsid w:val="001F7E31"/>
    <w:rsid w:val="002003A4"/>
    <w:rsid w:val="00201062"/>
    <w:rsid w:val="00201099"/>
    <w:rsid w:val="0020236F"/>
    <w:rsid w:val="0020456F"/>
    <w:rsid w:val="00204DA6"/>
    <w:rsid w:val="0020567D"/>
    <w:rsid w:val="002056F9"/>
    <w:rsid w:val="002062F2"/>
    <w:rsid w:val="0020786F"/>
    <w:rsid w:val="002102AD"/>
    <w:rsid w:val="00210450"/>
    <w:rsid w:val="002105F0"/>
    <w:rsid w:val="00213AC9"/>
    <w:rsid w:val="00214C2B"/>
    <w:rsid w:val="0022062E"/>
    <w:rsid w:val="00223848"/>
    <w:rsid w:val="00223A5B"/>
    <w:rsid w:val="00224A52"/>
    <w:rsid w:val="002261D7"/>
    <w:rsid w:val="002266CD"/>
    <w:rsid w:val="0022698F"/>
    <w:rsid w:val="00230A8D"/>
    <w:rsid w:val="00231CB7"/>
    <w:rsid w:val="00233356"/>
    <w:rsid w:val="00235AC1"/>
    <w:rsid w:val="0023638E"/>
    <w:rsid w:val="00240411"/>
    <w:rsid w:val="002419D8"/>
    <w:rsid w:val="00243D9A"/>
    <w:rsid w:val="002442F3"/>
    <w:rsid w:val="00244766"/>
    <w:rsid w:val="00247AB8"/>
    <w:rsid w:val="00251888"/>
    <w:rsid w:val="00254A9C"/>
    <w:rsid w:val="002556E5"/>
    <w:rsid w:val="0025660E"/>
    <w:rsid w:val="00256A92"/>
    <w:rsid w:val="0025749B"/>
    <w:rsid w:val="002608A0"/>
    <w:rsid w:val="00260A0D"/>
    <w:rsid w:val="00260C8B"/>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F86"/>
    <w:rsid w:val="002D6849"/>
    <w:rsid w:val="002D6DC6"/>
    <w:rsid w:val="002D7C56"/>
    <w:rsid w:val="002E16EB"/>
    <w:rsid w:val="002E2C11"/>
    <w:rsid w:val="002E34F4"/>
    <w:rsid w:val="002E35C4"/>
    <w:rsid w:val="002E4DCA"/>
    <w:rsid w:val="002E6CF6"/>
    <w:rsid w:val="002E7ADA"/>
    <w:rsid w:val="002F0363"/>
    <w:rsid w:val="002F2363"/>
    <w:rsid w:val="002F34ED"/>
    <w:rsid w:val="002F3755"/>
    <w:rsid w:val="002F3F13"/>
    <w:rsid w:val="002F40C5"/>
    <w:rsid w:val="002F4354"/>
    <w:rsid w:val="002F439D"/>
    <w:rsid w:val="002F5A63"/>
    <w:rsid w:val="002F7932"/>
    <w:rsid w:val="003006C3"/>
    <w:rsid w:val="00301EC8"/>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6B92"/>
    <w:rsid w:val="0032789C"/>
    <w:rsid w:val="00327C7D"/>
    <w:rsid w:val="003302F0"/>
    <w:rsid w:val="00332DA4"/>
    <w:rsid w:val="00334D83"/>
    <w:rsid w:val="003371DD"/>
    <w:rsid w:val="003413F9"/>
    <w:rsid w:val="0034305B"/>
    <w:rsid w:val="00347CAD"/>
    <w:rsid w:val="00350E72"/>
    <w:rsid w:val="00351EEF"/>
    <w:rsid w:val="0035254A"/>
    <w:rsid w:val="003565A0"/>
    <w:rsid w:val="003618CE"/>
    <w:rsid w:val="003622A1"/>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3963"/>
    <w:rsid w:val="003A546B"/>
    <w:rsid w:val="003A74F5"/>
    <w:rsid w:val="003B1CEB"/>
    <w:rsid w:val="003B24CA"/>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77E0"/>
    <w:rsid w:val="00400057"/>
    <w:rsid w:val="00400B4D"/>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5587"/>
    <w:rsid w:val="00476C0B"/>
    <w:rsid w:val="00477EFE"/>
    <w:rsid w:val="004832BC"/>
    <w:rsid w:val="00485E04"/>
    <w:rsid w:val="00486B01"/>
    <w:rsid w:val="00487465"/>
    <w:rsid w:val="004939A7"/>
    <w:rsid w:val="00497699"/>
    <w:rsid w:val="00497DB2"/>
    <w:rsid w:val="004A0174"/>
    <w:rsid w:val="004A236E"/>
    <w:rsid w:val="004A3418"/>
    <w:rsid w:val="004A403F"/>
    <w:rsid w:val="004A51BA"/>
    <w:rsid w:val="004A5DF1"/>
    <w:rsid w:val="004A60DC"/>
    <w:rsid w:val="004A6677"/>
    <w:rsid w:val="004A7A78"/>
    <w:rsid w:val="004B0826"/>
    <w:rsid w:val="004B32F3"/>
    <w:rsid w:val="004B3B15"/>
    <w:rsid w:val="004B5136"/>
    <w:rsid w:val="004B5B9E"/>
    <w:rsid w:val="004C0238"/>
    <w:rsid w:val="004C0EE6"/>
    <w:rsid w:val="004C3EFB"/>
    <w:rsid w:val="004C40D8"/>
    <w:rsid w:val="004C5147"/>
    <w:rsid w:val="004C6D62"/>
    <w:rsid w:val="004C7CCB"/>
    <w:rsid w:val="004D017A"/>
    <w:rsid w:val="004D0304"/>
    <w:rsid w:val="004D0DB1"/>
    <w:rsid w:val="004D0EA8"/>
    <w:rsid w:val="004D103A"/>
    <w:rsid w:val="004D2D24"/>
    <w:rsid w:val="004D314A"/>
    <w:rsid w:val="004D4938"/>
    <w:rsid w:val="004D4FB4"/>
    <w:rsid w:val="004D5FE6"/>
    <w:rsid w:val="004D609E"/>
    <w:rsid w:val="004E05D9"/>
    <w:rsid w:val="004E0E2C"/>
    <w:rsid w:val="004E0EBB"/>
    <w:rsid w:val="004E1AB8"/>
    <w:rsid w:val="004E2D4B"/>
    <w:rsid w:val="004E4899"/>
    <w:rsid w:val="004E7CD7"/>
    <w:rsid w:val="004F3734"/>
    <w:rsid w:val="004F6800"/>
    <w:rsid w:val="004F69CA"/>
    <w:rsid w:val="004F6DCB"/>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E1C"/>
    <w:rsid w:val="00532937"/>
    <w:rsid w:val="005351C1"/>
    <w:rsid w:val="00536FBF"/>
    <w:rsid w:val="0054018C"/>
    <w:rsid w:val="005410BB"/>
    <w:rsid w:val="00544130"/>
    <w:rsid w:val="005459FE"/>
    <w:rsid w:val="00545F40"/>
    <w:rsid w:val="00553FE7"/>
    <w:rsid w:val="0055544C"/>
    <w:rsid w:val="00555780"/>
    <w:rsid w:val="00556840"/>
    <w:rsid w:val="00557737"/>
    <w:rsid w:val="00560264"/>
    <w:rsid w:val="0056065C"/>
    <w:rsid w:val="00565EF8"/>
    <w:rsid w:val="00566FBC"/>
    <w:rsid w:val="0057066B"/>
    <w:rsid w:val="00570DFC"/>
    <w:rsid w:val="00572BAD"/>
    <w:rsid w:val="00573677"/>
    <w:rsid w:val="005738F4"/>
    <w:rsid w:val="00573BCB"/>
    <w:rsid w:val="00576529"/>
    <w:rsid w:val="00576EFE"/>
    <w:rsid w:val="005770CA"/>
    <w:rsid w:val="005803C0"/>
    <w:rsid w:val="0058680D"/>
    <w:rsid w:val="00586C3A"/>
    <w:rsid w:val="005879E7"/>
    <w:rsid w:val="00590A70"/>
    <w:rsid w:val="00591190"/>
    <w:rsid w:val="00591584"/>
    <w:rsid w:val="00594CDD"/>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68E7"/>
    <w:rsid w:val="005E7473"/>
    <w:rsid w:val="005F3CC5"/>
    <w:rsid w:val="005F510E"/>
    <w:rsid w:val="005F5691"/>
    <w:rsid w:val="005F78A5"/>
    <w:rsid w:val="005F7959"/>
    <w:rsid w:val="006029F2"/>
    <w:rsid w:val="00604458"/>
    <w:rsid w:val="00605140"/>
    <w:rsid w:val="00606ED5"/>
    <w:rsid w:val="006070BD"/>
    <w:rsid w:val="006073C6"/>
    <w:rsid w:val="00607E60"/>
    <w:rsid w:val="006107F3"/>
    <w:rsid w:val="0061185E"/>
    <w:rsid w:val="006120C0"/>
    <w:rsid w:val="00615BAF"/>
    <w:rsid w:val="00617775"/>
    <w:rsid w:val="00622201"/>
    <w:rsid w:val="006225C8"/>
    <w:rsid w:val="006225CB"/>
    <w:rsid w:val="00624516"/>
    <w:rsid w:val="00624DC7"/>
    <w:rsid w:val="006257E9"/>
    <w:rsid w:val="00625BC2"/>
    <w:rsid w:val="0062625D"/>
    <w:rsid w:val="006264DB"/>
    <w:rsid w:val="0062727A"/>
    <w:rsid w:val="00630ADC"/>
    <w:rsid w:val="00630B74"/>
    <w:rsid w:val="00630CF7"/>
    <w:rsid w:val="0063432C"/>
    <w:rsid w:val="006351A3"/>
    <w:rsid w:val="006373FB"/>
    <w:rsid w:val="00637770"/>
    <w:rsid w:val="006378C9"/>
    <w:rsid w:val="00642276"/>
    <w:rsid w:val="00643AA9"/>
    <w:rsid w:val="00643BDC"/>
    <w:rsid w:val="0064613F"/>
    <w:rsid w:val="006465FE"/>
    <w:rsid w:val="00646E44"/>
    <w:rsid w:val="00651F43"/>
    <w:rsid w:val="006527F3"/>
    <w:rsid w:val="00664A6E"/>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36A5"/>
    <w:rsid w:val="006948E4"/>
    <w:rsid w:val="00694B34"/>
    <w:rsid w:val="00694B87"/>
    <w:rsid w:val="00694D00"/>
    <w:rsid w:val="006A1906"/>
    <w:rsid w:val="006A29B0"/>
    <w:rsid w:val="006A3D9E"/>
    <w:rsid w:val="006A4F05"/>
    <w:rsid w:val="006A69A8"/>
    <w:rsid w:val="006B183A"/>
    <w:rsid w:val="006B1A97"/>
    <w:rsid w:val="006B4F54"/>
    <w:rsid w:val="006B6B67"/>
    <w:rsid w:val="006C002F"/>
    <w:rsid w:val="006C02F5"/>
    <w:rsid w:val="006C5FEF"/>
    <w:rsid w:val="006C6E94"/>
    <w:rsid w:val="006C7EB3"/>
    <w:rsid w:val="006D18BA"/>
    <w:rsid w:val="006D5227"/>
    <w:rsid w:val="006D629D"/>
    <w:rsid w:val="006E51D3"/>
    <w:rsid w:val="006E64A5"/>
    <w:rsid w:val="006E6C77"/>
    <w:rsid w:val="006E772C"/>
    <w:rsid w:val="006E797A"/>
    <w:rsid w:val="006F0A0C"/>
    <w:rsid w:val="006F1D8D"/>
    <w:rsid w:val="006F2510"/>
    <w:rsid w:val="006F3A0F"/>
    <w:rsid w:val="007014C0"/>
    <w:rsid w:val="00702458"/>
    <w:rsid w:val="007047D8"/>
    <w:rsid w:val="00707395"/>
    <w:rsid w:val="007122EB"/>
    <w:rsid w:val="00715B09"/>
    <w:rsid w:val="00721BF4"/>
    <w:rsid w:val="007266EE"/>
    <w:rsid w:val="00726979"/>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DDD"/>
    <w:rsid w:val="00752F32"/>
    <w:rsid w:val="0075304B"/>
    <w:rsid w:val="00757BAC"/>
    <w:rsid w:val="0076108E"/>
    <w:rsid w:val="00762B5C"/>
    <w:rsid w:val="007715B9"/>
    <w:rsid w:val="00771654"/>
    <w:rsid w:val="00772AC2"/>
    <w:rsid w:val="00773A2C"/>
    <w:rsid w:val="00775269"/>
    <w:rsid w:val="0077608C"/>
    <w:rsid w:val="0077707C"/>
    <w:rsid w:val="007774FA"/>
    <w:rsid w:val="00777C1A"/>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506A"/>
    <w:rsid w:val="007D7005"/>
    <w:rsid w:val="007E3068"/>
    <w:rsid w:val="007E6C18"/>
    <w:rsid w:val="007E765C"/>
    <w:rsid w:val="007E7EB2"/>
    <w:rsid w:val="007F0029"/>
    <w:rsid w:val="007F0976"/>
    <w:rsid w:val="007F168D"/>
    <w:rsid w:val="007F1749"/>
    <w:rsid w:val="007F3580"/>
    <w:rsid w:val="007F5965"/>
    <w:rsid w:val="007F5CEC"/>
    <w:rsid w:val="007F5E7F"/>
    <w:rsid w:val="007F6983"/>
    <w:rsid w:val="00800AE2"/>
    <w:rsid w:val="00802471"/>
    <w:rsid w:val="008030DC"/>
    <w:rsid w:val="0080418D"/>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B85"/>
    <w:rsid w:val="00890B37"/>
    <w:rsid w:val="00890DCD"/>
    <w:rsid w:val="008957C4"/>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764A"/>
    <w:rsid w:val="008D18D9"/>
    <w:rsid w:val="008D4456"/>
    <w:rsid w:val="008D4AB1"/>
    <w:rsid w:val="008D7471"/>
    <w:rsid w:val="008D7B31"/>
    <w:rsid w:val="008E19EE"/>
    <w:rsid w:val="008E1A0D"/>
    <w:rsid w:val="008E316D"/>
    <w:rsid w:val="008E4B80"/>
    <w:rsid w:val="008E6364"/>
    <w:rsid w:val="008F03D5"/>
    <w:rsid w:val="008F07DF"/>
    <w:rsid w:val="008F1A2E"/>
    <w:rsid w:val="00900D76"/>
    <w:rsid w:val="0090286C"/>
    <w:rsid w:val="0090287D"/>
    <w:rsid w:val="009048AE"/>
    <w:rsid w:val="00906681"/>
    <w:rsid w:val="00907BAD"/>
    <w:rsid w:val="00910AEC"/>
    <w:rsid w:val="00910FF4"/>
    <w:rsid w:val="00911FE1"/>
    <w:rsid w:val="00912BD2"/>
    <w:rsid w:val="009175CE"/>
    <w:rsid w:val="0092030F"/>
    <w:rsid w:val="009215A1"/>
    <w:rsid w:val="00921A52"/>
    <w:rsid w:val="009250EF"/>
    <w:rsid w:val="00926541"/>
    <w:rsid w:val="009271D3"/>
    <w:rsid w:val="00927477"/>
    <w:rsid w:val="009309E4"/>
    <w:rsid w:val="00931B9D"/>
    <w:rsid w:val="00933465"/>
    <w:rsid w:val="00933FD9"/>
    <w:rsid w:val="00934ED5"/>
    <w:rsid w:val="0093527E"/>
    <w:rsid w:val="00935678"/>
    <w:rsid w:val="00935C1D"/>
    <w:rsid w:val="00936104"/>
    <w:rsid w:val="00936426"/>
    <w:rsid w:val="00936632"/>
    <w:rsid w:val="009379E5"/>
    <w:rsid w:val="00940FA0"/>
    <w:rsid w:val="009415ED"/>
    <w:rsid w:val="00944F1A"/>
    <w:rsid w:val="00945A29"/>
    <w:rsid w:val="00947BAD"/>
    <w:rsid w:val="00947FE6"/>
    <w:rsid w:val="00951C8F"/>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0BCC"/>
    <w:rsid w:val="009924D5"/>
    <w:rsid w:val="009931AC"/>
    <w:rsid w:val="00993E50"/>
    <w:rsid w:val="00995623"/>
    <w:rsid w:val="0099775A"/>
    <w:rsid w:val="00997ACE"/>
    <w:rsid w:val="009A2940"/>
    <w:rsid w:val="009A373E"/>
    <w:rsid w:val="009A5E9D"/>
    <w:rsid w:val="009A728E"/>
    <w:rsid w:val="009A74ED"/>
    <w:rsid w:val="009B0779"/>
    <w:rsid w:val="009B206E"/>
    <w:rsid w:val="009B24E0"/>
    <w:rsid w:val="009B55F5"/>
    <w:rsid w:val="009B7B41"/>
    <w:rsid w:val="009C17E3"/>
    <w:rsid w:val="009C221E"/>
    <w:rsid w:val="009C3B05"/>
    <w:rsid w:val="009C473A"/>
    <w:rsid w:val="009C4D5D"/>
    <w:rsid w:val="009C4F71"/>
    <w:rsid w:val="009C6549"/>
    <w:rsid w:val="009C725B"/>
    <w:rsid w:val="009C76D3"/>
    <w:rsid w:val="009C7772"/>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6F4C"/>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679CE"/>
    <w:rsid w:val="00A7154B"/>
    <w:rsid w:val="00A72C8F"/>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B"/>
    <w:rsid w:val="00AA5594"/>
    <w:rsid w:val="00AA7A18"/>
    <w:rsid w:val="00AB01E4"/>
    <w:rsid w:val="00AB1582"/>
    <w:rsid w:val="00AB29D3"/>
    <w:rsid w:val="00AB39F3"/>
    <w:rsid w:val="00AB44CD"/>
    <w:rsid w:val="00AB454D"/>
    <w:rsid w:val="00AC1694"/>
    <w:rsid w:val="00AC2B19"/>
    <w:rsid w:val="00AC3A1C"/>
    <w:rsid w:val="00AC3D35"/>
    <w:rsid w:val="00AC4A89"/>
    <w:rsid w:val="00AC6CEC"/>
    <w:rsid w:val="00AC7411"/>
    <w:rsid w:val="00AD0DBF"/>
    <w:rsid w:val="00AD6ACB"/>
    <w:rsid w:val="00AE1B40"/>
    <w:rsid w:val="00AE2ED6"/>
    <w:rsid w:val="00AE58BF"/>
    <w:rsid w:val="00AF039F"/>
    <w:rsid w:val="00AF199C"/>
    <w:rsid w:val="00AF4A99"/>
    <w:rsid w:val="00AF6325"/>
    <w:rsid w:val="00AF7A6A"/>
    <w:rsid w:val="00B00F7A"/>
    <w:rsid w:val="00B012D5"/>
    <w:rsid w:val="00B0332B"/>
    <w:rsid w:val="00B077EB"/>
    <w:rsid w:val="00B11F7D"/>
    <w:rsid w:val="00B1230F"/>
    <w:rsid w:val="00B127DA"/>
    <w:rsid w:val="00B12ECD"/>
    <w:rsid w:val="00B14C0B"/>
    <w:rsid w:val="00B16105"/>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3166"/>
    <w:rsid w:val="00B55791"/>
    <w:rsid w:val="00B57F66"/>
    <w:rsid w:val="00B62584"/>
    <w:rsid w:val="00B63318"/>
    <w:rsid w:val="00B665B5"/>
    <w:rsid w:val="00B66DC1"/>
    <w:rsid w:val="00B67101"/>
    <w:rsid w:val="00B676FE"/>
    <w:rsid w:val="00B73A67"/>
    <w:rsid w:val="00B8043F"/>
    <w:rsid w:val="00B8308E"/>
    <w:rsid w:val="00B847F1"/>
    <w:rsid w:val="00B85012"/>
    <w:rsid w:val="00B91124"/>
    <w:rsid w:val="00B9180C"/>
    <w:rsid w:val="00B9298C"/>
    <w:rsid w:val="00B929F6"/>
    <w:rsid w:val="00B94480"/>
    <w:rsid w:val="00B970E4"/>
    <w:rsid w:val="00B97B7B"/>
    <w:rsid w:val="00B97BD6"/>
    <w:rsid w:val="00BA18A9"/>
    <w:rsid w:val="00BA2C2D"/>
    <w:rsid w:val="00BA4F14"/>
    <w:rsid w:val="00BB14F8"/>
    <w:rsid w:val="00BB1D3E"/>
    <w:rsid w:val="00BB20A2"/>
    <w:rsid w:val="00BB5269"/>
    <w:rsid w:val="00BC02D7"/>
    <w:rsid w:val="00BC058F"/>
    <w:rsid w:val="00BC2137"/>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4DCA"/>
    <w:rsid w:val="00C2561D"/>
    <w:rsid w:val="00C300F2"/>
    <w:rsid w:val="00C31EB2"/>
    <w:rsid w:val="00C320DF"/>
    <w:rsid w:val="00C329C3"/>
    <w:rsid w:val="00C34C64"/>
    <w:rsid w:val="00C35B77"/>
    <w:rsid w:val="00C35D54"/>
    <w:rsid w:val="00C408A4"/>
    <w:rsid w:val="00C4126C"/>
    <w:rsid w:val="00C42C0C"/>
    <w:rsid w:val="00C42C40"/>
    <w:rsid w:val="00C55889"/>
    <w:rsid w:val="00C55E95"/>
    <w:rsid w:val="00C62563"/>
    <w:rsid w:val="00C6395F"/>
    <w:rsid w:val="00C649BC"/>
    <w:rsid w:val="00C66128"/>
    <w:rsid w:val="00C66BD5"/>
    <w:rsid w:val="00C66EE6"/>
    <w:rsid w:val="00C66FCB"/>
    <w:rsid w:val="00C670AB"/>
    <w:rsid w:val="00C71D3E"/>
    <w:rsid w:val="00C721C3"/>
    <w:rsid w:val="00C826A0"/>
    <w:rsid w:val="00C83068"/>
    <w:rsid w:val="00C83429"/>
    <w:rsid w:val="00C8410F"/>
    <w:rsid w:val="00C85A01"/>
    <w:rsid w:val="00C8637A"/>
    <w:rsid w:val="00C870A4"/>
    <w:rsid w:val="00C87C97"/>
    <w:rsid w:val="00C90ECA"/>
    <w:rsid w:val="00C93022"/>
    <w:rsid w:val="00C946D2"/>
    <w:rsid w:val="00C951D0"/>
    <w:rsid w:val="00CA1AE5"/>
    <w:rsid w:val="00CA4195"/>
    <w:rsid w:val="00CA45AE"/>
    <w:rsid w:val="00CA4BF7"/>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D7A05"/>
    <w:rsid w:val="00CE2BA4"/>
    <w:rsid w:val="00CE3AD7"/>
    <w:rsid w:val="00CE40C5"/>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3632C"/>
    <w:rsid w:val="00D402F9"/>
    <w:rsid w:val="00D414C5"/>
    <w:rsid w:val="00D434C3"/>
    <w:rsid w:val="00D44839"/>
    <w:rsid w:val="00D47043"/>
    <w:rsid w:val="00D47915"/>
    <w:rsid w:val="00D5093A"/>
    <w:rsid w:val="00D51479"/>
    <w:rsid w:val="00D55FFA"/>
    <w:rsid w:val="00D625F8"/>
    <w:rsid w:val="00D63D29"/>
    <w:rsid w:val="00D649AA"/>
    <w:rsid w:val="00D703B8"/>
    <w:rsid w:val="00D73693"/>
    <w:rsid w:val="00D74A49"/>
    <w:rsid w:val="00D74BEC"/>
    <w:rsid w:val="00D75A07"/>
    <w:rsid w:val="00D80A4D"/>
    <w:rsid w:val="00D828EB"/>
    <w:rsid w:val="00D83294"/>
    <w:rsid w:val="00D832F2"/>
    <w:rsid w:val="00D83A4D"/>
    <w:rsid w:val="00D840D8"/>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63C"/>
    <w:rsid w:val="00DC10A7"/>
    <w:rsid w:val="00DC168D"/>
    <w:rsid w:val="00DC33B6"/>
    <w:rsid w:val="00DC63F9"/>
    <w:rsid w:val="00DD29D3"/>
    <w:rsid w:val="00DD4B24"/>
    <w:rsid w:val="00DD5651"/>
    <w:rsid w:val="00DD6196"/>
    <w:rsid w:val="00DE0E2E"/>
    <w:rsid w:val="00DE12F4"/>
    <w:rsid w:val="00DE166D"/>
    <w:rsid w:val="00DE1DFC"/>
    <w:rsid w:val="00DE208C"/>
    <w:rsid w:val="00DE53B2"/>
    <w:rsid w:val="00DE6B52"/>
    <w:rsid w:val="00DF13FF"/>
    <w:rsid w:val="00DF1553"/>
    <w:rsid w:val="00DF3FB1"/>
    <w:rsid w:val="00DF4624"/>
    <w:rsid w:val="00DF46D3"/>
    <w:rsid w:val="00DF4743"/>
    <w:rsid w:val="00DF7B2B"/>
    <w:rsid w:val="00E01909"/>
    <w:rsid w:val="00E04FDF"/>
    <w:rsid w:val="00E05A53"/>
    <w:rsid w:val="00E05F15"/>
    <w:rsid w:val="00E07D2B"/>
    <w:rsid w:val="00E10531"/>
    <w:rsid w:val="00E10877"/>
    <w:rsid w:val="00E10F29"/>
    <w:rsid w:val="00E1304F"/>
    <w:rsid w:val="00E13BC1"/>
    <w:rsid w:val="00E1419F"/>
    <w:rsid w:val="00E17315"/>
    <w:rsid w:val="00E17D79"/>
    <w:rsid w:val="00E20872"/>
    <w:rsid w:val="00E20A02"/>
    <w:rsid w:val="00E238C5"/>
    <w:rsid w:val="00E23C2A"/>
    <w:rsid w:val="00E25A1D"/>
    <w:rsid w:val="00E261C5"/>
    <w:rsid w:val="00E34C20"/>
    <w:rsid w:val="00E35D90"/>
    <w:rsid w:val="00E3742A"/>
    <w:rsid w:val="00E40639"/>
    <w:rsid w:val="00E4159A"/>
    <w:rsid w:val="00E42DE4"/>
    <w:rsid w:val="00E43747"/>
    <w:rsid w:val="00E45EE2"/>
    <w:rsid w:val="00E46623"/>
    <w:rsid w:val="00E46934"/>
    <w:rsid w:val="00E51C1B"/>
    <w:rsid w:val="00E52E4C"/>
    <w:rsid w:val="00E53F46"/>
    <w:rsid w:val="00E54E70"/>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706"/>
    <w:rsid w:val="00EC287E"/>
    <w:rsid w:val="00EC3182"/>
    <w:rsid w:val="00EC35BE"/>
    <w:rsid w:val="00EC3F23"/>
    <w:rsid w:val="00EC57BD"/>
    <w:rsid w:val="00EC74CE"/>
    <w:rsid w:val="00EC7697"/>
    <w:rsid w:val="00EC77D6"/>
    <w:rsid w:val="00EC7AA0"/>
    <w:rsid w:val="00ED1F25"/>
    <w:rsid w:val="00ED23E5"/>
    <w:rsid w:val="00ED3A71"/>
    <w:rsid w:val="00ED3E2A"/>
    <w:rsid w:val="00ED758C"/>
    <w:rsid w:val="00EE06ED"/>
    <w:rsid w:val="00EE232E"/>
    <w:rsid w:val="00EE4212"/>
    <w:rsid w:val="00EE54FE"/>
    <w:rsid w:val="00EE55D8"/>
    <w:rsid w:val="00EE5E15"/>
    <w:rsid w:val="00EF1A94"/>
    <w:rsid w:val="00EF20FA"/>
    <w:rsid w:val="00EF52D6"/>
    <w:rsid w:val="00EF7E5B"/>
    <w:rsid w:val="00F00B43"/>
    <w:rsid w:val="00F0162F"/>
    <w:rsid w:val="00F01C96"/>
    <w:rsid w:val="00F0661F"/>
    <w:rsid w:val="00F12CBB"/>
    <w:rsid w:val="00F1355C"/>
    <w:rsid w:val="00F17C55"/>
    <w:rsid w:val="00F226E8"/>
    <w:rsid w:val="00F2566F"/>
    <w:rsid w:val="00F27512"/>
    <w:rsid w:val="00F30E51"/>
    <w:rsid w:val="00F31980"/>
    <w:rsid w:val="00F31AD0"/>
    <w:rsid w:val="00F32415"/>
    <w:rsid w:val="00F33527"/>
    <w:rsid w:val="00F3506F"/>
    <w:rsid w:val="00F35DF7"/>
    <w:rsid w:val="00F37F36"/>
    <w:rsid w:val="00F41632"/>
    <w:rsid w:val="00F42267"/>
    <w:rsid w:val="00F454C9"/>
    <w:rsid w:val="00F47D18"/>
    <w:rsid w:val="00F502E8"/>
    <w:rsid w:val="00F51AF2"/>
    <w:rsid w:val="00F5295B"/>
    <w:rsid w:val="00F55C7F"/>
    <w:rsid w:val="00F564F6"/>
    <w:rsid w:val="00F56AD8"/>
    <w:rsid w:val="00F57CCC"/>
    <w:rsid w:val="00F60898"/>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DA7"/>
    <w:rsid w:val="00F90A9D"/>
    <w:rsid w:val="00F92229"/>
    <w:rsid w:val="00F942DD"/>
    <w:rsid w:val="00F94983"/>
    <w:rsid w:val="00F95111"/>
    <w:rsid w:val="00F96D28"/>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6F4B"/>
    <w:rsid w:val="00FC7905"/>
    <w:rsid w:val="00FD0273"/>
    <w:rsid w:val="00FE5E89"/>
    <w:rsid w:val="00FE7260"/>
    <w:rsid w:val="00FF0866"/>
    <w:rsid w:val="00FF0CA9"/>
    <w:rsid w:val="00FF5093"/>
    <w:rsid w:val="00FF724C"/>
    <w:rsid w:val="00FF7BD2"/>
    <w:rsid w:val="02C60932"/>
    <w:rsid w:val="05813D65"/>
    <w:rsid w:val="0ACD44E9"/>
    <w:rsid w:val="0ACD7EC9"/>
    <w:rsid w:val="0B3C50EF"/>
    <w:rsid w:val="0E0E112E"/>
    <w:rsid w:val="0F1178CF"/>
    <w:rsid w:val="12603573"/>
    <w:rsid w:val="13F9015A"/>
    <w:rsid w:val="16F77086"/>
    <w:rsid w:val="18F2289A"/>
    <w:rsid w:val="1AFA5FE3"/>
    <w:rsid w:val="2173409A"/>
    <w:rsid w:val="223F1E0A"/>
    <w:rsid w:val="22D80DD0"/>
    <w:rsid w:val="254D2600"/>
    <w:rsid w:val="264C528B"/>
    <w:rsid w:val="28EF2F82"/>
    <w:rsid w:val="296C12D3"/>
    <w:rsid w:val="2A20567B"/>
    <w:rsid w:val="2B3317E4"/>
    <w:rsid w:val="2B622B3B"/>
    <w:rsid w:val="301E3501"/>
    <w:rsid w:val="319E48F7"/>
    <w:rsid w:val="31DE6420"/>
    <w:rsid w:val="32A01FA9"/>
    <w:rsid w:val="3BC545DD"/>
    <w:rsid w:val="3C2F2FC1"/>
    <w:rsid w:val="3C362711"/>
    <w:rsid w:val="3DE44FC0"/>
    <w:rsid w:val="3F5E7F8B"/>
    <w:rsid w:val="419F75DE"/>
    <w:rsid w:val="42B32783"/>
    <w:rsid w:val="450841FF"/>
    <w:rsid w:val="492F45FF"/>
    <w:rsid w:val="4E1371D9"/>
    <w:rsid w:val="4E7B2DBE"/>
    <w:rsid w:val="4F8C6D02"/>
    <w:rsid w:val="51167171"/>
    <w:rsid w:val="518B4468"/>
    <w:rsid w:val="53144E24"/>
    <w:rsid w:val="5473458B"/>
    <w:rsid w:val="55554FBF"/>
    <w:rsid w:val="56757FFD"/>
    <w:rsid w:val="58E07CBD"/>
    <w:rsid w:val="591B7F67"/>
    <w:rsid w:val="5B5B0E05"/>
    <w:rsid w:val="5E5C74D0"/>
    <w:rsid w:val="65C74066"/>
    <w:rsid w:val="675C28EE"/>
    <w:rsid w:val="6A4315AF"/>
    <w:rsid w:val="6BA8139A"/>
    <w:rsid w:val="6D5D0BE7"/>
    <w:rsid w:val="6DD21165"/>
    <w:rsid w:val="6DEE1E4B"/>
    <w:rsid w:val="7174175A"/>
    <w:rsid w:val="72E87C49"/>
    <w:rsid w:val="75D84252"/>
    <w:rsid w:val="76AA6625"/>
    <w:rsid w:val="780815A9"/>
    <w:rsid w:val="795517F5"/>
    <w:rsid w:val="7B4C3111"/>
    <w:rsid w:val="7CFE3190"/>
    <w:rsid w:val="7D176F83"/>
    <w:rsid w:val="7DFBB8BB"/>
    <w:rsid w:val="7FAC63F5"/>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99"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99"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3"/>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2"/>
    <w:link w:val="5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2"/>
    <w:link w:val="57"/>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2"/>
    <w:link w:val="5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2"/>
    <w:link w:val="59"/>
    <w:qFormat/>
    <w:uiPriority w:val="0"/>
    <w:pPr>
      <w:keepNext/>
      <w:widowControl/>
      <w:numPr>
        <w:ilvl w:val="0"/>
        <w:numId w:val="4"/>
      </w:numPr>
      <w:jc w:val="left"/>
      <w:outlineLvl w:val="4"/>
    </w:pPr>
    <w:rPr>
      <w:kern w:val="0"/>
      <w:sz w:val="24"/>
      <w:szCs w:val="20"/>
    </w:rPr>
  </w:style>
  <w:style w:type="paragraph" w:styleId="8">
    <w:name w:val="heading 6"/>
    <w:basedOn w:val="1"/>
    <w:next w:val="1"/>
    <w:link w:val="60"/>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6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6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link w:val="54"/>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link w:val="281"/>
    <w:qFormat/>
    <w:uiPriority w:val="0"/>
    <w:pPr>
      <w:spacing w:line="360" w:lineRule="auto"/>
      <w:jc w:val="center"/>
    </w:pPr>
    <w:rPr>
      <w:rFonts w:ascii="Calibri" w:hAnsi="Calibri"/>
      <w:sz w:val="20"/>
      <w:szCs w:val="20"/>
    </w:rPr>
  </w:style>
  <w:style w:type="paragraph" w:styleId="15">
    <w:name w:val="Document Map"/>
    <w:basedOn w:val="1"/>
    <w:link w:val="120"/>
    <w:semiHidden/>
    <w:qFormat/>
    <w:uiPriority w:val="0"/>
    <w:pPr>
      <w:shd w:val="clear" w:color="auto" w:fill="000080"/>
    </w:pPr>
  </w:style>
  <w:style w:type="paragraph" w:styleId="16">
    <w:name w:val="annotation text"/>
    <w:basedOn w:val="1"/>
    <w:link w:val="72"/>
    <w:qFormat/>
    <w:uiPriority w:val="99"/>
    <w:pPr>
      <w:jc w:val="left"/>
    </w:pPr>
  </w:style>
  <w:style w:type="paragraph" w:styleId="17">
    <w:name w:val="Body Text"/>
    <w:basedOn w:val="1"/>
    <w:next w:val="1"/>
    <w:link w:val="85"/>
    <w:qFormat/>
    <w:uiPriority w:val="0"/>
    <w:pPr>
      <w:spacing w:line="360" w:lineRule="auto"/>
    </w:pPr>
    <w:rPr>
      <w:rFonts w:eastAsia="仿宋_GB2312"/>
      <w:sz w:val="28"/>
    </w:rPr>
  </w:style>
  <w:style w:type="paragraph" w:styleId="18">
    <w:name w:val="Body Text Indent"/>
    <w:basedOn w:val="1"/>
    <w:link w:val="66"/>
    <w:qFormat/>
    <w:uiPriority w:val="99"/>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List 2"/>
    <w:basedOn w:val="1"/>
    <w:qFormat/>
    <w:uiPriority w:val="0"/>
    <w:pPr>
      <w:ind w:left="100" w:leftChars="200" w:hanging="200" w:hangingChars="200"/>
    </w:pPr>
    <w:rPr>
      <w:rFonts w:ascii="等线" w:hAnsi="等线" w:eastAsia="宋体-简"/>
      <w:sz w:val="24"/>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index 4"/>
    <w:basedOn w:val="1"/>
    <w:next w:val="1"/>
    <w:unhideWhenUsed/>
    <w:qFormat/>
    <w:uiPriority w:val="99"/>
    <w:pPr>
      <w:ind w:left="600" w:leftChars="600"/>
    </w:p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next w:val="1"/>
    <w:link w:val="64"/>
    <w:qFormat/>
    <w:uiPriority w:val="0"/>
    <w:rPr>
      <w:rFonts w:ascii="宋体" w:hAnsi="Courier New"/>
      <w:szCs w:val="20"/>
    </w:rPr>
  </w:style>
  <w:style w:type="paragraph" w:styleId="25">
    <w:name w:val="Date"/>
    <w:basedOn w:val="1"/>
    <w:next w:val="1"/>
    <w:link w:val="67"/>
    <w:qFormat/>
    <w:uiPriority w:val="0"/>
    <w:rPr>
      <w:rFonts w:ascii="楷体_GB2312" w:eastAsia="楷体_GB2312"/>
      <w:b/>
      <w:sz w:val="28"/>
      <w:szCs w:val="20"/>
    </w:rPr>
  </w:style>
  <w:style w:type="paragraph" w:styleId="26">
    <w:name w:val="Body Text Indent 2"/>
    <w:basedOn w:val="1"/>
    <w:link w:val="81"/>
    <w:qFormat/>
    <w:uiPriority w:val="0"/>
    <w:pPr>
      <w:spacing w:after="120" w:line="480" w:lineRule="auto"/>
      <w:ind w:left="420" w:leftChars="200"/>
    </w:pPr>
  </w:style>
  <w:style w:type="paragraph" w:styleId="27">
    <w:name w:val="Balloon Text"/>
    <w:basedOn w:val="1"/>
    <w:link w:val="199"/>
    <w:qFormat/>
    <w:uiPriority w:val="0"/>
    <w:rPr>
      <w:sz w:val="18"/>
      <w:szCs w:val="18"/>
    </w:rPr>
  </w:style>
  <w:style w:type="paragraph" w:styleId="28">
    <w:name w:val="footer"/>
    <w:basedOn w:val="1"/>
    <w:link w:val="69"/>
    <w:qFormat/>
    <w:uiPriority w:val="99"/>
    <w:pPr>
      <w:tabs>
        <w:tab w:val="center" w:pos="4153"/>
        <w:tab w:val="right" w:pos="8306"/>
      </w:tabs>
      <w:snapToGrid w:val="0"/>
      <w:jc w:val="left"/>
    </w:pPr>
    <w:rPr>
      <w:sz w:val="18"/>
      <w:szCs w:val="18"/>
    </w:rPr>
  </w:style>
  <w:style w:type="paragraph" w:styleId="29">
    <w:name w:val="header"/>
    <w:basedOn w:val="1"/>
    <w:link w:val="68"/>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Body Text Indent 3"/>
    <w:basedOn w:val="1"/>
    <w:link w:val="200"/>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3"/>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20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175"/>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6"/>
    <w:next w:val="16"/>
    <w:link w:val="202"/>
    <w:qFormat/>
    <w:uiPriority w:val="0"/>
    <w:pPr>
      <w:widowControl/>
      <w:spacing w:afterLines="50"/>
    </w:pPr>
    <w:rPr>
      <w:b/>
      <w:bCs/>
      <w:kern w:val="0"/>
      <w:sz w:val="24"/>
      <w:szCs w:val="20"/>
    </w:rPr>
  </w:style>
  <w:style w:type="paragraph" w:styleId="41">
    <w:name w:val="Body Text First Indent"/>
    <w:basedOn w:val="17"/>
    <w:link w:val="203"/>
    <w:qFormat/>
    <w:uiPriority w:val="0"/>
    <w:pPr>
      <w:spacing w:after="120" w:line="240" w:lineRule="auto"/>
      <w:ind w:firstLine="420" w:firstLineChars="100"/>
    </w:pPr>
    <w:rPr>
      <w:rFonts w:eastAsia="宋体"/>
      <w:sz w:val="21"/>
    </w:rPr>
  </w:style>
  <w:style w:type="paragraph" w:styleId="42">
    <w:name w:val="Body Text First Indent 2"/>
    <w:basedOn w:val="18"/>
    <w:link w:val="204"/>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0"/>
    <w:rPr>
      <w:sz w:val="21"/>
      <w:szCs w:val="21"/>
    </w:rPr>
  </w:style>
  <w:style w:type="paragraph" w:customStyle="1" w:styleId="52">
    <w:name w:val="首行缩进"/>
    <w:basedOn w:val="1"/>
    <w:qFormat/>
    <w:uiPriority w:val="99"/>
    <w:pPr>
      <w:spacing w:line="360" w:lineRule="auto"/>
      <w:ind w:firstLine="480" w:firstLineChars="200"/>
    </w:pPr>
    <w:rPr>
      <w:sz w:val="24"/>
      <w:szCs w:val="22"/>
      <w:lang w:val="zh-CN"/>
    </w:rPr>
  </w:style>
  <w:style w:type="character" w:customStyle="1" w:styleId="53">
    <w:name w:val="标题 1 字符"/>
    <w:link w:val="3"/>
    <w:qFormat/>
    <w:uiPriority w:val="0"/>
    <w:rPr>
      <w:rFonts w:eastAsia="仿宋_GB2312"/>
      <w:b/>
      <w:kern w:val="44"/>
      <w:sz w:val="44"/>
      <w:lang w:val="en-US" w:eastAsia="zh-CN" w:bidi="ar-SA"/>
    </w:rPr>
  </w:style>
  <w:style w:type="character" w:customStyle="1" w:styleId="54">
    <w:name w:val="正文缩进 字符"/>
    <w:link w:val="2"/>
    <w:qFormat/>
    <w:uiPriority w:val="0"/>
    <w:rPr>
      <w:rFonts w:eastAsia="宋体"/>
      <w:kern w:val="2"/>
      <w:sz w:val="21"/>
      <w:szCs w:val="24"/>
      <w:lang w:val="en-US" w:eastAsia="zh-CN" w:bidi="ar-SA"/>
    </w:rPr>
  </w:style>
  <w:style w:type="paragraph" w:customStyle="1" w:styleId="55">
    <w:name w:val="_Style 15"/>
    <w:basedOn w:val="1"/>
    <w:qFormat/>
    <w:uiPriority w:val="0"/>
    <w:rPr>
      <w:rFonts w:ascii="Tahoma" w:hAnsi="Tahoma"/>
      <w:sz w:val="24"/>
      <w:szCs w:val="20"/>
    </w:rPr>
  </w:style>
  <w:style w:type="character" w:customStyle="1" w:styleId="56">
    <w:name w:val="标题 2 字符"/>
    <w:link w:val="4"/>
    <w:qFormat/>
    <w:uiPriority w:val="0"/>
    <w:rPr>
      <w:rFonts w:ascii="Arial" w:hAnsi="Arial" w:eastAsia="黑体"/>
      <w:b/>
      <w:kern w:val="2"/>
      <w:sz w:val="32"/>
      <w:lang w:val="en-US" w:eastAsia="zh-CN" w:bidi="ar-SA"/>
    </w:rPr>
  </w:style>
  <w:style w:type="character" w:customStyle="1" w:styleId="57">
    <w:name w:val="标题 3 字符"/>
    <w:link w:val="5"/>
    <w:qFormat/>
    <w:uiPriority w:val="0"/>
    <w:rPr>
      <w:rFonts w:eastAsia="仿宋_GB2312"/>
      <w:b/>
      <w:kern w:val="2"/>
      <w:sz w:val="32"/>
      <w:lang w:val="en-US" w:eastAsia="zh-CN" w:bidi="ar-SA"/>
    </w:rPr>
  </w:style>
  <w:style w:type="character" w:customStyle="1" w:styleId="58">
    <w:name w:val="标题 4 字符"/>
    <w:link w:val="6"/>
    <w:qFormat/>
    <w:uiPriority w:val="0"/>
    <w:rPr>
      <w:rFonts w:ascii="Arial" w:hAnsi="Arial" w:eastAsia="黑体"/>
      <w:b/>
      <w:kern w:val="2"/>
      <w:sz w:val="28"/>
      <w:lang w:val="en-US" w:eastAsia="zh-CN" w:bidi="ar-SA"/>
    </w:rPr>
  </w:style>
  <w:style w:type="character" w:customStyle="1" w:styleId="59">
    <w:name w:val="标题 5 字符"/>
    <w:link w:val="7"/>
    <w:qFormat/>
    <w:uiPriority w:val="0"/>
    <w:rPr>
      <w:rFonts w:eastAsia="宋体"/>
      <w:sz w:val="24"/>
      <w:lang w:val="en-US" w:eastAsia="zh-CN" w:bidi="ar-SA"/>
    </w:rPr>
  </w:style>
  <w:style w:type="character" w:customStyle="1" w:styleId="60">
    <w:name w:val="标题 6 字符"/>
    <w:link w:val="8"/>
    <w:qFormat/>
    <w:uiPriority w:val="0"/>
    <w:rPr>
      <w:rFonts w:ascii="宋体" w:hAnsi="Arial" w:eastAsia="宋体"/>
      <w:sz w:val="24"/>
      <w:lang w:val="en-US" w:eastAsia="zh-CN" w:bidi="ar-SA"/>
    </w:rPr>
  </w:style>
  <w:style w:type="character" w:customStyle="1" w:styleId="61">
    <w:name w:val="标题 7 字符"/>
    <w:link w:val="9"/>
    <w:qFormat/>
    <w:uiPriority w:val="0"/>
    <w:rPr>
      <w:rFonts w:ascii="宋体" w:hAnsi="Arial" w:eastAsia="宋体"/>
      <w:b/>
      <w:sz w:val="24"/>
      <w:lang w:val="en-US" w:eastAsia="zh-CN" w:bidi="ar-SA"/>
    </w:rPr>
  </w:style>
  <w:style w:type="character" w:customStyle="1" w:styleId="62">
    <w:name w:val="标题 8 字符"/>
    <w:link w:val="10"/>
    <w:qFormat/>
    <w:uiPriority w:val="0"/>
    <w:rPr>
      <w:rFonts w:ascii="Arial" w:hAnsi="Arial" w:eastAsia="黑体"/>
      <w:sz w:val="24"/>
      <w:lang w:val="en-US" w:eastAsia="zh-CN" w:bidi="ar-SA"/>
    </w:rPr>
  </w:style>
  <w:style w:type="character" w:customStyle="1" w:styleId="63">
    <w:name w:val="标题 9 字符"/>
    <w:link w:val="11"/>
    <w:qFormat/>
    <w:uiPriority w:val="0"/>
    <w:rPr>
      <w:rFonts w:ascii="Arial" w:hAnsi="Arial" w:eastAsia="黑体"/>
      <w:sz w:val="24"/>
      <w:lang w:val="en-US" w:eastAsia="zh-CN" w:bidi="ar-SA"/>
    </w:rPr>
  </w:style>
  <w:style w:type="character" w:customStyle="1" w:styleId="64">
    <w:name w:val="纯文本 字符"/>
    <w:link w:val="24"/>
    <w:qFormat/>
    <w:uiPriority w:val="0"/>
    <w:rPr>
      <w:rFonts w:ascii="宋体" w:hAnsi="Courier New" w:eastAsia="宋体"/>
      <w:kern w:val="2"/>
      <w:sz w:val="21"/>
      <w:lang w:val="en-US" w:eastAsia="zh-CN" w:bidi="ar-SA"/>
    </w:rPr>
  </w:style>
  <w:style w:type="paragraph" w:customStyle="1" w:styleId="65">
    <w:name w:val="表正文"/>
    <w:basedOn w:val="1"/>
    <w:next w:val="24"/>
    <w:qFormat/>
    <w:uiPriority w:val="0"/>
    <w:rPr>
      <w:rFonts w:ascii="宋体" w:hAnsi="Courier New"/>
      <w:szCs w:val="20"/>
    </w:rPr>
  </w:style>
  <w:style w:type="character" w:customStyle="1" w:styleId="66">
    <w:name w:val="正文文本缩进 字符"/>
    <w:link w:val="18"/>
    <w:qFormat/>
    <w:uiPriority w:val="0"/>
    <w:rPr>
      <w:rFonts w:eastAsia="宋体"/>
      <w:kern w:val="2"/>
      <w:sz w:val="21"/>
      <w:szCs w:val="24"/>
      <w:lang w:val="en-US" w:eastAsia="zh-CN" w:bidi="ar-SA"/>
    </w:rPr>
  </w:style>
  <w:style w:type="character" w:customStyle="1" w:styleId="67">
    <w:name w:val="日期 字符"/>
    <w:link w:val="25"/>
    <w:qFormat/>
    <w:uiPriority w:val="0"/>
    <w:rPr>
      <w:rFonts w:ascii="楷体_GB2312" w:eastAsia="楷体_GB2312"/>
      <w:b/>
      <w:kern w:val="2"/>
      <w:sz w:val="28"/>
      <w:lang w:val="en-US" w:eastAsia="zh-CN" w:bidi="ar-SA"/>
    </w:rPr>
  </w:style>
  <w:style w:type="character" w:customStyle="1" w:styleId="68">
    <w:name w:val="页眉 字符"/>
    <w:link w:val="29"/>
    <w:qFormat/>
    <w:uiPriority w:val="0"/>
    <w:rPr>
      <w:rFonts w:eastAsia="宋体"/>
      <w:kern w:val="2"/>
      <w:sz w:val="18"/>
      <w:szCs w:val="18"/>
      <w:lang w:val="en-US" w:eastAsia="zh-CN" w:bidi="ar-SA"/>
    </w:rPr>
  </w:style>
  <w:style w:type="character" w:customStyle="1" w:styleId="69">
    <w:name w:val="页脚 字符"/>
    <w:link w:val="28"/>
    <w:qFormat/>
    <w:locked/>
    <w:uiPriority w:val="0"/>
    <w:rPr>
      <w:rFonts w:eastAsia="宋体"/>
      <w:kern w:val="2"/>
      <w:sz w:val="18"/>
      <w:szCs w:val="18"/>
      <w:lang w:val="en-US" w:eastAsia="zh-CN" w:bidi="ar-SA"/>
    </w:rPr>
  </w:style>
  <w:style w:type="paragraph" w:customStyle="1" w:styleId="70">
    <w:name w:val="正文段"/>
    <w:basedOn w:val="1"/>
    <w:link w:val="71"/>
    <w:qFormat/>
    <w:uiPriority w:val="0"/>
    <w:pPr>
      <w:widowControl/>
      <w:snapToGrid w:val="0"/>
      <w:spacing w:afterLines="50"/>
      <w:ind w:firstLine="200" w:firstLineChars="200"/>
    </w:pPr>
    <w:rPr>
      <w:kern w:val="0"/>
      <w:sz w:val="24"/>
      <w:szCs w:val="20"/>
    </w:rPr>
  </w:style>
  <w:style w:type="character" w:customStyle="1" w:styleId="71">
    <w:name w:val="正文段 Char"/>
    <w:link w:val="70"/>
    <w:qFormat/>
    <w:uiPriority w:val="0"/>
    <w:rPr>
      <w:rFonts w:eastAsia="宋体"/>
      <w:sz w:val="24"/>
      <w:lang w:val="en-US" w:eastAsia="zh-CN" w:bidi="ar-SA"/>
    </w:rPr>
  </w:style>
  <w:style w:type="character" w:customStyle="1" w:styleId="72">
    <w:name w:val="批注文字 字符"/>
    <w:link w:val="16"/>
    <w:qFormat/>
    <w:uiPriority w:val="0"/>
    <w:rPr>
      <w:rFonts w:eastAsia="宋体"/>
      <w:kern w:val="2"/>
      <w:sz w:val="21"/>
      <w:szCs w:val="24"/>
      <w:lang w:val="en-US" w:eastAsia="zh-CN" w:bidi="ar-SA"/>
    </w:rPr>
  </w:style>
  <w:style w:type="character" w:customStyle="1" w:styleId="73">
    <w:name w:val="正文文本 2 字符"/>
    <w:link w:val="34"/>
    <w:qFormat/>
    <w:uiPriority w:val="0"/>
    <w:rPr>
      <w:rFonts w:ascii="隶书" w:eastAsia="隶书"/>
      <w:bCs/>
      <w:sz w:val="72"/>
      <w:szCs w:val="84"/>
      <w:lang w:val="en-US" w:eastAsia="zh-CN" w:bidi="ar-SA"/>
    </w:rPr>
  </w:style>
  <w:style w:type="paragraph" w:customStyle="1" w:styleId="74">
    <w:name w:val="Char"/>
    <w:basedOn w:val="1"/>
    <w:qFormat/>
    <w:uiPriority w:val="0"/>
    <w:rPr>
      <w:rFonts w:ascii="仿宋_GB2312" w:eastAsia="仿宋_GB2312"/>
      <w:b/>
      <w:sz w:val="32"/>
      <w:szCs w:val="32"/>
    </w:rPr>
  </w:style>
  <w:style w:type="paragraph" w:customStyle="1" w:styleId="75">
    <w:name w:val="Table Text"/>
    <w:link w:val="76"/>
    <w:qFormat/>
    <w:uiPriority w:val="0"/>
    <w:pPr>
      <w:snapToGrid w:val="0"/>
      <w:spacing w:before="80" w:after="80"/>
    </w:pPr>
    <w:rPr>
      <w:rFonts w:ascii="Arial" w:hAnsi="Arial" w:eastAsia="宋体" w:cs="Times New Roman"/>
      <w:sz w:val="18"/>
      <w:lang w:val="en-US" w:eastAsia="zh-CN" w:bidi="ar-SA"/>
    </w:rPr>
  </w:style>
  <w:style w:type="character" w:customStyle="1" w:styleId="76">
    <w:name w:val="Table Text Char1"/>
    <w:link w:val="75"/>
    <w:qFormat/>
    <w:uiPriority w:val="0"/>
    <w:rPr>
      <w:rFonts w:ascii="Arial" w:hAnsi="Arial"/>
      <w:sz w:val="18"/>
      <w:lang w:val="en-US" w:eastAsia="zh-CN" w:bidi="ar-SA"/>
    </w:rPr>
  </w:style>
  <w:style w:type="character" w:customStyle="1" w:styleId="77">
    <w:name w:val="正文（缩进2汉字） Char"/>
    <w:link w:val="78"/>
    <w:qFormat/>
    <w:uiPriority w:val="0"/>
    <w:rPr>
      <w:rFonts w:ascii="宋体"/>
      <w:kern w:val="2"/>
      <w:sz w:val="21"/>
      <w:lang w:bidi="ar-SA"/>
    </w:rPr>
  </w:style>
  <w:style w:type="paragraph" w:customStyle="1" w:styleId="78">
    <w:name w:val="正文（缩进2汉字）"/>
    <w:basedOn w:val="1"/>
    <w:link w:val="7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9">
    <w:name w:val="Char111"/>
    <w:basedOn w:val="1"/>
    <w:qFormat/>
    <w:uiPriority w:val="0"/>
    <w:pPr>
      <w:tabs>
        <w:tab w:val="left" w:pos="432"/>
      </w:tabs>
      <w:spacing w:beforeLines="50" w:afterLines="50"/>
      <w:ind w:left="432" w:hanging="432"/>
      <w:jc w:val="center"/>
    </w:pPr>
    <w:rPr>
      <w:sz w:val="24"/>
    </w:rPr>
  </w:style>
  <w:style w:type="paragraph" w:customStyle="1" w:styleId="80">
    <w:name w:val="模板普通正文"/>
    <w:basedOn w:val="18"/>
    <w:qFormat/>
    <w:uiPriority w:val="0"/>
    <w:pPr>
      <w:spacing w:beforeLines="50" w:after="10" w:line="360" w:lineRule="auto"/>
      <w:ind w:left="0" w:leftChars="0" w:firstLine="175" w:firstLineChars="175"/>
      <w:jc w:val="left"/>
    </w:pPr>
    <w:rPr>
      <w:sz w:val="24"/>
    </w:rPr>
  </w:style>
  <w:style w:type="character" w:customStyle="1" w:styleId="81">
    <w:name w:val="正文文本缩进 2 字符"/>
    <w:link w:val="26"/>
    <w:qFormat/>
    <w:locked/>
    <w:uiPriority w:val="0"/>
    <w:rPr>
      <w:rFonts w:eastAsia="宋体"/>
      <w:kern w:val="2"/>
      <w:sz w:val="21"/>
      <w:szCs w:val="24"/>
      <w:lang w:val="en-US" w:eastAsia="zh-CN" w:bidi="ar-SA"/>
    </w:rPr>
  </w:style>
  <w:style w:type="paragraph" w:customStyle="1" w:styleId="82">
    <w:name w:val="缺省文本"/>
    <w:basedOn w:val="1"/>
    <w:qFormat/>
    <w:uiPriority w:val="0"/>
    <w:pPr>
      <w:autoSpaceDE w:val="0"/>
      <w:autoSpaceDN w:val="0"/>
      <w:adjustRightInd w:val="0"/>
      <w:jc w:val="left"/>
    </w:pPr>
    <w:rPr>
      <w:kern w:val="0"/>
      <w:sz w:val="24"/>
    </w:rPr>
  </w:style>
  <w:style w:type="paragraph" w:customStyle="1" w:styleId="83">
    <w:name w:val="WW-正文文字缩进 2"/>
    <w:basedOn w:val="1"/>
    <w:qFormat/>
    <w:uiPriority w:val="0"/>
    <w:pPr>
      <w:suppressAutoHyphens/>
      <w:ind w:firstLine="420"/>
    </w:pPr>
    <w:rPr>
      <w:kern w:val="1"/>
      <w:szCs w:val="20"/>
    </w:rPr>
  </w:style>
  <w:style w:type="paragraph" w:customStyle="1" w:styleId="84">
    <w:name w:val="默认段落字体 Para Char Char Char Char Char Char Char Char Char1 Char Char Char Char"/>
    <w:basedOn w:val="1"/>
    <w:qFormat/>
    <w:uiPriority w:val="0"/>
    <w:rPr>
      <w:rFonts w:ascii="Tahoma" w:hAnsi="Tahoma"/>
      <w:sz w:val="24"/>
      <w:szCs w:val="20"/>
    </w:rPr>
  </w:style>
  <w:style w:type="character" w:customStyle="1" w:styleId="85">
    <w:name w:val="正文文本 字符"/>
    <w:link w:val="17"/>
    <w:qFormat/>
    <w:locked/>
    <w:uiPriority w:val="0"/>
    <w:rPr>
      <w:rFonts w:eastAsia="仿宋_GB2312"/>
      <w:kern w:val="2"/>
      <w:sz w:val="28"/>
      <w:szCs w:val="24"/>
      <w:lang w:val="en-US" w:eastAsia="zh-CN" w:bidi="ar-SA"/>
    </w:rPr>
  </w:style>
  <w:style w:type="paragraph" w:customStyle="1" w:styleId="86">
    <w:name w:val="项目排列"/>
    <w:basedOn w:val="1"/>
    <w:link w:val="87"/>
    <w:qFormat/>
    <w:uiPriority w:val="0"/>
    <w:pPr>
      <w:tabs>
        <w:tab w:val="left" w:pos="900"/>
      </w:tabs>
      <w:spacing w:beforeLines="50" w:afterLines="50" w:line="300" w:lineRule="auto"/>
      <w:ind w:left="900" w:hanging="420"/>
    </w:pPr>
    <w:rPr>
      <w:sz w:val="24"/>
    </w:rPr>
  </w:style>
  <w:style w:type="character" w:customStyle="1" w:styleId="87">
    <w:name w:val="项目排列 Char"/>
    <w:link w:val="86"/>
    <w:qFormat/>
    <w:uiPriority w:val="0"/>
    <w:rPr>
      <w:kern w:val="2"/>
      <w:sz w:val="24"/>
      <w:szCs w:val="24"/>
    </w:rPr>
  </w:style>
  <w:style w:type="character" w:customStyle="1" w:styleId="88">
    <w:name w:val="style21"/>
    <w:qFormat/>
    <w:uiPriority w:val="0"/>
    <w:rPr>
      <w:sz w:val="15"/>
      <w:szCs w:val="15"/>
    </w:rPr>
  </w:style>
  <w:style w:type="paragraph" w:customStyle="1" w:styleId="89">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0">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1">
    <w:name w:val="Char1"/>
    <w:basedOn w:val="1"/>
    <w:qFormat/>
    <w:uiPriority w:val="0"/>
    <w:rPr>
      <w:szCs w:val="20"/>
    </w:rPr>
  </w:style>
  <w:style w:type="paragraph" w:customStyle="1" w:styleId="92">
    <w:name w:val="列出段落1"/>
    <w:basedOn w:val="1"/>
    <w:qFormat/>
    <w:uiPriority w:val="0"/>
    <w:pPr>
      <w:ind w:firstLine="420" w:firstLineChars="200"/>
    </w:pPr>
    <w:rPr>
      <w:rFonts w:ascii="Calibri" w:hAnsi="Calibri"/>
      <w:szCs w:val="22"/>
    </w:rPr>
  </w:style>
  <w:style w:type="paragraph" w:customStyle="1" w:styleId="93">
    <w:name w:val="默认段落字体 Para Char Char Char Char"/>
    <w:basedOn w:val="1"/>
    <w:qFormat/>
    <w:uiPriority w:val="0"/>
  </w:style>
  <w:style w:type="paragraph" w:customStyle="1" w:styleId="94">
    <w:name w:val="Char Char Char1 Char Char Char1 Char Char Char Char"/>
    <w:basedOn w:val="1"/>
    <w:qFormat/>
    <w:uiPriority w:val="0"/>
  </w:style>
  <w:style w:type="character" w:customStyle="1" w:styleId="95">
    <w:name w:val="font1"/>
    <w:qFormat/>
    <w:uiPriority w:val="0"/>
    <w:rPr>
      <w:color w:val="999999"/>
      <w:sz w:val="18"/>
      <w:szCs w:val="18"/>
      <w:u w:val="none"/>
    </w:rPr>
  </w:style>
  <w:style w:type="paragraph" w:customStyle="1" w:styleId="9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7">
    <w:name w:val="Char Char Char Char Char Char Char Char Char Char"/>
    <w:basedOn w:val="1"/>
    <w:qFormat/>
    <w:uiPriority w:val="0"/>
    <w:rPr>
      <w:rFonts w:ascii="Tahoma" w:hAnsi="Tahoma"/>
      <w:sz w:val="24"/>
      <w:szCs w:val="20"/>
    </w:rPr>
  </w:style>
  <w:style w:type="character" w:customStyle="1" w:styleId="98">
    <w:name w:val="apple-style-span"/>
    <w:basedOn w:val="45"/>
    <w:qFormat/>
    <w:uiPriority w:val="0"/>
  </w:style>
  <w:style w:type="paragraph" w:customStyle="1" w:styleId="99">
    <w:name w:val="正文无缩进"/>
    <w:basedOn w:val="1"/>
    <w:link w:val="100"/>
    <w:qFormat/>
    <w:uiPriority w:val="0"/>
    <w:pPr>
      <w:spacing w:line="360" w:lineRule="auto"/>
    </w:pPr>
    <w:rPr>
      <w:rFonts w:ascii="宋体"/>
      <w:color w:val="000000"/>
      <w:sz w:val="24"/>
    </w:rPr>
  </w:style>
  <w:style w:type="character" w:customStyle="1" w:styleId="100">
    <w:name w:val="正文无缩进 Char"/>
    <w:link w:val="99"/>
    <w:qFormat/>
    <w:uiPriority w:val="0"/>
    <w:rPr>
      <w:rFonts w:ascii="宋体" w:eastAsia="宋体"/>
      <w:color w:val="000000"/>
      <w:kern w:val="2"/>
      <w:sz w:val="24"/>
      <w:szCs w:val="24"/>
      <w:lang w:val="en-US" w:eastAsia="zh-CN" w:bidi="ar-SA"/>
    </w:rPr>
  </w:style>
  <w:style w:type="paragraph" w:customStyle="1" w:styleId="10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2">
    <w:name w:val="ca-3"/>
    <w:basedOn w:val="45"/>
    <w:qFormat/>
    <w:uiPriority w:val="0"/>
  </w:style>
  <w:style w:type="paragraph" w:customStyle="1" w:styleId="10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4">
    <w:name w:val="表格 Char Char"/>
    <w:link w:val="105"/>
    <w:qFormat/>
    <w:locked/>
    <w:uiPriority w:val="0"/>
    <w:rPr>
      <w:rFonts w:ascii="宋体" w:hAnsi="宋体" w:eastAsia="宋体"/>
      <w:lang w:val="en-US" w:eastAsia="zh-CN" w:bidi="ar-SA"/>
    </w:rPr>
  </w:style>
  <w:style w:type="paragraph" w:customStyle="1" w:styleId="105">
    <w:name w:val="表格"/>
    <w:basedOn w:val="1"/>
    <w:link w:val="104"/>
    <w:qFormat/>
    <w:uiPriority w:val="0"/>
    <w:pPr>
      <w:snapToGrid w:val="0"/>
      <w:ind w:firstLine="42" w:firstLineChars="21"/>
    </w:pPr>
    <w:rPr>
      <w:rFonts w:ascii="宋体" w:hAnsi="宋体"/>
      <w:kern w:val="0"/>
      <w:sz w:val="20"/>
      <w:szCs w:val="20"/>
    </w:rPr>
  </w:style>
  <w:style w:type="paragraph" w:customStyle="1" w:styleId="10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7">
    <w:name w:val="Char Char1 Char Char Char Char Char Char"/>
    <w:basedOn w:val="1"/>
    <w:qFormat/>
    <w:uiPriority w:val="0"/>
    <w:pPr>
      <w:widowControl/>
      <w:spacing w:after="160" w:line="240" w:lineRule="exact"/>
      <w:jc w:val="left"/>
    </w:pPr>
  </w:style>
  <w:style w:type="character" w:customStyle="1" w:styleId="108">
    <w:name w:val="Char Char"/>
    <w:qFormat/>
    <w:uiPriority w:val="0"/>
    <w:rPr>
      <w:rFonts w:hint="eastAsia" w:ascii="宋体" w:hAnsi="Courier New" w:eastAsia="宋体"/>
      <w:kern w:val="2"/>
      <w:sz w:val="21"/>
      <w:lang w:val="en-US" w:eastAsia="zh-CN" w:bidi="ar-SA"/>
    </w:rPr>
  </w:style>
  <w:style w:type="character" w:customStyle="1" w:styleId="109">
    <w:name w:val="style51"/>
    <w:qFormat/>
    <w:uiPriority w:val="0"/>
    <w:rPr>
      <w:sz w:val="21"/>
      <w:szCs w:val="21"/>
    </w:rPr>
  </w:style>
  <w:style w:type="paragraph" w:customStyle="1" w:styleId="11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1">
    <w:name w:val="标准文本"/>
    <w:basedOn w:val="1"/>
    <w:link w:val="112"/>
    <w:qFormat/>
    <w:uiPriority w:val="0"/>
    <w:pPr>
      <w:spacing w:line="360" w:lineRule="auto"/>
      <w:ind w:firstLine="480" w:firstLineChars="200"/>
    </w:pPr>
    <w:rPr>
      <w:rFonts w:cs="宋体"/>
      <w:sz w:val="24"/>
      <w:szCs w:val="20"/>
    </w:rPr>
  </w:style>
  <w:style w:type="character" w:customStyle="1" w:styleId="112">
    <w:name w:val="标准文本 Char"/>
    <w:link w:val="111"/>
    <w:qFormat/>
    <w:uiPriority w:val="0"/>
    <w:rPr>
      <w:rFonts w:eastAsia="宋体" w:cs="宋体"/>
      <w:kern w:val="2"/>
      <w:sz w:val="24"/>
      <w:lang w:val="en-US" w:eastAsia="zh-CN" w:bidi="ar-SA"/>
    </w:rPr>
  </w:style>
  <w:style w:type="paragraph" w:customStyle="1" w:styleId="113">
    <w:name w:val="Defaul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4">
    <w:name w:val="自定义正文"/>
    <w:basedOn w:val="1"/>
    <w:link w:val="115"/>
    <w:qFormat/>
    <w:uiPriority w:val="0"/>
    <w:pPr>
      <w:spacing w:line="480" w:lineRule="exact"/>
      <w:ind w:firstLine="200" w:firstLineChars="200"/>
      <w:jc w:val="left"/>
    </w:pPr>
    <w:rPr>
      <w:rFonts w:ascii="仿宋_GB2312" w:eastAsia="仿宋_GB2312"/>
      <w:sz w:val="28"/>
    </w:rPr>
  </w:style>
  <w:style w:type="character" w:customStyle="1" w:styleId="115">
    <w:name w:val="自定义正文 Char"/>
    <w:link w:val="114"/>
    <w:qFormat/>
    <w:uiPriority w:val="0"/>
    <w:rPr>
      <w:rFonts w:ascii="仿宋_GB2312" w:eastAsia="仿宋_GB2312"/>
      <w:kern w:val="2"/>
      <w:sz w:val="28"/>
      <w:szCs w:val="24"/>
      <w:lang w:val="en-US" w:eastAsia="zh-CN" w:bidi="ar-SA"/>
    </w:rPr>
  </w:style>
  <w:style w:type="paragraph" w:customStyle="1" w:styleId="116">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7">
    <w:name w:val="自定义表格文字"/>
    <w:basedOn w:val="1"/>
    <w:qFormat/>
    <w:uiPriority w:val="0"/>
    <w:pPr>
      <w:spacing w:before="60" w:after="60" w:line="320" w:lineRule="exact"/>
      <w:jc w:val="left"/>
    </w:pPr>
    <w:rPr>
      <w:rFonts w:ascii="宋体" w:eastAsia="楷体_GB2312"/>
    </w:rPr>
  </w:style>
  <w:style w:type="paragraph" w:customStyle="1" w:styleId="118">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9">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0">
    <w:name w:val="文档结构图 字符"/>
    <w:link w:val="15"/>
    <w:semiHidden/>
    <w:qFormat/>
    <w:uiPriority w:val="0"/>
    <w:rPr>
      <w:rFonts w:eastAsia="宋体"/>
      <w:kern w:val="2"/>
      <w:sz w:val="21"/>
      <w:szCs w:val="24"/>
      <w:lang w:val="en-US" w:eastAsia="zh-CN" w:bidi="ar-SA"/>
    </w:rPr>
  </w:style>
  <w:style w:type="character" w:customStyle="1" w:styleId="121">
    <w:name w:val="Char Char12"/>
    <w:qFormat/>
    <w:uiPriority w:val="0"/>
    <w:rPr>
      <w:rFonts w:ascii="宋体" w:hAnsi="Courier New" w:eastAsia="宋体"/>
      <w:kern w:val="2"/>
      <w:sz w:val="21"/>
      <w:lang w:val="en-US" w:eastAsia="zh-CN" w:bidi="ar-SA"/>
    </w:rPr>
  </w:style>
  <w:style w:type="character" w:customStyle="1" w:styleId="122">
    <w:name w:val="H4 Char"/>
    <w:qFormat/>
    <w:uiPriority w:val="0"/>
    <w:rPr>
      <w:rFonts w:ascii="宋体" w:hAnsi="宋体" w:eastAsia="黑体"/>
      <w:b/>
      <w:bCs/>
      <w:color w:val="000000"/>
      <w:spacing w:val="-4"/>
      <w:kern w:val="2"/>
      <w:sz w:val="24"/>
      <w:szCs w:val="30"/>
      <w:lang w:val="en-US" w:eastAsia="zh-CN" w:bidi="ar-SA"/>
    </w:rPr>
  </w:style>
  <w:style w:type="character" w:customStyle="1" w:styleId="123">
    <w:name w:val="H5 Char"/>
    <w:qFormat/>
    <w:uiPriority w:val="0"/>
    <w:rPr>
      <w:rFonts w:ascii="Arial" w:hAnsi="Arial" w:eastAsia="宋体"/>
      <w:sz w:val="24"/>
      <w:lang w:val="en-US" w:eastAsia="zh-CN" w:bidi="ar-SA"/>
    </w:rPr>
  </w:style>
  <w:style w:type="character" w:customStyle="1" w:styleId="124">
    <w:name w:val="Char Char8"/>
    <w:qFormat/>
    <w:uiPriority w:val="0"/>
    <w:rPr>
      <w:rFonts w:ascii="宋体" w:eastAsia="宋体"/>
      <w:kern w:val="2"/>
      <w:sz w:val="28"/>
      <w:lang w:val="en-US" w:eastAsia="zh-CN" w:bidi="ar-SA"/>
    </w:rPr>
  </w:style>
  <w:style w:type="character" w:customStyle="1" w:styleId="125">
    <w:name w:val="Char Char7"/>
    <w:qFormat/>
    <w:uiPriority w:val="0"/>
    <w:rPr>
      <w:rFonts w:eastAsia="仿宋_GB2312"/>
      <w:kern w:val="2"/>
      <w:sz w:val="24"/>
      <w:szCs w:val="24"/>
      <w:lang w:val="en-US" w:eastAsia="zh-CN" w:bidi="ar-SA"/>
    </w:rPr>
  </w:style>
  <w:style w:type="paragraph" w:customStyle="1" w:styleId="126">
    <w:name w:val="表内文字"/>
    <w:basedOn w:val="1"/>
    <w:qFormat/>
    <w:uiPriority w:val="0"/>
    <w:pPr>
      <w:jc w:val="center"/>
    </w:pPr>
    <w:rPr>
      <w:color w:val="FF0000"/>
      <w:kern w:val="0"/>
      <w:sz w:val="24"/>
    </w:rPr>
  </w:style>
  <w:style w:type="character" w:customStyle="1" w:styleId="127">
    <w:name w:val="Char Char3"/>
    <w:qFormat/>
    <w:uiPriority w:val="0"/>
    <w:rPr>
      <w:rFonts w:eastAsia="仿宋_GB2312"/>
      <w:kern w:val="2"/>
      <w:sz w:val="28"/>
      <w:szCs w:val="24"/>
      <w:lang w:val="en-US" w:eastAsia="zh-CN" w:bidi="ar-SA"/>
    </w:rPr>
  </w:style>
  <w:style w:type="paragraph" w:customStyle="1" w:styleId="128">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9">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0">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1">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2">
    <w:name w:val="项目1"/>
    <w:basedOn w:val="1"/>
    <w:qFormat/>
    <w:uiPriority w:val="0"/>
    <w:pPr>
      <w:tabs>
        <w:tab w:val="left" w:pos="840"/>
      </w:tabs>
      <w:spacing w:after="60"/>
      <w:ind w:left="840" w:hanging="420"/>
    </w:pPr>
    <w:rPr>
      <w:rFonts w:ascii="宋体"/>
      <w:spacing w:val="4"/>
      <w:szCs w:val="20"/>
    </w:rPr>
  </w:style>
  <w:style w:type="paragraph" w:customStyle="1" w:styleId="133">
    <w:name w:val="编10号"/>
    <w:basedOn w:val="1"/>
    <w:qFormat/>
    <w:uiPriority w:val="0"/>
    <w:pPr>
      <w:tabs>
        <w:tab w:val="left" w:pos="1620"/>
      </w:tabs>
      <w:ind w:left="1620" w:hanging="360"/>
    </w:pPr>
  </w:style>
  <w:style w:type="paragraph" w:customStyle="1" w:styleId="134">
    <w:name w:val="段"/>
    <w:basedOn w:val="1"/>
    <w:qFormat/>
    <w:uiPriority w:val="0"/>
    <w:pPr>
      <w:ind w:firstLine="425"/>
    </w:pPr>
    <w:rPr>
      <w:rFonts w:ascii="宋体"/>
      <w:szCs w:val="20"/>
    </w:rPr>
  </w:style>
  <w:style w:type="paragraph" w:customStyle="1" w:styleId="135">
    <w:name w:val="Char Char Char Char"/>
    <w:basedOn w:val="1"/>
    <w:qFormat/>
    <w:uiPriority w:val="0"/>
    <w:pPr>
      <w:widowControl/>
      <w:spacing w:after="160" w:line="240" w:lineRule="exact"/>
      <w:jc w:val="left"/>
    </w:pPr>
    <w:rPr>
      <w:kern w:val="0"/>
      <w:sz w:val="24"/>
    </w:rPr>
  </w:style>
  <w:style w:type="paragraph" w:customStyle="1" w:styleId="136">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7">
    <w:name w:val="bulletintext1"/>
    <w:qFormat/>
    <w:uiPriority w:val="0"/>
    <w:rPr>
      <w:rFonts w:hint="eastAsia" w:ascii="宋体" w:hAnsi="宋体" w:eastAsia="宋体"/>
      <w:sz w:val="18"/>
      <w:szCs w:val="18"/>
    </w:rPr>
  </w:style>
  <w:style w:type="paragraph" w:customStyle="1" w:styleId="138">
    <w:name w:val="Char1 Char Char Char Char Char Char"/>
    <w:basedOn w:val="1"/>
    <w:qFormat/>
    <w:uiPriority w:val="0"/>
    <w:rPr>
      <w:rFonts w:ascii="Tahoma" w:hAnsi="Tahoma"/>
      <w:sz w:val="24"/>
      <w:szCs w:val="20"/>
    </w:rPr>
  </w:style>
  <w:style w:type="paragraph" w:customStyle="1" w:styleId="139">
    <w:name w:val="Char Char2 Char Char Char Char"/>
    <w:basedOn w:val="15"/>
    <w:qFormat/>
    <w:uiPriority w:val="0"/>
    <w:rPr>
      <w:rFonts w:ascii="Tahoma" w:hAnsi="Tahoma"/>
      <w:sz w:val="24"/>
    </w:rPr>
  </w:style>
  <w:style w:type="paragraph" w:customStyle="1" w:styleId="140">
    <w:name w:val="Char Char Char"/>
    <w:basedOn w:val="15"/>
    <w:qFormat/>
    <w:uiPriority w:val="0"/>
    <w:rPr>
      <w:rFonts w:ascii="Tahoma" w:hAnsi="Tahoma"/>
      <w:sz w:val="24"/>
    </w:rPr>
  </w:style>
  <w:style w:type="paragraph" w:customStyle="1" w:styleId="141">
    <w:name w:val="正文缩进 New"/>
    <w:basedOn w:val="1"/>
    <w:qFormat/>
    <w:uiPriority w:val="0"/>
    <w:pPr>
      <w:ind w:firstLine="420" w:firstLineChars="200"/>
    </w:pPr>
    <w:rPr>
      <w:szCs w:val="20"/>
    </w:rPr>
  </w:style>
  <w:style w:type="paragraph" w:customStyle="1" w:styleId="142">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3">
    <w:name w:val="tpc_content1"/>
    <w:qFormat/>
    <w:uiPriority w:val="0"/>
    <w:rPr>
      <w:sz w:val="20"/>
      <w:szCs w:val="20"/>
    </w:rPr>
  </w:style>
  <w:style w:type="character" w:customStyle="1" w:styleId="144">
    <w:name w:val="Char Char11"/>
    <w:qFormat/>
    <w:uiPriority w:val="0"/>
    <w:rPr>
      <w:b/>
      <w:kern w:val="44"/>
      <w:sz w:val="44"/>
    </w:rPr>
  </w:style>
  <w:style w:type="character" w:customStyle="1" w:styleId="145">
    <w:name w:val="Char Char10"/>
    <w:qFormat/>
    <w:uiPriority w:val="0"/>
    <w:rPr>
      <w:b/>
      <w:kern w:val="2"/>
      <w:sz w:val="28"/>
      <w:szCs w:val="28"/>
    </w:rPr>
  </w:style>
  <w:style w:type="character" w:customStyle="1" w:styleId="146">
    <w:name w:val="Char Char9"/>
    <w:qFormat/>
    <w:uiPriority w:val="0"/>
    <w:rPr>
      <w:b/>
      <w:kern w:val="2"/>
      <w:sz w:val="24"/>
      <w:szCs w:val="24"/>
    </w:rPr>
  </w:style>
  <w:style w:type="paragraph" w:customStyle="1" w:styleId="147">
    <w:name w:val="Char Char Char 字元 字元"/>
    <w:basedOn w:val="1"/>
    <w:qFormat/>
    <w:uiPriority w:val="0"/>
    <w:pPr>
      <w:spacing w:line="360" w:lineRule="auto"/>
      <w:ind w:firstLine="200" w:firstLineChars="200"/>
    </w:pPr>
    <w:rPr>
      <w:szCs w:val="20"/>
    </w:rPr>
  </w:style>
  <w:style w:type="paragraph" w:customStyle="1" w:styleId="148">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9">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0">
    <w:name w:val="style11"/>
    <w:qFormat/>
    <w:uiPriority w:val="0"/>
    <w:rPr>
      <w:b/>
      <w:bCs/>
      <w:color w:val="FF0000"/>
    </w:rPr>
  </w:style>
  <w:style w:type="character" w:customStyle="1" w:styleId="151">
    <w:name w:val="info"/>
    <w:basedOn w:val="45"/>
    <w:qFormat/>
    <w:uiPriority w:val="0"/>
  </w:style>
  <w:style w:type="paragraph" w:customStyle="1" w:styleId="152">
    <w:name w:val="样式 正文缩进 + 首行缩进:  2 字符"/>
    <w:basedOn w:val="2"/>
    <w:link w:val="153"/>
    <w:qFormat/>
    <w:uiPriority w:val="0"/>
    <w:pPr>
      <w:spacing w:line="360" w:lineRule="auto"/>
      <w:ind w:firstLine="480"/>
    </w:pPr>
    <w:rPr>
      <w:rFonts w:ascii="宋体" w:hAnsi="宋体"/>
      <w:color w:val="000000"/>
      <w:kern w:val="0"/>
      <w:sz w:val="24"/>
      <w:szCs w:val="20"/>
    </w:rPr>
  </w:style>
  <w:style w:type="character" w:customStyle="1" w:styleId="153">
    <w:name w:val="样式 正文缩进 + 首行缩进:  2 字符 Char"/>
    <w:link w:val="152"/>
    <w:qFormat/>
    <w:locked/>
    <w:uiPriority w:val="0"/>
    <w:rPr>
      <w:rFonts w:ascii="宋体" w:hAnsi="宋体" w:eastAsia="宋体"/>
      <w:color w:val="000000"/>
      <w:sz w:val="24"/>
      <w:lang w:bidi="ar-SA"/>
    </w:rPr>
  </w:style>
  <w:style w:type="paragraph" w:customStyle="1" w:styleId="154">
    <w:name w:val="正文2"/>
    <w:basedOn w:val="1"/>
    <w:link w:val="155"/>
    <w:qFormat/>
    <w:uiPriority w:val="0"/>
    <w:pPr>
      <w:spacing w:before="156" w:line="360" w:lineRule="auto"/>
      <w:ind w:firstLine="510" w:firstLineChars="200"/>
    </w:pPr>
    <w:rPr>
      <w:sz w:val="24"/>
      <w:szCs w:val="20"/>
    </w:rPr>
  </w:style>
  <w:style w:type="character" w:customStyle="1" w:styleId="155">
    <w:name w:val="正文2 Char"/>
    <w:link w:val="154"/>
    <w:qFormat/>
    <w:uiPriority w:val="0"/>
    <w:rPr>
      <w:rFonts w:eastAsia="宋体"/>
      <w:kern w:val="2"/>
      <w:sz w:val="24"/>
      <w:lang w:val="en-US" w:eastAsia="zh-CN" w:bidi="ar-SA"/>
    </w:rPr>
  </w:style>
  <w:style w:type="paragraph" w:customStyle="1" w:styleId="156">
    <w:name w:val="p0"/>
    <w:basedOn w:val="1"/>
    <w:qFormat/>
    <w:uiPriority w:val="0"/>
    <w:pPr>
      <w:widowControl/>
    </w:pPr>
    <w:rPr>
      <w:kern w:val="0"/>
      <w:szCs w:val="21"/>
    </w:rPr>
  </w:style>
  <w:style w:type="character" w:customStyle="1" w:styleId="157">
    <w:name w:val="param-name"/>
    <w:basedOn w:val="45"/>
    <w:qFormat/>
    <w:uiPriority w:val="0"/>
  </w:style>
  <w:style w:type="character" w:customStyle="1" w:styleId="158">
    <w:name w:val="日期 Char"/>
    <w:qFormat/>
    <w:uiPriority w:val="0"/>
    <w:rPr>
      <w:rFonts w:ascii="楷体_GB2312" w:eastAsia="楷体_GB2312"/>
      <w:b/>
      <w:kern w:val="2"/>
      <w:sz w:val="28"/>
      <w:lang w:val="en-US" w:eastAsia="zh-CN" w:bidi="ar-SA"/>
    </w:rPr>
  </w:style>
  <w:style w:type="character" w:customStyle="1" w:styleId="159">
    <w:name w:val="标题 4 Char"/>
    <w:qFormat/>
    <w:uiPriority w:val="0"/>
    <w:rPr>
      <w:rFonts w:ascii="Arial" w:hAnsi="Arial" w:eastAsia="黑体"/>
      <w:b/>
      <w:kern w:val="2"/>
      <w:sz w:val="28"/>
      <w:lang w:val="en-US" w:eastAsia="zh-CN" w:bidi="ar-SA"/>
    </w:rPr>
  </w:style>
  <w:style w:type="character" w:customStyle="1" w:styleId="160">
    <w:name w:val="标题 6 Char"/>
    <w:qFormat/>
    <w:uiPriority w:val="0"/>
    <w:rPr>
      <w:rFonts w:ascii="宋体" w:hAnsi="Arial" w:eastAsia="宋体"/>
      <w:sz w:val="24"/>
      <w:lang w:val="en-US" w:eastAsia="zh-CN" w:bidi="ar-SA"/>
    </w:rPr>
  </w:style>
  <w:style w:type="character" w:customStyle="1" w:styleId="161">
    <w:name w:val="标题 8 Char"/>
    <w:qFormat/>
    <w:uiPriority w:val="0"/>
    <w:rPr>
      <w:rFonts w:ascii="Arial" w:hAnsi="Arial" w:eastAsia="黑体"/>
      <w:sz w:val="24"/>
      <w:lang w:val="en-US" w:eastAsia="zh-CN" w:bidi="ar-SA"/>
    </w:rPr>
  </w:style>
  <w:style w:type="character" w:customStyle="1" w:styleId="162">
    <w:name w:val="标题 9 Char"/>
    <w:qFormat/>
    <w:uiPriority w:val="0"/>
    <w:rPr>
      <w:rFonts w:ascii="Arial" w:hAnsi="Arial" w:eastAsia="黑体"/>
      <w:sz w:val="24"/>
      <w:lang w:val="en-US" w:eastAsia="zh-CN" w:bidi="ar-SA"/>
    </w:rPr>
  </w:style>
  <w:style w:type="character" w:customStyle="1" w:styleId="163">
    <w:name w:val="标题 5 Char"/>
    <w:qFormat/>
    <w:uiPriority w:val="0"/>
    <w:rPr>
      <w:rFonts w:eastAsia="宋体"/>
      <w:sz w:val="24"/>
      <w:lang w:val="en-US" w:eastAsia="zh-CN" w:bidi="ar-SA"/>
    </w:rPr>
  </w:style>
  <w:style w:type="character" w:customStyle="1" w:styleId="164">
    <w:name w:val="正文文本 Char"/>
    <w:qFormat/>
    <w:locked/>
    <w:uiPriority w:val="0"/>
    <w:rPr>
      <w:rFonts w:eastAsia="仿宋_GB2312"/>
      <w:kern w:val="2"/>
      <w:sz w:val="28"/>
      <w:szCs w:val="24"/>
      <w:lang w:val="en-US" w:eastAsia="zh-CN" w:bidi="ar-SA"/>
    </w:rPr>
  </w:style>
  <w:style w:type="character" w:customStyle="1" w:styleId="165">
    <w:name w:val="正文文本缩进 2 Char"/>
    <w:qFormat/>
    <w:locked/>
    <w:uiPriority w:val="0"/>
    <w:rPr>
      <w:rFonts w:eastAsia="宋体"/>
      <w:kern w:val="2"/>
      <w:sz w:val="21"/>
      <w:szCs w:val="24"/>
      <w:lang w:val="en-US" w:eastAsia="zh-CN" w:bidi="ar-SA"/>
    </w:rPr>
  </w:style>
  <w:style w:type="character" w:customStyle="1" w:styleId="166">
    <w:name w:val="正文文本 2 Char"/>
    <w:qFormat/>
    <w:uiPriority w:val="0"/>
    <w:rPr>
      <w:rFonts w:ascii="隶书" w:eastAsia="隶书"/>
      <w:bCs/>
      <w:sz w:val="72"/>
      <w:szCs w:val="84"/>
      <w:lang w:val="en-US" w:eastAsia="zh-CN" w:bidi="ar-SA"/>
    </w:rPr>
  </w:style>
  <w:style w:type="character" w:customStyle="1" w:styleId="167">
    <w:name w:val="标题 7 Char"/>
    <w:qFormat/>
    <w:uiPriority w:val="0"/>
    <w:rPr>
      <w:rFonts w:ascii="宋体" w:hAnsi="Arial" w:eastAsia="宋体"/>
      <w:b/>
      <w:sz w:val="24"/>
      <w:lang w:val="en-US" w:eastAsia="zh-CN" w:bidi="ar-SA"/>
    </w:rPr>
  </w:style>
  <w:style w:type="character" w:customStyle="1" w:styleId="168">
    <w:name w:val="页眉 Char"/>
    <w:qFormat/>
    <w:uiPriority w:val="0"/>
    <w:rPr>
      <w:rFonts w:eastAsia="宋体"/>
      <w:kern w:val="2"/>
      <w:sz w:val="18"/>
      <w:szCs w:val="18"/>
      <w:lang w:val="en-US" w:eastAsia="zh-CN" w:bidi="ar-SA"/>
    </w:rPr>
  </w:style>
  <w:style w:type="character" w:customStyle="1" w:styleId="169">
    <w:name w:val="批注文字 Char"/>
    <w:qFormat/>
    <w:uiPriority w:val="99"/>
    <w:rPr>
      <w:rFonts w:eastAsia="宋体"/>
      <w:kern w:val="2"/>
      <w:sz w:val="21"/>
      <w:szCs w:val="24"/>
      <w:lang w:val="en-US" w:eastAsia="zh-CN" w:bidi="ar-SA"/>
    </w:rPr>
  </w:style>
  <w:style w:type="character" w:customStyle="1" w:styleId="170">
    <w:name w:val="汇视源正文 Char"/>
    <w:link w:val="171"/>
    <w:qFormat/>
    <w:uiPriority w:val="0"/>
    <w:rPr>
      <w:rFonts w:cs="宋体"/>
      <w:kern w:val="2"/>
      <w:sz w:val="24"/>
      <w:lang w:val="en-US" w:eastAsia="zh-CN" w:bidi="ar-SA"/>
    </w:rPr>
  </w:style>
  <w:style w:type="paragraph" w:customStyle="1" w:styleId="171">
    <w:name w:val="汇视源正文"/>
    <w:link w:val="170"/>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2">
    <w:name w:val="样式 列表编号 + 段后: 0.5 行"/>
    <w:basedOn w:val="13"/>
    <w:qFormat/>
    <w:uiPriority w:val="0"/>
    <w:pPr>
      <w:tabs>
        <w:tab w:val="left" w:pos="840"/>
      </w:tabs>
      <w:spacing w:afterLines="0"/>
      <w:ind w:left="425" w:hanging="425"/>
    </w:pPr>
    <w:rPr>
      <w:rFonts w:cs="宋体"/>
    </w:rPr>
  </w:style>
  <w:style w:type="paragraph" w:customStyle="1" w:styleId="173">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4">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5">
    <w:name w:val="标题 字符"/>
    <w:link w:val="39"/>
    <w:qFormat/>
    <w:locked/>
    <w:uiPriority w:val="0"/>
    <w:rPr>
      <w:rFonts w:ascii="Calibri Light" w:hAnsi="Calibri Light" w:eastAsia="宋体"/>
      <w:b/>
      <w:bCs/>
      <w:kern w:val="2"/>
      <w:sz w:val="32"/>
      <w:szCs w:val="32"/>
      <w:lang w:val="en-US" w:eastAsia="zh-CN" w:bidi="ar-SA"/>
    </w:rPr>
  </w:style>
  <w:style w:type="character" w:customStyle="1" w:styleId="176">
    <w:name w:val="Date Char"/>
    <w:qFormat/>
    <w:locked/>
    <w:uiPriority w:val="0"/>
    <w:rPr>
      <w:rFonts w:ascii="宋体"/>
      <w:sz w:val="21"/>
      <w:lang w:val="zh-CN"/>
    </w:rPr>
  </w:style>
  <w:style w:type="character" w:customStyle="1" w:styleId="177">
    <w:name w:val="Normal Indent Char"/>
    <w:qFormat/>
    <w:locked/>
    <w:uiPriority w:val="0"/>
    <w:rPr>
      <w:rFonts w:ascii="宋体" w:eastAsia="宋体"/>
      <w:snapToGrid w:val="0"/>
      <w:color w:val="000000"/>
      <w:kern w:val="28"/>
      <w:sz w:val="28"/>
    </w:rPr>
  </w:style>
  <w:style w:type="character" w:customStyle="1" w:styleId="178">
    <w:name w:val="Plain Text Char"/>
    <w:qFormat/>
    <w:locked/>
    <w:uiPriority w:val="0"/>
    <w:rPr>
      <w:rFonts w:ascii="宋体" w:hAnsi="Courier New" w:eastAsia="宋体"/>
      <w:snapToGrid w:val="0"/>
      <w:sz w:val="21"/>
    </w:rPr>
  </w:style>
  <w:style w:type="character" w:customStyle="1" w:styleId="179">
    <w:name w:val="日期 Char1"/>
    <w:qFormat/>
    <w:uiPriority w:val="0"/>
    <w:rPr>
      <w:rFonts w:ascii="Times New Roman" w:hAnsi="Times New Roman" w:eastAsia="宋体" w:cs="Times New Roman"/>
      <w:sz w:val="24"/>
      <w:szCs w:val="24"/>
    </w:rPr>
  </w:style>
  <w:style w:type="character" w:customStyle="1" w:styleId="180">
    <w:name w:val="纯文本 Char1"/>
    <w:link w:val="181"/>
    <w:qFormat/>
    <w:uiPriority w:val="0"/>
    <w:rPr>
      <w:rFonts w:ascii="宋体" w:hAnsi="Courier New" w:eastAsia="宋体" w:cs="Courier New"/>
      <w:sz w:val="21"/>
      <w:szCs w:val="21"/>
    </w:rPr>
  </w:style>
  <w:style w:type="paragraph" w:customStyle="1" w:styleId="181">
    <w:name w:val="纯文本1"/>
    <w:basedOn w:val="1"/>
    <w:link w:val="180"/>
    <w:qFormat/>
    <w:uiPriority w:val="0"/>
    <w:rPr>
      <w:rFonts w:ascii="宋体" w:hAnsi="Courier New" w:cs="Courier New"/>
      <w:kern w:val="0"/>
      <w:szCs w:val="21"/>
    </w:rPr>
  </w:style>
  <w:style w:type="paragraph" w:customStyle="1" w:styleId="18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3">
    <w:name w:val="列出段落112"/>
    <w:basedOn w:val="1"/>
    <w:link w:val="207"/>
    <w:qFormat/>
    <w:uiPriority w:val="0"/>
    <w:pPr>
      <w:adjustRightInd w:val="0"/>
      <w:spacing w:line="360" w:lineRule="auto"/>
      <w:ind w:firstLine="200" w:firstLineChars="200"/>
    </w:pPr>
    <w:rPr>
      <w:rFonts w:eastAsia="楷体_GB2312" w:cs="Lucida Sans"/>
      <w:sz w:val="24"/>
    </w:rPr>
  </w:style>
  <w:style w:type="paragraph" w:customStyle="1" w:styleId="184">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5">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6">
    <w:name w:val="Header Char"/>
    <w:qFormat/>
    <w:locked/>
    <w:uiPriority w:val="0"/>
    <w:rPr>
      <w:rFonts w:ascii="Times New Roman" w:hAnsi="Times New Roman" w:eastAsia="宋体" w:cs="Times New Roman"/>
      <w:sz w:val="18"/>
      <w:szCs w:val="18"/>
    </w:rPr>
  </w:style>
  <w:style w:type="paragraph" w:customStyle="1" w:styleId="18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8">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9">
    <w:name w:val="Comment Text Char"/>
    <w:qFormat/>
    <w:locked/>
    <w:uiPriority w:val="0"/>
    <w:rPr>
      <w:rFonts w:ascii="Times New Roman" w:hAnsi="Times New Roman" w:eastAsia="宋体" w:cs="Times New Roman"/>
      <w:kern w:val="0"/>
      <w:sz w:val="24"/>
      <w:szCs w:val="24"/>
      <w:lang w:val="zh-CN" w:eastAsia="zh-CN"/>
    </w:rPr>
  </w:style>
  <w:style w:type="paragraph" w:customStyle="1" w:styleId="190">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2">
    <w:name w:val="Char Char Char Char1"/>
    <w:basedOn w:val="1"/>
    <w:qFormat/>
    <w:uiPriority w:val="0"/>
    <w:rPr>
      <w:rFonts w:ascii="Tahoma" w:hAnsi="Tahoma"/>
      <w:sz w:val="24"/>
      <w:szCs w:val="20"/>
    </w:rPr>
  </w:style>
  <w:style w:type="paragraph" w:customStyle="1" w:styleId="193">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4">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6">
    <w:name w:val="正文2 Char Char"/>
    <w:qFormat/>
    <w:uiPriority w:val="0"/>
    <w:rPr>
      <w:kern w:val="2"/>
      <w:sz w:val="24"/>
    </w:rPr>
  </w:style>
  <w:style w:type="character" w:customStyle="1" w:styleId="197">
    <w:name w:val="普通文字 Char Char3"/>
    <w:qFormat/>
    <w:uiPriority w:val="0"/>
    <w:rPr>
      <w:rFonts w:ascii="宋体" w:hAnsi="Courier New"/>
      <w:kern w:val="2"/>
      <w:sz w:val="24"/>
      <w:szCs w:val="24"/>
    </w:rPr>
  </w:style>
  <w:style w:type="character" w:customStyle="1" w:styleId="198">
    <w:name w:val="特点 Char2"/>
    <w:qFormat/>
    <w:uiPriority w:val="0"/>
    <w:rPr>
      <w:rFonts w:ascii="Times New Roman" w:hAnsi="Times New Roman" w:eastAsia="宋体" w:cs="Times New Roman"/>
      <w:szCs w:val="24"/>
    </w:rPr>
  </w:style>
  <w:style w:type="character" w:customStyle="1" w:styleId="199">
    <w:name w:val="批注框文本 字符"/>
    <w:basedOn w:val="45"/>
    <w:link w:val="27"/>
    <w:qFormat/>
    <w:uiPriority w:val="0"/>
    <w:rPr>
      <w:kern w:val="2"/>
      <w:sz w:val="18"/>
      <w:szCs w:val="18"/>
    </w:rPr>
  </w:style>
  <w:style w:type="character" w:customStyle="1" w:styleId="200">
    <w:name w:val="正文文本缩进 3 字符"/>
    <w:basedOn w:val="45"/>
    <w:link w:val="32"/>
    <w:qFormat/>
    <w:uiPriority w:val="0"/>
    <w:rPr>
      <w:kern w:val="2"/>
      <w:sz w:val="16"/>
      <w:szCs w:val="16"/>
    </w:rPr>
  </w:style>
  <w:style w:type="character" w:customStyle="1" w:styleId="201">
    <w:name w:val="HTML 预设格式 字符"/>
    <w:basedOn w:val="45"/>
    <w:link w:val="36"/>
    <w:qFormat/>
    <w:uiPriority w:val="0"/>
    <w:rPr>
      <w:rFonts w:ascii="黑体" w:hAnsi="Courier New" w:eastAsia="黑体" w:cs="Courier New"/>
    </w:rPr>
  </w:style>
  <w:style w:type="character" w:customStyle="1" w:styleId="202">
    <w:name w:val="批注主题 字符"/>
    <w:basedOn w:val="169"/>
    <w:link w:val="40"/>
    <w:qFormat/>
    <w:uiPriority w:val="0"/>
    <w:rPr>
      <w:rFonts w:eastAsia="宋体"/>
      <w:b/>
      <w:bCs/>
      <w:kern w:val="2"/>
      <w:sz w:val="24"/>
      <w:szCs w:val="24"/>
      <w:lang w:val="en-US" w:eastAsia="zh-CN" w:bidi="ar-SA"/>
    </w:rPr>
  </w:style>
  <w:style w:type="character" w:customStyle="1" w:styleId="203">
    <w:name w:val="正文首行缩进 字符"/>
    <w:basedOn w:val="164"/>
    <w:link w:val="41"/>
    <w:qFormat/>
    <w:uiPriority w:val="0"/>
    <w:rPr>
      <w:rFonts w:eastAsia="仿宋_GB2312"/>
      <w:kern w:val="2"/>
      <w:sz w:val="21"/>
      <w:szCs w:val="24"/>
      <w:lang w:val="en-US" w:eastAsia="zh-CN" w:bidi="ar-SA"/>
    </w:rPr>
  </w:style>
  <w:style w:type="character" w:customStyle="1" w:styleId="204">
    <w:name w:val="正文首行缩进 2 字符"/>
    <w:basedOn w:val="66"/>
    <w:link w:val="42"/>
    <w:qFormat/>
    <w:uiPriority w:val="0"/>
    <w:rPr>
      <w:rFonts w:eastAsia="宋体"/>
      <w:kern w:val="2"/>
      <w:sz w:val="21"/>
      <w:szCs w:val="24"/>
      <w:lang w:val="en-US" w:eastAsia="zh-CN" w:bidi="ar-SA"/>
    </w:rPr>
  </w:style>
  <w:style w:type="paragraph" w:customStyle="1" w:styleId="205">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6">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7">
    <w:name w:val="列出段落 Char"/>
    <w:link w:val="183"/>
    <w:qFormat/>
    <w:uiPriority w:val="0"/>
    <w:rPr>
      <w:rFonts w:eastAsia="楷体_GB2312" w:cs="Lucida Sans"/>
      <w:kern w:val="2"/>
      <w:sz w:val="24"/>
      <w:szCs w:val="24"/>
    </w:rPr>
  </w:style>
  <w:style w:type="paragraph" w:customStyle="1" w:styleId="208">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9">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0">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1">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2">
    <w:name w:val="正文缩进2格"/>
    <w:basedOn w:val="1"/>
    <w:link w:val="213"/>
    <w:qFormat/>
    <w:uiPriority w:val="0"/>
    <w:pPr>
      <w:spacing w:line="600" w:lineRule="exact"/>
      <w:ind w:firstLine="639" w:firstLineChars="206"/>
    </w:pPr>
    <w:rPr>
      <w:rFonts w:ascii="仿宋_GB2312" w:hAnsi="宋体" w:eastAsia="仿宋_GB2312"/>
      <w:kern w:val="0"/>
      <w:sz w:val="31"/>
      <w:szCs w:val="20"/>
    </w:rPr>
  </w:style>
  <w:style w:type="character" w:customStyle="1" w:styleId="213">
    <w:name w:val="正文缩进2格 Char"/>
    <w:link w:val="212"/>
    <w:qFormat/>
    <w:uiPriority w:val="0"/>
    <w:rPr>
      <w:rFonts w:ascii="仿宋_GB2312" w:hAnsi="宋体" w:eastAsia="仿宋_GB2312"/>
      <w:sz w:val="31"/>
    </w:rPr>
  </w:style>
  <w:style w:type="paragraph" w:customStyle="1" w:styleId="214">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5">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6">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7">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2">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9">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正文1级"/>
    <w:link w:val="253"/>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3">
    <w:name w:val="正文1级 Char Char"/>
    <w:link w:val="252"/>
    <w:qFormat/>
    <w:uiPriority w:val="0"/>
    <w:rPr>
      <w:bCs/>
      <w:kern w:val="44"/>
      <w:sz w:val="24"/>
      <w:szCs w:val="44"/>
    </w:rPr>
  </w:style>
  <w:style w:type="character" w:customStyle="1" w:styleId="254">
    <w:name w:val="Char Char1"/>
    <w:qFormat/>
    <w:uiPriority w:val="0"/>
    <w:rPr>
      <w:rFonts w:ascii="宋体" w:hAnsi="Courier New" w:eastAsia="宋体"/>
      <w:kern w:val="2"/>
      <w:sz w:val="21"/>
      <w:lang w:val="en-US" w:eastAsia="zh-CN" w:bidi="ar-SA"/>
    </w:rPr>
  </w:style>
  <w:style w:type="paragraph" w:customStyle="1" w:styleId="255">
    <w:name w:val="列出段落2"/>
    <w:basedOn w:val="1"/>
    <w:qFormat/>
    <w:uiPriority w:val="34"/>
    <w:pPr>
      <w:spacing w:line="440" w:lineRule="exact"/>
      <w:ind w:firstLine="420" w:firstLineChars="200"/>
    </w:pPr>
    <w:rPr>
      <w:rFonts w:eastAsia="仿宋_GB2312"/>
      <w:sz w:val="24"/>
    </w:rPr>
  </w:style>
  <w:style w:type="paragraph" w:customStyle="1" w:styleId="256">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7">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列出段落21"/>
    <w:basedOn w:val="1"/>
    <w:qFormat/>
    <w:uiPriority w:val="0"/>
    <w:pPr>
      <w:ind w:firstLine="420" w:firstLineChars="200"/>
    </w:pPr>
    <w:rPr>
      <w:rFonts w:ascii="Calibri" w:hAnsi="Calibri"/>
      <w:szCs w:val="22"/>
    </w:rPr>
  </w:style>
  <w:style w:type="paragraph" w:customStyle="1" w:styleId="259">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1">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_Style 151"/>
    <w:basedOn w:val="1"/>
    <w:qFormat/>
    <w:uiPriority w:val="0"/>
    <w:rPr>
      <w:rFonts w:ascii="Tahoma" w:hAnsi="Tahoma"/>
      <w:sz w:val="24"/>
      <w:szCs w:val="20"/>
    </w:rPr>
  </w:style>
  <w:style w:type="paragraph" w:customStyle="1" w:styleId="265">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6">
    <w:name w:val="font01"/>
    <w:basedOn w:val="45"/>
    <w:qFormat/>
    <w:uiPriority w:val="0"/>
    <w:rPr>
      <w:rFonts w:hint="eastAsia" w:ascii="宋体" w:hAnsi="宋体" w:eastAsia="宋体" w:cs="宋体"/>
      <w:color w:val="000000"/>
      <w:sz w:val="22"/>
      <w:szCs w:val="22"/>
      <w:u w:val="none"/>
    </w:rPr>
  </w:style>
  <w:style w:type="character" w:customStyle="1" w:styleId="267">
    <w:name w:val="font11"/>
    <w:basedOn w:val="45"/>
    <w:qFormat/>
    <w:uiPriority w:val="0"/>
    <w:rPr>
      <w:rFonts w:hint="eastAsia" w:ascii="宋体" w:hAnsi="宋体" w:eastAsia="宋体" w:cs="宋体"/>
      <w:color w:val="FF0000"/>
      <w:sz w:val="22"/>
      <w:szCs w:val="22"/>
      <w:u w:val="none"/>
    </w:rPr>
  </w:style>
  <w:style w:type="character" w:customStyle="1" w:styleId="268">
    <w:name w:val="font41"/>
    <w:basedOn w:val="45"/>
    <w:qFormat/>
    <w:uiPriority w:val="0"/>
    <w:rPr>
      <w:rFonts w:hint="default" w:ascii="等线" w:hAnsi="等线" w:eastAsia="等线" w:cs="等线"/>
      <w:color w:val="FF0000"/>
      <w:sz w:val="22"/>
      <w:szCs w:val="22"/>
      <w:u w:val="none"/>
    </w:rPr>
  </w:style>
  <w:style w:type="character" w:customStyle="1" w:styleId="269">
    <w:name w:val="font21"/>
    <w:basedOn w:val="45"/>
    <w:qFormat/>
    <w:uiPriority w:val="0"/>
    <w:rPr>
      <w:rFonts w:hint="default" w:ascii="等线" w:hAnsi="等线" w:eastAsia="等线" w:cs="等线"/>
      <w:color w:val="000000"/>
      <w:sz w:val="22"/>
      <w:szCs w:val="22"/>
      <w:u w:val="none"/>
    </w:rPr>
  </w:style>
  <w:style w:type="character" w:customStyle="1" w:styleId="270">
    <w:name w:val="font51"/>
    <w:basedOn w:val="45"/>
    <w:qFormat/>
    <w:uiPriority w:val="0"/>
    <w:rPr>
      <w:rFonts w:hint="default" w:ascii="等线" w:hAnsi="等线" w:eastAsia="等线" w:cs="等线"/>
      <w:color w:val="FF0000"/>
      <w:sz w:val="22"/>
      <w:szCs w:val="22"/>
      <w:u w:val="none"/>
    </w:rPr>
  </w:style>
  <w:style w:type="character" w:customStyle="1" w:styleId="271">
    <w:name w:val="font61"/>
    <w:basedOn w:val="45"/>
    <w:qFormat/>
    <w:uiPriority w:val="0"/>
    <w:rPr>
      <w:rFonts w:hint="default" w:ascii="等线" w:hAnsi="等线" w:eastAsia="等线" w:cs="等线"/>
      <w:color w:val="000000"/>
      <w:sz w:val="22"/>
      <w:szCs w:val="22"/>
      <w:u w:val="none"/>
    </w:rPr>
  </w:style>
  <w:style w:type="paragraph" w:customStyle="1" w:styleId="27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7">
    <w:name w:val="未处理的提及1"/>
    <w:basedOn w:val="45"/>
    <w:semiHidden/>
    <w:unhideWhenUsed/>
    <w:qFormat/>
    <w:uiPriority w:val="99"/>
    <w:rPr>
      <w:color w:val="605E5C"/>
      <w:shd w:val="clear" w:color="auto" w:fill="E1DFDD"/>
    </w:rPr>
  </w:style>
  <w:style w:type="paragraph" w:customStyle="1" w:styleId="278">
    <w:name w:val="p15"/>
    <w:basedOn w:val="1"/>
    <w:qFormat/>
    <w:uiPriority w:val="0"/>
    <w:pPr>
      <w:widowControl/>
      <w:adjustRightInd w:val="0"/>
    </w:pPr>
    <w:rPr>
      <w:rFonts w:ascii="宋体" w:hAnsi="宋体" w:cs="宋体"/>
      <w:kern w:val="0"/>
      <w:sz w:val="20"/>
      <w:szCs w:val="20"/>
    </w:rPr>
  </w:style>
  <w:style w:type="character" w:customStyle="1" w:styleId="279">
    <w:name w:val="bookmark-item"/>
    <w:basedOn w:val="45"/>
    <w:qFormat/>
    <w:uiPriority w:val="0"/>
  </w:style>
  <w:style w:type="paragraph" w:customStyle="1" w:styleId="280">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1">
    <w:name w:val="题注 字符"/>
    <w:link w:val="14"/>
    <w:qFormat/>
    <w:uiPriority w:val="0"/>
    <w:rPr>
      <w:rFonts w:ascii="Calibri" w:hAnsi="Calibri"/>
      <w:kern w:val="2"/>
    </w:rPr>
  </w:style>
  <w:style w:type="paragraph" w:customStyle="1" w:styleId="282">
    <w:name w:val="索引 11"/>
    <w:basedOn w:val="1"/>
    <w:next w:val="1"/>
    <w:qFormat/>
    <w:uiPriority w:val="99"/>
    <w:pPr>
      <w:spacing w:line="360" w:lineRule="auto"/>
    </w:pPr>
    <w:rPr>
      <w:rFonts w:ascii="仿宋_GB2312" w:eastAsia="仿宋_GB2312"/>
      <w:sz w:val="24"/>
      <w:szCs w:val="20"/>
    </w:rPr>
  </w:style>
  <w:style w:type="paragraph" w:customStyle="1" w:styleId="283">
    <w:name w:val="正文缩进1"/>
    <w:basedOn w:val="1"/>
    <w:next w:val="18"/>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4">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5">
    <w:name w:val="页脚 Char2"/>
    <w:qFormat/>
    <w:locked/>
    <w:uiPriority w:val="99"/>
    <w:rPr>
      <w:kern w:val="2"/>
      <w:sz w:val="18"/>
      <w:szCs w:val="18"/>
    </w:rPr>
  </w:style>
  <w:style w:type="character" w:customStyle="1" w:styleId="286">
    <w:name w:val="页眉 Char2"/>
    <w:qFormat/>
    <w:uiPriority w:val="99"/>
    <w:rPr>
      <w:kern w:val="2"/>
      <w:sz w:val="18"/>
      <w:szCs w:val="18"/>
    </w:rPr>
  </w:style>
  <w:style w:type="paragraph" w:customStyle="1" w:styleId="287">
    <w:name w:val="目录 71"/>
    <w:next w:val="1"/>
    <w:qFormat/>
    <w:uiPriority w:val="99"/>
    <w:pPr>
      <w:wordWrap w:val="0"/>
      <w:ind w:left="2550"/>
      <w:jc w:val="both"/>
    </w:pPr>
    <w:rPr>
      <w:rFonts w:ascii="Times New Roman" w:hAnsi="Times New Roman" w:eastAsia="宋体" w:cs="Times New Roman"/>
      <w:sz w:val="21"/>
      <w:szCs w:val="22"/>
      <w:lang w:val="en-US" w:eastAsia="zh-CN" w:bidi="ar-SA"/>
    </w:rPr>
  </w:style>
  <w:style w:type="paragraph" w:customStyle="1" w:styleId="288">
    <w:name w:val="宋体小四"/>
    <w:qFormat/>
    <w:uiPriority w:val="99"/>
    <w:pPr>
      <w:widowControl w:val="0"/>
      <w:spacing w:line="300" w:lineRule="auto"/>
      <w:ind w:firstLine="480" w:firstLineChars="200"/>
      <w:jc w:val="both"/>
    </w:pPr>
    <w:rPr>
      <w:rFonts w:ascii="宋体" w:hAnsi="宋体" w:eastAsia="宋体" w:cs="Times New Roman"/>
      <w:kern w:val="2"/>
      <w:sz w:val="24"/>
      <w:szCs w:val="24"/>
      <w:lang w:val="en-US" w:eastAsia="zh-CN" w:bidi="ar-SA"/>
    </w:rPr>
  </w:style>
  <w:style w:type="paragraph" w:customStyle="1" w:styleId="289">
    <w:name w:val="正文_0"/>
    <w:qFormat/>
    <w:uiPriority w:val="99"/>
    <w:rPr>
      <w:rFonts w:ascii="Times New Roman" w:hAnsi="Times New Roman" w:eastAsia="宋体" w:cs="Times New Roman"/>
      <w:sz w:val="21"/>
      <w:lang w:val="en-US" w:eastAsia="zh-CN" w:bidi="ar-SA"/>
    </w:rPr>
  </w:style>
  <w:style w:type="paragraph" w:customStyle="1" w:styleId="290">
    <w:name w:val="Body Text Indent1"/>
    <w:basedOn w:val="1"/>
    <w:qFormat/>
    <w:uiPriority w:val="0"/>
    <w:pPr>
      <w:spacing w:after="120"/>
      <w:ind w:left="420" w:leftChars="200"/>
    </w:pPr>
  </w:style>
  <w:style w:type="paragraph" w:customStyle="1" w:styleId="291">
    <w:name w:val="Body Text First Indent 21"/>
    <w:basedOn w:val="290"/>
    <w:qFormat/>
    <w:uiPriority w:val="0"/>
    <w:pPr>
      <w:ind w:firstLine="420"/>
    </w:pPr>
  </w:style>
  <w:style w:type="character" w:customStyle="1" w:styleId="292">
    <w:name w:val="正文缩进 Char1"/>
    <w:qFormat/>
    <w:uiPriority w:val="0"/>
    <w:rPr>
      <w:rFonts w:ascii="Times New Roman" w:hAnsi="Times New Roman" w:eastAsia="宋体" w:cs="Times New Roman"/>
      <w:szCs w:val="20"/>
    </w:rPr>
  </w:style>
  <w:style w:type="character" w:customStyle="1" w:styleId="293">
    <w:name w:val="纯文本 Char2"/>
    <w:qFormat/>
    <w:uiPriority w:val="0"/>
    <w:rPr>
      <w:rFonts w:ascii="宋体" w:hAnsi="Courier New" w:eastAsia="宋体" w:cs="Times New Roman"/>
      <w:szCs w:val="21"/>
    </w:rPr>
  </w:style>
  <w:style w:type="paragraph" w:styleId="294">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5">
    <w:name w:val="正文_5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6">
    <w:name w:val="表格标题"/>
    <w:basedOn w:val="297"/>
    <w:qFormat/>
    <w:uiPriority w:val="0"/>
    <w:pPr>
      <w:jc w:val="center"/>
    </w:pPr>
    <w:rPr>
      <w:b/>
    </w:rPr>
  </w:style>
  <w:style w:type="paragraph" w:customStyle="1" w:styleId="297">
    <w:name w:val="表格正文"/>
    <w:basedOn w:val="2"/>
    <w:qFormat/>
    <w:uiPriority w:val="0"/>
    <w:pPr>
      <w:widowControl/>
      <w:ind w:firstLine="0" w:firstLineChars="0"/>
      <w:jc w:val="left"/>
    </w:pPr>
    <w:rPr>
      <w:bCs/>
    </w:rPr>
  </w:style>
  <w:style w:type="character" w:customStyle="1" w:styleId="298">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emf"/><Relationship Id="rId16" Type="http://schemas.openxmlformats.org/officeDocument/2006/relationships/oleObject" Target="embeddings/oleObject3.bin"/><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A2E085-9F55-4611-8F5D-5781F0CE65E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91</Pages>
  <Words>52454</Words>
  <Characters>56800</Characters>
  <Lines>474</Lines>
  <Paragraphs>133</Paragraphs>
  <TotalTime>1</TotalTime>
  <ScaleCrop>false</ScaleCrop>
  <LinksUpToDate>false</LinksUpToDate>
  <CharactersWithSpaces>63804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2022-03-11T02:57:00Z</dcterms:created>
  <dc:creator>USER</dc:creator>
  <cp:lastModifiedBy>ASUS</cp:lastModifiedBy>
  <cp:lastPrinted>2022-10-21T07:36:00Z</cp:lastPrinted>
  <dcterms:modified xsi:type="dcterms:W3CDTF">2022-11-10T05:17:01Z</dcterms:modified>
  <dc:title>绍兴文理学院计算机机房设备及录播系统供货项目</dc:title>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DDC61574D323475F96F7AC3E491A9953</vt:lpwstr>
  </property>
</Properties>
</file>