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w:t>
      </w:r>
    </w:p>
    <w:p>
      <w:pPr>
        <w:jc w:val="center"/>
        <w:outlineLvl w:val="0"/>
        <w:rPr>
          <w:rFonts w:ascii="仿宋" w:hAnsi="仿宋" w:eastAsia="仿宋" w:cs="仿宋"/>
          <w:sz w:val="44"/>
        </w:rPr>
      </w:pPr>
      <w:r>
        <w:rPr>
          <w:rFonts w:hint="eastAsia" w:ascii="仿宋" w:hAnsi="仿宋" w:eastAsia="仿宋" w:cs="仿宋"/>
          <w:b/>
          <w:spacing w:val="-12"/>
          <w:sz w:val="48"/>
          <w:szCs w:val="48"/>
        </w:rPr>
        <w:t>数字化病案第三方托管项目</w:t>
      </w:r>
    </w:p>
    <w:p>
      <w:pPr>
        <w:pStyle w:val="3"/>
      </w:pPr>
    </w:p>
    <w:p/>
    <w:p>
      <w:pPr>
        <w:pStyle w:val="3"/>
      </w:pPr>
    </w:p>
    <w:p/>
    <w:p>
      <w:pPr>
        <w:pStyle w:val="3"/>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r>
        <w:rPr>
          <w:rFonts w:hint="eastAsia" w:ascii="仿宋" w:hAnsi="仿宋" w:eastAsia="仿宋" w:cs="仿宋"/>
          <w:sz w:val="44"/>
        </w:rPr>
        <w:t>（电子招投标）</w:t>
      </w:r>
    </w:p>
    <w:p>
      <w:pP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招标编号:HCSF-2022-030</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12"/>
                <w:w w:val="93"/>
                <w:kern w:val="0"/>
                <w:sz w:val="28"/>
                <w:szCs w:val="28"/>
              </w:rPr>
              <w:t>采购代理机</w:t>
            </w:r>
            <w:r>
              <w:rPr>
                <w:rFonts w:hint="eastAsia" w:ascii="仿宋" w:hAnsi="仿宋" w:eastAsia="仿宋" w:cs="仿宋"/>
                <w:w w:val="93"/>
                <w:kern w:val="0"/>
                <w:sz w:val="28"/>
                <w:szCs w:val="28"/>
              </w:rPr>
              <w:t>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420"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二○二二年</w:t>
            </w:r>
            <w:r>
              <w:rPr>
                <w:rFonts w:hint="eastAsia" w:ascii="仿宋" w:hAnsi="仿宋" w:eastAsia="仿宋" w:cs="仿宋"/>
                <w:sz w:val="28"/>
                <w:szCs w:val="28"/>
                <w:lang w:val="en-US" w:eastAsia="zh-CN"/>
              </w:rPr>
              <w:t>十</w:t>
            </w:r>
            <w:r>
              <w:rPr>
                <w:rFonts w:hint="eastAsia" w:ascii="仿宋" w:hAnsi="仿宋" w:eastAsia="仿宋" w:cs="仿宋"/>
                <w:sz w:val="28"/>
                <w:szCs w:val="28"/>
              </w:rPr>
              <w:t>月</w:t>
            </w:r>
          </w:p>
        </w:tc>
      </w:tr>
    </w:tbl>
    <w:p>
      <w:pPr>
        <w:jc w:val="center"/>
        <w:rPr>
          <w:rFonts w:ascii="仿宋" w:hAnsi="仿宋" w:eastAsia="仿宋" w:cs="仿宋"/>
          <w:b/>
          <w:sz w:val="44"/>
          <w:szCs w:val="44"/>
        </w:rPr>
        <w:sectPr>
          <w:headerReference r:id="rId4" w:type="first"/>
          <w:headerReference r:id="rId3" w:type="default"/>
          <w:footerReference r:id="rId5" w:type="default"/>
          <w:pgSz w:w="11907" w:h="16840"/>
          <w:pgMar w:top="1474" w:right="1814" w:bottom="1474" w:left="1814" w:header="851" w:footer="851" w:gutter="0"/>
          <w:pgNumType w:start="3"/>
          <w:cols w:space="720" w:num="1"/>
          <w:titlePg/>
          <w:docGrid w:linePitch="286" w:charSpace="0"/>
        </w:sectPr>
      </w:pPr>
    </w:p>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c>
          <w:tcPr>
            <w:tcW w:w="8279" w:type="dxa"/>
            <w:vAlign w:val="center"/>
          </w:tcPr>
          <w:p>
            <w:pPr>
              <w:rPr>
                <w:rFonts w:ascii="仿宋" w:hAnsi="仿宋" w:eastAsia="仿宋" w:cs="仿宋"/>
              </w:rPr>
            </w:pPr>
            <w:r>
              <w:rPr>
                <w:rFonts w:hint="eastAsia" w:ascii="仿宋" w:hAnsi="仿宋" w:eastAsia="仿宋" w:cs="仿宋"/>
              </w:rPr>
              <w:br w:type="page"/>
            </w:r>
          </w:p>
          <w:tbl>
            <w:tblPr>
              <w:tblStyle w:val="42"/>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8" w:hRule="atLeast"/>
              </w:trPr>
              <w:tc>
                <w:tcPr>
                  <w:tcW w:w="8130" w:type="dxa"/>
                </w:tcPr>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项目概况：</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绍兴市人民医院数字化病案第三方托管项目的潜在投标人应在</w:t>
                  </w:r>
                  <w:r>
                    <w:rPr>
                      <w:rStyle w:val="278"/>
                      <w:rFonts w:hint="eastAsia" w:ascii="仿宋" w:hAnsi="仿宋" w:eastAsia="仿宋" w:cs="仿宋"/>
                      <w:sz w:val="27"/>
                      <w:szCs w:val="27"/>
                    </w:rPr>
                    <w:t>https://www.zcygov.cn</w:t>
                  </w:r>
                  <w:r>
                    <w:rPr>
                      <w:rFonts w:hint="eastAsia" w:ascii="仿宋" w:hAnsi="仿宋" w:eastAsia="仿宋" w:cs="仿宋"/>
                      <w:szCs w:val="24"/>
                    </w:rPr>
                    <w:t xml:space="preserve">获取（下载）招标文件，并于2022年 </w:t>
                  </w:r>
                  <w:r>
                    <w:rPr>
                      <w:rFonts w:hint="eastAsia" w:ascii="仿宋" w:hAnsi="仿宋" w:eastAsia="仿宋" w:cs="仿宋"/>
                      <w:szCs w:val="24"/>
                      <w:lang w:val="en-US" w:eastAsia="zh-CN"/>
                    </w:rPr>
                    <w:t>11</w:t>
                  </w:r>
                  <w:r>
                    <w:rPr>
                      <w:rFonts w:hint="eastAsia" w:ascii="仿宋" w:hAnsi="仿宋" w:eastAsia="仿宋" w:cs="仿宋"/>
                      <w:szCs w:val="24"/>
                    </w:rPr>
                    <w:t xml:space="preserve"> 月</w:t>
                  </w:r>
                  <w:r>
                    <w:rPr>
                      <w:rFonts w:hint="eastAsia" w:ascii="仿宋" w:hAnsi="仿宋" w:eastAsia="仿宋" w:cs="仿宋"/>
                      <w:szCs w:val="24"/>
                      <w:lang w:val="en-US" w:eastAsia="zh-CN"/>
                    </w:rPr>
                    <w:t>15</w:t>
                  </w:r>
                  <w:r>
                    <w:rPr>
                      <w:rFonts w:hint="eastAsia" w:ascii="仿宋" w:hAnsi="仿宋" w:eastAsia="仿宋" w:cs="仿宋"/>
                      <w:szCs w:val="24"/>
                    </w:rPr>
                    <w:t>日</w:t>
                  </w:r>
                  <w:r>
                    <w:rPr>
                      <w:rFonts w:hint="eastAsia" w:ascii="仿宋" w:hAnsi="仿宋" w:eastAsia="仿宋" w:cs="仿宋"/>
                      <w:szCs w:val="24"/>
                      <w:lang w:val="en-US" w:eastAsia="zh-CN"/>
                    </w:rPr>
                    <w:t>14:30（</w:t>
                  </w:r>
                  <w:r>
                    <w:rPr>
                      <w:rFonts w:hint="eastAsia" w:ascii="仿宋" w:hAnsi="仿宋" w:eastAsia="仿宋" w:cs="仿宋"/>
                      <w:szCs w:val="24"/>
                    </w:rPr>
                    <w:t>北京时间）前递交（上传）投标文件。</w:t>
                  </w:r>
                </w:p>
              </w:tc>
            </w:tr>
          </w:tbl>
          <w:p>
            <w:pPr>
              <w:pStyle w:val="83"/>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83"/>
              <w:spacing w:afterLines="0" w:line="440" w:lineRule="exact"/>
              <w:ind w:firstLine="480"/>
              <w:rPr>
                <w:rFonts w:ascii="仿宋" w:hAnsi="仿宋" w:eastAsia="仿宋" w:cs="仿宋"/>
              </w:rPr>
            </w:pPr>
            <w:r>
              <w:rPr>
                <w:rFonts w:hint="eastAsia" w:ascii="仿宋" w:hAnsi="仿宋" w:eastAsia="仿宋" w:cs="仿宋"/>
                <w:szCs w:val="24"/>
              </w:rPr>
              <w:t>项目编号：</w:t>
            </w:r>
            <w:r>
              <w:rPr>
                <w:rFonts w:hint="eastAsia" w:ascii="仿宋" w:hAnsi="仿宋" w:eastAsia="仿宋" w:cs="仿宋"/>
              </w:rPr>
              <w:t>HCSF-2022-030</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项目名称：绍兴市人民医院数字化病案第三方托管项目</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预算金额（元）：435000</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最高限价（元）：435000</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采购需求：详见招标文件</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标项一:</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标项名称: 绍兴市人民医院数字化病案第三方托管项目</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数量（项）:1</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预算金额（元）: 435000</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备注：无</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本项目（是）接受联合体投标。</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83"/>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3"/>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83"/>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F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785" w:firstLineChars="374"/>
              <w:rPr>
                <w:rFonts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F0FE"/>
                </w:r>
              </w:sdtContent>
            </w:sdt>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4.本项目的特定资格要求：无</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三、获取招标文件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xml:space="preserve">时间：/至2022年  </w:t>
            </w:r>
            <w:r>
              <w:rPr>
                <w:rFonts w:hint="eastAsia" w:ascii="仿宋" w:hAnsi="仿宋" w:eastAsia="仿宋" w:cs="仿宋"/>
                <w:szCs w:val="24"/>
                <w:lang w:val="en-US" w:eastAsia="zh-CN"/>
              </w:rPr>
              <w:t>11</w:t>
            </w:r>
            <w:r>
              <w:rPr>
                <w:rFonts w:hint="eastAsia" w:ascii="仿宋" w:hAnsi="仿宋" w:eastAsia="仿宋" w:cs="仿宋"/>
                <w:szCs w:val="24"/>
              </w:rPr>
              <w:t xml:space="preserve"> 月</w:t>
            </w:r>
            <w:r>
              <w:rPr>
                <w:rFonts w:hint="eastAsia" w:ascii="仿宋" w:hAnsi="仿宋" w:eastAsia="仿宋" w:cs="仿宋"/>
                <w:szCs w:val="24"/>
                <w:lang w:val="en-US" w:eastAsia="zh-CN"/>
              </w:rPr>
              <w:t>15</w:t>
            </w:r>
            <w:r>
              <w:rPr>
                <w:rFonts w:hint="eastAsia" w:ascii="仿宋" w:hAnsi="仿宋" w:eastAsia="仿宋" w:cs="仿宋"/>
                <w:szCs w:val="24"/>
              </w:rPr>
              <w:t>日，每天上午00:00至12:00 ，下午12:00至23:59（北京时间，线上获取法定节假日均可，线下获取文件法定节假日除外）</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售价（元）：0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xml:space="preserve">提交投标文件截止时间：2022年 </w:t>
            </w:r>
            <w:r>
              <w:rPr>
                <w:rFonts w:hint="eastAsia" w:ascii="仿宋" w:hAnsi="仿宋" w:eastAsia="仿宋" w:cs="仿宋"/>
                <w:szCs w:val="24"/>
                <w:lang w:val="en-US" w:eastAsia="zh-CN"/>
              </w:rPr>
              <w:t>11</w:t>
            </w:r>
            <w:r>
              <w:rPr>
                <w:rFonts w:hint="eastAsia" w:ascii="仿宋" w:hAnsi="仿宋" w:eastAsia="仿宋" w:cs="仿宋"/>
                <w:szCs w:val="24"/>
              </w:rPr>
              <w:t xml:space="preserve"> 月</w:t>
            </w:r>
            <w:r>
              <w:rPr>
                <w:rFonts w:hint="eastAsia" w:ascii="仿宋" w:hAnsi="仿宋" w:eastAsia="仿宋" w:cs="仿宋"/>
                <w:szCs w:val="24"/>
                <w:lang w:val="en-US" w:eastAsia="zh-CN"/>
              </w:rPr>
              <w:t>15</w:t>
            </w:r>
            <w:r>
              <w:rPr>
                <w:rFonts w:hint="eastAsia" w:ascii="仿宋" w:hAnsi="仿宋" w:eastAsia="仿宋" w:cs="仿宋"/>
                <w:szCs w:val="24"/>
              </w:rPr>
              <w:t>日</w:t>
            </w:r>
            <w:r>
              <w:rPr>
                <w:rFonts w:hint="eastAsia" w:ascii="仿宋" w:hAnsi="仿宋" w:eastAsia="仿宋" w:cs="仿宋"/>
                <w:szCs w:val="24"/>
                <w:lang w:val="en-US" w:eastAsia="zh-CN"/>
              </w:rPr>
              <w:t>14:30</w:t>
            </w:r>
            <w:r>
              <w:rPr>
                <w:rFonts w:hint="eastAsia" w:ascii="仿宋" w:hAnsi="仿宋" w:eastAsia="仿宋" w:cs="仿宋"/>
                <w:szCs w:val="24"/>
              </w:rPr>
              <w:t>（北京时间）</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投标地点（网址）：政采云平台</w:t>
            </w:r>
            <w:r>
              <w:rPr>
                <w:rFonts w:hint="eastAsia" w:ascii="仿宋" w:hAnsi="仿宋" w:eastAsia="仿宋" w:cs="仿宋"/>
                <w:bCs/>
              </w:rPr>
              <w:t>http://www.zcygov.cn/</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 xml:space="preserve">开标时间：2022年 </w:t>
            </w:r>
            <w:r>
              <w:rPr>
                <w:rFonts w:hint="eastAsia" w:ascii="仿宋" w:hAnsi="仿宋" w:eastAsia="仿宋" w:cs="仿宋"/>
                <w:szCs w:val="24"/>
                <w:lang w:val="en-US" w:eastAsia="zh-CN"/>
              </w:rPr>
              <w:t>11</w:t>
            </w:r>
            <w:r>
              <w:rPr>
                <w:rFonts w:hint="eastAsia" w:ascii="仿宋" w:hAnsi="仿宋" w:eastAsia="仿宋" w:cs="仿宋"/>
                <w:szCs w:val="24"/>
              </w:rPr>
              <w:t xml:space="preserve"> 月</w:t>
            </w:r>
            <w:r>
              <w:rPr>
                <w:rFonts w:hint="eastAsia" w:ascii="仿宋" w:hAnsi="仿宋" w:eastAsia="仿宋" w:cs="仿宋"/>
                <w:szCs w:val="24"/>
                <w:lang w:val="en-US" w:eastAsia="zh-CN"/>
              </w:rPr>
              <w:t>15</w:t>
            </w:r>
            <w:r>
              <w:rPr>
                <w:rFonts w:hint="eastAsia" w:ascii="仿宋" w:hAnsi="仿宋" w:eastAsia="仿宋" w:cs="仿宋"/>
                <w:szCs w:val="24"/>
              </w:rPr>
              <w:t>日</w:t>
            </w:r>
            <w:r>
              <w:rPr>
                <w:rFonts w:hint="eastAsia" w:ascii="仿宋" w:hAnsi="仿宋" w:eastAsia="仿宋" w:cs="仿宋"/>
                <w:szCs w:val="24"/>
                <w:lang w:val="en-US" w:eastAsia="zh-CN"/>
              </w:rPr>
              <w:t>14:30</w:t>
            </w:r>
            <w:bookmarkStart w:id="169" w:name="_GoBack"/>
            <w:bookmarkEnd w:id="169"/>
            <w:r>
              <w:rPr>
                <w:rFonts w:hint="eastAsia" w:ascii="仿宋" w:hAnsi="仿宋" w:eastAsia="仿宋" w:cs="仿宋"/>
                <w:szCs w:val="24"/>
              </w:rPr>
              <w:t>（北京时间）</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开标地点（网址）：绍兴市越城区越西路800号金德隆商业中心8幢二楼华诚工程咨询集团有限公司二楼开标室，在政府采购云平台（www.zcygov.cn）上开启响应文件。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五、公告期限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六、其他补充事宜</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七、对本次采购提出询问、质疑、投诉，请按以下方式联系</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r>
              <w:rPr>
                <w:rFonts w:hint="eastAsia" w:ascii="仿宋" w:hAnsi="仿宋" w:eastAsia="仿宋" w:cs="仿宋"/>
                <w:szCs w:val="24"/>
              </w:rPr>
              <w:t>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项目联系人（询问）： 高强</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项目联系方式（询问）：0575-88558837</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质疑联系人：沈少卿</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名称：华诚工程咨询集团有限公司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项目联系人（询问）：毕龙梅</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质疑联系人：柯翔郎</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联系人 ：宋晓林       </w:t>
            </w:r>
          </w:p>
          <w:p>
            <w:pPr>
              <w:pStyle w:val="83"/>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p>
          <w:p>
            <w:pPr>
              <w:pStyle w:val="83"/>
              <w:spacing w:afterLines="0" w:line="440" w:lineRule="exact"/>
              <w:ind w:firstLine="480"/>
              <w:jc w:val="left"/>
              <w:rPr>
                <w:rFonts w:ascii="仿宋" w:hAnsi="仿宋" w:eastAsia="仿宋" w:cs="仿宋"/>
                <w:szCs w:val="24"/>
              </w:rPr>
            </w:pP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若对项目采购电子交易系统操作有疑问，可登录政采云（https://www.zcygov.cn/），点击右侧咨询小采，获取采小蜜智能服务管家帮助，或拨打政采云服务热线400-881-7190获取热线服务帮助。</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kern w:val="0"/>
                  <w:sz w:val="24"/>
                </w:rPr>
                <w:id w:val="2547831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rPr>
                <w:rFonts w:ascii="仿宋" w:hAnsi="仿宋" w:eastAsia="仿宋" w:cs="仿宋"/>
                <w:b/>
                <w:sz w:val="24"/>
              </w:rPr>
            </w:pPr>
            <w:r>
              <w:rPr>
                <w:rFonts w:hint="eastAsia" w:ascii="仿宋" w:hAnsi="仿宋" w:eastAsia="仿宋" w:cs="仿宋"/>
                <w:b/>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b/>
                <w:sz w:val="24"/>
              </w:rPr>
            </w:pPr>
            <w:sdt>
              <w:sdtPr>
                <w:rPr>
                  <w:rFonts w:hint="eastAsia" w:ascii="仿宋" w:hAnsi="仿宋" w:eastAsia="仿宋" w:cs="仿宋"/>
                  <w:b/>
                  <w:sz w:val="24"/>
                </w:rPr>
                <w:id w:val="801731539"/>
              </w:sdtPr>
              <w:sdtEndPr>
                <w:rPr>
                  <w:rFonts w:hint="eastAsia" w:ascii="仿宋" w:hAnsi="仿宋" w:eastAsia="仿宋" w:cs="仿宋"/>
                  <w:b/>
                  <w:sz w:val="24"/>
                </w:rPr>
              </w:sdtEndPr>
              <w:sdtContent>
                <w:sdt>
                  <w:sdtPr>
                    <w:rPr>
                      <w:rFonts w:hint="eastAsia" w:ascii="仿宋" w:hAnsi="仿宋" w:eastAsia="仿宋" w:cs="仿宋"/>
                      <w:b/>
                      <w:sz w:val="24"/>
                    </w:rPr>
                    <w:id w:val="-1281644016"/>
                  </w:sdtPr>
                  <w:sdtEndPr>
                    <w:rPr>
                      <w:rFonts w:hint="eastAsia" w:ascii="仿宋" w:hAnsi="仿宋" w:eastAsia="仿宋" w:cs="仿宋"/>
                      <w:b/>
                      <w:sz w:val="24"/>
                    </w:rPr>
                  </w:sdtEndPr>
                  <w:sdtContent>
                    <w:r>
                      <w:rPr>
                        <w:rFonts w:hint="eastAsia" w:ascii="仿宋" w:hAnsi="仿宋" w:eastAsia="仿宋" w:cs="仿宋"/>
                        <w:b/>
                        <w:sz w:val="24"/>
                      </w:rPr>
                      <w:sym w:font="Wingdings" w:char="00FE"/>
                    </w:r>
                  </w:sdtContent>
                </w:sdt>
              </w:sdtContent>
            </w:sdt>
            <w:r>
              <w:rPr>
                <w:rFonts w:hint="eastAsia" w:ascii="仿宋" w:hAnsi="仿宋" w:eastAsia="仿宋" w:cs="仿宋"/>
                <w:b/>
                <w:sz w:val="24"/>
              </w:rPr>
              <w:t>A无方案讲解演示。</w:t>
            </w:r>
          </w:p>
          <w:p>
            <w:pPr>
              <w:spacing w:line="440" w:lineRule="exact"/>
              <w:rPr>
                <w:rFonts w:ascii="仿宋" w:hAnsi="仿宋" w:eastAsia="仿宋" w:cs="仿宋"/>
                <w:b/>
                <w:sz w:val="24"/>
              </w:rPr>
            </w:pPr>
            <w:r>
              <w:rPr>
                <w:rFonts w:hint="eastAsia" w:ascii="仿宋" w:hAnsi="仿宋" w:eastAsia="仿宋" w:cs="仿宋"/>
                <w:b/>
                <w:sz w:val="24"/>
              </w:rPr>
              <w:sym w:font="Wingdings 2" w:char="00A3"/>
            </w:r>
            <w:r>
              <w:rPr>
                <w:rFonts w:hint="eastAsia" w:ascii="仿宋" w:hAnsi="仿宋" w:eastAsia="仿宋" w:cs="仿宋"/>
                <w:b/>
                <w:sz w:val="24"/>
              </w:rPr>
              <w:t>B有方案讲解演示：</w:t>
            </w:r>
          </w:p>
          <w:p>
            <w:pPr>
              <w:spacing w:line="360" w:lineRule="auto"/>
              <w:rPr>
                <w:rFonts w:ascii="仿宋" w:hAnsi="仿宋" w:eastAsia="仿宋" w:cs="仿宋"/>
                <w:sz w:val="24"/>
                <w:lang w:val="zh-CN"/>
              </w:rPr>
            </w:pPr>
            <w:r>
              <w:rPr>
                <w:rFonts w:hint="eastAsia" w:ascii="仿宋" w:hAnsi="仿宋" w:eastAsia="仿宋" w:cs="仿宋"/>
                <w:sz w:val="24"/>
                <w:lang w:val="zh-CN"/>
              </w:rPr>
              <w:t>在评标时安排每个投标人进行</w:t>
            </w:r>
            <w:r>
              <w:rPr>
                <w:rFonts w:hint="eastAsia" w:ascii="仿宋" w:hAnsi="仿宋" w:eastAsia="仿宋" w:cs="仿宋"/>
                <w:sz w:val="24"/>
              </w:rPr>
              <w:t>方案讲解演示</w:t>
            </w:r>
            <w:r>
              <w:rPr>
                <w:rFonts w:hint="eastAsia" w:ascii="仿宋" w:hAnsi="仿宋" w:eastAsia="仿宋" w:cs="仿宋"/>
                <w:sz w:val="24"/>
                <w:lang w:val="zh-CN"/>
              </w:rPr>
              <w:t>，讲解</w:t>
            </w:r>
            <w:r>
              <w:rPr>
                <w:rFonts w:hint="eastAsia" w:ascii="仿宋" w:hAnsi="仿宋" w:eastAsia="仿宋" w:cs="仿宋"/>
                <w:sz w:val="24"/>
              </w:rPr>
              <w:t>演示结束</w:t>
            </w:r>
            <w:r>
              <w:rPr>
                <w:rFonts w:hint="eastAsia" w:ascii="仿宋" w:hAnsi="仿宋" w:eastAsia="仿宋" w:cs="仿宋"/>
                <w:sz w:val="24"/>
                <w:lang w:val="zh-CN"/>
              </w:rPr>
              <w:t>后按要求解答评标委员会的提问。</w:t>
            </w:r>
          </w:p>
          <w:p>
            <w:pPr>
              <w:spacing w:line="360" w:lineRule="auto"/>
              <w:rPr>
                <w:rFonts w:ascii="仿宋" w:hAnsi="仿宋" w:eastAsia="仿宋" w:cs="仿宋"/>
                <w:sz w:val="24"/>
              </w:rPr>
            </w:pPr>
            <w:r>
              <w:rPr>
                <w:rFonts w:hint="eastAsia" w:ascii="仿宋" w:hAnsi="仿宋" w:eastAsia="仿宋" w:cs="仿宋"/>
                <w:b/>
                <w:sz w:val="24"/>
                <w:lang w:val="zh-CN"/>
              </w:rPr>
              <w:t>讲解演示设备：</w:t>
            </w:r>
            <w:r>
              <w:rPr>
                <w:rFonts w:hint="eastAsia" w:ascii="仿宋" w:hAnsi="仿宋" w:eastAsia="仿宋" w:cs="仿宋"/>
                <w:sz w:val="24"/>
                <w:lang w:val="zh-CN"/>
              </w:rPr>
              <w:t>讲解</w:t>
            </w:r>
            <w:r>
              <w:rPr>
                <w:rFonts w:hint="eastAsia" w:ascii="仿宋" w:hAnsi="仿宋" w:eastAsia="仿宋" w:cs="仿宋"/>
                <w:sz w:val="24"/>
              </w:rPr>
              <w:t>演示所需设备由投标人自行准备。</w:t>
            </w:r>
          </w:p>
          <w:p>
            <w:pPr>
              <w:spacing w:line="360" w:lineRule="auto"/>
              <w:rPr>
                <w:rFonts w:ascii="仿宋" w:hAnsi="仿宋" w:eastAsia="仿宋" w:cs="仿宋"/>
                <w:sz w:val="24"/>
                <w:lang w:val="zh-CN"/>
              </w:rPr>
            </w:pPr>
            <w:r>
              <w:rPr>
                <w:rFonts w:hint="eastAsia" w:ascii="仿宋" w:hAnsi="仿宋" w:eastAsia="仿宋" w:cs="仿宋"/>
                <w:b/>
                <w:sz w:val="24"/>
                <w:lang w:val="zh-CN"/>
              </w:rPr>
              <w:t>讲解演示时间：</w:t>
            </w:r>
            <w:r>
              <w:rPr>
                <w:rFonts w:hint="eastAsia" w:ascii="仿宋" w:hAnsi="仿宋" w:eastAsia="仿宋" w:cs="仿宋"/>
                <w:sz w:val="24"/>
                <w:lang w:val="zh-CN"/>
              </w:rPr>
              <w:t>每个投标人讲解演示前的调试准备时间不超过1</w:t>
            </w:r>
            <w:r>
              <w:rPr>
                <w:rFonts w:hint="eastAsia" w:ascii="仿宋" w:hAnsi="仿宋" w:eastAsia="仿宋" w:cs="仿宋"/>
                <w:sz w:val="24"/>
              </w:rPr>
              <w:t>5</w:t>
            </w:r>
            <w:r>
              <w:rPr>
                <w:rFonts w:hint="eastAsia" w:ascii="仿宋" w:hAnsi="仿宋" w:eastAsia="仿宋" w:cs="仿宋"/>
                <w:sz w:val="24"/>
                <w:lang w:val="zh-CN"/>
              </w:rPr>
              <w:t>分钟，讲解演示时间不超过15分钟，</w:t>
            </w:r>
            <w:r>
              <w:rPr>
                <w:rFonts w:hint="eastAsia" w:ascii="仿宋" w:hAnsi="仿宋" w:eastAsia="仿宋" w:cs="仿宋"/>
                <w:sz w:val="24"/>
              </w:rPr>
              <w:t>不包含评标委员会提问解答时间。</w:t>
            </w:r>
          </w:p>
          <w:p>
            <w:pPr>
              <w:spacing w:line="360" w:lineRule="auto"/>
              <w:rPr>
                <w:rFonts w:ascii="仿宋" w:hAnsi="仿宋" w:eastAsia="仿宋" w:cs="仿宋"/>
                <w:sz w:val="24"/>
                <w:lang w:val="zh-CN"/>
              </w:rPr>
            </w:pPr>
            <w:r>
              <w:rPr>
                <w:rFonts w:hint="eastAsia" w:ascii="仿宋" w:hAnsi="仿宋" w:eastAsia="仿宋" w:cs="仿宋"/>
                <w:sz w:val="24"/>
                <w:lang w:val="zh-CN"/>
              </w:rPr>
              <w:t>讲解演示次序：以政采云平台中</w:t>
            </w:r>
            <w:r>
              <w:rPr>
                <w:rFonts w:hint="eastAsia" w:ascii="仿宋" w:hAnsi="仿宋" w:eastAsia="仿宋" w:cs="仿宋"/>
                <w:sz w:val="24"/>
              </w:rPr>
              <w:t>投标</w:t>
            </w:r>
            <w:r>
              <w:rPr>
                <w:rFonts w:hint="eastAsia" w:ascii="仿宋" w:hAnsi="仿宋" w:eastAsia="仿宋" w:cs="仿宋"/>
                <w:sz w:val="24"/>
                <w:lang w:val="zh-CN"/>
              </w:rPr>
              <w:t>文件解密时间的先后顺序为准。</w:t>
            </w:r>
          </w:p>
          <w:p>
            <w:pPr>
              <w:spacing w:line="360"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sz w:val="24"/>
              </w:rPr>
              <w:t>（1）参加演示的投标人人数不超过2人。不得派遣有中高风险地区旅居史的代表参加本次演示；</w:t>
            </w:r>
          </w:p>
          <w:p>
            <w:pPr>
              <w:spacing w:line="360" w:lineRule="auto"/>
              <w:rPr>
                <w:rFonts w:ascii="仿宋" w:hAnsi="仿宋" w:eastAsia="仿宋" w:cs="仿宋"/>
                <w:sz w:val="24"/>
              </w:rPr>
            </w:pPr>
            <w:r>
              <w:rPr>
                <w:rFonts w:hint="eastAsia" w:ascii="仿宋" w:hAnsi="仿宋" w:eastAsia="仿宋" w:cs="仿宋"/>
                <w:sz w:val="24"/>
              </w:rPr>
              <w:t>（2）投标人拟派省外演示代表的需提供当地48H核酸阴性证明，同时到绍后于绍兴本地核酸检测机构进行检测；</w:t>
            </w:r>
          </w:p>
          <w:p>
            <w:pPr>
              <w:spacing w:line="360" w:lineRule="auto"/>
              <w:rPr>
                <w:rFonts w:ascii="仿宋" w:hAnsi="仿宋" w:eastAsia="仿宋" w:cs="仿宋"/>
                <w:sz w:val="24"/>
              </w:rPr>
            </w:pPr>
            <w:r>
              <w:rPr>
                <w:rFonts w:hint="eastAsia" w:ascii="仿宋" w:hAnsi="仿宋" w:eastAsia="仿宋" w:cs="仿宋"/>
                <w:sz w:val="24"/>
              </w:rPr>
              <w:t>(3)投标人拟派省内演示代表的需提供7日内核酸阴性证明。</w:t>
            </w:r>
          </w:p>
          <w:p>
            <w:pPr>
              <w:spacing w:line="360" w:lineRule="auto"/>
              <w:rPr>
                <w:rFonts w:ascii="仿宋" w:hAnsi="仿宋" w:eastAsia="仿宋" w:cs="仿宋"/>
                <w:b/>
                <w:sz w:val="24"/>
              </w:rPr>
            </w:pPr>
            <w:r>
              <w:rPr>
                <w:rFonts w:hint="eastAsia" w:ascii="仿宋" w:hAnsi="仿宋" w:eastAsia="仿宋" w:cs="仿宋"/>
                <w:sz w:val="24"/>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highlight w:val="yellow"/>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highlight w:val="yellow"/>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napToGrid w:val="0"/>
              <w:spacing w:line="440" w:lineRule="exact"/>
            </w:pPr>
            <w:sdt>
              <w:sdtPr>
                <w:rPr>
                  <w:rFonts w:hint="eastAsia"/>
                </w:rPr>
                <w:id w:val="118727868"/>
              </w:sdtPr>
              <w:sdtEndPr>
                <w:rPr>
                  <w:rFonts w:hint="eastAsia"/>
                </w:rPr>
              </w:sdtEndPr>
              <w:sdtContent/>
            </w:sdt>
            <w:sdt>
              <w:sdtPr>
                <w:rPr>
                  <w:rFonts w:hint="eastAsia"/>
                </w:rPr>
                <w:id w:val="96187086"/>
                <w:showingPlcHdr/>
              </w:sdtPr>
              <w:sdtEndPr>
                <w:rPr>
                  <w:rFonts w:hint="eastAsia"/>
                </w:rPr>
              </w:sdtEndPr>
              <w:sdtContent/>
            </w:sdt>
            <w:sdt>
              <w:sdtPr>
                <w:rPr>
                  <w:rFonts w:hint="eastAsia" w:ascii="仿宋" w:hAnsi="仿宋" w:eastAsia="仿宋" w:cs="仿宋"/>
                  <w:kern w:val="0"/>
                  <w:sz w:val="24"/>
                  <w:highlight w:val="yellow"/>
                </w:rPr>
                <w:id w:val="919985813"/>
                <w:showingPlcHdr/>
              </w:sdtPr>
              <w:sdtEndPr>
                <w:rPr>
                  <w:rFonts w:hint="eastAsia" w:ascii="仿宋" w:hAnsi="仿宋" w:eastAsia="仿宋" w:cs="仿宋"/>
                  <w:kern w:val="0"/>
                  <w:sz w:val="24"/>
                  <w:highlight w:val="none"/>
                </w:rPr>
              </w:sdtEndPr>
              <w:sdtContent>
                <w:r>
                  <w:rPr>
                    <w:rFonts w:hint="eastAsia" w:ascii="仿宋" w:hAnsi="仿宋" w:eastAsia="仿宋" w:cs="仿宋"/>
                    <w:kern w:val="0"/>
                    <w:sz w:val="24"/>
                  </w:rPr>
                  <w:sym w:font="Wingdings" w:char="00A8"/>
                </w:r>
              </w:sdtContent>
            </w:sdt>
            <w:r>
              <w:rPr>
                <w:rFonts w:hint="eastAsia"/>
              </w:rPr>
              <w:t>A货物类。</w:t>
            </w:r>
          </w:p>
          <w:p>
            <w:pPr>
              <w:snapToGrid w:val="0"/>
              <w:spacing w:line="440" w:lineRule="exact"/>
            </w:pPr>
            <w:sdt>
              <w:sdtPr>
                <w:rPr>
                  <w:rFonts w:hint="eastAsia" w:ascii="仿宋" w:hAnsi="仿宋" w:eastAsia="仿宋" w:cs="仿宋"/>
                  <w:kern w:val="0"/>
                  <w:sz w:val="24"/>
                  <w:highlight w:val="yellow"/>
                </w:rPr>
                <w:id w:val="1788235372"/>
              </w:sdtPr>
              <w:sdtEndPr>
                <w:rPr>
                  <w:rFonts w:hint="eastAsia" w:ascii="仿宋" w:hAnsi="仿宋" w:eastAsia="仿宋" w:cs="仿宋"/>
                  <w:kern w:val="0"/>
                  <w:sz w:val="24"/>
                  <w:highlight w:val="none"/>
                </w:rPr>
              </w:sdtEndPr>
              <w:sdtContent>
                <w:r>
                  <w:rPr>
                    <w:rFonts w:hint="eastAsia" w:ascii="仿宋" w:hAnsi="仿宋" w:eastAsia="仿宋" w:cs="仿宋"/>
                    <w:kern w:val="0"/>
                    <w:sz w:val="24"/>
                  </w:rPr>
                  <w:sym w:font="Wingdings" w:char="00FE"/>
                </w:r>
              </w:sdtContent>
            </w:sdt>
            <w:sdt>
              <w:sdtPr>
                <w:rPr>
                  <w:rFonts w:hint="eastAsia"/>
                </w:rPr>
                <w:id w:val="116977016"/>
              </w:sdtPr>
              <w:sdtEndPr>
                <w:rPr>
                  <w:rFonts w:hint="eastAsia"/>
                </w:rPr>
              </w:sdtEndPr>
              <w:sdtContent/>
            </w:sdt>
            <w:r>
              <w:rPr>
                <w:rFonts w:hint="eastAsia"/>
              </w:rPr>
              <w:t>B服务类。</w:t>
            </w:r>
          </w:p>
          <w:p>
            <w:pPr>
              <w:pStyle w:val="2"/>
              <w:ind w:firstLine="21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tcPr>
          <w:p>
            <w:pPr>
              <w:numPr>
                <w:ilvl w:val="0"/>
                <w:numId w:val="5"/>
              </w:numPr>
              <w:snapToGrid w:val="0"/>
              <w:spacing w:line="360" w:lineRule="auto"/>
              <w:rPr>
                <w:rFonts w:ascii="仿宋" w:hAnsi="仿宋" w:eastAsia="仿宋" w:cs="仿宋"/>
                <w:color w:val="FF0000"/>
              </w:rPr>
            </w:pPr>
            <w:r>
              <w:rPr>
                <w:rFonts w:hint="eastAsia" w:ascii="仿宋" w:hAnsi="仿宋" w:eastAsia="仿宋" w:cs="仿宋"/>
                <w:color w:val="FF0000"/>
              </w:rPr>
              <w:t>标的：标的：标项一，属于</w:t>
            </w:r>
            <w:r>
              <w:rPr>
                <w:rFonts w:hint="eastAsia" w:ascii="仿宋" w:hAnsi="仿宋" w:eastAsia="仿宋" w:cs="仿宋"/>
                <w:color w:val="FF0000"/>
                <w:u w:val="single"/>
              </w:rPr>
              <w:t xml:space="preserve">    </w:t>
            </w:r>
            <w:r>
              <w:rPr>
                <w:rFonts w:hint="eastAsia" w:ascii="宋体" w:hAnsi="宋体" w:cs="Arial"/>
                <w:kern w:val="0"/>
                <w:sz w:val="24"/>
                <w:u w:val="single"/>
              </w:rPr>
              <w:t>其他未列明</w:t>
            </w:r>
            <w:r>
              <w:rPr>
                <w:rFonts w:hint="eastAsia" w:ascii="仿宋" w:hAnsi="仿宋" w:eastAsia="仿宋" w:cs="仿宋"/>
                <w:color w:val="FF0000"/>
                <w:u w:val="single"/>
              </w:rPr>
              <w:t xml:space="preserve">  </w:t>
            </w:r>
            <w:r>
              <w:rPr>
                <w:rFonts w:hint="eastAsia" w:ascii="仿宋" w:hAnsi="仿宋" w:eastAsia="仿宋" w:cs="仿宋"/>
                <w:color w:val="FF0000"/>
              </w:rPr>
              <w:t>行业。</w:t>
            </w:r>
          </w:p>
          <w:p>
            <w:pPr>
              <w:pStyle w:val="24"/>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ascii="仿宋" w:hAnsi="仿宋" w:eastAsia="仿宋" w:cs="仿宋"/>
          <w:sz w:val="24"/>
        </w:rPr>
      </w:pPr>
      <w:r>
        <w:rPr>
          <w:rFonts w:hint="eastAsia" w:ascii="仿宋" w:hAnsi="仿宋" w:eastAsia="仿宋" w:cs="仿宋"/>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sz w:val="24"/>
        </w:rPr>
        <w:t>“</w:t>
      </w:r>
      <w:r>
        <w:rPr>
          <w:rFonts w:ascii="Wingdings" w:hAnsi="Wingdings" w:cs="Arial"/>
          <w:kern w:val="0"/>
          <w:sz w:val="24"/>
        </w:rPr>
        <w:t></w:t>
      </w:r>
      <w:r>
        <w:rPr>
          <w:rFonts w:hint="eastAsia" w:ascii="宋体" w:hAnsi="宋体"/>
          <w:sz w:val="24"/>
        </w:rPr>
        <w:t>”</w:t>
      </w:r>
      <w:r>
        <w:rPr>
          <w:rFonts w:ascii="宋体" w:hAnsi="宋体"/>
          <w:sz w:val="24"/>
        </w:rPr>
        <w:t xml:space="preserve"> </w:t>
      </w:r>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2.8因特殊原因需要使用冠以法定名称的业务专用章的，投标时须提供《业务专用章使用说明函》(详见附件)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之规定赔偿采购人，且民事赔偿并不免除违法供应商的行政与刑事责任。</w:t>
      </w:r>
    </w:p>
    <w:p>
      <w:pPr>
        <w:snapToGrid w:val="0"/>
        <w:spacing w:before="120" w:beforeLines="50" w:after="12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2.授权委托</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投标人应自行承担编制投标文件及参加本次投标所涉及的一切费用。不管投标结果如何，招标人对上述费用不负任何责任。中标人需支付采购代理服务费，详见前附表。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5"/>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6"/>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投标文件由“报价文件资料”、“商务技术（资信）文件资料”两部分组成，其中</w:t>
      </w:r>
      <w:r>
        <w:rPr>
          <w:rFonts w:hint="eastAsia" w:ascii="仿宋" w:hAnsi="仿宋" w:eastAsia="仿宋" w:cs="仿宋"/>
          <w:b/>
          <w:sz w:val="24"/>
        </w:rPr>
        <w:t>电子投标文件中所须加盖公章部分均应采用电子签章。</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5"/>
        <w:spacing w:line="440" w:lineRule="exact"/>
        <w:rPr>
          <w:rFonts w:ascii="仿宋" w:hAnsi="仿宋" w:eastAsia="仿宋" w:cs="仿宋"/>
          <w:b w:val="0"/>
          <w:sz w:val="24"/>
        </w:rPr>
      </w:pPr>
      <w:r>
        <w:rPr>
          <w:rFonts w:hint="eastAsia" w:ascii="仿宋" w:hAnsi="仿宋" w:eastAsia="仿宋" w:cs="仿宋"/>
          <w:b w:val="0"/>
          <w:sz w:val="24"/>
        </w:rPr>
        <w:t>2.1.3中小企业声明函（格式见第六部分附件）；</w:t>
      </w:r>
    </w:p>
    <w:p>
      <w:pPr>
        <w:pStyle w:val="25"/>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2.2.5供应商</w:t>
      </w:r>
      <w:r>
        <w:rPr>
          <w:rFonts w:hint="eastAsia" w:ascii="仿宋" w:hAnsi="仿宋" w:eastAsia="仿宋" w:cs="仿宋"/>
          <w:sz w:val="24"/>
        </w:rPr>
        <w:t>特定资格条件（如项目要求）的有关证明材料（复印件）；</w:t>
      </w:r>
    </w:p>
    <w:p>
      <w:pPr>
        <w:pStyle w:val="24"/>
        <w:snapToGrid w:val="0"/>
        <w:spacing w:line="440" w:lineRule="exact"/>
        <w:rPr>
          <w:rFonts w:ascii="仿宋" w:hAnsi="仿宋" w:eastAsia="仿宋" w:cs="仿宋"/>
          <w:sz w:val="24"/>
          <w:lang w:val="zh-CN"/>
        </w:rPr>
      </w:pPr>
      <w:bookmarkStart w:id="1" w:name="_Hlt68403820"/>
      <w:bookmarkEnd w:id="1"/>
      <w:bookmarkStart w:id="2" w:name="_Hlt68073093"/>
      <w:bookmarkEnd w:id="2"/>
      <w:bookmarkStart w:id="3" w:name="_Hlt68072998"/>
      <w:bookmarkEnd w:id="3"/>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2.2.14</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2.2.15验收方案；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2.2.16</w:t>
      </w:r>
      <w:r>
        <w:rPr>
          <w:rFonts w:hint="eastAsia" w:ascii="仿宋" w:hAnsi="仿宋" w:eastAsia="仿宋" w:cs="仿宋"/>
          <w:snapToGrid w:val="0"/>
          <w:sz w:val="24"/>
        </w:rPr>
        <w:t>投标人售后服务证明材料：合作单位营业执照或投标人设立的项目部、办公室、办事处等机构的证明材料或投标人作出的中标后提供服务的承诺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2.2.17廉政承诺书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2.2.20中小企业声明函</w:t>
      </w:r>
      <w:r>
        <w:rPr>
          <w:rFonts w:hint="eastAsia" w:ascii="仿宋" w:hAnsi="仿宋" w:eastAsia="仿宋" w:cs="仿宋"/>
          <w:sz w:val="24"/>
        </w:rPr>
        <w:t>（格式见第六部分附件）</w:t>
      </w:r>
      <w:r>
        <w:rPr>
          <w:rFonts w:hint="eastAsia" w:ascii="仿宋" w:hAnsi="仿宋" w:eastAsia="仿宋" w:cs="仿宋"/>
        </w:rPr>
        <w:t>；</w:t>
      </w:r>
    </w:p>
    <w:p>
      <w:pPr>
        <w:snapToGrid w:val="0"/>
        <w:spacing w:line="440" w:lineRule="exact"/>
        <w:jc w:val="left"/>
        <w:rPr>
          <w:rFonts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b/>
        </w:rPr>
      </w:pPr>
      <w:r>
        <w:rPr>
          <w:rFonts w:hint="eastAsia" w:ascii="仿宋" w:hAnsi="仿宋" w:eastAsia="仿宋" w:cs="仿宋"/>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4"/>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5"/>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440" w:lineRule="exact"/>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sz w:val="24"/>
        </w:rPr>
      </w:pPr>
      <w:r>
        <w:rPr>
          <w:rFonts w:hint="eastAsia" w:ascii="仿宋" w:hAnsi="仿宋" w:eastAsia="仿宋" w:cs="仿宋"/>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pacing w:line="440" w:lineRule="exact"/>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440" w:lineRule="exact"/>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pacing w:line="44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pacing w:line="440" w:lineRule="exact"/>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kern w:val="0"/>
          <w:sz w:val="24"/>
        </w:rPr>
      </w:pPr>
      <w:r>
        <w:rPr>
          <w:rFonts w:hint="eastAsia" w:ascii="仿宋" w:hAnsi="仿宋" w:eastAsia="仿宋" w:cs="仿宋"/>
          <w:kern w:val="0"/>
          <w:sz w:val="24"/>
        </w:rPr>
        <w:t>3.6评</w:t>
      </w:r>
      <w:r>
        <w:rPr>
          <w:rFonts w:hint="eastAsia" w:ascii="仿宋" w:hAnsi="仿宋" w:eastAsia="仿宋" w:cs="仿宋"/>
          <w:sz w:val="24"/>
        </w:rPr>
        <w:t>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40" w:lineRule="exac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40" w:lineRule="exact"/>
        <w:jc w:val="left"/>
        <w:rPr>
          <w:rFonts w:ascii="仿宋" w:hAnsi="仿宋" w:eastAsia="仿宋" w:cs="仿宋"/>
          <w:sz w:val="24"/>
        </w:rPr>
      </w:pPr>
      <w:r>
        <w:rPr>
          <w:rFonts w:hint="eastAsia" w:ascii="仿宋" w:hAnsi="仿宋" w:eastAsia="仿宋" w:cs="仿宋"/>
          <w:sz w:val="24"/>
        </w:rPr>
        <w:t>4.2符合性审查</w:t>
      </w:r>
    </w:p>
    <w:p>
      <w:pPr>
        <w:spacing w:line="440" w:lineRule="exact"/>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40" w:lineRule="exact"/>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40" w:lineRule="exact"/>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40" w:lineRule="exact"/>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4"/>
        <w:spacing w:line="800" w:lineRule="exact"/>
        <w:ind w:firstLine="726"/>
        <w:jc w:val="center"/>
        <w:rPr>
          <w:rFonts w:ascii="仿宋" w:hAnsi="仿宋" w:eastAsia="仿宋" w:cs="仿宋"/>
          <w:b/>
          <w:sz w:val="36"/>
          <w:szCs w:val="36"/>
        </w:rPr>
      </w:pPr>
      <w:bookmarkStart w:id="4" w:name="_Toc81372953"/>
      <w:bookmarkStart w:id="5" w:name="_Toc84325929"/>
      <w:bookmarkStart w:id="6" w:name="_Toc81372776"/>
      <w:r>
        <w:rPr>
          <w:rFonts w:hint="eastAsia" w:ascii="仿宋" w:hAnsi="仿宋" w:eastAsia="仿宋" w:cs="仿宋"/>
          <w:b/>
          <w:sz w:val="36"/>
          <w:szCs w:val="36"/>
        </w:rPr>
        <w:t>五、授予合同</w:t>
      </w:r>
    </w:p>
    <w:p>
      <w:pPr>
        <w:pStyle w:val="15"/>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62"/>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49"/>
          <w:rFonts w:hint="eastAsia" w:ascii="仿宋" w:hAnsi="仿宋" w:eastAsia="仿宋" w:cs="仿宋"/>
          <w:color w:val="auto"/>
        </w:rPr>
        <w:t>http://ggb.sx.gov.cn</w:t>
      </w:r>
      <w:r>
        <w:rPr>
          <w:rStyle w:val="49"/>
          <w:rFonts w:hint="eastAsia" w:ascii="仿宋" w:hAnsi="仿宋" w:eastAsia="仿宋" w:cs="仿宋"/>
          <w:color w:val="auto"/>
        </w:rPr>
        <w:fldChar w:fldCharType="end"/>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4"/>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83"/>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83"/>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83"/>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83"/>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83"/>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83"/>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83"/>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7"/>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7" w:name="_Toc151354173"/>
      <w:bookmarkStart w:id="8" w:name="_Toc84325981"/>
      <w:bookmarkStart w:id="9" w:name="_Toc80157775"/>
      <w:bookmarkStart w:id="10" w:name="_Toc81372787"/>
      <w:bookmarkStart w:id="11" w:name="_Toc81372964"/>
      <w:r>
        <w:rPr>
          <w:rFonts w:hint="eastAsia" w:ascii="仿宋" w:hAnsi="仿宋" w:eastAsia="仿宋" w:cs="仿宋"/>
          <w:b/>
          <w:sz w:val="24"/>
        </w:rPr>
        <w:t>8.招标项目设备名称及数量：</w:t>
      </w:r>
    </w:p>
    <w:p>
      <w:pPr>
        <w:pStyle w:val="37"/>
        <w:spacing w:before="0" w:beforeAutospacing="0" w:after="0" w:afterAutospacing="0"/>
        <w:rPr>
          <w:rFonts w:ascii="仿宋" w:hAnsi="仿宋" w:eastAsia="仿宋" w:cs="仿宋"/>
          <w:b/>
          <w:bCs/>
          <w:sz w:val="24"/>
          <w:szCs w:val="24"/>
        </w:rPr>
      </w:pPr>
      <w:r>
        <w:rPr>
          <w:rFonts w:hint="eastAsia" w:ascii="仿宋" w:hAnsi="仿宋" w:eastAsia="仿宋" w:cs="仿宋"/>
          <w:b/>
          <w:sz w:val="24"/>
          <w:szCs w:val="24"/>
          <w:bdr w:val="single" w:color="000000" w:sz="4" w:space="0"/>
        </w:rPr>
        <w:t>01</w:t>
      </w:r>
      <w:r>
        <w:rPr>
          <w:rFonts w:hint="eastAsia" w:ascii="仿宋" w:hAnsi="仿宋" w:eastAsia="仿宋" w:cs="仿宋"/>
          <w:b/>
          <w:bCs/>
          <w:sz w:val="24"/>
          <w:szCs w:val="24"/>
        </w:rPr>
        <w:t>标 绍兴市人民医院数字化病案第三方托管项目，预算金额：43.5万元</w:t>
      </w:r>
    </w:p>
    <w:p>
      <w:pPr>
        <w:pStyle w:val="5"/>
        <w:numPr>
          <w:ilvl w:val="0"/>
          <w:numId w:val="7"/>
        </w:numPr>
        <w:ind w:left="482" w:hanging="482"/>
        <w:rPr>
          <w:rFonts w:ascii="仿宋" w:hAnsi="仿宋" w:eastAsia="仿宋" w:cs="仿宋"/>
          <w:sz w:val="24"/>
        </w:rPr>
      </w:pPr>
      <w:r>
        <w:rPr>
          <w:rFonts w:hint="eastAsia" w:ascii="仿宋" w:hAnsi="仿宋" w:eastAsia="仿宋" w:cs="仿宋"/>
          <w:sz w:val="24"/>
        </w:rPr>
        <w:t>项目概况及内容</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本项目招标内容为绍兴市人民医院病历档案的寄存保管和利用。主要服务工作为档案的交接、装箱和运输、档案调取查看以及寄存实物的保管和提供利用。</w:t>
      </w:r>
    </w:p>
    <w:p>
      <w:pPr>
        <w:pStyle w:val="5"/>
        <w:numPr>
          <w:ilvl w:val="0"/>
          <w:numId w:val="7"/>
        </w:numPr>
        <w:ind w:left="482" w:hanging="482"/>
        <w:rPr>
          <w:rFonts w:ascii="仿宋" w:hAnsi="仿宋" w:eastAsia="仿宋" w:cs="仿宋"/>
          <w:sz w:val="24"/>
        </w:rPr>
      </w:pPr>
      <w:r>
        <w:rPr>
          <w:rFonts w:hint="eastAsia" w:ascii="仿宋" w:hAnsi="仿宋" w:eastAsia="仿宋" w:cs="仿宋"/>
          <w:sz w:val="24"/>
        </w:rPr>
        <w:t>项目技术规范和服务要求</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1、为了确保档案保管的安全性，缓解绍兴市人民医院病历档案的储存空间压力，对档案采取企业寄存保管方式进行管理。</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以历年档案7500箱计数；提供档案箱子内径尺寸不小于420mm×315mm×230mm（长×宽×高）。档案箱材质使用无酸材料。档案箱由供应商提供，商务投标时报箱子单价，按数量计算总报价，项目付款时按提供箱数按实结算。</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2、采购项目具体内容</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档案移交目录填制、实物的清点核对、实物与箱号条码的对接、实物的装箱和运输、保管以及调档查询、送达服务。若实物已发生霉变，装箱前要采取相应的除菌处理。</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3、项目组织要求档案交接、装箱和运输，以及实物寄存保管和提供利用工作顺利开展并按期完成。</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4、服务方式要求</w:t>
      </w:r>
    </w:p>
    <w:p>
      <w:pPr>
        <w:autoSpaceDE w:val="0"/>
        <w:autoSpaceDN w:val="0"/>
        <w:spacing w:line="360" w:lineRule="auto"/>
        <w:ind w:firstLine="480" w:firstLineChars="200"/>
        <w:rPr>
          <w:rFonts w:ascii="仿宋" w:hAnsi="仿宋" w:eastAsia="仿宋" w:cs="仿宋"/>
          <w:bCs/>
          <w:sz w:val="24"/>
        </w:rPr>
      </w:pPr>
      <w:r>
        <w:rPr>
          <w:rFonts w:hint="eastAsia" w:ascii="仿宋" w:hAnsi="仿宋" w:eastAsia="仿宋" w:cs="仿宋"/>
          <w:bCs/>
          <w:sz w:val="24"/>
        </w:rPr>
        <w:t>由中标人指派人员，自带档案整理加工所需的材料、软件、设备、工具到招标人指定的工作场所进行上述实物的移交目录填制、实物的清点核对、实物与箱号条码的对接、实物的装箱和运输、保管以及档案调取查看、送达等服务。</w:t>
      </w:r>
    </w:p>
    <w:p>
      <w:pPr>
        <w:rPr>
          <w:rFonts w:ascii="仿宋" w:hAnsi="仿宋" w:eastAsia="仿宋" w:cs="仿宋"/>
        </w:rPr>
      </w:pPr>
    </w:p>
    <w:p>
      <w:pPr>
        <w:pStyle w:val="5"/>
        <w:numPr>
          <w:ilvl w:val="0"/>
          <w:numId w:val="7"/>
        </w:numPr>
        <w:ind w:left="482" w:hanging="482"/>
        <w:rPr>
          <w:rFonts w:ascii="仿宋" w:hAnsi="仿宋" w:eastAsia="仿宋" w:cs="仿宋"/>
          <w:sz w:val="24"/>
        </w:rPr>
      </w:pPr>
      <w:r>
        <w:rPr>
          <w:rFonts w:hint="eastAsia" w:ascii="仿宋" w:hAnsi="仿宋" w:eastAsia="仿宋" w:cs="仿宋"/>
          <w:sz w:val="24"/>
        </w:rPr>
        <w:t>服务技术要求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1、总体要求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严格管理，明确责任，严格执行安全保密管理制度，确保档案的安全；严格落实质量管理措施，各关键工作环节须安排有工作经验的档案专业人员进行实时监督和质量管控，确保各环节工作符合规范和质量要求，建立完整、规范的工作记录。</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2、实物整理加工具体要求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档案移交目录填制、实物与箱号条码的对接、实物的装箱和运输及实物除菌处理方法要符合国家及省级档案管理相关标准、规范。</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移交目录符合浙江省档案局现行移交目录格式。</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装箱与运输过程符合国家《档案法》有关保密与安全要求。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实物除菌处理符合国家档案行业标准（DA/T35-2007）《档案虫霉防治一般规则》要求。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3、寄存的保管与利用具体要求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寄存实物的保管与利用符合国家《档案法》要求。</w:t>
      </w:r>
    </w:p>
    <w:p>
      <w:pPr>
        <w:pStyle w:val="5"/>
        <w:numPr>
          <w:ilvl w:val="0"/>
          <w:numId w:val="7"/>
        </w:numPr>
        <w:ind w:left="482" w:hanging="482"/>
        <w:rPr>
          <w:rFonts w:ascii="仿宋" w:hAnsi="仿宋" w:eastAsia="仿宋" w:cs="仿宋"/>
          <w:sz w:val="24"/>
        </w:rPr>
      </w:pPr>
      <w:r>
        <w:rPr>
          <w:rFonts w:hint="eastAsia" w:ascii="仿宋" w:hAnsi="仿宋" w:eastAsia="仿宋" w:cs="仿宋"/>
          <w:sz w:val="24"/>
        </w:rPr>
        <w:t>安全保密要求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1、中标人须制定严密的安全保密措施，严格遵守保密相关规定，严格遵守安全保密制度，确保档案实物和信息数据的安全和保密。</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2、中标人提供的全部文件资料，均属保密内容。</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3、档案移交目录填制、实物与箱号条码的对接、实物的装箱和运输及实物除菌处理工作必须在指定的场所内进行，并确保场所的正常秩序和安全。</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4、中标人不得出现丢失、损坏、损毁档案、或档案材料内容；泄露档案内容信息（包括档案实物内容信息）；私自圈划、涂改、复制、抽取或伪造档案材料；擅自处理或销毁档案材料等严重违反安全保密要求的行为。如发生以上情况，中标人须承担补救责任和损害赔偿责任，直至追究法律责任，同时招标人有权解除合同。</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5、在档案保管期间，中标人有责任和义务为档案所有者保密。对档案管理有保密的义务，不得丢失和外传，未经允许不得复制。在整个工作期间保管维护好档案，严禁将实物携带出保管场地。</w:t>
      </w:r>
    </w:p>
    <w:p>
      <w:pPr>
        <w:pStyle w:val="2"/>
        <w:ind w:firstLine="241"/>
        <w:rPr>
          <w:rFonts w:eastAsia="仿宋"/>
          <w:b/>
        </w:rPr>
      </w:pPr>
      <w:r>
        <w:rPr>
          <w:rFonts w:ascii="仿宋" w:hAnsi="仿宋" w:eastAsia="仿宋" w:cs="仿宋"/>
          <w:b/>
          <w:sz w:val="24"/>
        </w:rPr>
        <w:t>6、</w:t>
      </w:r>
      <w:r>
        <w:rPr>
          <w:rFonts w:hint="eastAsia" w:ascii="仿宋" w:hAnsi="仿宋" w:eastAsia="仿宋" w:cs="仿宋"/>
          <w:b/>
          <w:sz w:val="24"/>
        </w:rPr>
        <w:t>中标人应签订保密协议作为合同附件。</w:t>
      </w:r>
    </w:p>
    <w:p>
      <w:pPr>
        <w:pStyle w:val="2"/>
        <w:ind w:firstLine="210"/>
      </w:pPr>
    </w:p>
    <w:p>
      <w:pPr>
        <w:pStyle w:val="5"/>
        <w:numPr>
          <w:ilvl w:val="0"/>
          <w:numId w:val="7"/>
        </w:numPr>
        <w:ind w:left="482" w:hanging="482"/>
        <w:rPr>
          <w:rFonts w:ascii="仿宋" w:hAnsi="仿宋" w:eastAsia="仿宋" w:cs="仿宋"/>
          <w:sz w:val="24"/>
        </w:rPr>
      </w:pPr>
      <w:r>
        <w:rPr>
          <w:rFonts w:hint="eastAsia" w:ascii="仿宋" w:hAnsi="仿宋" w:eastAsia="仿宋" w:cs="仿宋"/>
          <w:sz w:val="24"/>
        </w:rPr>
        <w:t>库房要求</w:t>
      </w:r>
    </w:p>
    <w:p>
      <w:pPr>
        <w:pStyle w:val="7"/>
        <w:tabs>
          <w:tab w:val="left" w:pos="1134"/>
        </w:tabs>
        <w:spacing w:line="360" w:lineRule="auto"/>
        <w:ind w:firstLine="480"/>
        <w:rPr>
          <w:rFonts w:ascii="仿宋" w:hAnsi="仿宋" w:eastAsia="仿宋" w:cs="仿宋"/>
          <w:sz w:val="24"/>
        </w:rPr>
      </w:pPr>
      <w:r>
        <w:rPr>
          <w:rFonts w:hint="eastAsia" w:ascii="仿宋" w:hAnsi="仿宋" w:eastAsia="仿宋" w:cs="仿宋"/>
          <w:sz w:val="24"/>
        </w:rPr>
        <w:t>1、投标人在浙江省设有符合《档案馆建筑设计规范》（JGJ25-2010）、《档案馆建设标准》（建标103-2008）要求的档案托管库房，库房空余容量需满足本项目纸质病案存放的需求。库房建筑面积≥5000平方。</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库房做到防潮、防水、防火、防盗、防日光及紫外线照射、防高温、防尘、防虫、防鼠等防护措施。</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2、档案库房应远离存有易燃易爆物品、空气污染等不安全的场所，档案库房采用密集架或者开放式货架，采用开放式货架时楼面承重不应小于5KN/m²，采用密集架时楼面承重不应小于12KN/m²。</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3、档案库房应有防盗措施，一般库房要加设防盗门窗，配置电子监控系统。</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4、档案库房窗户要配挂防光窗帘，防止阳光直射库内；同时库房照明装置应以使用白炽灯为宜，避免日光灯中紫外线对档案纸张的破坏。</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5、档案库房温湿度实行实时监控，有专业空调设备设施调节库房温湿度。档案库房温度控制在14-24℃,相对湿度控制在45%-60%。利用消毒设备每月进行一次消毒，并都做好登记工作。</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6、档案库房周围要灭绝火源迹象，库内严禁吸烟，要建立严密的防火制度并配备适合档案保管的自动消防灭火系统或器材，建筑防火设计应符合现行国家标准。</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7、档案架应放置防虫、霉药品，以防霉菌、害虫损坏档案。为防止档案发生鼠害，库房应定期检查并投放灭鼠药。</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8、档案库房应配备全天候无空隙安防报警、监控录像系统，24小时由专人保卫。</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9、档案调档查询服务要求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中标人应为招标人提供查询、送档服务，送档服务一般在6小时内到达（在当天工作时间内，若超过工作时间顺延至第二日）。开展预约送档服务，按照约定时间内送达，急件3小时内送达。</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档案进出库交接必须严格执行档案进出库管理制度。指定专人（组长）管理档案实体，并建立《借用档案审批单》、《归还档案登记表》等工作流程单，做好调档交接等各环节的登记工作。</w:t>
      </w:r>
    </w:p>
    <w:p>
      <w:pPr>
        <w:pStyle w:val="5"/>
        <w:numPr>
          <w:ilvl w:val="0"/>
          <w:numId w:val="7"/>
        </w:numPr>
        <w:ind w:left="482" w:hanging="482"/>
        <w:rPr>
          <w:rFonts w:ascii="仿宋" w:hAnsi="仿宋" w:eastAsia="仿宋" w:cs="仿宋"/>
          <w:sz w:val="24"/>
        </w:rPr>
      </w:pPr>
      <w:r>
        <w:rPr>
          <w:rFonts w:hint="eastAsia" w:ascii="仿宋" w:hAnsi="仿宋" w:eastAsia="仿宋" w:cs="仿宋"/>
          <w:sz w:val="24"/>
        </w:rPr>
        <w:t>服务期</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1、服务期：服务期1年，具体起止时间由招标人确定（以档案入库的时间开始计算）。中标人须制定合理的项目进度计划及按期完成保证措施，确保采购项目保质保量按期完成。</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3、实施要求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（1）招标人提供场所，投标供应商驻场服务，遵循招标人的工作时间。中标人自带开展工作所需相关设备。</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 实施及驻场服务地点：绍兴市人民医院指定地点。</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4、其他要求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合同期满后，因再次招标至中标人改变，中标人必须协助采购人做好衔接工作。合同期内，中标人如有授权、法人等变更情况，招标人有权中止合同。</w:t>
      </w:r>
    </w:p>
    <w:p>
      <w:pPr>
        <w:widowControl/>
        <w:snapToGrid w:val="0"/>
        <w:spacing w:line="360" w:lineRule="auto"/>
        <w:ind w:firstLine="420"/>
        <w:jc w:val="left"/>
        <w:rPr>
          <w:rFonts w:ascii="仿宋" w:hAnsi="仿宋" w:eastAsia="仿宋" w:cs="仿宋"/>
          <w:sz w:val="24"/>
        </w:rPr>
      </w:pPr>
    </w:p>
    <w:p>
      <w:pPr>
        <w:pStyle w:val="5"/>
        <w:numPr>
          <w:ilvl w:val="0"/>
          <w:numId w:val="7"/>
        </w:numPr>
        <w:ind w:left="482" w:hanging="482"/>
        <w:rPr>
          <w:rFonts w:ascii="仿宋" w:hAnsi="仿宋" w:eastAsia="仿宋" w:cs="仿宋"/>
          <w:sz w:val="24"/>
        </w:rPr>
      </w:pPr>
      <w:r>
        <w:rPr>
          <w:rFonts w:hint="eastAsia" w:ascii="仿宋" w:hAnsi="仿宋" w:eastAsia="仿宋" w:cs="仿宋"/>
          <w:sz w:val="24"/>
        </w:rPr>
        <w:t>验收要求</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1、中标人应制定严格的项目质量控制及质量保证措施，保证档案的交接、装箱和运输以及寄存实物的保管和利用工作符合质量要求，并高质量地完成工作任务。</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2、中标人必须建立严格的质量检测体系，在确定档案移交记录准确无误，实物除菌处理达到相关质量标准要求并安全运输到指定寄存地点时，才能递交验收。</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3、验收质量标准</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（1）交接目录验收</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交接目录准确无误，格式符合浙江省档案局相关标准，以批量抽查方式进行。</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（2）装箱质量验收</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储存箱、封条/锁扣没有破损现象；条码清晰，条码与目录相对应，没有错误；装箱过程中尽量利用空隙，杜绝浪费现象。</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（3）运输质量验收</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运输过程中确保存储箱的安全、完整，没有遗漏、丢失现象发生。</w:t>
      </w:r>
    </w:p>
    <w:p>
      <w:pPr>
        <w:widowControl/>
        <w:snapToGrid w:val="0"/>
        <w:spacing w:line="360" w:lineRule="auto"/>
        <w:ind w:firstLine="420"/>
        <w:jc w:val="left"/>
        <w:rPr>
          <w:rFonts w:ascii="仿宋" w:hAnsi="仿宋" w:eastAsia="仿宋" w:cs="仿宋"/>
          <w:sz w:val="24"/>
        </w:rPr>
      </w:pPr>
      <w:r>
        <w:rPr>
          <w:rFonts w:hint="eastAsia" w:ascii="仿宋" w:hAnsi="仿宋" w:eastAsia="仿宋" w:cs="仿宋"/>
          <w:sz w:val="24"/>
        </w:rPr>
        <w:t>（4）除菌处理质量验收</w:t>
      </w:r>
    </w:p>
    <w:p>
      <w:pPr>
        <w:pStyle w:val="2"/>
        <w:ind w:firstLine="0" w:firstLineChars="0"/>
        <w:rPr>
          <w:rFonts w:ascii="仿宋" w:hAnsi="仿宋" w:eastAsia="仿宋" w:cs="仿宋"/>
          <w:sz w:val="24"/>
        </w:rPr>
      </w:pPr>
      <w:r>
        <w:rPr>
          <w:rFonts w:hint="eastAsia" w:ascii="仿宋" w:hAnsi="仿宋" w:eastAsia="仿宋" w:cs="仿宋"/>
          <w:sz w:val="24"/>
        </w:rPr>
        <w:t>除菌处理的质量需符合国家档案行业标准《档案虫霉防治一般规则》要求。</w:t>
      </w:r>
    </w:p>
    <w:p>
      <w:pPr>
        <w:rPr>
          <w:rFonts w:ascii="仿宋" w:hAnsi="仿宋" w:eastAsia="仿宋" w:cs="仿宋"/>
          <w:sz w:val="24"/>
        </w:rPr>
      </w:pPr>
    </w:p>
    <w:p>
      <w:pPr>
        <w:pStyle w:val="2"/>
        <w:ind w:firstLine="210"/>
      </w:pPr>
    </w:p>
    <w:p>
      <w:pPr>
        <w:rPr>
          <w:rFonts w:ascii="仿宋" w:hAnsi="仿宋" w:eastAsia="仿宋" w:cs="仿宋"/>
          <w:sz w:val="24"/>
        </w:rPr>
      </w:pPr>
    </w:p>
    <w:p>
      <w:pPr>
        <w:pStyle w:val="2"/>
        <w:ind w:firstLine="210"/>
      </w:pPr>
    </w:p>
    <w:p>
      <w:pPr>
        <w:rPr>
          <w:rFonts w:ascii="仿宋" w:hAnsi="仿宋" w:eastAsia="仿宋" w:cs="仿宋"/>
          <w:sz w:val="24"/>
        </w:rPr>
      </w:pPr>
      <w:r>
        <w:rPr>
          <w:rFonts w:hint="eastAsia" w:ascii="仿宋" w:hAnsi="仿宋" w:eastAsia="仿宋" w:cs="仿宋"/>
          <w:sz w:val="24"/>
        </w:rPr>
        <w:br w:type="page"/>
      </w:r>
    </w:p>
    <w:p/>
    <w:bookmarkEnd w:id="7"/>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36"/>
          <w:szCs w:val="36"/>
        </w:rPr>
      </w:pPr>
      <w:bookmarkStart w:id="12" w:name="_Toc331685783"/>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
        <w:rPr>
          <w:rFonts w:ascii="仿宋" w:hAnsi="仿宋" w:eastAsia="仿宋" w:cs="仿宋"/>
        </w:rPr>
      </w:pPr>
    </w:p>
    <w:p>
      <w:pPr>
        <w:pStyle w:val="7"/>
        <w:rPr>
          <w:rFonts w:ascii="仿宋" w:hAnsi="仿宋" w:eastAsia="仿宋" w:cs="仿宋"/>
        </w:rPr>
      </w:pPr>
    </w:p>
    <w:p>
      <w:pPr>
        <w:pStyle w:val="7"/>
        <w:ind w:firstLine="562"/>
        <w:jc w:val="center"/>
        <w:rPr>
          <w:rFonts w:ascii="仿宋" w:hAnsi="仿宋" w:eastAsia="仿宋" w:cs="仿宋"/>
          <w:b/>
          <w:sz w:val="28"/>
        </w:rPr>
      </w:pPr>
      <w:r>
        <w:rPr>
          <w:rFonts w:hint="eastAsia" w:ascii="仿宋" w:hAnsi="仿宋" w:eastAsia="仿宋" w:cs="仿宋"/>
          <w:b/>
          <w:sz w:val="28"/>
        </w:rPr>
        <w:t>第一部分  合同书</w:t>
      </w:r>
    </w:p>
    <w:p>
      <w:pPr>
        <w:pStyle w:val="7"/>
        <w:rPr>
          <w:rFonts w:ascii="仿宋" w:hAnsi="仿宋" w:eastAsia="仿宋" w:cs="仿宋"/>
        </w:rPr>
      </w:pPr>
    </w:p>
    <w:p>
      <w:pPr>
        <w:pStyle w:val="7"/>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0"/>
        <w:spacing w:before="120" w:line="22" w:lineRule="atLeast"/>
        <w:rPr>
          <w:rFonts w:ascii="仿宋" w:hAnsi="仿宋" w:eastAsia="仿宋" w:cs="仿宋"/>
          <w:szCs w:val="24"/>
        </w:rPr>
      </w:pPr>
    </w:p>
    <w:p>
      <w:pPr>
        <w:pStyle w:val="280"/>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3" w:name="_Toc24059"/>
      <w:bookmarkStart w:id="14" w:name="_Toc2232"/>
      <w:bookmarkStart w:id="15" w:name="_Toc3029"/>
      <w:r>
        <w:rPr>
          <w:rFonts w:hint="eastAsia" w:ascii="仿宋" w:hAnsi="仿宋" w:eastAsia="仿宋" w:cs="仿宋"/>
          <w:b/>
          <w:sz w:val="24"/>
        </w:rPr>
        <w:t>1.1 合同组成部分</w:t>
      </w:r>
      <w:bookmarkEnd w:id="13"/>
      <w:bookmarkEnd w:id="14"/>
      <w:bookmarkEnd w:id="15"/>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6" w:name="_Toc21295"/>
      <w:bookmarkStart w:id="17" w:name="_Toc24300"/>
      <w:bookmarkStart w:id="18" w:name="_Toc27126"/>
      <w:r>
        <w:rPr>
          <w:rFonts w:hint="eastAsia" w:ascii="仿宋" w:hAnsi="仿宋" w:eastAsia="仿宋" w:cs="仿宋"/>
          <w:b/>
          <w:sz w:val="24"/>
        </w:rPr>
        <w:t xml:space="preserve">1.2 </w:t>
      </w:r>
      <w:bookmarkEnd w:id="16"/>
      <w:bookmarkEnd w:id="17"/>
      <w:bookmarkEnd w:id="18"/>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9" w:name="_Toc21631"/>
      <w:bookmarkStart w:id="20" w:name="_Toc23292"/>
      <w:bookmarkStart w:id="21" w:name="_Toc21551"/>
      <w:r>
        <w:rPr>
          <w:rFonts w:hint="eastAsia" w:ascii="仿宋" w:hAnsi="仿宋" w:eastAsia="仿宋" w:cs="仿宋"/>
          <w:b/>
          <w:sz w:val="24"/>
        </w:rPr>
        <w:t>1.3 价款</w:t>
      </w:r>
      <w:bookmarkEnd w:id="19"/>
      <w:bookmarkEnd w:id="20"/>
      <w:bookmarkEnd w:id="21"/>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6"/>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2" w:name="_Toc22618"/>
      <w:bookmarkStart w:id="23" w:name="_Toc10340"/>
      <w:bookmarkStart w:id="24" w:name="_Toc1814"/>
      <w:bookmarkStart w:id="25" w:name="_Toc19304"/>
      <w:bookmarkStart w:id="26" w:name="_Toc32071"/>
      <w:bookmarkStart w:id="27" w:name="_Toc2846"/>
      <w:r>
        <w:rPr>
          <w:rFonts w:hint="eastAsia" w:ascii="仿宋" w:hAnsi="仿宋" w:eastAsia="仿宋" w:cs="仿宋"/>
          <w:b/>
          <w:sz w:val="24"/>
        </w:rPr>
        <w:t>1.4 付款</w:t>
      </w:r>
      <w:bookmarkEnd w:id="22"/>
      <w:bookmarkEnd w:id="23"/>
      <w:bookmarkEnd w:id="24"/>
      <w:r>
        <w:rPr>
          <w:rFonts w:hint="eastAsia" w:ascii="仿宋" w:hAnsi="仿宋" w:eastAsia="仿宋" w:cs="仿宋"/>
          <w:b/>
          <w:sz w:val="24"/>
        </w:rPr>
        <w:t>方式、时间和条件</w:t>
      </w:r>
    </w:p>
    <w:p>
      <w:pPr>
        <w:pStyle w:val="282"/>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5"/>
      <w:bookmarkEnd w:id="26"/>
      <w:bookmarkEnd w:id="27"/>
      <w:bookmarkStart w:id="28" w:name="_Toc27250"/>
      <w:bookmarkStart w:id="29" w:name="_Toc21423"/>
      <w:bookmarkStart w:id="30" w:name="_Toc19554"/>
      <w:r>
        <w:rPr>
          <w:rFonts w:hint="eastAsia" w:ascii="仿宋" w:hAnsi="仿宋" w:eastAsia="仿宋" w:cs="仿宋"/>
          <w:b/>
          <w:sz w:val="24"/>
        </w:rPr>
        <w:t>违约责任</w:t>
      </w:r>
      <w:bookmarkEnd w:id="28"/>
      <w:bookmarkEnd w:id="29"/>
      <w:bookmarkEnd w:id="30"/>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ascii="仿宋" w:hAnsi="仿宋" w:eastAsia="仿宋" w:cs="仿宋"/>
          <w:sz w:val="24"/>
        </w:rPr>
      </w:pPr>
      <w:r>
        <w:rPr>
          <w:rFonts w:hint="eastAsia" w:ascii="仿宋" w:hAnsi="仿宋" w:eastAsia="仿宋" w:cs="仿宋"/>
          <w:sz w:val="24"/>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1" w:name="_Toc15583"/>
      <w:bookmarkStart w:id="32" w:name="_Toc16021"/>
      <w:bookmarkStart w:id="33" w:name="_Toc28375"/>
      <w:r>
        <w:rPr>
          <w:rFonts w:hint="eastAsia" w:ascii="仿宋" w:hAnsi="仿宋" w:eastAsia="仿宋" w:cs="仿宋"/>
          <w:b/>
          <w:sz w:val="24"/>
        </w:rPr>
        <w:t>1.6合同争议的解决</w:t>
      </w:r>
      <w:bookmarkEnd w:id="31"/>
      <w:bookmarkEnd w:id="32"/>
      <w:bookmarkEnd w:id="33"/>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4" w:name="_Toc15322"/>
      <w:bookmarkStart w:id="35" w:name="_Toc11173"/>
      <w:bookmarkStart w:id="36" w:name="_Toc7245"/>
      <w:r>
        <w:rPr>
          <w:rFonts w:hint="eastAsia" w:ascii="仿宋" w:hAnsi="仿宋" w:eastAsia="仿宋" w:cs="仿宋"/>
          <w:b/>
          <w:sz w:val="24"/>
        </w:rPr>
        <w:t>1.7合同生效</w:t>
      </w:r>
      <w:bookmarkEnd w:id="34"/>
      <w:bookmarkEnd w:id="35"/>
      <w:bookmarkEnd w:id="36"/>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spacing w:line="560" w:lineRule="exact"/>
        <w:rPr>
          <w:rFonts w:ascii="仿宋" w:hAnsi="仿宋" w:eastAsia="仿宋" w:cs="仿宋"/>
          <w:kern w:val="0"/>
          <w:sz w:val="24"/>
        </w:rPr>
      </w:pPr>
    </w:p>
    <w:p>
      <w:pPr>
        <w:spacing w:line="560" w:lineRule="exact"/>
        <w:rPr>
          <w:rFonts w:ascii="仿宋" w:hAnsi="仿宋" w:eastAsia="仿宋" w:cs="仿宋"/>
          <w:kern w:val="0"/>
          <w:sz w:val="24"/>
        </w:rPr>
      </w:pPr>
    </w:p>
    <w:p>
      <w:pPr>
        <w:spacing w:line="560" w:lineRule="exact"/>
        <w:rPr>
          <w:rFonts w:ascii="仿宋" w:hAnsi="仿宋" w:eastAsia="仿宋" w:cs="仿宋"/>
          <w:kern w:val="0"/>
          <w:sz w:val="24"/>
        </w:rPr>
      </w:pPr>
    </w:p>
    <w:p>
      <w:pPr>
        <w:pStyle w:val="281"/>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第二部分合同一般条款</w:t>
      </w:r>
    </w:p>
    <w:p>
      <w:pPr>
        <w:spacing w:line="560" w:lineRule="exact"/>
        <w:ind w:firstLine="482" w:firstLineChars="200"/>
        <w:outlineLvl w:val="0"/>
        <w:rPr>
          <w:rFonts w:ascii="仿宋" w:hAnsi="仿宋" w:eastAsia="仿宋" w:cs="仿宋"/>
          <w:b/>
          <w:sz w:val="24"/>
        </w:rPr>
      </w:pPr>
      <w:bookmarkStart w:id="37" w:name="_Toc259093669"/>
      <w:bookmarkStart w:id="38" w:name="_Toc19614"/>
      <w:bookmarkStart w:id="39" w:name="_Ref467378463"/>
      <w:bookmarkStart w:id="40" w:name="_Toc28763"/>
      <w:bookmarkStart w:id="41" w:name="_Ref467378404"/>
      <w:bookmarkStart w:id="42" w:name="_Ref467379094"/>
      <w:bookmarkStart w:id="43" w:name="_Ref467379101"/>
      <w:bookmarkStart w:id="44" w:name="_Toc487900349"/>
      <w:bookmarkStart w:id="45" w:name="_Ref467379205"/>
      <w:bookmarkStart w:id="46" w:name="_Ref467379225"/>
      <w:bookmarkStart w:id="47" w:name="_Toc16917"/>
      <w:bookmarkStart w:id="48" w:name="_Ref467378499"/>
      <w:bookmarkStart w:id="49" w:name="_Ref467379214"/>
      <w:bookmarkStart w:id="50" w:name="_Ref467379195"/>
      <w:bookmarkStart w:id="51" w:name="_Ref467379109"/>
      <w:bookmarkStart w:id="52" w:name="_Toc279701240"/>
      <w:r>
        <w:rPr>
          <w:rFonts w:hint="eastAsia" w:ascii="仿宋" w:hAnsi="仿宋" w:eastAsia="仿宋" w:cs="仿宋"/>
          <w:b/>
          <w:sz w:val="24"/>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3" w:name="_Ref467378840"/>
      <w:r>
        <w:rPr>
          <w:rFonts w:hint="eastAsia" w:ascii="仿宋" w:hAnsi="仿宋" w:eastAsia="仿宋" w:cs="仿宋"/>
          <w:sz w:val="24"/>
        </w:rPr>
        <w:t>2.1.4 “甲方”系指与中标供应商签署合同的采购人</w:t>
      </w:r>
      <w:bookmarkEnd w:id="53"/>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4" w:name="_Ref467379400"/>
      <w:r>
        <w:rPr>
          <w:rFonts w:hint="eastAsia" w:ascii="仿宋" w:hAnsi="仿宋" w:eastAsia="仿宋" w:cs="仿宋"/>
          <w:sz w:val="24"/>
        </w:rPr>
        <w:t>2.1.5 “乙方”系指根据合同约定提供服务的中标供应商</w:t>
      </w:r>
      <w:bookmarkEnd w:id="5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5" w:name="_Ref467379436"/>
      <w:r>
        <w:rPr>
          <w:rFonts w:hint="eastAsia" w:ascii="仿宋" w:hAnsi="仿宋" w:eastAsia="仿宋" w:cs="仿宋"/>
          <w:sz w:val="24"/>
        </w:rPr>
        <w:t>2.1.6 “现场”系指合同约定服务提供地点。</w:t>
      </w:r>
      <w:bookmarkEnd w:id="55"/>
    </w:p>
    <w:p>
      <w:pPr>
        <w:spacing w:line="560" w:lineRule="exact"/>
        <w:ind w:firstLine="482" w:firstLineChars="200"/>
        <w:outlineLvl w:val="0"/>
        <w:rPr>
          <w:rFonts w:ascii="仿宋" w:hAnsi="仿宋" w:eastAsia="仿宋" w:cs="仿宋"/>
          <w:b/>
          <w:sz w:val="24"/>
        </w:rPr>
      </w:pPr>
      <w:bookmarkStart w:id="56" w:name="_Toc27635"/>
      <w:bookmarkStart w:id="57" w:name="_Toc487900350"/>
      <w:bookmarkStart w:id="58" w:name="_Toc279701241"/>
      <w:bookmarkStart w:id="59" w:name="_Toc32504"/>
      <w:bookmarkStart w:id="60" w:name="_Toc259093670"/>
      <w:bookmarkStart w:id="61" w:name="_Toc13336"/>
      <w:r>
        <w:rPr>
          <w:rFonts w:hint="eastAsia" w:ascii="仿宋" w:hAnsi="仿宋" w:eastAsia="仿宋" w:cs="仿宋"/>
          <w:b/>
          <w:sz w:val="24"/>
        </w:rPr>
        <w:t>2.2 技术规范</w:t>
      </w:r>
      <w:bookmarkEnd w:id="56"/>
      <w:bookmarkEnd w:id="57"/>
      <w:bookmarkEnd w:id="58"/>
      <w:bookmarkEnd w:id="59"/>
      <w:bookmarkEnd w:id="60"/>
      <w:bookmarkEnd w:id="61"/>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2" w:name="_Toc487900351"/>
      <w:bookmarkStart w:id="63" w:name="_Toc9829"/>
      <w:bookmarkStart w:id="64" w:name="_Toc27853"/>
      <w:bookmarkStart w:id="65" w:name="_Toc31634"/>
      <w:bookmarkStart w:id="66" w:name="_Toc279701242"/>
      <w:bookmarkStart w:id="67" w:name="_Toc259093671"/>
      <w:r>
        <w:rPr>
          <w:rFonts w:hint="eastAsia" w:ascii="仿宋" w:hAnsi="仿宋" w:eastAsia="仿宋" w:cs="仿宋"/>
          <w:b/>
          <w:sz w:val="24"/>
        </w:rPr>
        <w:t>2.3 知识产权</w:t>
      </w:r>
      <w:bookmarkEnd w:id="62"/>
      <w:bookmarkEnd w:id="63"/>
      <w:bookmarkEnd w:id="64"/>
      <w:bookmarkEnd w:id="65"/>
      <w:bookmarkEnd w:id="66"/>
      <w:bookmarkEnd w:id="67"/>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8" w:name="_Toc11932"/>
      <w:bookmarkStart w:id="69" w:name="_Toc4194"/>
      <w:bookmarkStart w:id="70" w:name="_Toc29149"/>
      <w:r>
        <w:rPr>
          <w:rFonts w:hint="eastAsia" w:ascii="仿宋" w:hAnsi="仿宋" w:eastAsia="仿宋" w:cs="仿宋"/>
          <w:b/>
          <w:sz w:val="24"/>
        </w:rPr>
        <w:t>2.4 包装和装运</w:t>
      </w:r>
      <w:bookmarkEnd w:id="68"/>
      <w:bookmarkEnd w:id="69"/>
      <w:bookmarkEnd w:id="70"/>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1" w:name="_Ref467379527"/>
      <w:bookmarkStart w:id="72" w:name="_Ref467378541"/>
      <w:bookmarkStart w:id="73" w:name="_Ref467378591"/>
      <w:bookmarkStart w:id="74" w:name="_Toc259093674"/>
      <w:bookmarkStart w:id="75" w:name="_Toc487900354"/>
      <w:bookmarkStart w:id="76" w:name="_Ref467379536"/>
      <w:bookmarkStart w:id="77" w:name="_Ref467379542"/>
      <w:bookmarkStart w:id="78" w:name="_Toc279701245"/>
      <w:bookmarkStart w:id="79" w:name="_Toc26182"/>
      <w:bookmarkStart w:id="80" w:name="_Toc19074"/>
      <w:bookmarkStart w:id="81" w:name="_Toc30272"/>
      <w:r>
        <w:rPr>
          <w:rFonts w:hint="eastAsia" w:ascii="仿宋" w:hAnsi="仿宋" w:eastAsia="仿宋" w:cs="仿宋"/>
          <w:b/>
          <w:sz w:val="24"/>
        </w:rPr>
        <w:t>2.</w:t>
      </w:r>
      <w:bookmarkEnd w:id="71"/>
      <w:bookmarkEnd w:id="72"/>
      <w:bookmarkEnd w:id="73"/>
      <w:bookmarkEnd w:id="74"/>
      <w:bookmarkEnd w:id="75"/>
      <w:bookmarkEnd w:id="76"/>
      <w:bookmarkEnd w:id="77"/>
      <w:bookmarkEnd w:id="78"/>
      <w:r>
        <w:rPr>
          <w:rFonts w:hint="eastAsia" w:ascii="仿宋" w:hAnsi="仿宋" w:eastAsia="仿宋" w:cs="仿宋"/>
          <w:b/>
          <w:sz w:val="24"/>
        </w:rPr>
        <w:t>5 履约检查和问题反馈</w:t>
      </w:r>
      <w:bookmarkEnd w:id="79"/>
      <w:bookmarkEnd w:id="80"/>
      <w:bookmarkEnd w:id="81"/>
    </w:p>
    <w:p>
      <w:pPr>
        <w:spacing w:line="560" w:lineRule="exact"/>
        <w:ind w:firstLine="480" w:firstLineChars="200"/>
        <w:rPr>
          <w:rFonts w:ascii="仿宋" w:hAnsi="仿宋" w:eastAsia="仿宋" w:cs="仿宋"/>
          <w:sz w:val="24"/>
        </w:rPr>
      </w:pPr>
      <w:bookmarkStart w:id="82" w:name="_Ref467379657"/>
      <w:r>
        <w:rPr>
          <w:rFonts w:hint="eastAsia" w:ascii="仿宋" w:hAnsi="仿宋" w:eastAsia="仿宋" w:cs="仿宋"/>
          <w:sz w:val="24"/>
        </w:rPr>
        <w:t>2.5.1</w:t>
      </w:r>
      <w:bookmarkEnd w:id="82"/>
      <w:bookmarkStart w:id="83" w:name="_Toc186431854"/>
      <w:bookmarkStart w:id="84" w:name="_Ref467379793"/>
      <w:bookmarkStart w:id="85" w:name="_Toc487900357"/>
      <w:bookmarkStart w:id="86" w:name="_Ref467379807"/>
      <w:bookmarkStart w:id="87" w:name="_Toc259093676"/>
      <w:bookmarkStart w:id="88" w:name="_Toc279701247"/>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sz w:val="24"/>
        </w:rPr>
        <w:t>。</w:t>
      </w:r>
    </w:p>
    <w:bookmarkEnd w:id="84"/>
    <w:bookmarkEnd w:id="85"/>
    <w:bookmarkEnd w:id="86"/>
    <w:bookmarkEnd w:id="87"/>
    <w:bookmarkEnd w:id="88"/>
    <w:bookmarkEnd w:id="89"/>
    <w:p>
      <w:pPr>
        <w:spacing w:line="560" w:lineRule="exact"/>
        <w:ind w:firstLine="482" w:firstLineChars="200"/>
        <w:outlineLvl w:val="0"/>
        <w:rPr>
          <w:rFonts w:ascii="仿宋" w:hAnsi="仿宋" w:eastAsia="仿宋" w:cs="仿宋"/>
          <w:b/>
          <w:sz w:val="24"/>
        </w:rPr>
      </w:pPr>
      <w:bookmarkStart w:id="90" w:name="_Ref467379923"/>
      <w:bookmarkStart w:id="91" w:name="_Ref467379863"/>
      <w:bookmarkStart w:id="92" w:name="_Ref467379852"/>
      <w:bookmarkStart w:id="93" w:name="_Toc279701248"/>
      <w:bookmarkStart w:id="94" w:name="_Toc259093677"/>
      <w:bookmarkStart w:id="95" w:name="_Toc487900358"/>
      <w:bookmarkStart w:id="96" w:name="_Toc774"/>
      <w:bookmarkStart w:id="97" w:name="_Toc3225"/>
      <w:bookmarkStart w:id="98" w:name="_Toc16110"/>
      <w:r>
        <w:rPr>
          <w:rFonts w:hint="eastAsia" w:ascii="仿宋" w:hAnsi="仿宋" w:eastAsia="仿宋" w:cs="仿宋"/>
          <w:b/>
          <w:sz w:val="24"/>
        </w:rPr>
        <w:t>2.6 技术资料</w:t>
      </w:r>
      <w:bookmarkEnd w:id="90"/>
      <w:bookmarkEnd w:id="91"/>
      <w:bookmarkEnd w:id="92"/>
      <w:bookmarkEnd w:id="93"/>
      <w:bookmarkEnd w:id="94"/>
      <w:bookmarkEnd w:id="95"/>
      <w:r>
        <w:rPr>
          <w:rFonts w:hint="eastAsia" w:ascii="仿宋" w:hAnsi="仿宋" w:eastAsia="仿宋" w:cs="仿宋"/>
          <w:b/>
          <w:sz w:val="24"/>
        </w:rPr>
        <w:t>和保密义务</w:t>
      </w:r>
      <w:bookmarkEnd w:id="96"/>
      <w:bookmarkEnd w:id="97"/>
      <w:bookmarkEnd w:id="98"/>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99" w:name="_Toc7860"/>
      <w:r>
        <w:rPr>
          <w:rFonts w:hint="eastAsia" w:ascii="仿宋" w:hAnsi="仿宋" w:eastAsia="仿宋" w:cs="仿宋"/>
          <w:b/>
          <w:sz w:val="24"/>
        </w:rPr>
        <w:t>2.7 质量保证</w:t>
      </w:r>
      <w:bookmarkEnd w:id="99"/>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0" w:name="_Toc17244"/>
      <w:bookmarkStart w:id="101" w:name="_Toc487900362"/>
      <w:bookmarkStart w:id="102" w:name="_Toc279701252"/>
      <w:bookmarkStart w:id="103" w:name="_Toc259093681"/>
      <w:r>
        <w:rPr>
          <w:rFonts w:hint="eastAsia" w:ascii="仿宋" w:hAnsi="仿宋" w:eastAsia="仿宋" w:cs="仿宋"/>
          <w:b/>
          <w:sz w:val="24"/>
        </w:rPr>
        <w:t>2.8 服务的风险负担</w:t>
      </w:r>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4" w:name="_Toc14055"/>
      <w:r>
        <w:rPr>
          <w:rFonts w:hint="eastAsia" w:ascii="仿宋" w:hAnsi="仿宋" w:eastAsia="仿宋" w:cs="仿宋"/>
          <w:b/>
          <w:sz w:val="24"/>
        </w:rPr>
        <w:t>2.9 延迟</w:t>
      </w:r>
      <w:bookmarkEnd w:id="101"/>
      <w:bookmarkEnd w:id="102"/>
      <w:bookmarkEnd w:id="103"/>
      <w:bookmarkEnd w:id="104"/>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5" w:name="_Toc7502"/>
      <w:bookmarkStart w:id="106" w:name="_Toc279701254"/>
      <w:bookmarkStart w:id="107" w:name="_Ref467378121"/>
      <w:bookmarkStart w:id="108" w:name="_Toc487900364"/>
      <w:bookmarkStart w:id="109" w:name="_Toc259093683"/>
      <w:r>
        <w:rPr>
          <w:rFonts w:hint="eastAsia" w:ascii="仿宋" w:hAnsi="仿宋" w:eastAsia="仿宋" w:cs="仿宋"/>
          <w:b/>
          <w:sz w:val="24"/>
        </w:rPr>
        <w:t>2.10合同变更</w:t>
      </w:r>
      <w:bookmarkEnd w:id="105"/>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259093688"/>
      <w:bookmarkStart w:id="112" w:name="_Toc487900369"/>
    </w:p>
    <w:p>
      <w:pPr>
        <w:spacing w:line="560" w:lineRule="exact"/>
        <w:ind w:firstLine="482" w:firstLineChars="200"/>
        <w:outlineLvl w:val="0"/>
        <w:rPr>
          <w:rFonts w:ascii="仿宋" w:hAnsi="仿宋" w:eastAsia="仿宋" w:cs="仿宋"/>
          <w:b/>
          <w:sz w:val="24"/>
        </w:rPr>
      </w:pPr>
      <w:bookmarkStart w:id="113" w:name="_Toc10366"/>
      <w:bookmarkStart w:id="114" w:name="_Toc22955"/>
      <w:bookmarkStart w:id="115" w:name="_Toc15237"/>
      <w:r>
        <w:rPr>
          <w:rFonts w:hint="eastAsia" w:ascii="仿宋" w:hAnsi="仿宋" w:eastAsia="仿宋" w:cs="仿宋"/>
          <w:b/>
          <w:sz w:val="24"/>
        </w:rPr>
        <w:t>2.11合同转让</w:t>
      </w:r>
      <w:bookmarkEnd w:id="110"/>
      <w:bookmarkEnd w:id="111"/>
      <w:bookmarkEnd w:id="112"/>
      <w:r>
        <w:rPr>
          <w:rFonts w:hint="eastAsia" w:ascii="仿宋" w:hAnsi="仿宋" w:eastAsia="仿宋" w:cs="仿宋"/>
          <w:b/>
          <w:sz w:val="24"/>
        </w:rPr>
        <w:t>和分包</w:t>
      </w:r>
      <w:bookmarkEnd w:id="113"/>
      <w:bookmarkEnd w:id="114"/>
      <w:bookmarkEnd w:id="115"/>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6" w:name="_Toc13566"/>
      <w:bookmarkStart w:id="117" w:name="_Toc14066"/>
      <w:bookmarkStart w:id="118" w:name="_Toc16508"/>
      <w:r>
        <w:rPr>
          <w:rFonts w:hint="eastAsia" w:ascii="仿宋" w:hAnsi="仿宋" w:eastAsia="仿宋" w:cs="仿宋"/>
          <w:b/>
          <w:sz w:val="24"/>
        </w:rPr>
        <w:t>2.12不可抗力</w:t>
      </w:r>
      <w:bookmarkEnd w:id="116"/>
      <w:bookmarkEnd w:id="117"/>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19" w:name="_Toc487900365"/>
      <w:bookmarkStart w:id="120" w:name="_Toc279701255"/>
      <w:bookmarkStart w:id="121" w:name="_Toc6969"/>
      <w:bookmarkStart w:id="122" w:name="_Toc30676"/>
      <w:bookmarkStart w:id="123" w:name="_Toc689"/>
      <w:bookmarkStart w:id="124" w:name="_Toc259093684"/>
      <w:r>
        <w:rPr>
          <w:rFonts w:hint="eastAsia" w:ascii="仿宋" w:hAnsi="仿宋" w:eastAsia="仿宋" w:cs="仿宋"/>
          <w:b/>
          <w:sz w:val="24"/>
        </w:rPr>
        <w:t>2.13税费</w:t>
      </w:r>
      <w:bookmarkEnd w:id="119"/>
      <w:bookmarkEnd w:id="120"/>
      <w:bookmarkEnd w:id="121"/>
      <w:bookmarkEnd w:id="122"/>
      <w:bookmarkEnd w:id="123"/>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5" w:name="_Toc487900368"/>
      <w:bookmarkStart w:id="126" w:name="_Toc259093687"/>
      <w:bookmarkStart w:id="127" w:name="_Toc16959"/>
      <w:bookmarkStart w:id="128" w:name="_Toc8298"/>
      <w:bookmarkStart w:id="129" w:name="_Toc7102"/>
      <w:bookmarkStart w:id="130" w:name="_Toc279701258"/>
      <w:r>
        <w:rPr>
          <w:rFonts w:hint="eastAsia" w:ascii="仿宋" w:hAnsi="仿宋" w:eastAsia="仿宋" w:cs="仿宋"/>
          <w:b/>
          <w:sz w:val="24"/>
        </w:rPr>
        <w:t>2.14乙方破产</w:t>
      </w:r>
      <w:bookmarkEnd w:id="125"/>
      <w:bookmarkEnd w:id="126"/>
      <w:bookmarkEnd w:id="127"/>
      <w:bookmarkEnd w:id="128"/>
      <w:bookmarkEnd w:id="129"/>
      <w:bookmarkEnd w:id="130"/>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1" w:name="_Toc6134"/>
      <w:bookmarkStart w:id="132" w:name="_Toc29333"/>
      <w:bookmarkStart w:id="133" w:name="_Toc15387"/>
      <w:r>
        <w:rPr>
          <w:rFonts w:hint="eastAsia" w:ascii="仿宋" w:hAnsi="仿宋" w:eastAsia="仿宋" w:cs="仿宋"/>
          <w:b/>
          <w:sz w:val="24"/>
        </w:rPr>
        <w:t>2.15合同中止、终止</w:t>
      </w:r>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4" w:name="_Toc6596"/>
      <w:bookmarkStart w:id="135" w:name="_Toc14563"/>
      <w:bookmarkStart w:id="136" w:name="_Toc1125"/>
      <w:r>
        <w:rPr>
          <w:rFonts w:hint="eastAsia" w:ascii="仿宋" w:hAnsi="仿宋" w:eastAsia="仿宋" w:cs="仿宋"/>
          <w:b/>
          <w:sz w:val="24"/>
        </w:rPr>
        <w:t>2.16检验和验收</w:t>
      </w:r>
      <w:bookmarkEnd w:id="134"/>
      <w:bookmarkEnd w:id="135"/>
      <w:bookmarkEnd w:id="136"/>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6"/>
    <w:bookmarkEnd w:id="107"/>
    <w:bookmarkEnd w:id="108"/>
    <w:bookmarkEnd w:id="109"/>
    <w:p>
      <w:pPr>
        <w:spacing w:line="560" w:lineRule="exact"/>
        <w:ind w:firstLine="482" w:firstLineChars="200"/>
        <w:outlineLvl w:val="0"/>
        <w:rPr>
          <w:rFonts w:ascii="仿宋" w:hAnsi="仿宋" w:eastAsia="仿宋" w:cs="仿宋"/>
          <w:b/>
          <w:sz w:val="24"/>
        </w:rPr>
      </w:pPr>
      <w:bookmarkStart w:id="137" w:name="_Toc259093690"/>
      <w:bookmarkStart w:id="138" w:name="_Toc279701261"/>
      <w:bookmarkStart w:id="139" w:name="_Toc487900371"/>
      <w:bookmarkStart w:id="140" w:name="_Toc19604"/>
      <w:bookmarkStart w:id="141" w:name="_Toc25182"/>
      <w:bookmarkStart w:id="142" w:name="_Toc11284"/>
      <w:r>
        <w:rPr>
          <w:rFonts w:hint="eastAsia" w:ascii="仿宋" w:hAnsi="仿宋" w:eastAsia="仿宋" w:cs="仿宋"/>
          <w:b/>
          <w:sz w:val="24"/>
        </w:rPr>
        <w:t>2.17通知</w:t>
      </w:r>
      <w:bookmarkEnd w:id="137"/>
      <w:bookmarkEnd w:id="138"/>
      <w:bookmarkEnd w:id="139"/>
      <w:r>
        <w:rPr>
          <w:rFonts w:hint="eastAsia" w:ascii="仿宋" w:hAnsi="仿宋" w:eastAsia="仿宋" w:cs="仿宋"/>
          <w:b/>
          <w:sz w:val="24"/>
        </w:rPr>
        <w:t>和送达</w:t>
      </w:r>
      <w:bookmarkEnd w:id="140"/>
      <w:bookmarkEnd w:id="141"/>
      <w:bookmarkEnd w:id="142"/>
    </w:p>
    <w:p>
      <w:pPr>
        <w:spacing w:line="560" w:lineRule="exact"/>
        <w:ind w:firstLine="480" w:firstLineChars="200"/>
        <w:rPr>
          <w:rFonts w:ascii="仿宋" w:hAnsi="仿宋" w:eastAsia="仿宋" w:cs="仿宋"/>
          <w:sz w:val="24"/>
        </w:rPr>
      </w:pPr>
      <w:bookmarkStart w:id="143" w:name="_Toc3135"/>
      <w:bookmarkStart w:id="144" w:name="_Toc6698"/>
      <w:bookmarkStart w:id="145" w:name="_Toc259093691"/>
      <w:bookmarkStart w:id="146" w:name="_Toc487900372"/>
      <w:bookmarkStart w:id="147" w:name="_Toc27970126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ascii="仿宋" w:hAnsi="仿宋" w:eastAsia="仿宋" w:cs="仿宋"/>
          <w:sz w:val="24"/>
        </w:rPr>
      </w:pPr>
      <w:bookmarkStart w:id="148" w:name="_Toc23294"/>
      <w:bookmarkStart w:id="149"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ascii="仿宋" w:hAnsi="仿宋" w:eastAsia="仿宋" w:cs="仿宋"/>
          <w:b/>
          <w:sz w:val="24"/>
        </w:rPr>
      </w:pPr>
      <w:bookmarkStart w:id="150" w:name="_Toc30599"/>
      <w:bookmarkStart w:id="151" w:name="_Toc4355"/>
      <w:bookmarkStart w:id="152" w:name="_Toc18540"/>
      <w:r>
        <w:rPr>
          <w:rFonts w:hint="eastAsia" w:ascii="仿宋" w:hAnsi="仿宋" w:eastAsia="仿宋" w:cs="仿宋"/>
          <w:b/>
          <w:sz w:val="24"/>
        </w:rPr>
        <w:t>2.18计量单位</w:t>
      </w:r>
      <w:bookmarkEnd w:id="145"/>
      <w:bookmarkEnd w:id="146"/>
      <w:bookmarkEnd w:id="147"/>
      <w:bookmarkEnd w:id="150"/>
      <w:bookmarkEnd w:id="151"/>
      <w:bookmarkEnd w:id="152"/>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3" w:name="_Toc18567"/>
      <w:bookmarkStart w:id="154" w:name="_Toc12773"/>
      <w:bookmarkStart w:id="155" w:name="_Toc259093692"/>
      <w:bookmarkStart w:id="156" w:name="_Toc279701263"/>
      <w:bookmarkStart w:id="157" w:name="_Toc487900373"/>
      <w:bookmarkStart w:id="158" w:name="_Toc10330"/>
      <w:r>
        <w:rPr>
          <w:rFonts w:hint="eastAsia" w:ascii="仿宋" w:hAnsi="仿宋" w:eastAsia="仿宋" w:cs="仿宋"/>
          <w:b/>
          <w:sz w:val="24"/>
        </w:rPr>
        <w:t>2.19合同使用的文字和适用的法律</w:t>
      </w:r>
      <w:bookmarkEnd w:id="153"/>
      <w:bookmarkEnd w:id="154"/>
      <w:bookmarkEnd w:id="155"/>
      <w:bookmarkEnd w:id="156"/>
      <w:bookmarkEnd w:id="157"/>
      <w:bookmarkEnd w:id="158"/>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59" w:name="_Toc279701264"/>
      <w:bookmarkStart w:id="160" w:name="_Toc259093693"/>
      <w:bookmarkStart w:id="161" w:name="_Toc12004"/>
      <w:bookmarkStart w:id="162" w:name="_Toc16673"/>
      <w:bookmarkStart w:id="163" w:name="_Toc3148"/>
      <w:bookmarkStart w:id="164" w:name="_Toc487900374"/>
      <w:r>
        <w:rPr>
          <w:rFonts w:hint="eastAsia" w:ascii="仿宋" w:hAnsi="仿宋" w:eastAsia="仿宋" w:cs="仿宋"/>
          <w:b/>
          <w:sz w:val="24"/>
        </w:rPr>
        <w:t>2.20履约保证金</w:t>
      </w:r>
      <w:bookmarkEnd w:id="159"/>
      <w:bookmarkEnd w:id="160"/>
      <w:bookmarkEnd w:id="161"/>
      <w:bookmarkEnd w:id="162"/>
      <w:bookmarkEnd w:id="163"/>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4"/>
    <w:p>
      <w:pPr>
        <w:spacing w:line="560" w:lineRule="exact"/>
        <w:ind w:firstLine="482" w:firstLineChars="200"/>
        <w:outlineLvl w:val="0"/>
        <w:rPr>
          <w:rFonts w:ascii="仿宋" w:hAnsi="仿宋" w:eastAsia="仿宋" w:cs="仿宋"/>
          <w:b/>
          <w:sz w:val="24"/>
        </w:rPr>
      </w:pPr>
      <w:bookmarkStart w:id="165" w:name="_Toc19890"/>
      <w:bookmarkStart w:id="166" w:name="_Toc6885"/>
      <w:bookmarkStart w:id="167" w:name="_Toc14001"/>
      <w:r>
        <w:rPr>
          <w:rFonts w:hint="eastAsia" w:ascii="仿宋" w:hAnsi="仿宋" w:eastAsia="仿宋" w:cs="仿宋"/>
          <w:b/>
          <w:sz w:val="24"/>
        </w:rPr>
        <w:t>2.22合同份数</w:t>
      </w:r>
      <w:bookmarkEnd w:id="165"/>
      <w:bookmarkEnd w:id="166"/>
      <w:bookmarkEnd w:id="167"/>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bookmarkEnd w:id="12"/>
    <w:p>
      <w:pPr>
        <w:pStyle w:val="281"/>
        <w:pageBreakBefore/>
        <w:spacing w:line="560" w:lineRule="exact"/>
        <w:ind w:firstLine="723"/>
        <w:jc w:val="center"/>
        <w:rPr>
          <w:rFonts w:ascii="仿宋" w:hAnsi="仿宋" w:eastAsia="仿宋" w:cs="仿宋"/>
          <w:b/>
          <w:sz w:val="36"/>
          <w:szCs w:val="36"/>
        </w:rPr>
      </w:pPr>
      <w:bookmarkStart w:id="168" w:name="_Toc331685784"/>
      <w:bookmarkEnd w:id="168"/>
      <w:r>
        <w:rPr>
          <w:rFonts w:hint="eastAsia" w:ascii="仿宋" w:hAnsi="仿宋" w:eastAsia="仿宋" w:cs="仿宋"/>
          <w:b/>
          <w:sz w:val="36"/>
          <w:szCs w:val="36"/>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4"/>
        <w:spacing w:line="800" w:lineRule="exact"/>
        <w:ind w:firstLine="723"/>
        <w:jc w:val="center"/>
        <w:rPr>
          <w:rFonts w:ascii="仿宋" w:hAnsi="仿宋" w:eastAsia="仿宋" w:cs="仿宋"/>
          <w:b/>
          <w:sz w:val="36"/>
          <w:szCs w:val="36"/>
        </w:rPr>
      </w:pPr>
    </w:p>
    <w:p>
      <w:pPr>
        <w:pStyle w:val="24"/>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43"/>
        <w:gridCol w:w="7123"/>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670" w:type="pct"/>
            <w:vAlign w:val="center"/>
          </w:tcPr>
          <w:p>
            <w:pPr>
              <w:spacing w:line="440" w:lineRule="exact"/>
              <w:jc w:val="center"/>
              <w:rPr>
                <w:rFonts w:ascii="仿宋" w:hAnsi="仿宋" w:eastAsia="仿宋" w:cs="仿宋"/>
                <w:sz w:val="24"/>
              </w:rPr>
            </w:pPr>
            <w:r>
              <w:rPr>
                <w:rFonts w:hint="eastAsia" w:ascii="仿宋" w:hAnsi="仿宋" w:eastAsia="仿宋" w:cs="仿宋"/>
                <w:caps/>
                <w:sz w:val="24"/>
              </w:rPr>
              <w:t>评审内容</w:t>
            </w:r>
          </w:p>
        </w:tc>
        <w:tc>
          <w:tcPr>
            <w:tcW w:w="3837" w:type="pct"/>
            <w:vAlign w:val="center"/>
          </w:tcPr>
          <w:p>
            <w:pPr>
              <w:spacing w:line="440" w:lineRule="exact"/>
              <w:jc w:val="center"/>
              <w:rPr>
                <w:rFonts w:ascii="仿宋" w:hAnsi="仿宋" w:eastAsia="仿宋" w:cs="仿宋"/>
                <w:sz w:val="24"/>
              </w:rPr>
            </w:pPr>
            <w:r>
              <w:rPr>
                <w:rFonts w:hint="eastAsia" w:ascii="仿宋" w:hAnsi="仿宋" w:eastAsia="仿宋" w:cs="仿宋"/>
                <w:caps/>
                <w:sz w:val="24"/>
              </w:rPr>
              <w:t>评分标准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670" w:type="pct"/>
            <w:vAlign w:val="center"/>
          </w:tcPr>
          <w:p>
            <w:pPr>
              <w:spacing w:line="360" w:lineRule="auto"/>
              <w:jc w:val="center"/>
              <w:rPr>
                <w:rFonts w:ascii="仿宋" w:hAnsi="仿宋" w:eastAsia="仿宋" w:cs="仿宋"/>
                <w:caps/>
                <w:sz w:val="24"/>
              </w:rPr>
            </w:pPr>
            <w:r>
              <w:rPr>
                <w:rFonts w:hint="eastAsia" w:ascii="仿宋" w:hAnsi="仿宋" w:eastAsia="仿宋" w:cs="仿宋"/>
                <w:color w:val="000000"/>
                <w:sz w:val="24"/>
              </w:rPr>
              <w:t>投标人综合实力</w:t>
            </w:r>
          </w:p>
        </w:tc>
        <w:tc>
          <w:tcPr>
            <w:tcW w:w="3837" w:type="pct"/>
            <w:vAlign w:val="center"/>
          </w:tcPr>
          <w:p>
            <w:pPr>
              <w:spacing w:line="360" w:lineRule="auto"/>
              <w:rPr>
                <w:rFonts w:ascii="仿宋" w:hAnsi="仿宋" w:eastAsia="仿宋" w:cs="仿宋"/>
                <w:caps/>
                <w:sz w:val="24"/>
              </w:rPr>
            </w:pPr>
            <w:r>
              <w:rPr>
                <w:rFonts w:hint="eastAsia" w:ascii="仿宋" w:hAnsi="仿宋" w:eastAsia="仿宋" w:cs="仿宋"/>
                <w:sz w:val="24"/>
                <w:lang w:val="zh-CN"/>
              </w:rPr>
              <w:t>投标人具有有效的ISO9001质量管理体系认证证书，ISO14001环境管理体系认证证书，ISO45001职业健康安全管理体系认证书、ISO/IEC27001信息安全管理体系认证证书、ISO/IEC20000信息技术服务管理体系认证证书、五星售后服务认证证书（认证内容含档案管理服务）每个得</w:t>
            </w:r>
            <w:r>
              <w:rPr>
                <w:rFonts w:hint="eastAsia" w:ascii="仿宋" w:hAnsi="仿宋" w:eastAsia="仿宋" w:cs="仿宋"/>
                <w:sz w:val="24"/>
              </w:rPr>
              <w:t>0.5</w:t>
            </w:r>
            <w:r>
              <w:rPr>
                <w:rFonts w:hint="eastAsia" w:ascii="仿宋" w:hAnsi="仿宋" w:eastAsia="仿宋" w:cs="仿宋"/>
                <w:sz w:val="24"/>
                <w:lang w:val="zh-CN"/>
              </w:rPr>
              <w:t>分，最高得</w:t>
            </w:r>
            <w:r>
              <w:rPr>
                <w:rFonts w:hint="eastAsia" w:ascii="仿宋" w:hAnsi="仿宋" w:eastAsia="仿宋" w:cs="仿宋"/>
                <w:sz w:val="24"/>
              </w:rPr>
              <w:t>3</w:t>
            </w:r>
            <w:r>
              <w:rPr>
                <w:rFonts w:hint="eastAsia" w:ascii="仿宋" w:hAnsi="仿宋" w:eastAsia="仿宋" w:cs="仿宋"/>
                <w:sz w:val="24"/>
                <w:lang w:val="zh-CN"/>
              </w:rPr>
              <w:t>分；提供有效认证证书复印件，</w:t>
            </w:r>
            <w:r>
              <w:rPr>
                <w:rFonts w:hint="eastAsia" w:ascii="仿宋" w:hAnsi="仿宋" w:eastAsia="仿宋" w:cs="仿宋"/>
                <w:sz w:val="24"/>
              </w:rPr>
              <w:t>并加盖投标人公章</w:t>
            </w:r>
            <w:r>
              <w:rPr>
                <w:rFonts w:hint="eastAsia" w:ascii="仿宋" w:hAnsi="仿宋" w:eastAsia="仿宋" w:cs="仿宋"/>
                <w:sz w:val="24"/>
                <w:lang w:val="zh-CN"/>
              </w:rPr>
              <w:t>。</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670" w:type="pct"/>
            <w:vAlign w:val="center"/>
          </w:tcPr>
          <w:p>
            <w:pPr>
              <w:spacing w:line="440" w:lineRule="exact"/>
              <w:jc w:val="left"/>
              <w:rPr>
                <w:rFonts w:ascii="仿宋" w:hAnsi="仿宋" w:eastAsia="仿宋" w:cs="仿宋"/>
                <w:sz w:val="24"/>
              </w:rPr>
            </w:pPr>
            <w:r>
              <w:rPr>
                <w:rFonts w:hint="eastAsia" w:ascii="仿宋" w:hAnsi="仿宋" w:eastAsia="仿宋" w:cs="仿宋"/>
                <w:color w:val="000000"/>
                <w:sz w:val="24"/>
              </w:rPr>
              <w:t>同类业绩</w:t>
            </w:r>
          </w:p>
        </w:tc>
        <w:tc>
          <w:tcPr>
            <w:tcW w:w="3837" w:type="pct"/>
            <w:vAlign w:val="center"/>
          </w:tcPr>
          <w:p>
            <w:pPr>
              <w:spacing w:line="440" w:lineRule="exact"/>
              <w:jc w:val="left"/>
              <w:rPr>
                <w:rFonts w:ascii="仿宋" w:hAnsi="仿宋" w:eastAsia="仿宋" w:cs="仿宋"/>
                <w:sz w:val="24"/>
              </w:rPr>
            </w:pPr>
            <w:r>
              <w:rPr>
                <w:rFonts w:hint="eastAsia" w:ascii="仿宋" w:hAnsi="仿宋" w:eastAsia="仿宋" w:cs="仿宋"/>
                <w:sz w:val="24"/>
              </w:rPr>
              <w:t>2019年1月1日至今，投标人具有同类型项目业绩的，提供合同复印件并加盖投标人公章，每一份合同得1分，最高得3分。不提供不得分。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670" w:type="pct"/>
            <w:vAlign w:val="center"/>
          </w:tcPr>
          <w:p>
            <w:pPr>
              <w:spacing w:line="440" w:lineRule="exact"/>
              <w:jc w:val="left"/>
              <w:rPr>
                <w:rFonts w:ascii="仿宋" w:hAnsi="仿宋" w:eastAsia="仿宋" w:cs="仿宋"/>
                <w:sz w:val="24"/>
              </w:rPr>
            </w:pPr>
            <w:r>
              <w:rPr>
                <w:rFonts w:hint="eastAsia" w:ascii="仿宋" w:hAnsi="仿宋" w:eastAsia="仿宋" w:cs="仿宋"/>
                <w:caps/>
                <w:sz w:val="24"/>
              </w:rPr>
              <w:t>项目实施方案</w:t>
            </w:r>
          </w:p>
        </w:tc>
        <w:tc>
          <w:tcPr>
            <w:tcW w:w="3837" w:type="pct"/>
            <w:vAlign w:val="center"/>
          </w:tcPr>
          <w:p>
            <w:pPr>
              <w:spacing w:line="440" w:lineRule="exact"/>
              <w:jc w:val="left"/>
              <w:rPr>
                <w:rFonts w:ascii="仿宋" w:hAnsi="仿宋" w:eastAsia="仿宋" w:cs="仿宋"/>
                <w:sz w:val="24"/>
              </w:rPr>
            </w:pPr>
            <w:r>
              <w:rPr>
                <w:rFonts w:hint="eastAsia" w:ascii="仿宋" w:hAnsi="仿宋" w:eastAsia="仿宋" w:cs="仿宋"/>
                <w:sz w:val="24"/>
              </w:rPr>
              <w:t>对投标人提供的投标方案阐述是否清晰、完整，对投标人自身的基本情况介绍是否全面；响应方案是否体现投标人对与本项目相关的标准、准则、要求的熟知情况；投标方案与项目需求的吻合程度以及偏差情况，投标方案设计的完整性、合理性、严谨性情况进行综合打分。优于招标文件要求的得 10.0-7.1 分，符合招标文件要求的得 7.0-3.1 分，部分符合招标文件要求的得 3.0-0.1 分，不符合的不得分。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670" w:type="pct"/>
            <w:vAlign w:val="center"/>
          </w:tcPr>
          <w:p>
            <w:pPr>
              <w:spacing w:line="440" w:lineRule="exact"/>
              <w:jc w:val="left"/>
              <w:rPr>
                <w:rFonts w:ascii="仿宋" w:hAnsi="仿宋" w:eastAsia="仿宋" w:cs="仿宋"/>
                <w:sz w:val="24"/>
              </w:rPr>
            </w:pPr>
            <w:r>
              <w:rPr>
                <w:rFonts w:hint="eastAsia" w:ascii="仿宋" w:hAnsi="仿宋" w:eastAsia="仿宋" w:cs="仿宋"/>
                <w:caps/>
                <w:sz w:val="24"/>
              </w:rPr>
              <w:t>项目质量控制方案</w:t>
            </w:r>
          </w:p>
        </w:tc>
        <w:tc>
          <w:tcPr>
            <w:tcW w:w="3837" w:type="pct"/>
            <w:vAlign w:val="center"/>
          </w:tcPr>
          <w:p>
            <w:pPr>
              <w:numPr>
                <w:ilvl w:val="0"/>
                <w:numId w:val="8"/>
              </w:numPr>
              <w:autoSpaceDE w:val="0"/>
              <w:autoSpaceDN w:val="0"/>
              <w:snapToGrid w:val="0"/>
              <w:spacing w:line="360" w:lineRule="auto"/>
              <w:jc w:val="left"/>
              <w:rPr>
                <w:rFonts w:ascii="仿宋" w:hAnsi="仿宋" w:eastAsia="仿宋" w:cs="仿宋"/>
                <w:sz w:val="24"/>
              </w:rPr>
            </w:pPr>
            <w:r>
              <w:rPr>
                <w:rFonts w:hint="eastAsia" w:ascii="仿宋" w:hAnsi="仿宋" w:eastAsia="仿宋" w:cs="仿宋"/>
                <w:sz w:val="24"/>
              </w:rPr>
              <w:t>投标人是否结合本项目需求制定符合实际工作的档案管理配套制度，包括日常行政管理制度、岗位责任制、档案巡回检查制度、档案追溯表制度、安全文明操作管理制度等，是否符合国家和行业标准。优于招标文件要求的得4.0-3.1 分，符合招标文件要求的得 3.0-1.1 分，部分符合招标文件要求的得 1.0-0.1 分，不符合的不得分。</w:t>
            </w:r>
          </w:p>
          <w:p>
            <w:pPr>
              <w:numPr>
                <w:ilvl w:val="0"/>
                <w:numId w:val="8"/>
              </w:numPr>
              <w:autoSpaceDE w:val="0"/>
              <w:autoSpaceDN w:val="0"/>
              <w:snapToGrid w:val="0"/>
              <w:spacing w:line="360" w:lineRule="auto"/>
              <w:jc w:val="left"/>
              <w:rPr>
                <w:rFonts w:ascii="仿宋" w:hAnsi="仿宋" w:eastAsia="仿宋" w:cs="仿宋"/>
                <w:sz w:val="24"/>
              </w:rPr>
            </w:pPr>
            <w:r>
              <w:rPr>
                <w:rFonts w:hint="eastAsia" w:ascii="仿宋" w:hAnsi="仿宋" w:eastAsia="仿宋" w:cs="仿宋"/>
                <w:sz w:val="24"/>
              </w:rPr>
              <w:t>投标人是否根据现有档案类型和服务要求，制定完整可行的档案整理作业流程及项目实施计划，并建立和完善档案查询、调阅、递送，档案销毁制度等，体现档案管理、档案托管的标准化服务。优于招标文件要求的得 4.0-3.1 分，符合招标文件要求的得 3.0-1.1 分，部分符合招标文件要求的得 1.0-0.1 分，不符合的不得分。</w:t>
            </w:r>
          </w:p>
          <w:p>
            <w:pPr>
              <w:autoSpaceDE w:val="0"/>
              <w:autoSpaceDN w:val="0"/>
              <w:snapToGrid w:val="0"/>
              <w:spacing w:line="360" w:lineRule="auto"/>
              <w:jc w:val="left"/>
              <w:rPr>
                <w:rFonts w:ascii="仿宋" w:hAnsi="仿宋" w:eastAsia="仿宋" w:cs="仿宋"/>
                <w:caps/>
                <w:sz w:val="24"/>
              </w:rPr>
            </w:pPr>
            <w:r>
              <w:rPr>
                <w:rFonts w:hint="eastAsia" w:ascii="仿宋" w:hAnsi="仿宋" w:eastAsia="仿宋" w:cs="仿宋"/>
                <w:sz w:val="24"/>
              </w:rPr>
              <w:t>3、投标人对于是否具有严格的安全监督措施，是否提供定期安全检查，是否对项目组成员进行安全和保密意识培训，确保档案信息的安全。优于招标文件要求的得 4.0-3.1 分，符合招标文件要求的得 3.0-1.1 分，部分符合招标文件要求的得 1.0-0.1 分，不符合的不得分。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670" w:type="pct"/>
            <w:vAlign w:val="center"/>
          </w:tcPr>
          <w:p>
            <w:pPr>
              <w:spacing w:line="360" w:lineRule="auto"/>
              <w:jc w:val="center"/>
              <w:rPr>
                <w:rFonts w:ascii="仿宋" w:hAnsi="仿宋" w:eastAsia="仿宋" w:cs="仿宋"/>
                <w:sz w:val="24"/>
              </w:rPr>
            </w:pPr>
            <w:r>
              <w:rPr>
                <w:rFonts w:hint="eastAsia" w:ascii="仿宋" w:hAnsi="仿宋" w:eastAsia="仿宋" w:cs="仿宋"/>
                <w:caps/>
                <w:sz w:val="24"/>
              </w:rPr>
              <w:t>项目应急方案</w:t>
            </w:r>
          </w:p>
        </w:tc>
        <w:tc>
          <w:tcPr>
            <w:tcW w:w="3837" w:type="pct"/>
            <w:vAlign w:val="center"/>
          </w:tcPr>
          <w:p>
            <w:pPr>
              <w:spacing w:line="360" w:lineRule="auto"/>
              <w:rPr>
                <w:rFonts w:ascii="仿宋" w:hAnsi="仿宋" w:eastAsia="仿宋" w:cs="仿宋"/>
                <w:sz w:val="24"/>
              </w:rPr>
            </w:pPr>
            <w:r>
              <w:rPr>
                <w:rFonts w:hint="eastAsia" w:ascii="仿宋" w:hAnsi="仿宋" w:eastAsia="仿宋" w:cs="仿宋"/>
                <w:sz w:val="24"/>
              </w:rPr>
              <w:t>1、服务保障突发应急预案，方案对实施可能遇到的问题及其应对措施的考虑情况，及时妥善的处理能力和详尽的预案，及解决问题的时间。优于招标文件要求的得 5.0-3.1 分，符合招标文件要求的得 3.0-1.1 分，部分符合招标文件要求的得 1.0-0.1 分，不符合的不得分。</w:t>
            </w:r>
          </w:p>
          <w:p>
            <w:pPr>
              <w:spacing w:line="360" w:lineRule="auto"/>
              <w:rPr>
                <w:rFonts w:ascii="仿宋" w:hAnsi="仿宋" w:eastAsia="仿宋" w:cs="仿宋"/>
                <w:sz w:val="24"/>
              </w:rPr>
            </w:pPr>
            <w:r>
              <w:rPr>
                <w:rFonts w:hint="eastAsia" w:ascii="仿宋" w:hAnsi="仿宋" w:eastAsia="仿宋" w:cs="仿宋"/>
                <w:sz w:val="24"/>
              </w:rPr>
              <w:t>2、提供完善的项目安全与保密控制方案（包括人员的安全管理、工作日志管理、档案安全管理、设备及数据安全管理、安全管理软件）等情况评定。保密及保障方案详细完善的得4-3分，方案较详细完善的得2.9-1.1分，方案不够详细完善的得1-0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670" w:type="pct"/>
            <w:vAlign w:val="center"/>
          </w:tcPr>
          <w:p>
            <w:pPr>
              <w:spacing w:line="360" w:lineRule="auto"/>
              <w:jc w:val="center"/>
              <w:rPr>
                <w:rFonts w:ascii="仿宋" w:hAnsi="仿宋" w:eastAsia="仿宋" w:cs="仿宋"/>
                <w:sz w:val="24"/>
              </w:rPr>
            </w:pPr>
            <w:r>
              <w:rPr>
                <w:rFonts w:hint="eastAsia" w:ascii="仿宋" w:hAnsi="仿宋" w:eastAsia="仿宋" w:cs="仿宋"/>
                <w:caps/>
                <w:sz w:val="24"/>
              </w:rPr>
              <w:t>项目组人员素质情况</w:t>
            </w:r>
          </w:p>
        </w:tc>
        <w:tc>
          <w:tcPr>
            <w:tcW w:w="3837" w:type="pct"/>
            <w:vAlign w:val="center"/>
          </w:tcPr>
          <w:p>
            <w:pPr>
              <w:autoSpaceDE w:val="0"/>
              <w:autoSpaceDN w:val="0"/>
              <w:spacing w:line="360" w:lineRule="auto"/>
              <w:rPr>
                <w:rFonts w:ascii="仿宋" w:hAnsi="仿宋" w:eastAsia="仿宋" w:cs="仿宋"/>
                <w:sz w:val="24"/>
                <w:lang w:val="zh-CN"/>
              </w:rPr>
            </w:pPr>
            <w:r>
              <w:rPr>
                <w:rFonts w:hint="eastAsia" w:ascii="仿宋" w:hAnsi="仿宋" w:eastAsia="仿宋" w:cs="仿宋"/>
                <w:sz w:val="24"/>
                <w:lang w:val="zh-CN"/>
              </w:rPr>
              <w:t>（1）本项目的项目负责人从事本行业5年及以上，并同时具备中级及以上档案专业和保密技术职称证书的得4分，缺少一项不得分；</w:t>
            </w:r>
          </w:p>
          <w:p>
            <w:pPr>
              <w:autoSpaceDE w:val="0"/>
              <w:autoSpaceDN w:val="0"/>
              <w:spacing w:line="360" w:lineRule="auto"/>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）参与实施本项目的工作人员同时具有档案管理岗位培训证书和省级及以上数字档案室建设暨档案信息保密证书的每人得0.5分，提供不全不得分，最高得3分。</w:t>
            </w:r>
          </w:p>
          <w:p>
            <w:pPr>
              <w:autoSpaceDE w:val="0"/>
              <w:autoSpaceDN w:val="0"/>
              <w:spacing w:line="360" w:lineRule="auto"/>
              <w:rPr>
                <w:rFonts w:ascii="仿宋" w:hAnsi="仿宋" w:eastAsia="仿宋" w:cs="仿宋"/>
                <w:sz w:val="24"/>
              </w:rPr>
            </w:pPr>
            <w:r>
              <w:rPr>
                <w:rFonts w:hint="eastAsia" w:ascii="仿宋" w:hAnsi="仿宋" w:eastAsia="仿宋" w:cs="仿宋"/>
                <w:sz w:val="24"/>
                <w:lang w:val="zh-CN"/>
              </w:rPr>
              <w:t>上述证明材料：提供</w:t>
            </w:r>
            <w:r>
              <w:rPr>
                <w:rFonts w:hint="eastAsia" w:ascii="仿宋" w:hAnsi="仿宋" w:eastAsia="仿宋" w:cs="仿宋"/>
                <w:sz w:val="24"/>
              </w:rPr>
              <w:t>劳动</w:t>
            </w:r>
            <w:r>
              <w:rPr>
                <w:rFonts w:hint="eastAsia" w:ascii="仿宋" w:hAnsi="仿宋" w:eastAsia="仿宋" w:cs="仿宋"/>
                <w:sz w:val="24"/>
                <w:lang w:val="zh-CN"/>
              </w:rPr>
              <w:t>合同</w:t>
            </w:r>
            <w:r>
              <w:rPr>
                <w:rFonts w:hint="eastAsia" w:ascii="仿宋" w:hAnsi="仿宋" w:eastAsia="仿宋" w:cs="仿宋"/>
                <w:sz w:val="24"/>
              </w:rPr>
              <w:t>复印件</w:t>
            </w:r>
            <w:r>
              <w:rPr>
                <w:rFonts w:hint="eastAsia" w:ascii="仿宋" w:hAnsi="仿宋" w:eastAsia="仿宋" w:cs="仿宋"/>
                <w:sz w:val="24"/>
                <w:lang w:val="zh-CN"/>
              </w:rPr>
              <w:t>、</w:t>
            </w:r>
            <w:r>
              <w:rPr>
                <w:rFonts w:hint="eastAsia" w:ascii="仿宋" w:hAnsi="仿宋" w:eastAsia="仿宋" w:cs="仿宋"/>
                <w:sz w:val="24"/>
              </w:rPr>
              <w:t>2022年4-9月的</w:t>
            </w:r>
            <w:r>
              <w:rPr>
                <w:rFonts w:hint="eastAsia" w:ascii="仿宋" w:hAnsi="仿宋" w:eastAsia="仿宋" w:cs="仿宋"/>
                <w:sz w:val="24"/>
                <w:lang w:val="zh-CN"/>
              </w:rPr>
              <w:t>社保证明、证书复印件</w:t>
            </w:r>
            <w:r>
              <w:rPr>
                <w:rFonts w:hint="eastAsia" w:ascii="仿宋" w:hAnsi="仿宋" w:eastAsia="仿宋" w:cs="仿宋"/>
                <w:sz w:val="24"/>
              </w:rPr>
              <w:t>及其他相关的证明材料并加盖投标人公章</w:t>
            </w:r>
            <w:r>
              <w:rPr>
                <w:rFonts w:hint="eastAsia" w:ascii="仿宋" w:hAnsi="仿宋" w:eastAsia="仿宋" w:cs="仿宋"/>
                <w:sz w:val="24"/>
                <w:lang w:val="zh-CN"/>
              </w:rPr>
              <w:t>。</w:t>
            </w:r>
          </w:p>
        </w:tc>
        <w:tc>
          <w:tcPr>
            <w:tcW w:w="246" w:type="pct"/>
            <w:vAlign w:val="center"/>
          </w:tcPr>
          <w:p>
            <w:pPr>
              <w:widowControl/>
              <w:spacing w:line="280" w:lineRule="exact"/>
              <w:jc w:val="center"/>
              <w:rPr>
                <w:rFonts w:ascii="仿宋" w:hAnsi="仿宋" w:eastAsia="仿宋" w:cs="仿宋"/>
                <w:kern w:val="0"/>
                <w:sz w:val="24"/>
              </w:rPr>
            </w:pPr>
            <w:r>
              <w:rPr>
                <w:rFonts w:hint="eastAsia" w:ascii="仿宋" w:hAnsi="仿宋" w:eastAsia="仿宋" w:cs="仿宋"/>
                <w:kern w:val="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5" w:type="pct"/>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670" w:type="pct"/>
            <w:vMerge w:val="restart"/>
            <w:vAlign w:val="center"/>
          </w:tcPr>
          <w:p>
            <w:pPr>
              <w:spacing w:line="440" w:lineRule="exact"/>
              <w:jc w:val="left"/>
              <w:rPr>
                <w:rFonts w:ascii="仿宋" w:hAnsi="仿宋" w:eastAsia="仿宋" w:cs="仿宋"/>
                <w:sz w:val="24"/>
              </w:rPr>
            </w:pPr>
            <w:r>
              <w:rPr>
                <w:rFonts w:hint="eastAsia" w:ascii="仿宋" w:hAnsi="仿宋" w:eastAsia="仿宋" w:cs="仿宋"/>
                <w:caps/>
                <w:sz w:val="24"/>
              </w:rPr>
              <w:t>项目实施能力</w:t>
            </w:r>
          </w:p>
        </w:tc>
        <w:tc>
          <w:tcPr>
            <w:tcW w:w="3837" w:type="pct"/>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lang w:val="zh-CN"/>
              </w:rPr>
              <w:t>投标人在浙江省内</w:t>
            </w:r>
            <w:r>
              <w:rPr>
                <w:rFonts w:hint="eastAsia" w:ascii="仿宋" w:hAnsi="仿宋" w:eastAsia="仿宋" w:cs="仿宋"/>
                <w:sz w:val="24"/>
              </w:rPr>
              <w:t>设有</w:t>
            </w:r>
            <w:r>
              <w:rPr>
                <w:rFonts w:hint="eastAsia" w:ascii="仿宋" w:hAnsi="仿宋" w:eastAsia="仿宋" w:cs="仿宋"/>
                <w:sz w:val="24"/>
                <w:lang w:val="zh-CN"/>
              </w:rPr>
              <w:t>长期稳定的档案存放场所（自有或租赁）</w:t>
            </w:r>
            <w:r>
              <w:rPr>
                <w:rFonts w:hint="eastAsia" w:ascii="仿宋" w:hAnsi="仿宋" w:eastAsia="仿宋" w:cs="仿宋"/>
                <w:sz w:val="24"/>
              </w:rPr>
              <w:t>或承诺中标后在浙江省内设置长期稳定的档案存放场所的得5分，提供有效的证明材料或承诺函并加盖投标人公章，不提供不得分 。</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245" w:type="pct"/>
            <w:vMerge w:val="continue"/>
            <w:vAlign w:val="center"/>
          </w:tcPr>
          <w:p>
            <w:pPr>
              <w:spacing w:line="440" w:lineRule="exact"/>
              <w:jc w:val="center"/>
              <w:rPr>
                <w:rFonts w:ascii="仿宋" w:hAnsi="仿宋" w:eastAsia="仿宋" w:cs="仿宋"/>
                <w:sz w:val="24"/>
              </w:rPr>
            </w:pPr>
          </w:p>
        </w:tc>
        <w:tc>
          <w:tcPr>
            <w:tcW w:w="670" w:type="pct"/>
            <w:vMerge w:val="continue"/>
            <w:vAlign w:val="center"/>
          </w:tcPr>
          <w:p>
            <w:pPr>
              <w:spacing w:line="440" w:lineRule="exact"/>
              <w:jc w:val="left"/>
              <w:rPr>
                <w:rFonts w:ascii="仿宋" w:hAnsi="仿宋" w:eastAsia="仿宋" w:cs="仿宋"/>
                <w:sz w:val="24"/>
              </w:rPr>
            </w:pPr>
          </w:p>
        </w:tc>
        <w:tc>
          <w:tcPr>
            <w:tcW w:w="3837" w:type="pct"/>
            <w:vAlign w:val="center"/>
          </w:tcPr>
          <w:p>
            <w:pPr>
              <w:autoSpaceDE w:val="0"/>
              <w:autoSpaceDN w:val="0"/>
              <w:spacing w:line="360" w:lineRule="auto"/>
              <w:rPr>
                <w:rFonts w:ascii="仿宋" w:hAnsi="仿宋" w:eastAsia="仿宋" w:cs="仿宋"/>
                <w:sz w:val="24"/>
                <w:lang w:val="zh-CN"/>
              </w:rPr>
            </w:pPr>
            <w:r>
              <w:rPr>
                <w:rFonts w:hint="eastAsia" w:ascii="仿宋" w:hAnsi="仿宋" w:eastAsia="仿宋" w:cs="仿宋"/>
                <w:sz w:val="24"/>
                <w:lang w:val="zh-CN"/>
              </w:rPr>
              <w:t>根据档案库房存放布局的科学性、合理性、完整性(提供档案库房档案存放布局平面图证明文件）</w:t>
            </w:r>
            <w:r>
              <w:rPr>
                <w:rFonts w:hint="eastAsia" w:ascii="仿宋" w:hAnsi="仿宋" w:eastAsia="仿宋" w:cs="仿宋"/>
                <w:sz w:val="24"/>
              </w:rPr>
              <w:t>进行打分。</w:t>
            </w:r>
            <w:r>
              <w:rPr>
                <w:rFonts w:hint="eastAsia" w:ascii="仿宋" w:hAnsi="仿宋" w:eastAsia="仿宋" w:cs="仿宋"/>
                <w:sz w:val="24"/>
                <w:lang w:val="zh-CN"/>
              </w:rPr>
              <w:t xml:space="preserve">优于招标文件要求的得 </w:t>
            </w:r>
            <w:r>
              <w:rPr>
                <w:rFonts w:hint="eastAsia" w:ascii="仿宋" w:hAnsi="仿宋" w:eastAsia="仿宋" w:cs="仿宋"/>
                <w:sz w:val="24"/>
              </w:rPr>
              <w:t>5</w:t>
            </w:r>
            <w:r>
              <w:rPr>
                <w:rFonts w:hint="eastAsia" w:ascii="仿宋" w:hAnsi="仿宋" w:eastAsia="仿宋" w:cs="仿宋"/>
                <w:sz w:val="24"/>
                <w:lang w:val="zh-CN"/>
              </w:rPr>
              <w:t>.0-</w:t>
            </w:r>
            <w:r>
              <w:rPr>
                <w:rFonts w:hint="eastAsia" w:ascii="仿宋" w:hAnsi="仿宋" w:eastAsia="仿宋" w:cs="仿宋"/>
                <w:sz w:val="24"/>
              </w:rPr>
              <w:t>4</w:t>
            </w:r>
            <w:r>
              <w:rPr>
                <w:rFonts w:hint="eastAsia" w:ascii="仿宋" w:hAnsi="仿宋" w:eastAsia="仿宋" w:cs="仿宋"/>
                <w:sz w:val="24"/>
                <w:lang w:val="zh-CN"/>
              </w:rPr>
              <w:t xml:space="preserve">.1 分，符合招标文件要求的得 </w:t>
            </w:r>
            <w:r>
              <w:rPr>
                <w:rFonts w:hint="eastAsia" w:ascii="仿宋" w:hAnsi="仿宋" w:eastAsia="仿宋" w:cs="仿宋"/>
                <w:sz w:val="24"/>
              </w:rPr>
              <w:t>4</w:t>
            </w:r>
            <w:r>
              <w:rPr>
                <w:rFonts w:hint="eastAsia" w:ascii="仿宋" w:hAnsi="仿宋" w:eastAsia="仿宋" w:cs="仿宋"/>
                <w:sz w:val="24"/>
                <w:lang w:val="zh-CN"/>
              </w:rPr>
              <w:t>.0-</w:t>
            </w:r>
            <w:r>
              <w:rPr>
                <w:rFonts w:hint="eastAsia" w:ascii="仿宋" w:hAnsi="仿宋" w:eastAsia="仿宋" w:cs="仿宋"/>
                <w:sz w:val="24"/>
              </w:rPr>
              <w:t>2</w:t>
            </w:r>
            <w:r>
              <w:rPr>
                <w:rFonts w:hint="eastAsia" w:ascii="仿宋" w:hAnsi="仿宋" w:eastAsia="仿宋" w:cs="仿宋"/>
                <w:sz w:val="24"/>
                <w:lang w:val="zh-CN"/>
              </w:rPr>
              <w:t xml:space="preserve">.1 分，部分符合招标文件要求的得 </w:t>
            </w:r>
            <w:r>
              <w:rPr>
                <w:rFonts w:hint="eastAsia" w:ascii="仿宋" w:hAnsi="仿宋" w:eastAsia="仿宋" w:cs="仿宋"/>
                <w:sz w:val="24"/>
              </w:rPr>
              <w:t>2</w:t>
            </w:r>
            <w:r>
              <w:rPr>
                <w:rFonts w:hint="eastAsia" w:ascii="仿宋" w:hAnsi="仿宋" w:eastAsia="仿宋" w:cs="仿宋"/>
                <w:sz w:val="24"/>
                <w:lang w:val="zh-CN"/>
              </w:rPr>
              <w:t>.0-0.1 分，不符合</w:t>
            </w:r>
            <w:r>
              <w:rPr>
                <w:rFonts w:hint="eastAsia" w:ascii="仿宋" w:hAnsi="仿宋" w:eastAsia="仿宋" w:cs="仿宋"/>
                <w:sz w:val="24"/>
              </w:rPr>
              <w:t>的</w:t>
            </w:r>
            <w:r>
              <w:rPr>
                <w:rFonts w:hint="eastAsia" w:ascii="仿宋" w:hAnsi="仿宋" w:eastAsia="仿宋" w:cs="仿宋"/>
                <w:sz w:val="24"/>
                <w:lang w:val="zh-CN"/>
              </w:rPr>
              <w:t>不得分。</w:t>
            </w:r>
          </w:p>
        </w:tc>
        <w:tc>
          <w:tcPr>
            <w:tcW w:w="246" w:type="pct"/>
            <w:vAlign w:val="center"/>
          </w:tcPr>
          <w:p>
            <w:pPr>
              <w:spacing w:line="440" w:lineRule="exact"/>
              <w:jc w:val="center"/>
              <w:rPr>
                <w:rFonts w:ascii="仿宋" w:hAnsi="仿宋" w:eastAsia="仿宋" w:cs="仿宋"/>
                <w:sz w:val="24"/>
              </w:rPr>
            </w:pPr>
            <w:r>
              <w:rPr>
                <w:rFonts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245" w:type="pct"/>
            <w:vMerge w:val="continue"/>
            <w:vAlign w:val="center"/>
          </w:tcPr>
          <w:p>
            <w:pPr>
              <w:spacing w:line="440" w:lineRule="exact"/>
              <w:jc w:val="center"/>
              <w:rPr>
                <w:rFonts w:ascii="仿宋" w:hAnsi="仿宋" w:eastAsia="仿宋" w:cs="仿宋"/>
                <w:sz w:val="24"/>
              </w:rPr>
            </w:pPr>
          </w:p>
        </w:tc>
        <w:tc>
          <w:tcPr>
            <w:tcW w:w="670" w:type="pct"/>
            <w:vMerge w:val="continue"/>
            <w:vAlign w:val="center"/>
          </w:tcPr>
          <w:p>
            <w:pPr>
              <w:spacing w:line="440" w:lineRule="exact"/>
              <w:jc w:val="left"/>
              <w:rPr>
                <w:rFonts w:ascii="仿宋" w:hAnsi="仿宋" w:eastAsia="仿宋" w:cs="仿宋"/>
                <w:sz w:val="24"/>
              </w:rPr>
            </w:pPr>
          </w:p>
        </w:tc>
        <w:tc>
          <w:tcPr>
            <w:tcW w:w="3837" w:type="pct"/>
            <w:vAlign w:val="center"/>
          </w:tcPr>
          <w:p>
            <w:pPr>
              <w:autoSpaceDE w:val="0"/>
              <w:autoSpaceDN w:val="0"/>
              <w:spacing w:line="360" w:lineRule="auto"/>
              <w:rPr>
                <w:rFonts w:ascii="仿宋" w:hAnsi="仿宋" w:eastAsia="仿宋" w:cs="仿宋"/>
                <w:sz w:val="24"/>
                <w:lang w:val="zh-CN"/>
              </w:rPr>
            </w:pPr>
            <w:r>
              <w:rPr>
                <w:rFonts w:hint="eastAsia" w:ascii="仿宋" w:hAnsi="仿宋" w:eastAsia="仿宋" w:cs="仿宋"/>
                <w:sz w:val="24"/>
                <w:lang w:val="zh-CN"/>
              </w:rPr>
              <w:t>档案智能化管理能力</w:t>
            </w:r>
          </w:p>
          <w:p>
            <w:pPr>
              <w:autoSpaceDE w:val="0"/>
              <w:autoSpaceDN w:val="0"/>
              <w:spacing w:line="360" w:lineRule="auto"/>
              <w:rPr>
                <w:rFonts w:ascii="仿宋" w:hAnsi="仿宋" w:eastAsia="仿宋" w:cs="仿宋"/>
                <w:sz w:val="24"/>
                <w:lang w:val="zh-CN"/>
              </w:rPr>
            </w:pPr>
            <w:r>
              <w:rPr>
                <w:rFonts w:hint="eastAsia" w:ascii="仿宋" w:hAnsi="仿宋" w:eastAsia="仿宋" w:cs="仿宋"/>
                <w:sz w:val="24"/>
                <w:lang w:val="zh-CN"/>
              </w:rPr>
              <w:t xml:space="preserve">采用智能化档案管理系统平台和手持终端相关管理系统，可实行先进物联管理实现档案目录信息快速录入，档案查询精确检索等，进行打分，优于招标文件要求的得 </w:t>
            </w:r>
            <w:r>
              <w:rPr>
                <w:rFonts w:hint="eastAsia" w:ascii="仿宋" w:hAnsi="仿宋" w:eastAsia="仿宋" w:cs="仿宋"/>
                <w:sz w:val="24"/>
              </w:rPr>
              <w:t>5</w:t>
            </w:r>
            <w:r>
              <w:rPr>
                <w:rFonts w:hint="eastAsia" w:ascii="仿宋" w:hAnsi="仿宋" w:eastAsia="仿宋" w:cs="仿宋"/>
                <w:sz w:val="24"/>
                <w:lang w:val="zh-CN"/>
              </w:rPr>
              <w:t>.0-</w:t>
            </w:r>
            <w:r>
              <w:rPr>
                <w:rFonts w:hint="eastAsia" w:ascii="仿宋" w:hAnsi="仿宋" w:eastAsia="仿宋" w:cs="仿宋"/>
                <w:sz w:val="24"/>
              </w:rPr>
              <w:t>4</w:t>
            </w:r>
            <w:r>
              <w:rPr>
                <w:rFonts w:hint="eastAsia" w:ascii="仿宋" w:hAnsi="仿宋" w:eastAsia="仿宋" w:cs="仿宋"/>
                <w:sz w:val="24"/>
                <w:lang w:val="zh-CN"/>
              </w:rPr>
              <w:t xml:space="preserve">.1 分，符合招标文件要求的得 </w:t>
            </w:r>
            <w:r>
              <w:rPr>
                <w:rFonts w:hint="eastAsia" w:ascii="仿宋" w:hAnsi="仿宋" w:eastAsia="仿宋" w:cs="仿宋"/>
                <w:sz w:val="24"/>
              </w:rPr>
              <w:t>4</w:t>
            </w:r>
            <w:r>
              <w:rPr>
                <w:rFonts w:hint="eastAsia" w:ascii="仿宋" w:hAnsi="仿宋" w:eastAsia="仿宋" w:cs="仿宋"/>
                <w:sz w:val="24"/>
                <w:lang w:val="zh-CN"/>
              </w:rPr>
              <w:t>.0-</w:t>
            </w:r>
            <w:r>
              <w:rPr>
                <w:rFonts w:hint="eastAsia" w:ascii="仿宋" w:hAnsi="仿宋" w:eastAsia="仿宋" w:cs="仿宋"/>
                <w:sz w:val="24"/>
              </w:rPr>
              <w:t>2</w:t>
            </w:r>
            <w:r>
              <w:rPr>
                <w:rFonts w:hint="eastAsia" w:ascii="仿宋" w:hAnsi="仿宋" w:eastAsia="仿宋" w:cs="仿宋"/>
                <w:sz w:val="24"/>
                <w:lang w:val="zh-CN"/>
              </w:rPr>
              <w:t xml:space="preserve">.1 分，部分符合招标文件要求的得 </w:t>
            </w:r>
            <w:r>
              <w:rPr>
                <w:rFonts w:hint="eastAsia" w:ascii="仿宋" w:hAnsi="仿宋" w:eastAsia="仿宋" w:cs="仿宋"/>
                <w:sz w:val="24"/>
              </w:rPr>
              <w:t>2</w:t>
            </w:r>
            <w:r>
              <w:rPr>
                <w:rFonts w:hint="eastAsia" w:ascii="仿宋" w:hAnsi="仿宋" w:eastAsia="仿宋" w:cs="仿宋"/>
                <w:sz w:val="24"/>
                <w:lang w:val="zh-CN"/>
              </w:rPr>
              <w:t>.0-0.1 分，不符合</w:t>
            </w:r>
            <w:r>
              <w:rPr>
                <w:rFonts w:hint="eastAsia" w:ascii="仿宋" w:hAnsi="仿宋" w:eastAsia="仿宋" w:cs="仿宋"/>
                <w:sz w:val="24"/>
              </w:rPr>
              <w:t>的</w:t>
            </w:r>
            <w:r>
              <w:rPr>
                <w:rFonts w:hint="eastAsia" w:ascii="仿宋" w:hAnsi="仿宋" w:eastAsia="仿宋" w:cs="仿宋"/>
                <w:sz w:val="24"/>
                <w:lang w:val="zh-CN"/>
              </w:rPr>
              <w:t>不得分。（提供相关软件截图等说明）</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45" w:type="pct"/>
            <w:vMerge w:val="continue"/>
            <w:vAlign w:val="center"/>
          </w:tcPr>
          <w:p>
            <w:pPr>
              <w:spacing w:line="440" w:lineRule="exact"/>
              <w:rPr>
                <w:rFonts w:ascii="仿宋" w:hAnsi="仿宋" w:eastAsia="仿宋" w:cs="仿宋"/>
                <w:sz w:val="24"/>
              </w:rPr>
            </w:pPr>
          </w:p>
        </w:tc>
        <w:tc>
          <w:tcPr>
            <w:tcW w:w="670" w:type="pct"/>
            <w:vMerge w:val="continue"/>
            <w:vAlign w:val="center"/>
          </w:tcPr>
          <w:p>
            <w:pPr>
              <w:spacing w:line="440" w:lineRule="exact"/>
              <w:jc w:val="left"/>
              <w:rPr>
                <w:rFonts w:ascii="仿宋" w:hAnsi="仿宋" w:eastAsia="仿宋" w:cs="仿宋"/>
                <w:sz w:val="24"/>
              </w:rPr>
            </w:pPr>
          </w:p>
        </w:tc>
        <w:tc>
          <w:tcPr>
            <w:tcW w:w="3837" w:type="pct"/>
            <w:vAlign w:val="center"/>
          </w:tcPr>
          <w:p>
            <w:pPr>
              <w:spacing w:line="440" w:lineRule="exact"/>
              <w:jc w:val="left"/>
              <w:rPr>
                <w:rFonts w:ascii="仿宋" w:hAnsi="仿宋" w:eastAsia="仿宋" w:cs="仿宋"/>
                <w:sz w:val="24"/>
              </w:rPr>
            </w:pPr>
            <w:r>
              <w:rPr>
                <w:rFonts w:hint="eastAsia" w:ascii="仿宋" w:hAnsi="仿宋" w:eastAsia="仿宋" w:cs="仿宋"/>
                <w:sz w:val="24"/>
              </w:rPr>
              <w:t>拟提供的档案库房消防设备采用气体自动消防灭火系统得3分，其他灭火设施的得1分。（以上提供相关设备采购合同、发票及现场证明材料）</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45" w:type="pct"/>
            <w:vMerge w:val="continue"/>
            <w:vAlign w:val="center"/>
          </w:tcPr>
          <w:p>
            <w:pPr>
              <w:spacing w:line="440" w:lineRule="exact"/>
              <w:rPr>
                <w:rFonts w:ascii="仿宋" w:hAnsi="仿宋" w:eastAsia="仿宋" w:cs="仿宋"/>
                <w:sz w:val="24"/>
              </w:rPr>
            </w:pPr>
          </w:p>
        </w:tc>
        <w:tc>
          <w:tcPr>
            <w:tcW w:w="670" w:type="pct"/>
            <w:vMerge w:val="continue"/>
            <w:vAlign w:val="center"/>
          </w:tcPr>
          <w:p>
            <w:pPr>
              <w:spacing w:line="440" w:lineRule="exact"/>
              <w:jc w:val="left"/>
              <w:rPr>
                <w:rFonts w:ascii="仿宋" w:hAnsi="仿宋" w:eastAsia="仿宋" w:cs="仿宋"/>
                <w:sz w:val="24"/>
              </w:rPr>
            </w:pPr>
          </w:p>
        </w:tc>
        <w:tc>
          <w:tcPr>
            <w:tcW w:w="3837" w:type="pct"/>
            <w:vAlign w:val="center"/>
          </w:tcPr>
          <w:p>
            <w:pPr>
              <w:spacing w:line="440" w:lineRule="exact"/>
              <w:jc w:val="left"/>
              <w:rPr>
                <w:rFonts w:ascii="仿宋" w:hAnsi="仿宋" w:eastAsia="仿宋" w:cs="仿宋"/>
                <w:sz w:val="24"/>
              </w:rPr>
            </w:pPr>
            <w:r>
              <w:rPr>
                <w:rFonts w:hint="eastAsia" w:ascii="仿宋" w:hAnsi="仿宋" w:eastAsia="仿宋" w:cs="仿宋"/>
                <w:sz w:val="24"/>
              </w:rPr>
              <w:t>档案库房消防检测情况，提供近一年检测合格证明材料复印件得1分，不提供不得分。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45" w:type="pct"/>
            <w:vMerge w:val="continue"/>
            <w:vAlign w:val="center"/>
          </w:tcPr>
          <w:p>
            <w:pPr>
              <w:spacing w:line="440" w:lineRule="exact"/>
              <w:rPr>
                <w:rFonts w:ascii="仿宋" w:hAnsi="仿宋" w:eastAsia="仿宋" w:cs="仿宋"/>
                <w:sz w:val="24"/>
              </w:rPr>
            </w:pPr>
          </w:p>
        </w:tc>
        <w:tc>
          <w:tcPr>
            <w:tcW w:w="670" w:type="pct"/>
            <w:vMerge w:val="continue"/>
            <w:vAlign w:val="center"/>
          </w:tcPr>
          <w:p>
            <w:pPr>
              <w:spacing w:line="440" w:lineRule="exact"/>
              <w:jc w:val="left"/>
              <w:rPr>
                <w:rFonts w:ascii="仿宋" w:hAnsi="仿宋" w:eastAsia="仿宋" w:cs="仿宋"/>
                <w:sz w:val="24"/>
              </w:rPr>
            </w:pPr>
          </w:p>
        </w:tc>
        <w:tc>
          <w:tcPr>
            <w:tcW w:w="3837" w:type="pct"/>
            <w:vAlign w:val="center"/>
          </w:tcPr>
          <w:p>
            <w:pPr>
              <w:spacing w:line="440" w:lineRule="exact"/>
              <w:jc w:val="left"/>
              <w:rPr>
                <w:rFonts w:ascii="仿宋" w:hAnsi="仿宋" w:eastAsia="仿宋" w:cs="仿宋"/>
                <w:sz w:val="24"/>
              </w:rPr>
            </w:pPr>
            <w:r>
              <w:rPr>
                <w:rFonts w:hint="eastAsia" w:ascii="仿宋" w:hAnsi="仿宋" w:eastAsia="仿宋" w:cs="仿宋"/>
                <w:sz w:val="24"/>
              </w:rPr>
              <w:t>档案库房是否根据国家档案业务规范的规定具备9防标准配套设施（具有防光、防潮、防高温、防火设施、防盗、防雷、防鼠、防尘、防污染）设备齐全，配备恒温恒湿系统、自动灭火系统、防盗自动报警系统等设施。优于招标文件要求的得 5.0-4.1 分，符合招标文件要求的得 4.0-2.1 分，部分符合招标文件要求的得 2.0-0.1 分，不符合的不得分。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jc w:val="center"/>
        </w:trPr>
        <w:tc>
          <w:tcPr>
            <w:tcW w:w="245" w:type="pct"/>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670" w:type="pct"/>
            <w:vAlign w:val="center"/>
          </w:tcPr>
          <w:p>
            <w:pPr>
              <w:autoSpaceDE w:val="0"/>
              <w:autoSpaceDN w:val="0"/>
              <w:snapToGrid w:val="0"/>
              <w:spacing w:line="360" w:lineRule="auto"/>
              <w:jc w:val="left"/>
              <w:rPr>
                <w:rFonts w:ascii="仿宋" w:hAnsi="仿宋" w:eastAsia="仿宋" w:cs="仿宋"/>
                <w:sz w:val="24"/>
              </w:rPr>
            </w:pPr>
            <w:r>
              <w:rPr>
                <w:rFonts w:hint="eastAsia" w:ascii="仿宋" w:hAnsi="仿宋" w:eastAsia="仿宋" w:cs="仿宋"/>
                <w:sz w:val="24"/>
              </w:rPr>
              <w:t>验收、优惠和承诺情况</w:t>
            </w:r>
          </w:p>
        </w:tc>
        <w:tc>
          <w:tcPr>
            <w:tcW w:w="3837" w:type="pct"/>
            <w:vAlign w:val="center"/>
          </w:tcPr>
          <w:p>
            <w:pPr>
              <w:spacing w:line="360" w:lineRule="auto"/>
              <w:rPr>
                <w:rFonts w:ascii="仿宋" w:hAnsi="仿宋" w:eastAsia="仿宋" w:cs="仿宋"/>
                <w:sz w:val="24"/>
              </w:rPr>
            </w:pPr>
            <w:r>
              <w:rPr>
                <w:rFonts w:hint="eastAsia" w:ascii="仿宋" w:hAnsi="仿宋" w:eastAsia="仿宋" w:cs="仿宋"/>
                <w:sz w:val="24"/>
              </w:rPr>
              <w:t>投标人提出的验收方案是否合理；投标人是否给出优惠和承诺，及其可实现程度等。优于招标文件要求的得2.0-1.6 分，符合招标文件要求的得 1.5-1.1 分，部分符合招标文件要求的得 1.0-0.1 分，不符合的不得分。</w:t>
            </w:r>
          </w:p>
        </w:tc>
        <w:tc>
          <w:tcPr>
            <w:tcW w:w="246" w:type="pct"/>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r>
    </w:tbl>
    <w:p>
      <w:pPr>
        <w:spacing w:line="440" w:lineRule="exact"/>
        <w:jc w:val="left"/>
        <w:rPr>
          <w:rFonts w:ascii="仿宋" w:hAnsi="仿宋" w:eastAsia="仿宋" w:cs="仿宋"/>
          <w:b/>
          <w:bCs/>
          <w:sz w:val="24"/>
        </w:rPr>
      </w:pPr>
      <w:r>
        <w:rPr>
          <w:rFonts w:hint="eastAsia" w:ascii="仿宋" w:hAnsi="仿宋" w:eastAsia="仿宋" w:cs="仿宋"/>
          <w:b/>
          <w:bCs/>
          <w:sz w:val="24"/>
        </w:rPr>
        <w:t>对省级以上主管部门认定的首台套产品，自纳入《省推广应用指导目录》起三年内参加政府采购活动，视同已具备相应销售业绩，业绩分为满分。</w:t>
      </w:r>
    </w:p>
    <w:p>
      <w:pPr>
        <w:spacing w:line="440" w:lineRule="exact"/>
        <w:jc w:val="left"/>
        <w:rPr>
          <w:rFonts w:ascii="仿宋" w:hAnsi="仿宋" w:eastAsia="仿宋" w:cs="仿宋"/>
          <w:b/>
          <w:bCs/>
          <w:sz w:val="24"/>
        </w:rPr>
      </w:pPr>
      <w:r>
        <w:rPr>
          <w:rFonts w:hint="eastAsia" w:ascii="仿宋" w:hAnsi="仿宋" w:eastAsia="仿宋" w:cs="仿宋"/>
          <w:b/>
          <w:bCs/>
          <w:sz w:val="24"/>
        </w:rPr>
        <w:t>2.2价格分（30分）</w:t>
      </w:r>
    </w:p>
    <w:p>
      <w:pPr>
        <w:spacing w:line="440" w:lineRule="exact"/>
        <w:jc w:val="left"/>
        <w:rPr>
          <w:rFonts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pPr>
        <w:spacing w:line="440" w:lineRule="exact"/>
        <w:jc w:val="left"/>
        <w:rPr>
          <w:rFonts w:ascii="仿宋" w:hAnsi="仿宋" w:eastAsia="仿宋" w:cs="仿宋"/>
          <w:sz w:val="24"/>
        </w:rPr>
      </w:pPr>
      <w:r>
        <w:rPr>
          <w:rFonts w:hint="eastAsia" w:ascii="仿宋" w:hAnsi="仿宋" w:eastAsia="仿宋" w:cs="仿宋"/>
          <w:sz w:val="24"/>
        </w:rPr>
        <w:t>2.2.2其他投标人的价格分统一按照下列公式计算：</w:t>
      </w:r>
    </w:p>
    <w:p>
      <w:pPr>
        <w:spacing w:line="440" w:lineRule="exact"/>
        <w:jc w:val="left"/>
        <w:rPr>
          <w:rFonts w:ascii="仿宋" w:hAnsi="仿宋" w:eastAsia="仿宋" w:cs="仿宋"/>
          <w:sz w:val="24"/>
        </w:rPr>
      </w:pPr>
      <w:r>
        <w:rPr>
          <w:rFonts w:hint="eastAsia" w:ascii="仿宋" w:hAnsi="仿宋" w:eastAsia="仿宋" w:cs="仿宋"/>
          <w:sz w:val="24"/>
        </w:rPr>
        <w:t>投标报价得分=(评标基准价／投标报价)×价格权值×100</w:t>
      </w:r>
    </w:p>
    <w:p>
      <w:pPr>
        <w:spacing w:line="440" w:lineRule="exact"/>
        <w:jc w:val="left"/>
        <w:rPr>
          <w:rFonts w:ascii="仿宋" w:hAnsi="仿宋" w:eastAsia="仿宋" w:cs="仿宋"/>
          <w:sz w:val="24"/>
        </w:rPr>
      </w:pPr>
      <w:r>
        <w:rPr>
          <w:rFonts w:hint="eastAsia" w:ascii="仿宋" w:hAnsi="仿宋" w:eastAsia="仿宋" w:cs="仿宋"/>
          <w:sz w:val="24"/>
        </w:rPr>
        <w:t>即：投标报价得分=(评标基准价／投标报价)×30</w:t>
      </w:r>
    </w:p>
    <w:p>
      <w:pPr>
        <w:spacing w:line="440" w:lineRule="exact"/>
        <w:jc w:val="left"/>
        <w:rPr>
          <w:rFonts w:ascii="仿宋" w:hAnsi="仿宋" w:eastAsia="仿宋" w:cs="仿宋"/>
          <w:sz w:val="24"/>
        </w:rPr>
      </w:pPr>
    </w:p>
    <w:bookmarkEnd w:id="8"/>
    <w:bookmarkEnd w:id="9"/>
    <w:bookmarkEnd w:id="10"/>
    <w:bookmarkEnd w:id="11"/>
    <w:p>
      <w:pPr>
        <w:snapToGrid w:val="0"/>
        <w:spacing w:line="360" w:lineRule="auto"/>
        <w:jc w:val="center"/>
        <w:rPr>
          <w:rFonts w:ascii="仿宋" w:hAnsi="仿宋" w:eastAsia="仿宋" w:cs="仿宋"/>
          <w:b/>
          <w:sz w:val="36"/>
          <w:szCs w:val="20"/>
        </w:rPr>
      </w:pPr>
    </w:p>
    <w:p>
      <w:pPr>
        <w:snapToGrid w:val="0"/>
        <w:spacing w:line="360" w:lineRule="auto"/>
        <w:jc w:val="center"/>
        <w:rPr>
          <w:rFonts w:ascii="仿宋" w:hAnsi="仿宋" w:eastAsia="仿宋" w:cs="仿宋"/>
          <w:b/>
          <w:sz w:val="36"/>
          <w:szCs w:val="20"/>
        </w:rPr>
      </w:pPr>
    </w:p>
    <w:p>
      <w:pPr>
        <w:snapToGrid w:val="0"/>
        <w:spacing w:line="360" w:lineRule="auto"/>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83"/>
        <w:spacing w:afterLines="0" w:line="440" w:lineRule="exact"/>
        <w:ind w:firstLine="0" w:firstLineChars="0"/>
        <w:rPr>
          <w:rFonts w:ascii="仿宋" w:hAnsi="仿宋" w:eastAsia="仿宋" w:cs="仿宋"/>
          <w:szCs w:val="24"/>
        </w:rPr>
      </w:pPr>
    </w:p>
    <w:p>
      <w:pPr>
        <w:pStyle w:val="83"/>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绍兴人民医院、华诚工程咨询集团有限公司</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填写招标项目名称、编号：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83"/>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83"/>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83"/>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83"/>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pacing w:line="400" w:lineRule="exact"/>
        <w:rPr>
          <w:rFonts w:ascii="仿宋" w:hAnsi="仿宋" w:eastAsia="仿宋" w:cs="仿宋"/>
          <w:sz w:val="24"/>
        </w:rPr>
      </w:pPr>
      <w:r>
        <w:rPr>
          <w:rFonts w:hint="eastAsia" w:ascii="仿宋" w:hAnsi="仿宋" w:eastAsia="仿宋" w:cs="仿宋"/>
          <w:sz w:val="24"/>
        </w:rPr>
        <w:t>标    项：</w:t>
      </w:r>
    </w:p>
    <w:p>
      <w:pPr>
        <w:spacing w:line="400" w:lineRule="exact"/>
        <w:rPr>
          <w:rFonts w:ascii="仿宋" w:hAnsi="仿宋" w:eastAsia="仿宋" w:cs="仿宋"/>
          <w:sz w:val="24"/>
        </w:rPr>
      </w:pPr>
      <w:r>
        <w:rPr>
          <w:rFonts w:hint="eastAsia" w:ascii="仿宋" w:hAnsi="仿宋" w:eastAsia="仿宋" w:cs="仿宋"/>
          <w:sz w:val="24"/>
        </w:rPr>
        <w:t>招标编号：</w:t>
      </w:r>
    </w:p>
    <w:p>
      <w:pPr>
        <w:spacing w:line="400" w:lineRule="exact"/>
        <w:rPr>
          <w:rFonts w:ascii="仿宋" w:hAnsi="仿宋" w:eastAsia="仿宋" w:cs="仿宋"/>
          <w:sz w:val="24"/>
        </w:rPr>
      </w:pPr>
      <w:r>
        <w:rPr>
          <w:rFonts w:hint="eastAsia" w:ascii="仿宋" w:hAnsi="仿宋" w:eastAsia="仿宋" w:cs="仿宋"/>
          <w:sz w:val="24"/>
        </w:rPr>
        <w:t xml:space="preserve">                                                            单位：元</w:t>
      </w:r>
    </w:p>
    <w:tbl>
      <w:tblPr>
        <w:tblStyle w:val="42"/>
        <w:tblW w:w="944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712"/>
        <w:gridCol w:w="2578"/>
        <w:gridCol w:w="826"/>
        <w:gridCol w:w="1200"/>
        <w:gridCol w:w="1080"/>
        <w:gridCol w:w="992"/>
        <w:gridCol w:w="140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pacing w:line="400" w:lineRule="exact"/>
              <w:jc w:val="center"/>
              <w:rPr>
                <w:rFonts w:ascii="仿宋" w:hAnsi="仿宋" w:eastAsia="仿宋" w:cs="仿宋"/>
                <w:sz w:val="24"/>
              </w:rPr>
            </w:pPr>
            <w:r>
              <w:rPr>
                <w:rFonts w:hint="eastAsia" w:ascii="仿宋" w:hAnsi="仿宋" w:eastAsia="仿宋" w:cs="仿宋"/>
                <w:sz w:val="24"/>
              </w:rPr>
              <w:t>序号</w:t>
            </w:r>
          </w:p>
        </w:tc>
        <w:tc>
          <w:tcPr>
            <w:tcW w:w="712" w:type="dxa"/>
            <w:tcBorders>
              <w:right w:val="single" w:color="auto" w:sz="4" w:space="0"/>
            </w:tcBorders>
            <w:vAlign w:val="center"/>
          </w:tcPr>
          <w:p>
            <w:pPr>
              <w:spacing w:line="400" w:lineRule="exact"/>
              <w:rPr>
                <w:rFonts w:ascii="仿宋" w:hAnsi="仿宋" w:eastAsia="仿宋" w:cs="仿宋"/>
                <w:sz w:val="24"/>
              </w:rPr>
            </w:pPr>
            <w:r>
              <w:rPr>
                <w:rFonts w:hint="eastAsia" w:ascii="仿宋" w:hAnsi="仿宋" w:eastAsia="仿宋" w:cs="仿宋"/>
                <w:sz w:val="24"/>
              </w:rPr>
              <w:t>服务名称</w:t>
            </w:r>
          </w:p>
        </w:tc>
        <w:tc>
          <w:tcPr>
            <w:tcW w:w="2578" w:type="dxa"/>
            <w:vAlign w:val="center"/>
          </w:tcPr>
          <w:p>
            <w:pPr>
              <w:spacing w:line="400" w:lineRule="exact"/>
              <w:jc w:val="center"/>
              <w:rPr>
                <w:rFonts w:ascii="仿宋" w:hAnsi="仿宋" w:eastAsia="仿宋" w:cs="仿宋"/>
                <w:sz w:val="24"/>
              </w:rPr>
            </w:pPr>
            <w:r>
              <w:rPr>
                <w:rFonts w:hint="eastAsia" w:ascii="仿宋" w:hAnsi="仿宋" w:eastAsia="仿宋" w:cs="仿宋"/>
                <w:sz w:val="24"/>
              </w:rPr>
              <w:t>档案箱型号和规格</w:t>
            </w:r>
          </w:p>
        </w:tc>
        <w:tc>
          <w:tcPr>
            <w:tcW w:w="826" w:type="dxa"/>
            <w:vAlign w:val="center"/>
          </w:tcPr>
          <w:p>
            <w:pPr>
              <w:spacing w:line="400" w:lineRule="exact"/>
              <w:rPr>
                <w:rFonts w:ascii="仿宋" w:hAnsi="仿宋" w:eastAsia="仿宋" w:cs="仿宋"/>
                <w:sz w:val="24"/>
              </w:rPr>
            </w:pPr>
            <w:r>
              <w:rPr>
                <w:rFonts w:hint="eastAsia" w:ascii="仿宋" w:hAnsi="仿宋" w:eastAsia="仿宋" w:cs="仿宋"/>
                <w:sz w:val="24"/>
                <w:lang w:val="en-US" w:eastAsia="zh-CN"/>
              </w:rPr>
              <w:t>预估</w:t>
            </w:r>
            <w:r>
              <w:rPr>
                <w:rFonts w:hint="eastAsia" w:ascii="仿宋" w:hAnsi="仿宋" w:eastAsia="仿宋" w:cs="仿宋"/>
                <w:sz w:val="24"/>
              </w:rPr>
              <w:t>数量（箱）</w:t>
            </w:r>
          </w:p>
        </w:tc>
        <w:tc>
          <w:tcPr>
            <w:tcW w:w="1200" w:type="dxa"/>
            <w:tcBorders>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档案保管时间（年）</w:t>
            </w:r>
          </w:p>
        </w:tc>
        <w:tc>
          <w:tcPr>
            <w:tcW w:w="1080" w:type="dxa"/>
            <w:tcBorders>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单价（元）</w:t>
            </w:r>
          </w:p>
        </w:tc>
        <w:tc>
          <w:tcPr>
            <w:tcW w:w="992" w:type="dxa"/>
            <w:vAlign w:val="center"/>
          </w:tcPr>
          <w:p>
            <w:pPr>
              <w:spacing w:line="400" w:lineRule="exact"/>
              <w:jc w:val="center"/>
              <w:rPr>
                <w:rFonts w:ascii="仿宋" w:hAnsi="仿宋" w:eastAsia="仿宋" w:cs="仿宋"/>
                <w:sz w:val="24"/>
              </w:rPr>
            </w:pPr>
            <w:r>
              <w:rPr>
                <w:rFonts w:hint="eastAsia" w:ascii="仿宋" w:hAnsi="仿宋" w:eastAsia="仿宋" w:cs="仿宋"/>
                <w:sz w:val="24"/>
              </w:rPr>
              <w:t>总价（元）</w:t>
            </w:r>
          </w:p>
        </w:tc>
        <w:tc>
          <w:tcPr>
            <w:tcW w:w="1408"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78" w:hRule="atLeast"/>
        </w:trPr>
        <w:tc>
          <w:tcPr>
            <w:tcW w:w="647" w:type="dxa"/>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712" w:type="dxa"/>
            <w:tcBorders>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病案托管</w:t>
            </w:r>
          </w:p>
        </w:tc>
        <w:tc>
          <w:tcPr>
            <w:tcW w:w="2578" w:type="dxa"/>
            <w:vAlign w:val="center"/>
          </w:tcPr>
          <w:p>
            <w:pPr>
              <w:spacing w:line="400" w:lineRule="exact"/>
              <w:jc w:val="center"/>
              <w:rPr>
                <w:rFonts w:ascii="仿宋" w:hAnsi="仿宋" w:eastAsia="仿宋" w:cs="仿宋"/>
                <w:sz w:val="24"/>
              </w:rPr>
            </w:pPr>
            <w:r>
              <w:rPr>
                <w:rFonts w:hint="eastAsia" w:ascii="仿宋" w:hAnsi="仿宋" w:eastAsia="仿宋" w:cs="仿宋"/>
                <w:sz w:val="24"/>
              </w:rPr>
              <w:t>内径尺寸不小于420mm×315mm×230mm（长×宽×高）</w:t>
            </w:r>
          </w:p>
        </w:tc>
        <w:tc>
          <w:tcPr>
            <w:tcW w:w="826" w:type="dxa"/>
            <w:vAlign w:val="center"/>
          </w:tcPr>
          <w:p>
            <w:pPr>
              <w:spacing w:line="400" w:lineRule="exact"/>
              <w:jc w:val="center"/>
              <w:rPr>
                <w:rFonts w:ascii="仿宋" w:hAnsi="仿宋" w:eastAsia="仿宋" w:cs="仿宋"/>
                <w:sz w:val="24"/>
              </w:rPr>
            </w:pPr>
            <w:r>
              <w:rPr>
                <w:rFonts w:hint="eastAsia" w:ascii="仿宋" w:hAnsi="仿宋" w:eastAsia="仿宋" w:cs="仿宋"/>
                <w:sz w:val="24"/>
              </w:rPr>
              <w:t>7500</w:t>
            </w:r>
          </w:p>
        </w:tc>
        <w:tc>
          <w:tcPr>
            <w:tcW w:w="1200" w:type="dxa"/>
            <w:tcBorders>
              <w:right w:val="single" w:color="auto" w:sz="4" w:space="0"/>
            </w:tcBorders>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1080" w:type="dxa"/>
            <w:tcBorders>
              <w:right w:val="single" w:color="auto" w:sz="4" w:space="0"/>
            </w:tcBorders>
            <w:vAlign w:val="center"/>
          </w:tcPr>
          <w:p>
            <w:pPr>
              <w:spacing w:line="400" w:lineRule="exact"/>
              <w:rPr>
                <w:rFonts w:ascii="仿宋" w:hAnsi="仿宋" w:eastAsia="仿宋" w:cs="仿宋"/>
                <w:sz w:val="24"/>
              </w:rPr>
            </w:pPr>
          </w:p>
        </w:tc>
        <w:tc>
          <w:tcPr>
            <w:tcW w:w="992" w:type="dxa"/>
          </w:tcPr>
          <w:p>
            <w:pPr>
              <w:spacing w:line="400" w:lineRule="exact"/>
              <w:rPr>
                <w:rFonts w:ascii="仿宋" w:hAnsi="仿宋" w:eastAsia="仿宋" w:cs="仿宋"/>
                <w:sz w:val="24"/>
              </w:rPr>
            </w:pPr>
          </w:p>
        </w:tc>
        <w:tc>
          <w:tcPr>
            <w:tcW w:w="1408" w:type="dxa"/>
          </w:tcPr>
          <w:p>
            <w:pPr>
              <w:spacing w:line="400" w:lineRule="exact"/>
              <w:jc w:val="center"/>
              <w:rPr>
                <w:rFonts w:hint="eastAsia"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359" w:type="dxa"/>
            <w:gridSpan w:val="2"/>
            <w:vMerge w:val="restart"/>
            <w:tcBorders>
              <w:right w:val="single" w:color="auto" w:sz="4" w:space="0"/>
            </w:tcBorders>
            <w:vAlign w:val="center"/>
          </w:tcPr>
          <w:p>
            <w:pPr>
              <w:spacing w:line="400" w:lineRule="exact"/>
              <w:rPr>
                <w:rFonts w:ascii="仿宋" w:hAnsi="仿宋" w:eastAsia="仿宋" w:cs="仿宋"/>
                <w:sz w:val="24"/>
              </w:rPr>
            </w:pPr>
            <w:r>
              <w:rPr>
                <w:rFonts w:hint="eastAsia" w:ascii="仿宋" w:hAnsi="仿宋" w:eastAsia="仿宋" w:cs="仿宋"/>
                <w:sz w:val="24"/>
              </w:rPr>
              <w:t>投标总价</w:t>
            </w:r>
          </w:p>
        </w:tc>
        <w:tc>
          <w:tcPr>
            <w:tcW w:w="8084" w:type="dxa"/>
            <w:gridSpan w:val="6"/>
            <w:tcBorders>
              <w:left w:val="single" w:color="auto" w:sz="4" w:space="0"/>
              <w:bottom w:val="single" w:color="auto" w:sz="4" w:space="0"/>
            </w:tcBorders>
            <w:vAlign w:val="center"/>
          </w:tcPr>
          <w:p>
            <w:pPr>
              <w:spacing w:line="400" w:lineRule="exact"/>
              <w:rPr>
                <w:rFonts w:ascii="仿宋" w:hAnsi="仿宋" w:eastAsia="仿宋" w:cs="仿宋"/>
                <w:sz w:val="24"/>
              </w:rPr>
            </w:pPr>
            <w:r>
              <w:rPr>
                <w:rFonts w:hint="eastAsia" w:ascii="仿宋" w:hAnsi="仿宋" w:eastAsia="仿宋" w:cs="仿宋"/>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359" w:type="dxa"/>
            <w:gridSpan w:val="2"/>
            <w:vMerge w:val="continue"/>
            <w:tcBorders>
              <w:right w:val="single" w:color="auto" w:sz="4" w:space="0"/>
            </w:tcBorders>
            <w:vAlign w:val="center"/>
          </w:tcPr>
          <w:p>
            <w:pPr>
              <w:spacing w:line="400" w:lineRule="exact"/>
              <w:rPr>
                <w:rFonts w:ascii="仿宋" w:hAnsi="仿宋" w:eastAsia="仿宋" w:cs="仿宋"/>
                <w:sz w:val="24"/>
              </w:rPr>
            </w:pPr>
          </w:p>
        </w:tc>
        <w:tc>
          <w:tcPr>
            <w:tcW w:w="8084" w:type="dxa"/>
            <w:gridSpan w:val="6"/>
            <w:tcBorders>
              <w:top w:val="single" w:color="auto" w:sz="4" w:space="0"/>
              <w:left w:val="single" w:color="auto" w:sz="4" w:space="0"/>
            </w:tcBorders>
            <w:vAlign w:val="center"/>
          </w:tcPr>
          <w:p>
            <w:pPr>
              <w:spacing w:line="400" w:lineRule="exact"/>
              <w:rPr>
                <w:rFonts w:ascii="仿宋" w:hAnsi="仿宋" w:eastAsia="仿宋" w:cs="仿宋"/>
                <w:sz w:val="24"/>
              </w:rPr>
            </w:pPr>
            <w:r>
              <w:rPr>
                <w:rFonts w:hint="eastAsia" w:ascii="仿宋" w:hAnsi="仿宋" w:eastAsia="仿宋" w:cs="仿宋"/>
                <w:sz w:val="24"/>
              </w:rPr>
              <w:t>大写：</w:t>
            </w:r>
          </w:p>
        </w:tc>
      </w:tr>
    </w:tbl>
    <w:p>
      <w:pPr>
        <w:snapToGrid w:val="0"/>
        <w:jc w:val="left"/>
        <w:rPr>
          <w:rFonts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w:t>
      </w:r>
      <w:r>
        <w:rPr>
          <w:rFonts w:hint="eastAsia" w:ascii="仿宋" w:hAnsi="仿宋" w:eastAsia="仿宋" w:cs="仿宋"/>
          <w:b/>
          <w:kern w:val="0"/>
          <w:sz w:val="24"/>
          <w:lang w:val="zh-CN"/>
        </w:rPr>
        <w:t>中标标的的名称、规格型号、数量、单价、服务要求等予以公示。请把上述涉及的内容完整填写在开标一览表中。</w:t>
      </w:r>
    </w:p>
    <w:p>
      <w:pPr>
        <w:ind w:firstLine="482" w:firstLineChars="200"/>
        <w:rPr>
          <w:rFonts w:hint="eastAsia" w:ascii="仿宋" w:hAnsi="仿宋" w:eastAsia="仿宋" w:cs="仿宋"/>
          <w:b/>
          <w:kern w:val="0"/>
          <w:sz w:val="24"/>
          <w:lang w:val="en-US" w:eastAsia="zh-CN"/>
        </w:rPr>
      </w:pPr>
      <w:r>
        <w:rPr>
          <w:rFonts w:hint="eastAsia" w:ascii="仿宋" w:hAnsi="仿宋" w:eastAsia="仿宋" w:cs="仿宋"/>
          <w:b/>
          <w:kern w:val="0"/>
          <w:sz w:val="24"/>
          <w:lang w:val="en-US" w:eastAsia="zh-CN"/>
        </w:rPr>
        <w:t xml:space="preserve"> 7.</w:t>
      </w:r>
      <w:r>
        <w:rPr>
          <w:rFonts w:hint="eastAsia" w:ascii="仿宋" w:hAnsi="仿宋" w:eastAsia="仿宋" w:cs="仿宋"/>
          <w:b/>
          <w:kern w:val="0"/>
          <w:sz w:val="24"/>
          <w:lang w:val="zh-CN"/>
        </w:rPr>
        <w:t>项目付款时按提供箱数按实结算</w:t>
      </w:r>
      <w:r>
        <w:rPr>
          <w:rFonts w:hint="eastAsia" w:ascii="仿宋" w:hAnsi="仿宋" w:eastAsia="仿宋" w:cs="仿宋"/>
          <w:b/>
          <w:kern w:val="0"/>
          <w:sz w:val="24"/>
          <w:lang w:val="zh-CN" w:eastAsia="zh-CN"/>
        </w:rPr>
        <w:t>。</w:t>
      </w: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投标人（电子签章）：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00"/>
        <w:spacing w:line="360" w:lineRule="auto"/>
        <w:ind w:left="0" w:firstLine="0" w:firstLineChars="0"/>
        <w:rPr>
          <w:rFonts w:ascii="仿宋" w:eastAsia="仿宋" w:cs="仿宋"/>
        </w:rPr>
      </w:pPr>
      <w:r>
        <w:rPr>
          <w:rFonts w:hint="eastAsia" w:ascii="仿宋" w:eastAsia="仿宋" w:cs="仿宋"/>
        </w:rPr>
        <w:t>（1）法定代表人授权书 …………………………………………………………（页码）</w:t>
      </w:r>
    </w:p>
    <w:p>
      <w:pPr>
        <w:pStyle w:val="200"/>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200"/>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200"/>
        <w:spacing w:line="360" w:lineRule="auto"/>
        <w:ind w:left="0" w:firstLine="0" w:firstLineChars="0"/>
        <w:rPr>
          <w:rFonts w:ascii="仿宋" w:eastAsia="仿宋" w:cs="仿宋"/>
        </w:rPr>
      </w:pPr>
      <w:r>
        <w:rPr>
          <w:rFonts w:hint="eastAsia" w:ascii="仿宋" w:eastAsia="仿宋" w:cs="仿宋"/>
        </w:rPr>
        <w:t>（4）法定代表人身份证明书………………………………………………………（页码）</w:t>
      </w:r>
    </w:p>
    <w:p>
      <w:pPr>
        <w:spacing w:line="360" w:lineRule="auto"/>
        <w:outlineLvl w:val="0"/>
        <w:rPr>
          <w:rFonts w:ascii="仿宋" w:hAnsi="仿宋" w:eastAsia="仿宋" w:cs="仿宋"/>
          <w:sz w:val="24"/>
        </w:rPr>
      </w:pPr>
      <w:r>
        <w:rPr>
          <w:rFonts w:hint="eastAsia" w:ascii="仿宋" w:hAnsi="仿宋" w:eastAsia="仿宋" w:cs="仿宋"/>
          <w:sz w:val="24"/>
        </w:rPr>
        <w:t>（5）资格审查有关的书面承诺函</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kern w:val="0"/>
          <w:sz w:val="24"/>
        </w:rPr>
        <w:t>（页码）</w:t>
      </w:r>
    </w:p>
    <w:p>
      <w:pPr>
        <w:pStyle w:val="200"/>
        <w:spacing w:line="360" w:lineRule="auto"/>
        <w:ind w:firstLine="0" w:firstLineChars="0"/>
        <w:rPr>
          <w:rFonts w:ascii="仿宋" w:eastAsia="仿宋" w:cs="仿宋"/>
        </w:rPr>
      </w:pPr>
      <w:r>
        <w:rPr>
          <w:rFonts w:hint="eastAsia" w:ascii="仿宋" w:eastAsia="仿宋" w:cs="仿宋"/>
        </w:rPr>
        <w:t>（6）符合特定资格条件（如果项目要求）的有关证明材料（复印件）………（页码）</w:t>
      </w:r>
    </w:p>
    <w:p>
      <w:pPr>
        <w:pStyle w:val="200"/>
        <w:spacing w:line="360" w:lineRule="auto"/>
        <w:ind w:left="0" w:firstLine="0" w:firstLineChars="0"/>
        <w:rPr>
          <w:rFonts w:ascii="仿宋" w:eastAsia="仿宋" w:cs="仿宋"/>
        </w:rPr>
      </w:pPr>
      <w:r>
        <w:rPr>
          <w:rFonts w:hint="eastAsia" w:ascii="仿宋" w:eastAsia="仿宋" w:cs="仿宋"/>
        </w:rPr>
        <w:t>（7）</w:t>
      </w:r>
      <w:r>
        <w:rPr>
          <w:rFonts w:hint="eastAsia" w:ascii="仿宋" w:eastAsia="仿宋" w:cs="仿宋"/>
          <w:snapToGrid w:val="0"/>
        </w:rPr>
        <w:t>投标人售后服务证明材料</w:t>
      </w:r>
      <w:r>
        <w:rPr>
          <w:rFonts w:hint="eastAsia" w:ascii="仿宋" w:eastAsia="仿宋" w:cs="仿宋"/>
        </w:rPr>
        <w:t>……………………………………………………（页码）</w:t>
      </w:r>
    </w:p>
    <w:p>
      <w:pPr>
        <w:pStyle w:val="200"/>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00"/>
        <w:spacing w:line="360" w:lineRule="auto"/>
        <w:ind w:left="0" w:firstLine="0" w:firstLineChars="0"/>
        <w:rPr>
          <w:rFonts w:ascii="仿宋" w:eastAsia="仿宋" w:cs="仿宋"/>
        </w:rPr>
      </w:pPr>
      <w:r>
        <w:rPr>
          <w:rFonts w:hint="eastAsia" w:ascii="仿宋" w:eastAsia="仿宋" w:cs="仿宋"/>
        </w:rPr>
        <w:t>（9）廉政承诺书 …………………………………………………………………（页码）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（10）技术解决方案…………………………………………………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（11）技术偏离说明表………………………………………………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（12）组织实施方案……………………………………………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（13）售后服务方案……………………………………………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（14）项目小组人员名单………………………………………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lang w:val="zh-CN"/>
        </w:rPr>
      </w:pPr>
      <w:r>
        <w:rPr>
          <w:rFonts w:hint="eastAsia" w:ascii="仿宋" w:hAnsi="仿宋" w:eastAsia="仿宋" w:cs="仿宋"/>
          <w:kern w:val="0"/>
          <w:sz w:val="24"/>
        </w:rPr>
        <w:t>（18）</w:t>
      </w:r>
      <w:r>
        <w:rPr>
          <w:rFonts w:hint="eastAsia" w:ascii="仿宋" w:hAnsi="仿宋" w:eastAsia="仿宋" w:cs="仿宋"/>
          <w:kern w:val="0"/>
          <w:sz w:val="24"/>
          <w:lang w:val="zh-CN"/>
        </w:rPr>
        <w:t>验收方案……………………………………………………………………（页码）</w:t>
      </w:r>
    </w:p>
    <w:p>
      <w:pPr>
        <w:spacing w:line="360" w:lineRule="auto"/>
        <w:rPr>
          <w:rFonts w:ascii="仿宋" w:hAnsi="仿宋" w:eastAsia="仿宋" w:cs="仿宋"/>
          <w:kern w:val="0"/>
          <w:sz w:val="24"/>
          <w:lang w:val="zh-CN"/>
        </w:rPr>
      </w:pPr>
      <w:r>
        <w:rPr>
          <w:rFonts w:hint="eastAsia" w:ascii="仿宋" w:hAnsi="仿宋" w:eastAsia="仿宋" w:cs="仿宋"/>
          <w:kern w:val="0"/>
          <w:sz w:val="24"/>
          <w:lang w:val="zh-CN"/>
        </w:rPr>
        <w:t>（19）认为需要的其他商务技术（资信）文件或说明…………………………（页码）</w:t>
      </w:r>
    </w:p>
    <w:p>
      <w:pPr>
        <w:spacing w:line="360" w:lineRule="auto"/>
        <w:rPr>
          <w:rFonts w:ascii="仿宋" w:hAnsi="仿宋" w:eastAsia="仿宋" w:cs="仿宋"/>
          <w:b/>
          <w:bCs/>
          <w:sz w:val="24"/>
        </w:rPr>
      </w:pPr>
      <w:r>
        <w:rPr>
          <w:rFonts w:hint="eastAsia" w:ascii="仿宋" w:hAnsi="仿宋" w:eastAsia="仿宋" w:cs="仿宋"/>
          <w:kern w:val="0"/>
          <w:sz w:val="24"/>
        </w:rPr>
        <w:t>（20）</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（21）</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（22）中小企业声明函……………………………………………………………（页码）</w:t>
      </w:r>
    </w:p>
    <w:p>
      <w:pPr>
        <w:spacing w:line="360"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绍兴市人民医院数字化病案第三方托管项目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绍兴市人民医院数字化病案第三方托管项目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highlight w:val="yellow"/>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spacing w:after="240"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360" w:lineRule="auto"/>
        <w:rPr>
          <w:rFonts w:ascii="仿宋" w:hAnsi="仿宋" w:eastAsia="仿宋" w:cs="仿宋"/>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绍兴市人民医院数字化病案第三方托管项目</w:t>
      </w:r>
      <w:r>
        <w:rPr>
          <w:rFonts w:hint="eastAsia" w:ascii="仿宋" w:hAnsi="仿宋" w:eastAsia="仿宋" w:cs="仿宋"/>
          <w:sz w:val="24"/>
        </w:rPr>
        <w:t>（招标编号:HCSF-2022-030）招标文件中关于申请人资格要求的下列条件：</w:t>
      </w:r>
    </w:p>
    <w:p>
      <w:pPr>
        <w:pStyle w:val="83"/>
        <w:spacing w:after="12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201"/>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footerReference r:id="rId7" w:type="first"/>
          <w:footerReference r:id="rId6" w:type="default"/>
          <w:pgSz w:w="11906" w:h="16838"/>
          <w:pgMar w:top="1276" w:right="1418" w:bottom="1247" w:left="1418" w:header="851" w:footer="992" w:gutter="0"/>
          <w:pgNumType w:start="2"/>
          <w:cols w:space="720" w:num="1"/>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highlight w:val="yellow"/>
        </w:rPr>
      </w:pPr>
    </w:p>
    <w:p>
      <w:pPr>
        <w:spacing w:line="360" w:lineRule="auto"/>
        <w:ind w:firstLine="482" w:firstLineChars="200"/>
        <w:rPr>
          <w:rFonts w:ascii="仿宋" w:hAnsi="仿宋" w:eastAsia="仿宋" w:cs="仿宋"/>
          <w:b/>
          <w:sz w:val="24"/>
          <w:highlight w:val="yellow"/>
        </w:rPr>
      </w:pPr>
    </w:p>
    <w:p>
      <w:pPr>
        <w:pageBreakBefore/>
        <w:spacing w:line="360"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color w:val="FF0000"/>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投标人名称(电子签名)：</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4"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noCTYC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D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noCTYC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3"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C9V2L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pStyle w:val="2"/>
        <w:ind w:firstLine="210"/>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pStyle w:val="2"/>
        <w:ind w:firstLine="210"/>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pStyle w:val="2"/>
        <w:ind w:firstLine="210"/>
      </w:pPr>
    </w:p>
    <w:p>
      <w:pPr>
        <w:pStyle w:val="2"/>
        <w:ind w:firstLine="210"/>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rPr>
          <w:rFonts w:ascii="仿宋" w:hAnsi="仿宋" w:eastAsia="仿宋" w:cs="仿宋"/>
          <w:kern w:val="0"/>
          <w:sz w:val="24"/>
        </w:rPr>
      </w:pPr>
    </w:p>
    <w:sectPr>
      <w:headerReference r:id="rId8" w:type="default"/>
      <w:footerReference r:id="rId9" w:type="default"/>
      <w:footerReference r:id="rId10"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16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00" w:usb3="00000000" w:csb0="003E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1270" b="0"/>
              <wp:wrapNone/>
              <wp:docPr id="2" name="Text Box 3"/>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J2k0NIAAAAEAQAADwAAAAAAAAABACAAAAAiAAAAZHJzL2Rvd25yZXYueG1sUEsB&#10;AhQAFAAAAAgAh07iQC/qSIP7AQAAAQQAAA4AAAAAAAAAAQAgAAAAIQEAAGRycy9lMm9Eb2MueG1s&#10;UEsFBgAAAAAGAAYAWQEAAI4FAAAAAA==&#10;">
              <v:fill on="f" focussize="0,0"/>
              <v:stroke on="f"/>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72185" cy="147955"/>
              <wp:effectExtent l="4445" t="635" r="4445" b="3810"/>
              <wp:wrapNone/>
              <wp:docPr id="1" name="Text Box 4"/>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naTQ0gAAAAQBAAAPAAAAAAAAAAEAIAAAACIAAABkcnMvZG93bnJldi54bWxQSwEC&#10;FAAUAAAACACHTuJAcCsNBfoBAAABBAAADgAAAAAAAAABACAAAAAhAQAAZHJzL2Uyb0RvYy54bWxQ&#10;SwUGAAAAAAYABgBZAQAAjQUAAAAA&#10;">
              <v:fill on="f" focussize="0,0"/>
              <v:stroke on="f"/>
              <v:imagedata o:title=""/>
              <o:lock v:ext="edit" aspectratio="f"/>
              <v:textbox inset="0mm,0mm,0mm,0mm" style="mso-fit-shape-to-text:t;">
                <w:txbxContent>
                  <w:p>
                    <w:pPr>
                      <w:pStyle w:val="28"/>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r>
      <w:rPr>
        <w:rFonts w:hint="eastAsia" w:eastAsia="仿宋_GB2312"/>
      </w:rPr>
      <w:t>华诚工程咨询集团有限公司                                    招标编号:HCSF-2022-030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隶书" w:eastAsia="隶书"/>
        <w:b/>
        <w:sz w:val="28"/>
        <w:szCs w:val="28"/>
      </w:rPr>
    </w:pPr>
    <w:r>
      <w:t></w:t>
    </w:r>
    <w:r>
      <w:rPr>
        <w:rFonts w:hint="eastAsia" w:eastAsia="仿宋_GB2312"/>
      </w:rPr>
      <w:t>华诚工程咨询集团有限公司                                    招标编号:HCSF-2022-030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eastAsia="仿宋_GB2312"/>
      </w:rPr>
      <w:t>华诚工程咨询集团有限公司                                    招标编号:HCSF-2022-030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1CDD4D"/>
    <w:multiLevelType w:val="singleLevel"/>
    <w:tmpl w:val="F51CDD4D"/>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6"/>
    <w:multiLevelType w:val="multilevel"/>
    <w:tmpl w:val="00000006"/>
    <w:lvl w:ilvl="0" w:tentative="0">
      <w:start w:val="1"/>
      <w:numFmt w:val="japaneseCounting"/>
      <w:lvlText w:val="%1、"/>
      <w:lvlJc w:val="left"/>
      <w:pPr>
        <w:ind w:left="704" w:hanging="42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18F79E8"/>
    <w:multiLevelType w:val="singleLevel"/>
    <w:tmpl w:val="318F79E8"/>
    <w:lvl w:ilvl="0" w:tentative="0">
      <w:start w:val="1"/>
      <w:numFmt w:val="decimal"/>
      <w:suff w:val="nothing"/>
      <w:lvlText w:val="%1、"/>
      <w:lvlJc w:val="left"/>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0"/>
  </w:num>
  <w:num w:numId="6">
    <w:abstractNumId w:val="8"/>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279C"/>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2204"/>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1C8"/>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0A2"/>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37B6"/>
    <w:rsid w:val="005E5B57"/>
    <w:rsid w:val="005E68E7"/>
    <w:rsid w:val="005F2CA2"/>
    <w:rsid w:val="005F510E"/>
    <w:rsid w:val="005F5691"/>
    <w:rsid w:val="005F78A5"/>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B6D31"/>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D709C"/>
    <w:rsid w:val="00BE4CCA"/>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0896"/>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2ECE"/>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1671134"/>
    <w:rsid w:val="02D57C21"/>
    <w:rsid w:val="03D8291E"/>
    <w:rsid w:val="045204DB"/>
    <w:rsid w:val="05A86E0E"/>
    <w:rsid w:val="07155C37"/>
    <w:rsid w:val="09214C52"/>
    <w:rsid w:val="09DB008B"/>
    <w:rsid w:val="0A3D172D"/>
    <w:rsid w:val="0A5765EF"/>
    <w:rsid w:val="0AD76B58"/>
    <w:rsid w:val="0B613EA8"/>
    <w:rsid w:val="0C170BF2"/>
    <w:rsid w:val="0DFA2180"/>
    <w:rsid w:val="0DFA3B07"/>
    <w:rsid w:val="0EDB7443"/>
    <w:rsid w:val="10456228"/>
    <w:rsid w:val="114B7259"/>
    <w:rsid w:val="12B13B4A"/>
    <w:rsid w:val="13586680"/>
    <w:rsid w:val="13A858AF"/>
    <w:rsid w:val="14552131"/>
    <w:rsid w:val="14565951"/>
    <w:rsid w:val="149348EC"/>
    <w:rsid w:val="14B30328"/>
    <w:rsid w:val="157306F8"/>
    <w:rsid w:val="16E65DD1"/>
    <w:rsid w:val="174D2AA0"/>
    <w:rsid w:val="17F30C72"/>
    <w:rsid w:val="188718C6"/>
    <w:rsid w:val="18E41F6D"/>
    <w:rsid w:val="19006569"/>
    <w:rsid w:val="196F5422"/>
    <w:rsid w:val="1E6037E4"/>
    <w:rsid w:val="1F833CBD"/>
    <w:rsid w:val="1F8716BF"/>
    <w:rsid w:val="1FAE6853"/>
    <w:rsid w:val="2196269F"/>
    <w:rsid w:val="24DF634A"/>
    <w:rsid w:val="254C6870"/>
    <w:rsid w:val="2694795E"/>
    <w:rsid w:val="269C0F5A"/>
    <w:rsid w:val="2731497E"/>
    <w:rsid w:val="27537229"/>
    <w:rsid w:val="276417AC"/>
    <w:rsid w:val="27846795"/>
    <w:rsid w:val="27C76208"/>
    <w:rsid w:val="27F874FB"/>
    <w:rsid w:val="286B34B1"/>
    <w:rsid w:val="2B2142FB"/>
    <w:rsid w:val="2E235525"/>
    <w:rsid w:val="2E305603"/>
    <w:rsid w:val="2F6649D2"/>
    <w:rsid w:val="2FD14541"/>
    <w:rsid w:val="2FFD4E80"/>
    <w:rsid w:val="31706BA8"/>
    <w:rsid w:val="31CB48CD"/>
    <w:rsid w:val="32A13E65"/>
    <w:rsid w:val="32CB2329"/>
    <w:rsid w:val="3502347F"/>
    <w:rsid w:val="350C336B"/>
    <w:rsid w:val="35E21FE4"/>
    <w:rsid w:val="363B7F5F"/>
    <w:rsid w:val="36753CDB"/>
    <w:rsid w:val="36811670"/>
    <w:rsid w:val="3909557A"/>
    <w:rsid w:val="392F0F8E"/>
    <w:rsid w:val="3AEC11A3"/>
    <w:rsid w:val="3D14477F"/>
    <w:rsid w:val="3D5D7415"/>
    <w:rsid w:val="3EA8622A"/>
    <w:rsid w:val="3F0F7149"/>
    <w:rsid w:val="401E3EA4"/>
    <w:rsid w:val="41865195"/>
    <w:rsid w:val="428F14E9"/>
    <w:rsid w:val="434A5042"/>
    <w:rsid w:val="437344A4"/>
    <w:rsid w:val="442530AE"/>
    <w:rsid w:val="45842C3B"/>
    <w:rsid w:val="47333711"/>
    <w:rsid w:val="489D2DBB"/>
    <w:rsid w:val="4B331123"/>
    <w:rsid w:val="4DED6593"/>
    <w:rsid w:val="4E217FEA"/>
    <w:rsid w:val="52554D19"/>
    <w:rsid w:val="531C3F12"/>
    <w:rsid w:val="54AE6D0B"/>
    <w:rsid w:val="55DF6F34"/>
    <w:rsid w:val="566076ED"/>
    <w:rsid w:val="56D77DE0"/>
    <w:rsid w:val="57D44A50"/>
    <w:rsid w:val="598B0216"/>
    <w:rsid w:val="59D46859"/>
    <w:rsid w:val="5A13691D"/>
    <w:rsid w:val="5BAF30E8"/>
    <w:rsid w:val="5C1C7203"/>
    <w:rsid w:val="5C543961"/>
    <w:rsid w:val="5C71213D"/>
    <w:rsid w:val="5E2A4E88"/>
    <w:rsid w:val="63B340FB"/>
    <w:rsid w:val="64B47BB7"/>
    <w:rsid w:val="65E201BA"/>
    <w:rsid w:val="669C340B"/>
    <w:rsid w:val="68405B59"/>
    <w:rsid w:val="689D24CD"/>
    <w:rsid w:val="6C53185F"/>
    <w:rsid w:val="6CD7423E"/>
    <w:rsid w:val="6E57665B"/>
    <w:rsid w:val="6F411F9B"/>
    <w:rsid w:val="708A7BC8"/>
    <w:rsid w:val="72E87C49"/>
    <w:rsid w:val="73082863"/>
    <w:rsid w:val="79A4442C"/>
    <w:rsid w:val="7B562BDF"/>
    <w:rsid w:val="7B7B29CB"/>
    <w:rsid w:val="7DDF1194"/>
    <w:rsid w:val="7DFBB8BB"/>
    <w:rsid w:val="7E0447EE"/>
    <w:rsid w:val="7FDA608E"/>
    <w:rsid w:val="AEBA6020"/>
    <w:rsid w:val="C7597AF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56"/>
    <w:qFormat/>
    <w:uiPriority w:val="0"/>
    <w:pPr>
      <w:keepNext/>
      <w:widowControl/>
      <w:numPr>
        <w:ilvl w:val="0"/>
        <w:numId w:val="4"/>
      </w:numPr>
      <w:jc w:val="left"/>
      <w:outlineLvl w:val="4"/>
    </w:pPr>
    <w:rPr>
      <w:kern w:val="0"/>
      <w:sz w:val="24"/>
      <w:szCs w:val="20"/>
    </w:rPr>
  </w:style>
  <w:style w:type="paragraph" w:styleId="10">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78"/>
    <w:qFormat/>
    <w:uiPriority w:val="0"/>
    <w:pPr>
      <w:spacing w:after="120" w:line="240" w:lineRule="auto"/>
      <w:ind w:firstLine="420" w:firstLineChars="100"/>
    </w:pPr>
    <w:rPr>
      <w:rFonts w:eastAsia="宋体"/>
      <w:sz w:val="21"/>
    </w:rPr>
  </w:style>
  <w:style w:type="paragraph" w:styleId="3">
    <w:name w:val="Body Text"/>
    <w:basedOn w:val="1"/>
    <w:next w:val="2"/>
    <w:link w:val="64"/>
    <w:qFormat/>
    <w:uiPriority w:val="0"/>
    <w:pPr>
      <w:spacing w:line="360" w:lineRule="auto"/>
    </w:pPr>
    <w:rPr>
      <w:rFonts w:eastAsia="仿宋_GB2312"/>
      <w:sz w:val="28"/>
    </w:rPr>
  </w:style>
  <w:style w:type="paragraph" w:styleId="7">
    <w:name w:val="Normal Indent"/>
    <w:basedOn w:val="1"/>
    <w:link w:val="52"/>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61"/>
    <w:qFormat/>
    <w:uiPriority w:val="0"/>
    <w:pPr>
      <w:spacing w:line="360" w:lineRule="auto"/>
      <w:jc w:val="center"/>
    </w:pPr>
    <w:rPr>
      <w:rFonts w:ascii="Calibri" w:hAnsi="Calibri"/>
      <w:sz w:val="20"/>
      <w:szCs w:val="20"/>
    </w:rPr>
  </w:style>
  <w:style w:type="paragraph" w:styleId="17">
    <w:name w:val="Document Map"/>
    <w:basedOn w:val="1"/>
    <w:link w:val="62"/>
    <w:semiHidden/>
    <w:qFormat/>
    <w:uiPriority w:val="0"/>
    <w:pPr>
      <w:shd w:val="clear" w:color="auto" w:fill="000080"/>
    </w:pPr>
  </w:style>
  <w:style w:type="paragraph" w:styleId="18">
    <w:name w:val="annotation text"/>
    <w:basedOn w:val="1"/>
    <w:link w:val="63"/>
    <w:qFormat/>
    <w:uiPriority w:val="0"/>
    <w:pPr>
      <w:jc w:val="left"/>
    </w:p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6"/>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68"/>
    <w:qFormat/>
    <w:uiPriority w:val="0"/>
    <w:pPr>
      <w:spacing w:after="120" w:line="480" w:lineRule="auto"/>
      <w:ind w:left="420" w:leftChars="200"/>
    </w:pPr>
  </w:style>
  <w:style w:type="paragraph" w:styleId="27">
    <w:name w:val="Balloon Text"/>
    <w:basedOn w:val="1"/>
    <w:link w:val="69"/>
    <w:semiHidden/>
    <w:qFormat/>
    <w:uiPriority w:val="0"/>
    <w:rPr>
      <w:sz w:val="18"/>
      <w:szCs w:val="18"/>
    </w:rPr>
  </w:style>
  <w:style w:type="paragraph" w:styleId="28">
    <w:name w:val="footer"/>
    <w:basedOn w:val="1"/>
    <w:link w:val="70"/>
    <w:qFormat/>
    <w:uiPriority w:val="0"/>
    <w:pPr>
      <w:tabs>
        <w:tab w:val="center" w:pos="4153"/>
        <w:tab w:val="right" w:pos="8306"/>
      </w:tabs>
      <w:snapToGrid w:val="0"/>
      <w:jc w:val="left"/>
    </w:pPr>
    <w:rPr>
      <w:sz w:val="18"/>
      <w:szCs w:val="18"/>
    </w:rPr>
  </w:style>
  <w:style w:type="paragraph" w:styleId="29">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72"/>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7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75"/>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76"/>
    <w:semiHidden/>
    <w:qFormat/>
    <w:uiPriority w:val="0"/>
    <w:pPr>
      <w:widowControl/>
      <w:spacing w:afterLines="50"/>
    </w:pPr>
    <w:rPr>
      <w:b/>
      <w:bCs/>
      <w:kern w:val="0"/>
      <w:sz w:val="24"/>
      <w:szCs w:val="20"/>
    </w:rPr>
  </w:style>
  <w:style w:type="paragraph" w:styleId="41">
    <w:name w:val="Body Text First Indent 2"/>
    <w:basedOn w:val="19"/>
    <w:link w:val="80"/>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字符"/>
    <w:link w:val="4"/>
    <w:qFormat/>
    <w:uiPriority w:val="0"/>
    <w:rPr>
      <w:rFonts w:eastAsia="仿宋_GB2312"/>
      <w:b/>
      <w:kern w:val="44"/>
      <w:sz w:val="44"/>
      <w:lang w:val="en-US" w:eastAsia="zh-CN" w:bidi="ar-SA"/>
    </w:rPr>
  </w:style>
  <w:style w:type="character" w:customStyle="1" w:styleId="52">
    <w:name w:val="正文缩进 字符"/>
    <w:link w:val="7"/>
    <w:qFormat/>
    <w:uiPriority w:val="0"/>
    <w:rPr>
      <w:rFonts w:eastAsia="宋体"/>
      <w:kern w:val="2"/>
      <w:sz w:val="21"/>
      <w:szCs w:val="24"/>
      <w:lang w:val="en-US" w:eastAsia="zh-CN" w:bidi="ar-SA"/>
    </w:rPr>
  </w:style>
  <w:style w:type="character" w:customStyle="1" w:styleId="53">
    <w:name w:val="标题 2 字符"/>
    <w:link w:val="5"/>
    <w:qFormat/>
    <w:uiPriority w:val="0"/>
    <w:rPr>
      <w:rFonts w:ascii="Arial" w:hAnsi="Arial" w:eastAsia="黑体"/>
      <w:b/>
      <w:kern w:val="2"/>
      <w:sz w:val="32"/>
      <w:lang w:val="en-US" w:eastAsia="zh-CN" w:bidi="ar-SA"/>
    </w:rPr>
  </w:style>
  <w:style w:type="character" w:customStyle="1" w:styleId="54">
    <w:name w:val="标题 3 字符"/>
    <w:link w:val="6"/>
    <w:qFormat/>
    <w:uiPriority w:val="0"/>
    <w:rPr>
      <w:rFonts w:eastAsia="仿宋_GB2312"/>
      <w:b/>
      <w:kern w:val="2"/>
      <w:sz w:val="32"/>
      <w:lang w:val="en-US" w:eastAsia="zh-CN" w:bidi="ar-SA"/>
    </w:rPr>
  </w:style>
  <w:style w:type="character" w:customStyle="1" w:styleId="55">
    <w:name w:val="标题 4 字符"/>
    <w:link w:val="8"/>
    <w:qFormat/>
    <w:uiPriority w:val="0"/>
    <w:rPr>
      <w:rFonts w:ascii="Arial" w:hAnsi="Arial" w:eastAsia="黑体"/>
      <w:b/>
      <w:kern w:val="2"/>
      <w:sz w:val="28"/>
      <w:lang w:val="en-US" w:eastAsia="zh-CN" w:bidi="ar-SA"/>
    </w:rPr>
  </w:style>
  <w:style w:type="character" w:customStyle="1" w:styleId="56">
    <w:name w:val="标题 5 字符"/>
    <w:link w:val="9"/>
    <w:qFormat/>
    <w:uiPriority w:val="0"/>
    <w:rPr>
      <w:rFonts w:eastAsia="宋体"/>
      <w:sz w:val="24"/>
      <w:lang w:val="en-US" w:eastAsia="zh-CN" w:bidi="ar-SA"/>
    </w:rPr>
  </w:style>
  <w:style w:type="character" w:customStyle="1" w:styleId="57">
    <w:name w:val="标题 6 字符"/>
    <w:link w:val="10"/>
    <w:qFormat/>
    <w:uiPriority w:val="0"/>
    <w:rPr>
      <w:rFonts w:ascii="宋体" w:hAnsi="Arial" w:eastAsia="宋体"/>
      <w:sz w:val="24"/>
      <w:lang w:val="en-US" w:eastAsia="zh-CN" w:bidi="ar-SA"/>
    </w:rPr>
  </w:style>
  <w:style w:type="character" w:customStyle="1" w:styleId="58">
    <w:name w:val="标题 7 字符"/>
    <w:link w:val="11"/>
    <w:qFormat/>
    <w:uiPriority w:val="0"/>
    <w:rPr>
      <w:rFonts w:ascii="宋体" w:hAnsi="Arial" w:eastAsia="宋体"/>
      <w:b/>
      <w:sz w:val="24"/>
      <w:lang w:val="en-US" w:eastAsia="zh-CN" w:bidi="ar-SA"/>
    </w:rPr>
  </w:style>
  <w:style w:type="character" w:customStyle="1" w:styleId="59">
    <w:name w:val="标题 8 字符"/>
    <w:link w:val="12"/>
    <w:qFormat/>
    <w:uiPriority w:val="0"/>
    <w:rPr>
      <w:rFonts w:ascii="Arial" w:hAnsi="Arial" w:eastAsia="黑体"/>
      <w:sz w:val="24"/>
      <w:lang w:val="en-US" w:eastAsia="zh-CN" w:bidi="ar-SA"/>
    </w:rPr>
  </w:style>
  <w:style w:type="character" w:customStyle="1" w:styleId="60">
    <w:name w:val="标题 9 字符"/>
    <w:link w:val="13"/>
    <w:qFormat/>
    <w:uiPriority w:val="0"/>
    <w:rPr>
      <w:rFonts w:ascii="Arial" w:hAnsi="Arial" w:eastAsia="黑体"/>
      <w:sz w:val="24"/>
      <w:lang w:val="en-US" w:eastAsia="zh-CN" w:bidi="ar-SA"/>
    </w:rPr>
  </w:style>
  <w:style w:type="character" w:customStyle="1" w:styleId="61">
    <w:name w:val="题注 字符"/>
    <w:link w:val="16"/>
    <w:qFormat/>
    <w:uiPriority w:val="0"/>
    <w:rPr>
      <w:rFonts w:ascii="Calibri" w:hAnsi="Calibri"/>
      <w:kern w:val="2"/>
    </w:rPr>
  </w:style>
  <w:style w:type="character" w:customStyle="1" w:styleId="62">
    <w:name w:val="文档结构图 字符"/>
    <w:link w:val="17"/>
    <w:semiHidden/>
    <w:qFormat/>
    <w:uiPriority w:val="0"/>
    <w:rPr>
      <w:rFonts w:eastAsia="宋体"/>
      <w:kern w:val="2"/>
      <w:sz w:val="21"/>
      <w:szCs w:val="24"/>
      <w:lang w:val="en-US" w:eastAsia="zh-CN" w:bidi="ar-SA"/>
    </w:rPr>
  </w:style>
  <w:style w:type="character" w:customStyle="1" w:styleId="63">
    <w:name w:val="批注文字 字符"/>
    <w:link w:val="18"/>
    <w:qFormat/>
    <w:uiPriority w:val="0"/>
    <w:rPr>
      <w:rFonts w:eastAsia="宋体"/>
      <w:kern w:val="2"/>
      <w:sz w:val="21"/>
      <w:szCs w:val="24"/>
      <w:lang w:val="en-US" w:eastAsia="zh-CN" w:bidi="ar-SA"/>
    </w:rPr>
  </w:style>
  <w:style w:type="character" w:customStyle="1" w:styleId="64">
    <w:name w:val="正文文本 字符"/>
    <w:link w:val="3"/>
    <w:qFormat/>
    <w:locked/>
    <w:uiPriority w:val="0"/>
    <w:rPr>
      <w:rFonts w:eastAsia="仿宋_GB2312"/>
      <w:kern w:val="2"/>
      <w:sz w:val="28"/>
      <w:szCs w:val="24"/>
      <w:lang w:val="en-US" w:eastAsia="zh-CN" w:bidi="ar-SA"/>
    </w:rPr>
  </w:style>
  <w:style w:type="character" w:customStyle="1" w:styleId="65">
    <w:name w:val="正文文本缩进 字符"/>
    <w:link w:val="19"/>
    <w:qFormat/>
    <w:uiPriority w:val="0"/>
    <w:rPr>
      <w:rFonts w:eastAsia="宋体"/>
      <w:kern w:val="2"/>
      <w:sz w:val="21"/>
      <w:szCs w:val="24"/>
      <w:lang w:val="en-US" w:eastAsia="zh-CN" w:bidi="ar-SA"/>
    </w:rPr>
  </w:style>
  <w:style w:type="character" w:customStyle="1" w:styleId="66">
    <w:name w:val="纯文本 字符"/>
    <w:link w:val="24"/>
    <w:qFormat/>
    <w:uiPriority w:val="0"/>
    <w:rPr>
      <w:rFonts w:ascii="宋体" w:hAnsi="Courier New" w:eastAsia="宋体"/>
      <w:kern w:val="2"/>
      <w:sz w:val="21"/>
      <w:lang w:val="en-US" w:eastAsia="zh-CN" w:bidi="ar-SA"/>
    </w:rPr>
  </w:style>
  <w:style w:type="character" w:customStyle="1" w:styleId="67">
    <w:name w:val="日期 字符"/>
    <w:link w:val="25"/>
    <w:qFormat/>
    <w:uiPriority w:val="0"/>
    <w:rPr>
      <w:rFonts w:ascii="楷体_GB2312" w:eastAsia="楷体_GB2312"/>
      <w:b/>
      <w:kern w:val="2"/>
      <w:sz w:val="28"/>
      <w:lang w:val="en-US" w:eastAsia="zh-CN" w:bidi="ar-SA"/>
    </w:rPr>
  </w:style>
  <w:style w:type="character" w:customStyle="1" w:styleId="68">
    <w:name w:val="正文文本缩进 2 字符"/>
    <w:link w:val="26"/>
    <w:qFormat/>
    <w:locked/>
    <w:uiPriority w:val="0"/>
    <w:rPr>
      <w:rFonts w:eastAsia="宋体"/>
      <w:kern w:val="2"/>
      <w:sz w:val="21"/>
      <w:szCs w:val="24"/>
      <w:lang w:val="en-US" w:eastAsia="zh-CN" w:bidi="ar-SA"/>
    </w:rPr>
  </w:style>
  <w:style w:type="character" w:customStyle="1" w:styleId="69">
    <w:name w:val="批注框文本 字符"/>
    <w:basedOn w:val="44"/>
    <w:link w:val="27"/>
    <w:semiHidden/>
    <w:qFormat/>
    <w:uiPriority w:val="0"/>
    <w:rPr>
      <w:kern w:val="2"/>
      <w:sz w:val="18"/>
      <w:szCs w:val="18"/>
    </w:rPr>
  </w:style>
  <w:style w:type="character" w:customStyle="1" w:styleId="70">
    <w:name w:val="页脚 字符"/>
    <w:link w:val="28"/>
    <w:qFormat/>
    <w:locked/>
    <w:uiPriority w:val="0"/>
    <w:rPr>
      <w:rFonts w:eastAsia="宋体"/>
      <w:kern w:val="2"/>
      <w:sz w:val="18"/>
      <w:szCs w:val="18"/>
      <w:lang w:val="en-US" w:eastAsia="zh-CN" w:bidi="ar-SA"/>
    </w:rPr>
  </w:style>
  <w:style w:type="character" w:customStyle="1" w:styleId="71">
    <w:name w:val="页眉 字符"/>
    <w:link w:val="29"/>
    <w:qFormat/>
    <w:uiPriority w:val="0"/>
    <w:rPr>
      <w:rFonts w:eastAsia="宋体"/>
      <w:kern w:val="2"/>
      <w:sz w:val="18"/>
      <w:szCs w:val="18"/>
      <w:lang w:val="en-US" w:eastAsia="zh-CN" w:bidi="ar-SA"/>
    </w:rPr>
  </w:style>
  <w:style w:type="character" w:customStyle="1" w:styleId="72">
    <w:name w:val="正文文本缩进 3 字符"/>
    <w:basedOn w:val="44"/>
    <w:link w:val="32"/>
    <w:qFormat/>
    <w:uiPriority w:val="0"/>
    <w:rPr>
      <w:kern w:val="2"/>
      <w:sz w:val="16"/>
      <w:szCs w:val="16"/>
    </w:rPr>
  </w:style>
  <w:style w:type="character" w:customStyle="1" w:styleId="73">
    <w:name w:val="正文文本 2 字符"/>
    <w:link w:val="34"/>
    <w:qFormat/>
    <w:uiPriority w:val="0"/>
    <w:rPr>
      <w:rFonts w:ascii="隶书" w:eastAsia="隶书"/>
      <w:bCs/>
      <w:sz w:val="72"/>
      <w:szCs w:val="84"/>
      <w:lang w:val="en-US" w:eastAsia="zh-CN" w:bidi="ar-SA"/>
    </w:rPr>
  </w:style>
  <w:style w:type="character" w:customStyle="1" w:styleId="74">
    <w:name w:val="HTML 预设格式 字符"/>
    <w:basedOn w:val="44"/>
    <w:link w:val="36"/>
    <w:qFormat/>
    <w:uiPriority w:val="0"/>
    <w:rPr>
      <w:rFonts w:ascii="黑体" w:hAnsi="Courier New" w:eastAsia="黑体" w:cs="Courier New"/>
    </w:rPr>
  </w:style>
  <w:style w:type="character" w:customStyle="1" w:styleId="75">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76">
    <w:name w:val="批注主题 字符"/>
    <w:basedOn w:val="77"/>
    <w:link w:val="40"/>
    <w:semiHidden/>
    <w:qFormat/>
    <w:uiPriority w:val="0"/>
    <w:rPr>
      <w:rFonts w:eastAsia="宋体"/>
      <w:b/>
      <w:bCs/>
      <w:kern w:val="2"/>
      <w:sz w:val="24"/>
      <w:szCs w:val="24"/>
      <w:lang w:val="en-US" w:eastAsia="zh-CN" w:bidi="ar-SA"/>
    </w:rPr>
  </w:style>
  <w:style w:type="character" w:customStyle="1" w:styleId="77">
    <w:name w:val="批注文字 Char"/>
    <w:qFormat/>
    <w:uiPriority w:val="0"/>
    <w:rPr>
      <w:rFonts w:eastAsia="宋体"/>
      <w:kern w:val="2"/>
      <w:sz w:val="21"/>
      <w:szCs w:val="24"/>
      <w:lang w:val="en-US" w:eastAsia="zh-CN" w:bidi="ar-SA"/>
    </w:rPr>
  </w:style>
  <w:style w:type="character" w:customStyle="1" w:styleId="78">
    <w:name w:val="正文首行缩进 字符"/>
    <w:basedOn w:val="79"/>
    <w:link w:val="2"/>
    <w:qFormat/>
    <w:uiPriority w:val="0"/>
    <w:rPr>
      <w:rFonts w:eastAsia="仿宋_GB2312"/>
      <w:kern w:val="2"/>
      <w:sz w:val="21"/>
      <w:szCs w:val="24"/>
      <w:lang w:val="en-US" w:eastAsia="zh-CN" w:bidi="ar-SA"/>
    </w:rPr>
  </w:style>
  <w:style w:type="character" w:customStyle="1" w:styleId="79">
    <w:name w:val="正文文本 Char"/>
    <w:qFormat/>
    <w:locked/>
    <w:uiPriority w:val="0"/>
    <w:rPr>
      <w:rFonts w:eastAsia="仿宋_GB2312"/>
      <w:kern w:val="2"/>
      <w:sz w:val="28"/>
      <w:szCs w:val="24"/>
      <w:lang w:val="en-US" w:eastAsia="zh-CN" w:bidi="ar-SA"/>
    </w:rPr>
  </w:style>
  <w:style w:type="character" w:customStyle="1" w:styleId="80">
    <w:name w:val="正文首行缩进 2 字符"/>
    <w:basedOn w:val="65"/>
    <w:link w:val="41"/>
    <w:qFormat/>
    <w:uiPriority w:val="0"/>
    <w:rPr>
      <w:rFonts w:eastAsia="宋体"/>
      <w:kern w:val="2"/>
      <w:sz w:val="21"/>
      <w:szCs w:val="24"/>
      <w:lang w:val="en-US" w:eastAsia="zh-CN" w:bidi="ar-SA"/>
    </w:rPr>
  </w:style>
  <w:style w:type="paragraph" w:customStyle="1" w:styleId="81">
    <w:name w:val="_Style 15"/>
    <w:basedOn w:val="1"/>
    <w:qFormat/>
    <w:uiPriority w:val="0"/>
    <w:rPr>
      <w:rFonts w:ascii="Tahoma" w:hAnsi="Tahoma"/>
      <w:sz w:val="24"/>
      <w:szCs w:val="20"/>
    </w:rPr>
  </w:style>
  <w:style w:type="paragraph" w:customStyle="1" w:styleId="82">
    <w:name w:val="表正文"/>
    <w:basedOn w:val="1"/>
    <w:next w:val="24"/>
    <w:qFormat/>
    <w:uiPriority w:val="0"/>
    <w:rPr>
      <w:rFonts w:ascii="宋体" w:hAnsi="Courier New"/>
      <w:szCs w:val="20"/>
    </w:rPr>
  </w:style>
  <w:style w:type="paragraph" w:customStyle="1" w:styleId="83">
    <w:name w:val="正文段"/>
    <w:basedOn w:val="1"/>
    <w:link w:val="84"/>
    <w:qFormat/>
    <w:uiPriority w:val="0"/>
    <w:pPr>
      <w:widowControl/>
      <w:snapToGrid w:val="0"/>
      <w:spacing w:afterLines="50"/>
      <w:ind w:firstLine="200" w:firstLineChars="200"/>
    </w:pPr>
    <w:rPr>
      <w:kern w:val="0"/>
      <w:sz w:val="24"/>
      <w:szCs w:val="20"/>
    </w:rPr>
  </w:style>
  <w:style w:type="character" w:customStyle="1" w:styleId="84">
    <w:name w:val="正文段 Char"/>
    <w:link w:val="83"/>
    <w:qFormat/>
    <w:uiPriority w:val="0"/>
    <w:rPr>
      <w:rFonts w:eastAsia="宋体"/>
      <w:sz w:val="24"/>
      <w:lang w:val="en-US" w:eastAsia="zh-CN" w:bidi="ar-SA"/>
    </w:rPr>
  </w:style>
  <w:style w:type="paragraph" w:customStyle="1" w:styleId="85">
    <w:name w:val="Char"/>
    <w:basedOn w:val="1"/>
    <w:qFormat/>
    <w:uiPriority w:val="0"/>
    <w:rPr>
      <w:rFonts w:ascii="仿宋_GB2312" w:eastAsia="仿宋_GB2312"/>
      <w:b/>
      <w:sz w:val="32"/>
      <w:szCs w:val="32"/>
    </w:rPr>
  </w:style>
  <w:style w:type="paragraph" w:customStyle="1" w:styleId="86">
    <w:name w:val="Table Text"/>
    <w:link w:val="87"/>
    <w:qFormat/>
    <w:uiPriority w:val="0"/>
    <w:pPr>
      <w:snapToGrid w:val="0"/>
      <w:spacing w:before="80" w:after="80"/>
    </w:pPr>
    <w:rPr>
      <w:rFonts w:ascii="Arial" w:hAnsi="Arial" w:eastAsia="宋体" w:cs="Times New Roman"/>
      <w:sz w:val="18"/>
      <w:lang w:val="en-US" w:eastAsia="zh-CN" w:bidi="ar-SA"/>
    </w:rPr>
  </w:style>
  <w:style w:type="character" w:customStyle="1" w:styleId="87">
    <w:name w:val="Table Text Char1"/>
    <w:link w:val="86"/>
    <w:qFormat/>
    <w:uiPriority w:val="0"/>
    <w:rPr>
      <w:rFonts w:ascii="Arial" w:hAnsi="Arial"/>
      <w:sz w:val="18"/>
      <w:lang w:val="en-US" w:eastAsia="zh-CN" w:bidi="ar-SA"/>
    </w:rPr>
  </w:style>
  <w:style w:type="character" w:customStyle="1" w:styleId="88">
    <w:name w:val="正文（缩进2汉字） Char"/>
    <w:link w:val="89"/>
    <w:qFormat/>
    <w:uiPriority w:val="0"/>
    <w:rPr>
      <w:rFonts w:ascii="宋体"/>
      <w:kern w:val="2"/>
      <w:sz w:val="21"/>
      <w:lang w:bidi="ar-SA"/>
    </w:rPr>
  </w:style>
  <w:style w:type="paragraph" w:customStyle="1" w:styleId="89">
    <w:name w:val="正文（缩进2汉字）"/>
    <w:basedOn w:val="1"/>
    <w:link w:val="8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0">
    <w:name w:val="Char111"/>
    <w:basedOn w:val="1"/>
    <w:qFormat/>
    <w:uiPriority w:val="0"/>
    <w:pPr>
      <w:tabs>
        <w:tab w:val="left" w:pos="432"/>
      </w:tabs>
      <w:spacing w:beforeLines="50" w:afterLines="50"/>
      <w:ind w:left="432" w:hanging="432"/>
      <w:jc w:val="center"/>
    </w:pPr>
    <w:rPr>
      <w:sz w:val="24"/>
    </w:rPr>
  </w:style>
  <w:style w:type="paragraph" w:customStyle="1" w:styleId="91">
    <w:name w:val="模板普通正文"/>
    <w:basedOn w:val="19"/>
    <w:qFormat/>
    <w:uiPriority w:val="0"/>
    <w:pPr>
      <w:spacing w:beforeLines="50" w:after="10" w:line="360" w:lineRule="auto"/>
      <w:ind w:left="0" w:leftChars="0" w:firstLine="175" w:firstLineChars="175"/>
      <w:jc w:val="left"/>
    </w:pPr>
    <w:rPr>
      <w:sz w:val="24"/>
    </w:rPr>
  </w:style>
  <w:style w:type="paragraph" w:customStyle="1" w:styleId="92">
    <w:name w:val="缺省文本"/>
    <w:basedOn w:val="1"/>
    <w:qFormat/>
    <w:uiPriority w:val="0"/>
    <w:pPr>
      <w:autoSpaceDE w:val="0"/>
      <w:autoSpaceDN w:val="0"/>
      <w:adjustRightInd w:val="0"/>
      <w:jc w:val="left"/>
    </w:pPr>
    <w:rPr>
      <w:kern w:val="0"/>
      <w:sz w:val="24"/>
    </w:rPr>
  </w:style>
  <w:style w:type="paragraph" w:customStyle="1" w:styleId="93">
    <w:name w:val="WW-正文文字缩进 2"/>
    <w:basedOn w:val="1"/>
    <w:qFormat/>
    <w:uiPriority w:val="0"/>
    <w:pPr>
      <w:suppressAutoHyphens/>
      <w:ind w:firstLine="420"/>
    </w:pPr>
    <w:rPr>
      <w:kern w:val="1"/>
      <w:szCs w:val="20"/>
    </w:rPr>
  </w:style>
  <w:style w:type="paragraph" w:customStyle="1" w:styleId="94">
    <w:name w:val="默认段落字体 Para Char Char Char Char Char Char Char Char Char1 Char Char Char Char"/>
    <w:basedOn w:val="1"/>
    <w:qFormat/>
    <w:uiPriority w:val="0"/>
    <w:rPr>
      <w:rFonts w:ascii="Tahoma" w:hAnsi="Tahoma"/>
      <w:sz w:val="24"/>
      <w:szCs w:val="20"/>
    </w:rPr>
  </w:style>
  <w:style w:type="paragraph" w:customStyle="1" w:styleId="95">
    <w:name w:val="项目排列"/>
    <w:basedOn w:val="1"/>
    <w:link w:val="96"/>
    <w:qFormat/>
    <w:uiPriority w:val="0"/>
    <w:pPr>
      <w:tabs>
        <w:tab w:val="left" w:pos="900"/>
      </w:tabs>
      <w:spacing w:beforeLines="50" w:afterLines="50" w:line="300" w:lineRule="auto"/>
      <w:ind w:left="900" w:hanging="420"/>
    </w:pPr>
    <w:rPr>
      <w:sz w:val="24"/>
    </w:rPr>
  </w:style>
  <w:style w:type="character" w:customStyle="1" w:styleId="96">
    <w:name w:val="项目排列 Char"/>
    <w:link w:val="95"/>
    <w:qFormat/>
    <w:uiPriority w:val="0"/>
    <w:rPr>
      <w:kern w:val="2"/>
      <w:sz w:val="24"/>
      <w:szCs w:val="24"/>
    </w:rPr>
  </w:style>
  <w:style w:type="character" w:customStyle="1" w:styleId="97">
    <w:name w:val="style21"/>
    <w:qFormat/>
    <w:uiPriority w:val="0"/>
    <w:rPr>
      <w:sz w:val="15"/>
      <w:szCs w:val="15"/>
    </w:rPr>
  </w:style>
  <w:style w:type="paragraph" w:customStyle="1" w:styleId="9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0">
    <w:name w:val="Char1"/>
    <w:basedOn w:val="1"/>
    <w:qFormat/>
    <w:uiPriority w:val="0"/>
    <w:rPr>
      <w:szCs w:val="20"/>
    </w:rPr>
  </w:style>
  <w:style w:type="paragraph" w:customStyle="1" w:styleId="101">
    <w:name w:val="列出段落1"/>
    <w:basedOn w:val="1"/>
    <w:qFormat/>
    <w:uiPriority w:val="0"/>
    <w:pPr>
      <w:ind w:firstLine="420" w:firstLineChars="200"/>
    </w:pPr>
    <w:rPr>
      <w:rFonts w:ascii="Calibri" w:hAnsi="Calibri"/>
      <w:szCs w:val="22"/>
    </w:rPr>
  </w:style>
  <w:style w:type="paragraph" w:customStyle="1" w:styleId="102">
    <w:name w:val="默认段落字体 Para Char Char Char Char"/>
    <w:basedOn w:val="1"/>
    <w:qFormat/>
    <w:uiPriority w:val="0"/>
  </w:style>
  <w:style w:type="paragraph" w:customStyle="1" w:styleId="103">
    <w:name w:val="Char Char Char1 Char Char Char1 Char Char Char Char"/>
    <w:basedOn w:val="1"/>
    <w:qFormat/>
    <w:uiPriority w:val="0"/>
  </w:style>
  <w:style w:type="character" w:customStyle="1" w:styleId="104">
    <w:name w:val="font1"/>
    <w:qFormat/>
    <w:uiPriority w:val="0"/>
    <w:rPr>
      <w:color w:val="999999"/>
      <w:sz w:val="18"/>
      <w:szCs w:val="18"/>
      <w:u w:val="none"/>
    </w:rPr>
  </w:style>
  <w:style w:type="paragraph" w:customStyle="1" w:styleId="10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
    <w:name w:val="Char Char Char Char Char Char Char Char Char Char"/>
    <w:basedOn w:val="1"/>
    <w:qFormat/>
    <w:uiPriority w:val="0"/>
    <w:rPr>
      <w:rFonts w:ascii="Tahoma" w:hAnsi="Tahoma"/>
      <w:sz w:val="24"/>
      <w:szCs w:val="20"/>
    </w:rPr>
  </w:style>
  <w:style w:type="character" w:customStyle="1" w:styleId="107">
    <w:name w:val="apple-style-span"/>
    <w:basedOn w:val="44"/>
    <w:qFormat/>
    <w:uiPriority w:val="0"/>
  </w:style>
  <w:style w:type="paragraph" w:customStyle="1" w:styleId="108">
    <w:name w:val="正文无缩进"/>
    <w:basedOn w:val="1"/>
    <w:link w:val="109"/>
    <w:qFormat/>
    <w:uiPriority w:val="0"/>
    <w:pPr>
      <w:spacing w:line="360" w:lineRule="auto"/>
    </w:pPr>
    <w:rPr>
      <w:rFonts w:ascii="宋体"/>
      <w:color w:val="000000"/>
      <w:sz w:val="24"/>
    </w:rPr>
  </w:style>
  <w:style w:type="character" w:customStyle="1" w:styleId="109">
    <w:name w:val="正文无缩进 Char"/>
    <w:link w:val="108"/>
    <w:qFormat/>
    <w:uiPriority w:val="0"/>
    <w:rPr>
      <w:rFonts w:ascii="宋体" w:eastAsia="宋体"/>
      <w:color w:val="000000"/>
      <w:kern w:val="2"/>
      <w:sz w:val="24"/>
      <w:szCs w:val="24"/>
      <w:lang w:val="en-US" w:eastAsia="zh-CN" w:bidi="ar-SA"/>
    </w:rPr>
  </w:style>
  <w:style w:type="paragraph" w:customStyle="1" w:styleId="11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1">
    <w:name w:val="ca-3"/>
    <w:basedOn w:val="44"/>
    <w:qFormat/>
    <w:uiPriority w:val="0"/>
  </w:style>
  <w:style w:type="paragraph" w:customStyle="1" w:styleId="11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3">
    <w:name w:val="表格 Char Char"/>
    <w:link w:val="114"/>
    <w:qFormat/>
    <w:locked/>
    <w:uiPriority w:val="0"/>
    <w:rPr>
      <w:rFonts w:ascii="宋体" w:hAnsi="宋体" w:eastAsia="宋体"/>
      <w:lang w:val="en-US" w:eastAsia="zh-CN" w:bidi="ar-SA"/>
    </w:rPr>
  </w:style>
  <w:style w:type="paragraph" w:customStyle="1" w:styleId="114">
    <w:name w:val="表格"/>
    <w:basedOn w:val="1"/>
    <w:link w:val="113"/>
    <w:qFormat/>
    <w:uiPriority w:val="0"/>
    <w:pPr>
      <w:snapToGrid w:val="0"/>
      <w:ind w:firstLine="42" w:firstLineChars="21"/>
    </w:pPr>
    <w:rPr>
      <w:rFonts w:ascii="宋体" w:hAnsi="宋体"/>
      <w:kern w:val="0"/>
      <w:sz w:val="20"/>
      <w:szCs w:val="20"/>
    </w:rPr>
  </w:style>
  <w:style w:type="paragraph" w:customStyle="1" w:styleId="11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6">
    <w:name w:val="Char Char1 Char Char Char Char Char Char"/>
    <w:basedOn w:val="1"/>
    <w:qFormat/>
    <w:uiPriority w:val="0"/>
    <w:pPr>
      <w:widowControl/>
      <w:spacing w:after="160" w:line="240" w:lineRule="exact"/>
      <w:jc w:val="left"/>
    </w:pPr>
  </w:style>
  <w:style w:type="character" w:customStyle="1" w:styleId="117">
    <w:name w:val="Char Char"/>
    <w:qFormat/>
    <w:uiPriority w:val="0"/>
    <w:rPr>
      <w:rFonts w:hint="eastAsia" w:ascii="宋体" w:hAnsi="Courier New" w:eastAsia="宋体"/>
      <w:kern w:val="2"/>
      <w:sz w:val="21"/>
      <w:lang w:val="en-US" w:eastAsia="zh-CN" w:bidi="ar-SA"/>
    </w:rPr>
  </w:style>
  <w:style w:type="character" w:customStyle="1" w:styleId="118">
    <w:name w:val="style51"/>
    <w:qFormat/>
    <w:uiPriority w:val="0"/>
    <w:rPr>
      <w:sz w:val="21"/>
      <w:szCs w:val="21"/>
    </w:rPr>
  </w:style>
  <w:style w:type="paragraph" w:customStyle="1" w:styleId="11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0">
    <w:name w:val="标准文本"/>
    <w:basedOn w:val="1"/>
    <w:link w:val="121"/>
    <w:qFormat/>
    <w:uiPriority w:val="0"/>
    <w:pPr>
      <w:spacing w:line="360" w:lineRule="auto"/>
      <w:ind w:firstLine="480" w:firstLineChars="200"/>
    </w:pPr>
    <w:rPr>
      <w:rFonts w:cs="宋体"/>
      <w:sz w:val="24"/>
      <w:szCs w:val="20"/>
    </w:rPr>
  </w:style>
  <w:style w:type="character" w:customStyle="1" w:styleId="121">
    <w:name w:val="标准文本 Char"/>
    <w:link w:val="120"/>
    <w:qFormat/>
    <w:uiPriority w:val="0"/>
    <w:rPr>
      <w:rFonts w:eastAsia="宋体" w:cs="宋体"/>
      <w:kern w:val="2"/>
      <w:sz w:val="24"/>
      <w:lang w:val="en-US" w:eastAsia="zh-CN" w:bidi="ar-SA"/>
    </w:rPr>
  </w:style>
  <w:style w:type="paragraph" w:customStyle="1" w:styleId="1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3">
    <w:name w:val="自定义正文"/>
    <w:basedOn w:val="1"/>
    <w:link w:val="124"/>
    <w:qFormat/>
    <w:uiPriority w:val="0"/>
    <w:pPr>
      <w:spacing w:line="480" w:lineRule="exact"/>
      <w:ind w:firstLine="200" w:firstLineChars="200"/>
      <w:jc w:val="left"/>
    </w:pPr>
    <w:rPr>
      <w:rFonts w:ascii="仿宋_GB2312" w:eastAsia="仿宋_GB2312"/>
      <w:sz w:val="28"/>
    </w:rPr>
  </w:style>
  <w:style w:type="character" w:customStyle="1" w:styleId="124">
    <w:name w:val="自定义正文 Char"/>
    <w:link w:val="123"/>
    <w:qFormat/>
    <w:uiPriority w:val="0"/>
    <w:rPr>
      <w:rFonts w:ascii="仿宋_GB2312" w:eastAsia="仿宋_GB2312"/>
      <w:kern w:val="2"/>
      <w:sz w:val="28"/>
      <w:szCs w:val="24"/>
      <w:lang w:val="en-US" w:eastAsia="zh-CN" w:bidi="ar-SA"/>
    </w:rPr>
  </w:style>
  <w:style w:type="paragraph" w:customStyle="1" w:styleId="12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6">
    <w:name w:val="自定义表格文字"/>
    <w:basedOn w:val="1"/>
    <w:qFormat/>
    <w:uiPriority w:val="0"/>
    <w:pPr>
      <w:spacing w:before="60" w:after="60" w:line="320" w:lineRule="exact"/>
      <w:jc w:val="left"/>
    </w:pPr>
    <w:rPr>
      <w:rFonts w:ascii="宋体" w:eastAsia="楷体_GB2312"/>
    </w:rPr>
  </w:style>
  <w:style w:type="paragraph" w:customStyle="1" w:styleId="12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9">
    <w:name w:val="Char Char12"/>
    <w:qFormat/>
    <w:uiPriority w:val="0"/>
    <w:rPr>
      <w:rFonts w:ascii="宋体" w:hAnsi="Courier New" w:eastAsia="宋体"/>
      <w:kern w:val="2"/>
      <w:sz w:val="21"/>
      <w:lang w:val="en-US" w:eastAsia="zh-CN" w:bidi="ar-SA"/>
    </w:rPr>
  </w:style>
  <w:style w:type="character" w:customStyle="1" w:styleId="130">
    <w:name w:val="H4 Char"/>
    <w:qFormat/>
    <w:uiPriority w:val="0"/>
    <w:rPr>
      <w:rFonts w:ascii="宋体" w:hAnsi="宋体" w:eastAsia="黑体"/>
      <w:b/>
      <w:bCs/>
      <w:color w:val="000000"/>
      <w:spacing w:val="-4"/>
      <w:kern w:val="2"/>
      <w:sz w:val="24"/>
      <w:szCs w:val="30"/>
      <w:lang w:val="en-US" w:eastAsia="zh-CN" w:bidi="ar-SA"/>
    </w:rPr>
  </w:style>
  <w:style w:type="character" w:customStyle="1" w:styleId="131">
    <w:name w:val="H5 Char"/>
    <w:qFormat/>
    <w:uiPriority w:val="0"/>
    <w:rPr>
      <w:rFonts w:ascii="Arial" w:hAnsi="Arial" w:eastAsia="宋体"/>
      <w:sz w:val="24"/>
      <w:lang w:val="en-US" w:eastAsia="zh-CN" w:bidi="ar-SA"/>
    </w:rPr>
  </w:style>
  <w:style w:type="character" w:customStyle="1" w:styleId="132">
    <w:name w:val="Char Char8"/>
    <w:qFormat/>
    <w:uiPriority w:val="0"/>
    <w:rPr>
      <w:rFonts w:ascii="宋体" w:eastAsia="宋体"/>
      <w:kern w:val="2"/>
      <w:sz w:val="28"/>
      <w:lang w:val="en-US" w:eastAsia="zh-CN" w:bidi="ar-SA"/>
    </w:rPr>
  </w:style>
  <w:style w:type="character" w:customStyle="1" w:styleId="133">
    <w:name w:val="Char Char7"/>
    <w:qFormat/>
    <w:uiPriority w:val="0"/>
    <w:rPr>
      <w:rFonts w:eastAsia="仿宋_GB2312"/>
      <w:kern w:val="2"/>
      <w:sz w:val="24"/>
      <w:szCs w:val="24"/>
      <w:lang w:val="en-US" w:eastAsia="zh-CN" w:bidi="ar-SA"/>
    </w:rPr>
  </w:style>
  <w:style w:type="paragraph" w:customStyle="1" w:styleId="134">
    <w:name w:val="表内文字"/>
    <w:basedOn w:val="1"/>
    <w:qFormat/>
    <w:uiPriority w:val="0"/>
    <w:pPr>
      <w:jc w:val="center"/>
    </w:pPr>
    <w:rPr>
      <w:color w:val="FF0000"/>
      <w:kern w:val="0"/>
      <w:sz w:val="24"/>
    </w:rPr>
  </w:style>
  <w:style w:type="character" w:customStyle="1" w:styleId="135">
    <w:name w:val="Char Char3"/>
    <w:qFormat/>
    <w:uiPriority w:val="0"/>
    <w:rPr>
      <w:rFonts w:eastAsia="仿宋_GB2312"/>
      <w:kern w:val="2"/>
      <w:sz w:val="28"/>
      <w:szCs w:val="24"/>
      <w:lang w:val="en-US" w:eastAsia="zh-CN" w:bidi="ar-SA"/>
    </w:rPr>
  </w:style>
  <w:style w:type="paragraph" w:customStyle="1" w:styleId="13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0">
    <w:name w:val="项目1"/>
    <w:basedOn w:val="1"/>
    <w:qFormat/>
    <w:uiPriority w:val="0"/>
    <w:pPr>
      <w:tabs>
        <w:tab w:val="left" w:pos="840"/>
      </w:tabs>
      <w:spacing w:after="60"/>
      <w:ind w:left="840" w:hanging="420"/>
    </w:pPr>
    <w:rPr>
      <w:rFonts w:ascii="宋体"/>
      <w:spacing w:val="4"/>
      <w:szCs w:val="20"/>
    </w:rPr>
  </w:style>
  <w:style w:type="paragraph" w:customStyle="1" w:styleId="141">
    <w:name w:val="编10号"/>
    <w:basedOn w:val="1"/>
    <w:qFormat/>
    <w:uiPriority w:val="0"/>
    <w:pPr>
      <w:tabs>
        <w:tab w:val="left" w:pos="1620"/>
      </w:tabs>
      <w:ind w:left="1620" w:hanging="360"/>
    </w:pPr>
  </w:style>
  <w:style w:type="paragraph" w:customStyle="1" w:styleId="142">
    <w:name w:val="段"/>
    <w:basedOn w:val="1"/>
    <w:qFormat/>
    <w:uiPriority w:val="0"/>
    <w:pPr>
      <w:ind w:firstLine="425"/>
    </w:pPr>
    <w:rPr>
      <w:rFonts w:ascii="宋体"/>
      <w:szCs w:val="20"/>
    </w:rPr>
  </w:style>
  <w:style w:type="paragraph" w:customStyle="1" w:styleId="143">
    <w:name w:val="Char Char Char Char"/>
    <w:basedOn w:val="1"/>
    <w:qFormat/>
    <w:uiPriority w:val="0"/>
    <w:pPr>
      <w:widowControl/>
      <w:spacing w:after="160" w:line="240" w:lineRule="exact"/>
      <w:jc w:val="left"/>
    </w:pPr>
    <w:rPr>
      <w:kern w:val="0"/>
      <w:sz w:val="24"/>
    </w:rPr>
  </w:style>
  <w:style w:type="paragraph" w:customStyle="1" w:styleId="14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5">
    <w:name w:val="bulletintext1"/>
    <w:qFormat/>
    <w:uiPriority w:val="0"/>
    <w:rPr>
      <w:rFonts w:hint="eastAsia" w:ascii="宋体" w:hAnsi="宋体" w:eastAsia="宋体"/>
      <w:sz w:val="18"/>
      <w:szCs w:val="18"/>
    </w:rPr>
  </w:style>
  <w:style w:type="paragraph" w:customStyle="1" w:styleId="146">
    <w:name w:val="Char1 Char Char Char Char Char Char"/>
    <w:basedOn w:val="1"/>
    <w:qFormat/>
    <w:uiPriority w:val="0"/>
    <w:rPr>
      <w:rFonts w:ascii="Tahoma" w:hAnsi="Tahoma"/>
      <w:sz w:val="24"/>
      <w:szCs w:val="20"/>
    </w:rPr>
  </w:style>
  <w:style w:type="paragraph" w:customStyle="1" w:styleId="147">
    <w:name w:val="Char Char2 Char Char Char Char"/>
    <w:basedOn w:val="17"/>
    <w:qFormat/>
    <w:uiPriority w:val="0"/>
    <w:rPr>
      <w:rFonts w:ascii="Tahoma" w:hAnsi="Tahoma"/>
      <w:sz w:val="24"/>
    </w:rPr>
  </w:style>
  <w:style w:type="paragraph" w:customStyle="1" w:styleId="148">
    <w:name w:val="Char Char Char"/>
    <w:basedOn w:val="17"/>
    <w:qFormat/>
    <w:uiPriority w:val="0"/>
    <w:rPr>
      <w:rFonts w:ascii="Tahoma" w:hAnsi="Tahoma"/>
      <w:sz w:val="24"/>
    </w:rPr>
  </w:style>
  <w:style w:type="paragraph" w:customStyle="1" w:styleId="149">
    <w:name w:val="正文缩进 New"/>
    <w:basedOn w:val="1"/>
    <w:qFormat/>
    <w:uiPriority w:val="0"/>
    <w:pPr>
      <w:ind w:firstLine="420" w:firstLineChars="200"/>
    </w:pPr>
    <w:rPr>
      <w:szCs w:val="20"/>
    </w:rPr>
  </w:style>
  <w:style w:type="paragraph" w:customStyle="1" w:styleId="15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1">
    <w:name w:val="tpc_content1"/>
    <w:qFormat/>
    <w:uiPriority w:val="0"/>
    <w:rPr>
      <w:sz w:val="20"/>
      <w:szCs w:val="20"/>
    </w:rPr>
  </w:style>
  <w:style w:type="character" w:customStyle="1" w:styleId="152">
    <w:name w:val="Char Char11"/>
    <w:qFormat/>
    <w:uiPriority w:val="0"/>
    <w:rPr>
      <w:b/>
      <w:kern w:val="44"/>
      <w:sz w:val="44"/>
    </w:rPr>
  </w:style>
  <w:style w:type="character" w:customStyle="1" w:styleId="153">
    <w:name w:val="Char Char10"/>
    <w:qFormat/>
    <w:uiPriority w:val="0"/>
    <w:rPr>
      <w:b/>
      <w:kern w:val="2"/>
      <w:sz w:val="28"/>
      <w:szCs w:val="28"/>
    </w:rPr>
  </w:style>
  <w:style w:type="character" w:customStyle="1" w:styleId="154">
    <w:name w:val="Char Char9"/>
    <w:qFormat/>
    <w:uiPriority w:val="0"/>
    <w:rPr>
      <w:b/>
      <w:kern w:val="2"/>
      <w:sz w:val="24"/>
      <w:szCs w:val="24"/>
    </w:rPr>
  </w:style>
  <w:style w:type="paragraph" w:customStyle="1" w:styleId="155">
    <w:name w:val="Char Char Char 字元 字元"/>
    <w:basedOn w:val="1"/>
    <w:qFormat/>
    <w:uiPriority w:val="0"/>
    <w:pPr>
      <w:spacing w:line="360" w:lineRule="auto"/>
      <w:ind w:firstLine="200" w:firstLineChars="200"/>
    </w:pPr>
    <w:rPr>
      <w:szCs w:val="20"/>
    </w:rPr>
  </w:style>
  <w:style w:type="paragraph" w:customStyle="1" w:styleId="15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8">
    <w:name w:val="style11"/>
    <w:qFormat/>
    <w:uiPriority w:val="0"/>
    <w:rPr>
      <w:b/>
      <w:bCs/>
      <w:color w:val="FF0000"/>
    </w:rPr>
  </w:style>
  <w:style w:type="character" w:customStyle="1" w:styleId="159">
    <w:name w:val="info"/>
    <w:basedOn w:val="44"/>
    <w:qFormat/>
    <w:uiPriority w:val="0"/>
  </w:style>
  <w:style w:type="paragraph" w:customStyle="1" w:styleId="160">
    <w:name w:val="样式 正文缩进 + 首行缩进:  2 字符"/>
    <w:basedOn w:val="7"/>
    <w:link w:val="161"/>
    <w:qFormat/>
    <w:uiPriority w:val="0"/>
    <w:pPr>
      <w:spacing w:line="360" w:lineRule="auto"/>
      <w:ind w:firstLine="480"/>
    </w:pPr>
    <w:rPr>
      <w:rFonts w:ascii="宋体" w:hAnsi="宋体"/>
      <w:color w:val="000000"/>
      <w:kern w:val="0"/>
      <w:sz w:val="24"/>
      <w:szCs w:val="20"/>
    </w:rPr>
  </w:style>
  <w:style w:type="character" w:customStyle="1" w:styleId="161">
    <w:name w:val="样式 正文缩进 + 首行缩进:  2 字符 Char"/>
    <w:link w:val="160"/>
    <w:qFormat/>
    <w:locked/>
    <w:uiPriority w:val="0"/>
    <w:rPr>
      <w:rFonts w:ascii="宋体" w:hAnsi="宋体" w:eastAsia="宋体"/>
      <w:color w:val="000000"/>
      <w:sz w:val="24"/>
      <w:lang w:bidi="ar-SA"/>
    </w:rPr>
  </w:style>
  <w:style w:type="paragraph" w:customStyle="1" w:styleId="162">
    <w:name w:val="正文2"/>
    <w:basedOn w:val="1"/>
    <w:link w:val="163"/>
    <w:qFormat/>
    <w:uiPriority w:val="0"/>
    <w:pPr>
      <w:spacing w:before="156" w:line="360" w:lineRule="auto"/>
      <w:ind w:firstLine="510" w:firstLineChars="200"/>
    </w:pPr>
    <w:rPr>
      <w:sz w:val="24"/>
      <w:szCs w:val="20"/>
    </w:rPr>
  </w:style>
  <w:style w:type="character" w:customStyle="1" w:styleId="163">
    <w:name w:val="正文2 Char"/>
    <w:link w:val="162"/>
    <w:qFormat/>
    <w:uiPriority w:val="0"/>
    <w:rPr>
      <w:rFonts w:eastAsia="宋体"/>
      <w:kern w:val="2"/>
      <w:sz w:val="24"/>
      <w:lang w:val="en-US" w:eastAsia="zh-CN" w:bidi="ar-SA"/>
    </w:rPr>
  </w:style>
  <w:style w:type="paragraph" w:customStyle="1" w:styleId="164">
    <w:name w:val="p0"/>
    <w:basedOn w:val="1"/>
    <w:qFormat/>
    <w:uiPriority w:val="0"/>
    <w:pPr>
      <w:widowControl/>
    </w:pPr>
    <w:rPr>
      <w:kern w:val="0"/>
      <w:szCs w:val="21"/>
    </w:rPr>
  </w:style>
  <w:style w:type="character" w:customStyle="1" w:styleId="165">
    <w:name w:val="param-name"/>
    <w:basedOn w:val="44"/>
    <w:qFormat/>
    <w:uiPriority w:val="0"/>
  </w:style>
  <w:style w:type="character" w:customStyle="1" w:styleId="166">
    <w:name w:val="日期 Char"/>
    <w:qFormat/>
    <w:uiPriority w:val="0"/>
    <w:rPr>
      <w:rFonts w:ascii="楷体_GB2312" w:eastAsia="楷体_GB2312"/>
      <w:b/>
      <w:kern w:val="2"/>
      <w:sz w:val="28"/>
      <w:lang w:val="en-US" w:eastAsia="zh-CN" w:bidi="ar-SA"/>
    </w:rPr>
  </w:style>
  <w:style w:type="character" w:customStyle="1" w:styleId="167">
    <w:name w:val="标题 4 Char"/>
    <w:qFormat/>
    <w:uiPriority w:val="0"/>
    <w:rPr>
      <w:rFonts w:ascii="Arial" w:hAnsi="Arial" w:eastAsia="黑体"/>
      <w:b/>
      <w:kern w:val="2"/>
      <w:sz w:val="28"/>
      <w:lang w:val="en-US" w:eastAsia="zh-CN" w:bidi="ar-SA"/>
    </w:rPr>
  </w:style>
  <w:style w:type="character" w:customStyle="1" w:styleId="168">
    <w:name w:val="标题 6 Char"/>
    <w:qFormat/>
    <w:uiPriority w:val="0"/>
    <w:rPr>
      <w:rFonts w:ascii="宋体" w:hAnsi="Arial" w:eastAsia="宋体"/>
      <w:sz w:val="24"/>
      <w:lang w:val="en-US" w:eastAsia="zh-CN" w:bidi="ar-SA"/>
    </w:rPr>
  </w:style>
  <w:style w:type="character" w:customStyle="1" w:styleId="169">
    <w:name w:val="标题 8 Char"/>
    <w:qFormat/>
    <w:uiPriority w:val="0"/>
    <w:rPr>
      <w:rFonts w:ascii="Arial" w:hAnsi="Arial" w:eastAsia="黑体"/>
      <w:sz w:val="24"/>
      <w:lang w:val="en-US" w:eastAsia="zh-CN" w:bidi="ar-SA"/>
    </w:rPr>
  </w:style>
  <w:style w:type="character" w:customStyle="1" w:styleId="170">
    <w:name w:val="标题 9 Char"/>
    <w:qFormat/>
    <w:uiPriority w:val="0"/>
    <w:rPr>
      <w:rFonts w:ascii="Arial" w:hAnsi="Arial" w:eastAsia="黑体"/>
      <w:sz w:val="24"/>
      <w:lang w:val="en-US" w:eastAsia="zh-CN" w:bidi="ar-SA"/>
    </w:rPr>
  </w:style>
  <w:style w:type="character" w:customStyle="1" w:styleId="171">
    <w:name w:val="标题 5 Char"/>
    <w:qFormat/>
    <w:uiPriority w:val="0"/>
    <w:rPr>
      <w:rFonts w:eastAsia="宋体"/>
      <w:sz w:val="24"/>
      <w:lang w:val="en-US" w:eastAsia="zh-CN" w:bidi="ar-SA"/>
    </w:rPr>
  </w:style>
  <w:style w:type="character" w:customStyle="1" w:styleId="172">
    <w:name w:val="正文文本缩进 2 Char"/>
    <w:qFormat/>
    <w:locked/>
    <w:uiPriority w:val="0"/>
    <w:rPr>
      <w:rFonts w:eastAsia="宋体"/>
      <w:kern w:val="2"/>
      <w:sz w:val="21"/>
      <w:szCs w:val="24"/>
      <w:lang w:val="en-US" w:eastAsia="zh-CN" w:bidi="ar-SA"/>
    </w:rPr>
  </w:style>
  <w:style w:type="character" w:customStyle="1" w:styleId="173">
    <w:name w:val="正文文本 2 Char"/>
    <w:qFormat/>
    <w:uiPriority w:val="0"/>
    <w:rPr>
      <w:rFonts w:ascii="隶书" w:eastAsia="隶书"/>
      <w:bCs/>
      <w:sz w:val="72"/>
      <w:szCs w:val="84"/>
      <w:lang w:val="en-US" w:eastAsia="zh-CN" w:bidi="ar-SA"/>
    </w:rPr>
  </w:style>
  <w:style w:type="character" w:customStyle="1" w:styleId="174">
    <w:name w:val="标题 7 Char"/>
    <w:qFormat/>
    <w:uiPriority w:val="0"/>
    <w:rPr>
      <w:rFonts w:ascii="宋体" w:hAnsi="Arial" w:eastAsia="宋体"/>
      <w:b/>
      <w:sz w:val="24"/>
      <w:lang w:val="en-US" w:eastAsia="zh-CN" w:bidi="ar-SA"/>
    </w:rPr>
  </w:style>
  <w:style w:type="character" w:customStyle="1" w:styleId="175">
    <w:name w:val="页眉 Char"/>
    <w:qFormat/>
    <w:uiPriority w:val="99"/>
    <w:rPr>
      <w:rFonts w:eastAsia="宋体"/>
      <w:kern w:val="2"/>
      <w:sz w:val="18"/>
      <w:szCs w:val="18"/>
      <w:lang w:val="en-US" w:eastAsia="zh-CN" w:bidi="ar-SA"/>
    </w:rPr>
  </w:style>
  <w:style w:type="character" w:customStyle="1" w:styleId="176">
    <w:name w:val="汇视源正文 Char"/>
    <w:link w:val="177"/>
    <w:qFormat/>
    <w:uiPriority w:val="0"/>
    <w:rPr>
      <w:rFonts w:cs="宋体"/>
      <w:kern w:val="2"/>
      <w:sz w:val="24"/>
      <w:lang w:val="en-US" w:eastAsia="zh-CN" w:bidi="ar-SA"/>
    </w:rPr>
  </w:style>
  <w:style w:type="paragraph" w:customStyle="1" w:styleId="177">
    <w:name w:val="汇视源正文"/>
    <w:link w:val="176"/>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8">
    <w:name w:val="样式 列表编号 + 段后: 0.5 行"/>
    <w:basedOn w:val="15"/>
    <w:qFormat/>
    <w:uiPriority w:val="0"/>
    <w:pPr>
      <w:tabs>
        <w:tab w:val="left" w:pos="840"/>
      </w:tabs>
      <w:spacing w:afterLines="0"/>
      <w:ind w:left="425" w:hanging="425"/>
    </w:pPr>
    <w:rPr>
      <w:rFonts w:cs="宋体"/>
    </w:rPr>
  </w:style>
  <w:style w:type="paragraph" w:customStyle="1" w:styleId="179">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0">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1">
    <w:name w:val="Date Char"/>
    <w:qFormat/>
    <w:locked/>
    <w:uiPriority w:val="0"/>
    <w:rPr>
      <w:rFonts w:ascii="宋体"/>
      <w:sz w:val="21"/>
      <w:lang w:val="zh-CN"/>
    </w:rPr>
  </w:style>
  <w:style w:type="character" w:customStyle="1" w:styleId="182">
    <w:name w:val="Normal Indent Char"/>
    <w:qFormat/>
    <w:locked/>
    <w:uiPriority w:val="0"/>
    <w:rPr>
      <w:rFonts w:ascii="宋体" w:eastAsia="宋体"/>
      <w:snapToGrid w:val="0"/>
      <w:color w:val="000000"/>
      <w:kern w:val="28"/>
      <w:sz w:val="28"/>
    </w:rPr>
  </w:style>
  <w:style w:type="character" w:customStyle="1" w:styleId="183">
    <w:name w:val="Plain Text Char"/>
    <w:qFormat/>
    <w:locked/>
    <w:uiPriority w:val="0"/>
    <w:rPr>
      <w:rFonts w:ascii="宋体" w:hAnsi="Courier New" w:eastAsia="宋体"/>
      <w:snapToGrid w:val="0"/>
      <w:sz w:val="21"/>
    </w:rPr>
  </w:style>
  <w:style w:type="character" w:customStyle="1" w:styleId="184">
    <w:name w:val="日期 Char1"/>
    <w:qFormat/>
    <w:uiPriority w:val="0"/>
    <w:rPr>
      <w:rFonts w:ascii="Times New Roman" w:hAnsi="Times New Roman" w:eastAsia="宋体" w:cs="Times New Roman"/>
      <w:sz w:val="24"/>
      <w:szCs w:val="24"/>
    </w:rPr>
  </w:style>
  <w:style w:type="character" w:customStyle="1" w:styleId="185">
    <w:name w:val="纯文本 Char1"/>
    <w:link w:val="186"/>
    <w:qFormat/>
    <w:uiPriority w:val="0"/>
    <w:rPr>
      <w:rFonts w:ascii="宋体" w:hAnsi="Courier New" w:eastAsia="宋体" w:cs="Courier New"/>
      <w:sz w:val="21"/>
      <w:szCs w:val="21"/>
    </w:rPr>
  </w:style>
  <w:style w:type="paragraph" w:customStyle="1" w:styleId="186">
    <w:name w:val="纯文本1"/>
    <w:basedOn w:val="1"/>
    <w:link w:val="185"/>
    <w:qFormat/>
    <w:uiPriority w:val="0"/>
    <w:rPr>
      <w:rFonts w:ascii="宋体" w:hAnsi="Courier New" w:cs="Courier New"/>
      <w:kern w:val="0"/>
      <w:szCs w:val="21"/>
    </w:rPr>
  </w:style>
  <w:style w:type="paragraph" w:customStyle="1" w:styleId="18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8">
    <w:name w:val="列出段落112"/>
    <w:basedOn w:val="1"/>
    <w:link w:val="189"/>
    <w:qFormat/>
    <w:uiPriority w:val="0"/>
    <w:pPr>
      <w:adjustRightInd w:val="0"/>
      <w:spacing w:line="360" w:lineRule="auto"/>
      <w:ind w:firstLine="200" w:firstLineChars="200"/>
    </w:pPr>
    <w:rPr>
      <w:rFonts w:eastAsia="楷体_GB2312" w:cs="Lucida Sans"/>
      <w:sz w:val="24"/>
    </w:rPr>
  </w:style>
  <w:style w:type="character" w:customStyle="1" w:styleId="189">
    <w:name w:val="列出段落 Char"/>
    <w:link w:val="188"/>
    <w:qFormat/>
    <w:uiPriority w:val="0"/>
    <w:rPr>
      <w:rFonts w:eastAsia="楷体_GB2312" w:cs="Lucida Sans"/>
      <w:kern w:val="2"/>
      <w:sz w:val="24"/>
      <w:szCs w:val="24"/>
    </w:rPr>
  </w:style>
  <w:style w:type="paragraph" w:customStyle="1" w:styleId="190">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1">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2">
    <w:name w:val="Header Char"/>
    <w:qFormat/>
    <w:locked/>
    <w:uiPriority w:val="0"/>
    <w:rPr>
      <w:rFonts w:ascii="Times New Roman" w:hAnsi="Times New Roman" w:eastAsia="宋体" w:cs="Times New Roman"/>
      <w:sz w:val="18"/>
      <w:szCs w:val="18"/>
    </w:rPr>
  </w:style>
  <w:style w:type="paragraph" w:customStyle="1" w:styleId="19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4">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5">
    <w:name w:val="Comment Text Char"/>
    <w:qFormat/>
    <w:locked/>
    <w:uiPriority w:val="0"/>
    <w:rPr>
      <w:rFonts w:ascii="Times New Roman" w:hAnsi="Times New Roman" w:eastAsia="宋体" w:cs="Times New Roman"/>
      <w:kern w:val="0"/>
      <w:sz w:val="24"/>
      <w:szCs w:val="24"/>
      <w:lang w:val="zh-CN" w:eastAsia="zh-CN"/>
    </w:rPr>
  </w:style>
  <w:style w:type="paragraph" w:customStyle="1" w:styleId="196">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8">
    <w:name w:val="Char Char Char Char1"/>
    <w:basedOn w:val="1"/>
    <w:qFormat/>
    <w:uiPriority w:val="0"/>
    <w:rPr>
      <w:rFonts w:ascii="Tahoma" w:hAnsi="Tahoma"/>
      <w:sz w:val="24"/>
      <w:szCs w:val="20"/>
    </w:rPr>
  </w:style>
  <w:style w:type="paragraph" w:customStyle="1" w:styleId="199">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1">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2">
    <w:name w:val="正文2 Char Char"/>
    <w:qFormat/>
    <w:uiPriority w:val="0"/>
    <w:rPr>
      <w:kern w:val="2"/>
      <w:sz w:val="24"/>
    </w:rPr>
  </w:style>
  <w:style w:type="character" w:customStyle="1" w:styleId="203">
    <w:name w:val="普通文字 Char Char3"/>
    <w:qFormat/>
    <w:uiPriority w:val="0"/>
    <w:rPr>
      <w:rFonts w:ascii="宋体" w:hAnsi="Courier New"/>
      <w:kern w:val="2"/>
      <w:sz w:val="24"/>
      <w:szCs w:val="24"/>
    </w:rPr>
  </w:style>
  <w:style w:type="character" w:customStyle="1" w:styleId="204">
    <w:name w:val="特点 Char2"/>
    <w:qFormat/>
    <w:uiPriority w:val="0"/>
    <w:rPr>
      <w:rFonts w:ascii="Times New Roman" w:hAnsi="Times New Roman" w:eastAsia="宋体" w:cs="Times New Roman"/>
      <w:szCs w:val="24"/>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character" w:customStyle="1" w:styleId="285">
    <w:name w:val="font31"/>
    <w:qFormat/>
    <w:uiPriority w:val="0"/>
    <w:rPr>
      <w:rFonts w:hint="eastAsia" w:ascii="仿宋" w:hAnsi="仿宋" w:eastAsia="仿宋" w:cs="仿宋"/>
      <w:color w:val="FF0000"/>
      <w:sz w:val="22"/>
      <w:szCs w:val="22"/>
      <w:u w:val="none"/>
    </w:rPr>
  </w:style>
  <w:style w:type="paragraph" w:customStyle="1" w:styleId="286">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87">
    <w:name w:val="正文缩进 Char1"/>
    <w:qFormat/>
    <w:uiPriority w:val="0"/>
    <w:rPr>
      <w:rFonts w:ascii="Times New Roman" w:hAnsi="Times New Roman" w:eastAsia="宋体" w:cs="Times New Roman"/>
      <w:szCs w:val="20"/>
    </w:rPr>
  </w:style>
  <w:style w:type="character" w:customStyle="1" w:styleId="288">
    <w:name w:val="纯文本 Char2"/>
    <w:qFormat/>
    <w:uiPriority w:val="0"/>
    <w:rPr>
      <w:rFonts w:ascii="宋体" w:hAnsi="Courier New" w:eastAsia="宋体" w:cs="Times New Roman"/>
      <w:szCs w:val="21"/>
    </w:rPr>
  </w:style>
  <w:style w:type="paragraph" w:customStyle="1" w:styleId="289">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styleId="293">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4">
    <w:name w:val="表格标题"/>
    <w:basedOn w:val="295"/>
    <w:qFormat/>
    <w:uiPriority w:val="0"/>
    <w:pPr>
      <w:keepNext/>
      <w:jc w:val="center"/>
    </w:pPr>
    <w:rPr>
      <w:b/>
      <w:bCs/>
    </w:rPr>
  </w:style>
  <w:style w:type="paragraph" w:customStyle="1" w:styleId="295">
    <w:name w:val="表格文字"/>
    <w:basedOn w:val="24"/>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47567</Words>
  <Characters>50676</Characters>
  <Lines>407</Lines>
  <Paragraphs>114</Paragraphs>
  <TotalTime>0</TotalTime>
  <ScaleCrop>false</ScaleCrop>
  <LinksUpToDate>false</LinksUpToDate>
  <CharactersWithSpaces>54921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2022-10-17T08:53:00Z</dcterms:created>
  <dc:creator>USER</dc:creator>
  <cp:lastModifiedBy>ASUS</cp:lastModifiedBy>
  <cp:lastPrinted>2022-10-18T00:08:00Z</cp:lastPrinted>
  <dcterms:modified xsi:type="dcterms:W3CDTF">2022-10-26T08:09:50Z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