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sz w:val="44"/>
          <w:highlight w:val="none"/>
        </w:rPr>
      </w:pPr>
      <w:bookmarkStart w:id="157" w:name="_GoBack"/>
      <w:bookmarkEnd w:id="157"/>
    </w:p>
    <w:p>
      <w:pPr>
        <w:spacing w:before="120" w:beforeLines="50"/>
        <w:ind w:firstLine="0" w:firstLineChars="0"/>
        <w:jc w:val="cente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u w:val="single"/>
        </w:rPr>
        <w:t>中国美术学院</w:t>
      </w:r>
    </w:p>
    <w:p>
      <w:pPr>
        <w:spacing w:before="120" w:beforeLines="50"/>
        <w:ind w:firstLine="0" w:firstLine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u w:val="single"/>
        </w:rPr>
        <w:t>安防系统技防提升（一期）</w:t>
      </w:r>
      <w:r>
        <w:rPr>
          <w:rFonts w:hint="eastAsia" w:ascii="宋体" w:hAnsi="宋体" w:cs="宋体"/>
          <w:b/>
          <w:color w:val="auto"/>
          <w:sz w:val="36"/>
          <w:szCs w:val="36"/>
          <w:highlight w:val="none"/>
        </w:rPr>
        <w:t>项目</w:t>
      </w:r>
    </w:p>
    <w:p>
      <w:pPr>
        <w:spacing w:before="120" w:beforeLines="50"/>
        <w:ind w:firstLine="964"/>
        <w:jc w:val="center"/>
        <w:rPr>
          <w:rFonts w:hint="eastAsia" w:ascii="宋体" w:hAnsi="宋体" w:cs="宋体"/>
          <w:b/>
          <w:color w:val="auto"/>
          <w:sz w:val="48"/>
          <w:szCs w:val="48"/>
          <w:highlight w:val="none"/>
        </w:rPr>
      </w:pPr>
    </w:p>
    <w:p>
      <w:pPr>
        <w:spacing w:before="120" w:beforeLines="50"/>
        <w:ind w:firstLine="482"/>
        <w:jc w:val="center"/>
        <w:rPr>
          <w:rFonts w:hint="eastAsia" w:ascii="宋体" w:hAnsi="宋体" w:cs="宋体"/>
          <w:b/>
          <w:color w:val="auto"/>
          <w:szCs w:val="21"/>
          <w:highlight w:val="none"/>
        </w:rPr>
      </w:pPr>
    </w:p>
    <w:p>
      <w:pPr>
        <w:spacing w:before="120" w:beforeLines="50"/>
        <w:ind w:firstLine="0" w:firstLineChars="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spacing w:before="120" w:beforeLines="50"/>
        <w:ind w:firstLine="0" w:firstLineChars="0"/>
        <w:jc w:val="center"/>
        <w:rPr>
          <w:rFonts w:hint="eastAsia" w:ascii="宋体" w:hAnsi="宋体" w:cs="宋体"/>
          <w:color w:val="auto"/>
          <w:sz w:val="72"/>
          <w:szCs w:val="72"/>
          <w:highlight w:val="none"/>
        </w:rPr>
      </w:pPr>
    </w:p>
    <w:p>
      <w:pPr>
        <w:pStyle w:val="15"/>
        <w:snapToGrid w:val="0"/>
        <w:spacing w:before="120" w:after="120" w:line="360" w:lineRule="auto"/>
        <w:ind w:firstLine="1343" w:firstLineChars="446"/>
        <w:rPr>
          <w:rFonts w:hint="eastAsia" w:hAnsi="宋体" w:cs="宋体"/>
          <w:b/>
          <w:bCs/>
          <w:color w:val="auto"/>
          <w:sz w:val="30"/>
          <w:szCs w:val="30"/>
          <w:highlight w:val="none"/>
        </w:rPr>
      </w:pPr>
    </w:p>
    <w:p>
      <w:pPr>
        <w:pStyle w:val="15"/>
        <w:snapToGrid w:val="0"/>
        <w:spacing w:before="120" w:after="120" w:line="360" w:lineRule="auto"/>
        <w:ind w:firstLine="1433" w:firstLineChars="446"/>
        <w:rPr>
          <w:rFonts w:hint="eastAsia" w:hAnsi="宋体" w:cs="宋体"/>
          <w:color w:val="auto"/>
          <w:sz w:val="32"/>
          <w:szCs w:val="32"/>
          <w:highlight w:val="none"/>
        </w:rPr>
      </w:pPr>
      <w:r>
        <w:rPr>
          <w:rFonts w:hint="eastAsia" w:hAnsi="宋体" w:cs="宋体"/>
          <w:b/>
          <w:bCs/>
          <w:color w:val="auto"/>
          <w:sz w:val="32"/>
          <w:szCs w:val="32"/>
          <w:highlight w:val="none"/>
        </w:rPr>
        <w:t>项目编号：0625-22217027</w:t>
      </w:r>
    </w:p>
    <w:p>
      <w:pPr>
        <w:snapToGrid w:val="0"/>
        <w:spacing w:before="120" w:beforeLines="50"/>
        <w:ind w:firstLine="1433" w:firstLineChars="446"/>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项目名称：安防系统技防提升（一期）</w:t>
      </w:r>
    </w:p>
    <w:p>
      <w:pPr>
        <w:pStyle w:val="15"/>
        <w:snapToGrid w:val="0"/>
        <w:spacing w:before="120" w:after="120" w:line="360" w:lineRule="auto"/>
        <w:ind w:firstLine="1459" w:firstLineChars="478"/>
        <w:rPr>
          <w:rFonts w:hint="eastAsia" w:hAnsi="宋体" w:cs="宋体"/>
          <w:b/>
          <w:bCs/>
          <w:color w:val="auto"/>
          <w:w w:val="95"/>
          <w:sz w:val="32"/>
          <w:szCs w:val="32"/>
          <w:highlight w:val="none"/>
        </w:rPr>
      </w:pPr>
      <w:r>
        <w:rPr>
          <w:rFonts w:hint="eastAsia" w:hAnsi="宋体" w:cs="宋体"/>
          <w:b/>
          <w:bCs/>
          <w:color w:val="auto"/>
          <w:w w:val="95"/>
          <w:sz w:val="32"/>
          <w:szCs w:val="32"/>
          <w:highlight w:val="none"/>
        </w:rPr>
        <w:t>采购单位：中国美术学院</w:t>
      </w:r>
    </w:p>
    <w:p>
      <w:pPr>
        <w:pStyle w:val="15"/>
        <w:snapToGrid w:val="0"/>
        <w:spacing w:before="120" w:after="120" w:line="360" w:lineRule="auto"/>
        <w:ind w:firstLine="1459" w:firstLineChars="478"/>
        <w:rPr>
          <w:rFonts w:hint="eastAsia" w:hAnsi="宋体" w:cs="宋体"/>
          <w:b/>
          <w:color w:val="auto"/>
          <w:sz w:val="32"/>
          <w:szCs w:val="32"/>
          <w:highlight w:val="none"/>
        </w:rPr>
      </w:pPr>
      <w:r>
        <w:rPr>
          <w:rFonts w:hint="eastAsia" w:hAnsi="宋体" w:cs="宋体"/>
          <w:b/>
          <w:bCs/>
          <w:color w:val="auto"/>
          <w:w w:val="95"/>
          <w:sz w:val="32"/>
          <w:szCs w:val="32"/>
          <w:highlight w:val="none"/>
        </w:rPr>
        <w:t>代理机构：</w:t>
      </w:r>
      <w:r>
        <w:rPr>
          <w:rFonts w:hint="eastAsia" w:hAnsi="宋体" w:cs="宋体"/>
          <w:b/>
          <w:color w:val="auto"/>
          <w:sz w:val="32"/>
          <w:szCs w:val="32"/>
          <w:highlight w:val="none"/>
        </w:rPr>
        <w:t>浙江省国际技术设备招标有限公司</w:t>
      </w:r>
    </w:p>
    <w:p>
      <w:pPr>
        <w:pStyle w:val="15"/>
        <w:snapToGrid w:val="0"/>
        <w:spacing w:before="120" w:after="120" w:line="360" w:lineRule="auto"/>
        <w:ind w:firstLine="613"/>
        <w:rPr>
          <w:rFonts w:hint="eastAsia" w:hAnsi="宋体" w:cs="宋体"/>
          <w:b/>
          <w:bCs/>
          <w:color w:val="auto"/>
          <w:w w:val="95"/>
          <w:sz w:val="32"/>
          <w:szCs w:val="32"/>
          <w:highlight w:val="none"/>
        </w:rPr>
      </w:pPr>
    </w:p>
    <w:p>
      <w:pPr>
        <w:snapToGrid w:val="0"/>
        <w:spacing w:before="120" w:beforeLines="50"/>
        <w:ind w:firstLine="613"/>
        <w:jc w:val="center"/>
        <w:rPr>
          <w:rFonts w:hint="eastAsia" w:ascii="宋体" w:hAnsi="宋体" w:cs="宋体"/>
          <w:b/>
          <w:bCs/>
          <w:color w:val="auto"/>
          <w:w w:val="95"/>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797" w:bottom="1417" w:left="1797" w:header="851" w:footer="851" w:gutter="0"/>
          <w:cols w:space="720" w:num="1"/>
          <w:titlePg/>
          <w:docGrid w:linePitch="312" w:charSpace="0"/>
        </w:sectPr>
      </w:pPr>
      <w:r>
        <w:rPr>
          <w:rFonts w:hint="eastAsia" w:ascii="宋体" w:hAnsi="宋体" w:cs="宋体"/>
          <w:b/>
          <w:bCs/>
          <w:color w:val="auto"/>
          <w:w w:val="95"/>
          <w:sz w:val="32"/>
          <w:szCs w:val="32"/>
          <w:highlight w:val="none"/>
        </w:rPr>
        <w:t>2022年 01月</w:t>
      </w:r>
    </w:p>
    <w:p>
      <w:pPr>
        <w:pStyle w:val="15"/>
        <w:spacing w:before="480" w:beforeLines="200" w:after="240" w:afterLines="100" w:line="360" w:lineRule="auto"/>
        <w:ind w:firstLine="0" w:firstLineChars="0"/>
        <w:jc w:val="center"/>
        <w:outlineLvl w:val="0"/>
        <w:rPr>
          <w:rFonts w:hint="eastAsia" w:hAnsi="宋体" w:cs="宋体"/>
          <w:color w:val="auto"/>
          <w:sz w:val="36"/>
          <w:szCs w:val="36"/>
          <w:highlight w:val="none"/>
        </w:rPr>
      </w:pPr>
      <w:bookmarkStart w:id="0" w:name="_Toc2539"/>
      <w:bookmarkStart w:id="1" w:name="_Toc7660"/>
      <w:bookmarkStart w:id="2" w:name="_Toc28008"/>
      <w:r>
        <w:rPr>
          <w:rStyle w:val="35"/>
          <w:rFonts w:hint="eastAsia" w:ascii="宋体" w:hAnsi="宋体" w:cs="宋体"/>
          <w:color w:val="auto"/>
          <w:highlight w:val="none"/>
        </w:rPr>
        <w:t>电子交易须知</w:t>
      </w:r>
      <w:bookmarkEnd w:id="0"/>
      <w:bookmarkEnd w:id="1"/>
      <w:bookmarkEnd w:id="2"/>
    </w:p>
    <w:p>
      <w:pPr>
        <w:snapToGrid w:val="0"/>
        <w:spacing w:before="120" w:beforeLines="50"/>
        <w:ind w:firstLine="480"/>
        <w:rPr>
          <w:rFonts w:hint="eastAsia" w:ascii="宋体" w:hAnsi="宋体" w:cs="宋体"/>
          <w:color w:val="auto"/>
          <w:highlight w:val="none"/>
        </w:rPr>
      </w:pPr>
      <w:r>
        <w:rPr>
          <w:rFonts w:hint="eastAsia" w:ascii="宋体" w:hAnsi="宋体" w:cs="宋体"/>
          <w:color w:val="auto"/>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snapToGrid w:val="0"/>
        <w:spacing w:before="120" w:beforeLines="50"/>
        <w:ind w:firstLine="480"/>
        <w:rPr>
          <w:rFonts w:hint="eastAsia" w:ascii="宋体" w:hAnsi="宋体" w:cs="宋体"/>
          <w:color w:val="auto"/>
          <w:highlight w:val="none"/>
        </w:rPr>
      </w:pPr>
      <w:r>
        <w:rPr>
          <w:rFonts w:hint="eastAsia" w:ascii="宋体" w:hAnsi="宋体" w:cs="宋体"/>
          <w:color w:val="auto"/>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napToGrid w:val="0"/>
        <w:spacing w:before="120" w:beforeLines="50"/>
        <w:ind w:firstLine="480"/>
        <w:rPr>
          <w:rFonts w:hint="eastAsia" w:ascii="宋体" w:hAnsi="宋体" w:cs="宋体"/>
          <w:color w:val="auto"/>
          <w:highlight w:val="none"/>
        </w:rPr>
      </w:pPr>
      <w:r>
        <w:rPr>
          <w:rFonts w:hint="eastAsia" w:ascii="宋体" w:hAnsi="宋体" w:cs="宋体"/>
          <w:color w:val="auto"/>
          <w:highlight w:val="none"/>
        </w:rPr>
        <w:t>3、供应商应当在投标截止时间前，将“电子交易客户端”生成的“电子加密投标文件”上传电子交易平台。</w:t>
      </w:r>
    </w:p>
    <w:p>
      <w:pPr>
        <w:snapToGrid w:val="0"/>
        <w:spacing w:before="120" w:beforeLines="50"/>
        <w:ind w:firstLine="480"/>
        <w:rPr>
          <w:rFonts w:hint="eastAsia" w:ascii="宋体" w:hAnsi="宋体" w:cs="宋体"/>
          <w:color w:val="auto"/>
          <w:highlight w:val="none"/>
        </w:rPr>
      </w:pPr>
      <w:r>
        <w:rPr>
          <w:rFonts w:hint="eastAsia" w:ascii="宋体" w:hAnsi="宋体" w:cs="宋体"/>
          <w:color w:val="auto"/>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snapToGrid w:val="0"/>
        <w:spacing w:before="120" w:beforeLines="50"/>
        <w:ind w:firstLine="480"/>
        <w:rPr>
          <w:rFonts w:hint="eastAsia" w:ascii="宋体" w:hAnsi="宋体" w:cs="宋体"/>
          <w:color w:val="auto"/>
          <w:highlight w:val="none"/>
        </w:rPr>
      </w:pPr>
      <w:r>
        <w:rPr>
          <w:rFonts w:hint="eastAsia" w:ascii="宋体" w:hAnsi="宋体" w:cs="宋体"/>
          <w:color w:val="auto"/>
          <w:highlight w:val="none"/>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pPr>
        <w:snapToGrid w:val="0"/>
        <w:spacing w:before="120" w:beforeLines="50"/>
        <w:ind w:firstLine="480"/>
        <w:rPr>
          <w:rFonts w:hint="eastAsia" w:ascii="宋体" w:hAnsi="宋体" w:cs="宋体"/>
          <w:color w:val="auto"/>
          <w:highlight w:val="none"/>
        </w:rPr>
        <w:sectPr>
          <w:pgSz w:w="11906" w:h="16838"/>
          <w:pgMar w:top="1417" w:right="1701" w:bottom="1417" w:left="1701" w:header="851" w:footer="851" w:gutter="0"/>
          <w:cols w:space="720" w:num="1"/>
          <w:docGrid w:linePitch="312" w:charSpace="0"/>
        </w:sectPr>
      </w:pPr>
      <w:r>
        <w:rPr>
          <w:rFonts w:hint="eastAsia" w:ascii="宋体" w:hAnsi="宋体" w:cs="宋体"/>
          <w:color w:val="auto"/>
          <w:highlight w:val="none"/>
        </w:rPr>
        <w:t>6、供应商在参加</w:t>
      </w:r>
      <w:r>
        <w:rPr>
          <w:rFonts w:hint="eastAsia" w:ascii="宋体" w:hAnsi="宋体" w:cs="宋体"/>
          <w:b/>
          <w:bCs/>
          <w:color w:val="auto"/>
          <w:highlight w:val="none"/>
        </w:rPr>
        <w:t>电子交易</w:t>
      </w:r>
      <w:r>
        <w:rPr>
          <w:rFonts w:hint="eastAsia" w:ascii="宋体" w:hAnsi="宋体" w:cs="宋体"/>
          <w:color w:val="auto"/>
          <w:highlight w:val="none"/>
        </w:rPr>
        <w:t>过程中,可登录电子交易平台“帮助文档”版面获取《电子交易管理操作指南》，或致电平台400-881-7190获取相关服务支持。</w:t>
      </w:r>
    </w:p>
    <w:p>
      <w:pPr>
        <w:pStyle w:val="20"/>
        <w:pBdr>
          <w:bottom w:val="none" w:color="auto" w:sz="0" w:space="0"/>
        </w:pBdr>
        <w:ind w:firstLine="420"/>
        <w:rPr>
          <w:rFonts w:hint="eastAsia" w:ascii="宋体" w:hAnsi="宋体" w:eastAsia="宋体" w:cs="宋体"/>
          <w:color w:val="auto"/>
          <w:highlight w:val="none"/>
        </w:rPr>
      </w:pPr>
    </w:p>
    <w:p>
      <w:pPr>
        <w:spacing w:line="240" w:lineRule="auto"/>
        <w:ind w:firstLine="0" w:firstLineChars="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_Toc2539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电子交易须知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_Toc2539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_Toc9895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采购邀请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_Toc9895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_Toc31025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_Toc31025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_Toc24947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_Toc24947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_Toc17070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一、总  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_Toc17070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_Toc16102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二、招标文件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_Toc16102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_Toc24757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三、 投标文件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_Toc24757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_Toc5455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四、 开标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_Toc5455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_Toc20766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五、 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_Toc20766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_Toc22987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六、 定标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_Toc22987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4"/>
        <w:tabs>
          <w:tab w:val="right" w:leader="dot" w:pos="8312"/>
        </w:tabs>
        <w:ind w:left="480"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_Toc28845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七、 合同授予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_Toc28845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_Toc10682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_Toc10682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_Toc4811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招标内容及需求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_Toc4811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_Toc3949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_Toc3949 \h </w:instrText>
      </w:r>
      <w:r>
        <w:rPr>
          <w:color w:val="auto"/>
          <w:sz w:val="28"/>
          <w:szCs w:val="28"/>
          <w:highlight w:val="none"/>
        </w:rPr>
        <w:fldChar w:fldCharType="separate"/>
      </w:r>
      <w:r>
        <w:rPr>
          <w:color w:val="auto"/>
          <w:sz w:val="28"/>
          <w:szCs w:val="28"/>
          <w:highlight w:val="none"/>
        </w:rPr>
        <w:t>109</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21"/>
        <w:tabs>
          <w:tab w:val="right" w:leader="dot" w:pos="8312"/>
        </w:tabs>
        <w:ind w:firstLine="0" w:firstLineChars="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_Toc24285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_Toc24285 \h </w:instrText>
      </w:r>
      <w:r>
        <w:rPr>
          <w:color w:val="auto"/>
          <w:sz w:val="28"/>
          <w:szCs w:val="28"/>
          <w:highlight w:val="none"/>
        </w:rPr>
        <w:fldChar w:fldCharType="separate"/>
      </w:r>
      <w:r>
        <w:rPr>
          <w:color w:val="auto"/>
          <w:sz w:val="28"/>
          <w:szCs w:val="28"/>
          <w:highlight w:val="none"/>
        </w:rPr>
        <w:t>116</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4"/>
        <w:ind w:firstLine="0" w:firstLineChars="0"/>
        <w:rPr>
          <w:rFonts w:hint="eastAsia" w:ascii="宋体" w:hAnsi="宋体" w:cs="宋体"/>
          <w:color w:val="auto"/>
          <w:highlight w:val="none"/>
        </w:rPr>
        <w:sectPr>
          <w:pgSz w:w="11906" w:h="16838"/>
          <w:pgMar w:top="1417" w:right="1797" w:bottom="1417" w:left="1797" w:header="851" w:footer="851" w:gutter="0"/>
          <w:cols w:space="720" w:num="1"/>
          <w:docGrid w:linePitch="312" w:charSpace="0"/>
        </w:sectPr>
      </w:pPr>
      <w:r>
        <w:rPr>
          <w:rFonts w:hint="eastAsia" w:ascii="宋体" w:hAnsi="宋体" w:cs="宋体"/>
          <w:color w:val="auto"/>
          <w:szCs w:val="28"/>
          <w:highlight w:val="none"/>
        </w:rPr>
        <w:fldChar w:fldCharType="end"/>
      </w:r>
    </w:p>
    <w:p>
      <w:pPr>
        <w:pStyle w:val="4"/>
        <w:numPr>
          <w:ilvl w:val="0"/>
          <w:numId w:val="2"/>
        </w:numPr>
        <w:ind w:firstLine="0" w:firstLineChars="0"/>
        <w:rPr>
          <w:rFonts w:hint="eastAsia" w:ascii="宋体" w:hAnsi="宋体" w:cs="宋体"/>
          <w:color w:val="auto"/>
          <w:highlight w:val="none"/>
        </w:rPr>
      </w:pPr>
      <w:bookmarkStart w:id="3" w:name="_Toc9895"/>
      <w:r>
        <w:rPr>
          <w:rFonts w:hint="eastAsia" w:ascii="宋体" w:hAnsi="宋体" w:cs="宋体"/>
          <w:color w:val="auto"/>
          <w:highlight w:val="none"/>
        </w:rPr>
        <w:t>采购邀请</w:t>
      </w:r>
      <w:bookmarkEnd w:id="3"/>
    </w:p>
    <w:p>
      <w:pPr>
        <w:pBdr>
          <w:top w:val="single" w:color="auto" w:sz="4" w:space="1"/>
          <w:left w:val="single" w:color="auto" w:sz="4" w:space="4"/>
          <w:bottom w:val="single" w:color="auto" w:sz="4" w:space="1"/>
          <w:right w:val="single" w:color="auto" w:sz="4" w:space="4"/>
        </w:pBdr>
        <w:ind w:firstLine="480"/>
        <w:rPr>
          <w:rFonts w:hint="eastAsia" w:ascii="宋体" w:hAnsi="宋体" w:cs="宋体"/>
          <w:color w:val="auto"/>
          <w:highlight w:val="none"/>
        </w:rPr>
      </w:pPr>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4"/>
        </w:pBdr>
        <w:ind w:firstLine="480"/>
        <w:rPr>
          <w:rFonts w:hint="eastAsia" w:ascii="宋体" w:hAnsi="宋体" w:cs="宋体"/>
          <w:color w:val="auto"/>
          <w:highlight w:val="none"/>
        </w:rPr>
      </w:pPr>
      <w:r>
        <w:rPr>
          <w:rFonts w:hint="eastAsia" w:ascii="宋体" w:hAnsi="宋体" w:cs="宋体"/>
          <w:color w:val="auto"/>
          <w:highlight w:val="none"/>
          <w:u w:val="single"/>
        </w:rPr>
        <w:t>中国美术学院安防系统技防提升（一期）</w:t>
      </w:r>
      <w:r>
        <w:rPr>
          <w:rFonts w:hint="eastAsia" w:ascii="宋体" w:hAnsi="宋体" w:cs="宋体"/>
          <w:color w:val="auto"/>
          <w:highlight w:val="none"/>
        </w:rPr>
        <w:t>招标项目的潜在投标人应在</w:t>
      </w:r>
      <w:r>
        <w:rPr>
          <w:rFonts w:hint="eastAsia" w:ascii="宋体" w:hAnsi="宋体" w:cs="宋体"/>
          <w:color w:val="auto"/>
          <w:highlight w:val="none"/>
          <w:u w:val="single"/>
        </w:rPr>
        <w:t>https://www.zcygov.cn</w:t>
      </w:r>
      <w:r>
        <w:rPr>
          <w:rFonts w:hint="eastAsia" w:ascii="宋体" w:hAnsi="宋体" w:cs="宋体"/>
          <w:color w:val="auto"/>
          <w:highlight w:val="none"/>
        </w:rPr>
        <w:t>获取（下载）招标文件，并于</w:t>
      </w:r>
      <w:r>
        <w:rPr>
          <w:rFonts w:hint="eastAsia" w:ascii="宋体" w:hAnsi="宋体" w:cs="宋体"/>
          <w:bCs/>
          <w:color w:val="auto"/>
          <w:highlight w:val="none"/>
          <w:lang w:eastAsia="zh-CN"/>
        </w:rPr>
        <w:t>2022年02月16日09:00</w:t>
      </w:r>
      <w:r>
        <w:rPr>
          <w:rFonts w:hint="eastAsia" w:ascii="宋体" w:hAnsi="宋体" w:cs="宋体"/>
          <w:bCs/>
          <w:color w:val="auto"/>
          <w:highlight w:val="none"/>
        </w:rPr>
        <w:t>（北京时间）前提交（上传）投标文件</w:t>
      </w:r>
      <w:r>
        <w:rPr>
          <w:rFonts w:hint="eastAsia" w:ascii="宋体" w:hAnsi="宋体" w:cs="宋体"/>
          <w:color w:val="auto"/>
          <w:highlight w:val="none"/>
        </w:rPr>
        <w:t>。</w:t>
      </w:r>
    </w:p>
    <w:p>
      <w:pPr>
        <w:ind w:firstLine="480"/>
        <w:rPr>
          <w:rFonts w:hint="eastAsia" w:ascii="宋体" w:hAnsi="宋体" w:cs="宋体"/>
          <w:color w:val="auto"/>
          <w:highlight w:val="none"/>
        </w:rPr>
      </w:pP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4" w:name="_Toc3801"/>
      <w:bookmarkStart w:id="5" w:name="_Toc22111"/>
      <w:bookmarkStart w:id="6" w:name="_Toc21431"/>
      <w:bookmarkStart w:id="7" w:name="_Toc35393790"/>
      <w:bookmarkStart w:id="8" w:name="_Toc28359002"/>
      <w:bookmarkStart w:id="9" w:name="_Toc28359079"/>
      <w:bookmarkStart w:id="10" w:name="_Toc35393621"/>
      <w:bookmarkStart w:id="11" w:name="_Toc10557"/>
      <w:bookmarkStart w:id="12" w:name="_Hlk24379207"/>
      <w:r>
        <w:rPr>
          <w:rFonts w:hint="eastAsia" w:ascii="宋体" w:hAnsi="宋体" w:cs="宋体"/>
          <w:b/>
          <w:bCs/>
          <w:color w:val="auto"/>
          <w:highlight w:val="none"/>
        </w:rPr>
        <w:t>一、项目基本情况</w:t>
      </w:r>
      <w:bookmarkEnd w:id="4"/>
      <w:bookmarkEnd w:id="5"/>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项目编号：0625-22217027</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项目名称：安防系统技防提升（一期）</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采购方式：公开招标</w:t>
      </w:r>
    </w:p>
    <w:bookmarkEnd w:id="12"/>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预算金额（元）：4500000.00</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最高限价（元）：4500000.00</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采购需求：</w:t>
      </w:r>
    </w:p>
    <w:p>
      <w:pPr>
        <w:keepNext w:val="0"/>
        <w:keepLines w:val="0"/>
        <w:pageBreakBefore w:val="0"/>
        <w:kinsoku/>
        <w:wordWrap/>
        <w:overflowPunct/>
        <w:topLinePunct w:val="0"/>
        <w:autoSpaceDE/>
        <w:autoSpaceDN/>
        <w:bidi w:val="0"/>
        <w:adjustRightInd/>
        <w:snapToGrid/>
        <w:spacing w:line="348" w:lineRule="auto"/>
        <w:ind w:left="360" w:firstLine="480"/>
        <w:textAlignment w:val="auto"/>
        <w:rPr>
          <w:rFonts w:hint="eastAsia" w:ascii="宋体" w:hAnsi="宋体" w:cs="宋体"/>
          <w:color w:val="auto"/>
          <w:highlight w:val="none"/>
        </w:rPr>
      </w:pPr>
      <w:r>
        <w:rPr>
          <w:rFonts w:hint="eastAsia" w:ascii="宋体" w:hAnsi="宋体" w:cs="宋体"/>
          <w:color w:val="auto"/>
          <w:highlight w:val="none"/>
        </w:rPr>
        <w:t>标项一：</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标项名称：安防系统技防提升（一期）</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数量：1</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单位：项</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预算金额（元）：4500000.00</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ab/>
      </w:r>
      <w:r>
        <w:rPr>
          <w:rFonts w:hint="eastAsia" w:ascii="宋体" w:hAnsi="宋体" w:cs="宋体"/>
          <w:color w:val="auto"/>
          <w:highlight w:val="none"/>
        </w:rPr>
        <w:t>简要规格描述或项目基本概况介绍、用途：中国美术学院安防系统技防提升（一期）设备供货及布线安装调试，完成与学校监控系统的完美融合。对学校人脸库进行完善，实现人员出入识别，人员轨迹查询。通过对学校各部门系统数据融合建立校园安全处大数据平台，并形成可视化大屏等</w:t>
      </w:r>
      <w:r>
        <w:rPr>
          <w:rFonts w:hint="eastAsia" w:ascii="宋体" w:hAnsi="宋体" w:cs="宋体"/>
          <w:color w:val="auto"/>
          <w:highlight w:val="none"/>
          <w:lang w:eastAsia="zh-CN"/>
        </w:rPr>
        <w:t>，</w:t>
      </w:r>
      <w:r>
        <w:rPr>
          <w:rFonts w:hint="eastAsia" w:ascii="宋体" w:hAnsi="宋体" w:cs="宋体"/>
          <w:color w:val="auto"/>
          <w:highlight w:val="none"/>
        </w:rPr>
        <w:t>具体内容详见采购文件相关章节。</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备注：不允许进口</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u w:val="single"/>
        </w:rPr>
      </w:pPr>
      <w:r>
        <w:rPr>
          <w:rFonts w:hint="eastAsia" w:ascii="宋体" w:hAnsi="宋体" w:cs="宋体"/>
          <w:color w:val="auto"/>
          <w:highlight w:val="none"/>
        </w:rPr>
        <w:t>合同履行期限：合同签订后，30天内供货、安装、调试完毕并投入使用。</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本项目（</w:t>
      </w:r>
      <w:r>
        <w:rPr>
          <w:rFonts w:hint="eastAsia" w:ascii="宋体" w:hAnsi="宋体" w:cs="宋体"/>
          <w:i/>
          <w:color w:val="auto"/>
          <w:highlight w:val="none"/>
        </w:rPr>
        <w:t>是</w:t>
      </w:r>
      <w:r>
        <w:rPr>
          <w:rFonts w:hint="eastAsia" w:ascii="宋体" w:hAnsi="宋体" w:cs="宋体"/>
          <w:color w:val="auto"/>
          <w:highlight w:val="none"/>
        </w:rPr>
        <w:t>）接受联合体投标。</w:t>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13" w:name="_Toc21865"/>
      <w:bookmarkStart w:id="14" w:name="_Toc28359003"/>
      <w:bookmarkStart w:id="15" w:name="_Toc20095"/>
      <w:bookmarkStart w:id="16" w:name="_Toc28359080"/>
      <w:bookmarkStart w:id="17" w:name="_Toc16354"/>
      <w:bookmarkStart w:id="18" w:name="_Toc35393622"/>
      <w:bookmarkStart w:id="19" w:name="_Toc13159"/>
      <w:bookmarkStart w:id="20" w:name="_Toc35393791"/>
      <w:r>
        <w:rPr>
          <w:rFonts w:hint="eastAsia" w:ascii="宋体" w:hAnsi="宋体" w:cs="宋体"/>
          <w:b/>
          <w:bCs/>
          <w:color w:val="auto"/>
          <w:highlight w:val="none"/>
        </w:rPr>
        <w:t>二、申请人的资格要求</w:t>
      </w:r>
      <w:bookmarkEnd w:id="13"/>
      <w:bookmarkEnd w:id="14"/>
      <w:bookmarkEnd w:id="15"/>
      <w:bookmarkEnd w:id="16"/>
      <w:bookmarkEnd w:id="17"/>
      <w:bookmarkEnd w:id="18"/>
      <w:bookmarkEnd w:id="19"/>
      <w:bookmarkEnd w:id="20"/>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bookmarkStart w:id="21" w:name="_Toc28359081"/>
      <w:bookmarkStart w:id="22" w:name="_Toc28359004"/>
      <w:r>
        <w:rPr>
          <w:rFonts w:hint="eastAsia" w:ascii="宋体" w:hAnsi="宋体" w:cs="宋体"/>
          <w:color w:val="auto"/>
          <w:highlight w:val="none"/>
        </w:rPr>
        <w:t>2.落实政府采购政策需满足的资格要求：</w:t>
      </w:r>
      <w:r>
        <w:rPr>
          <w:rFonts w:hint="eastAsia" w:ascii="宋体" w:hAnsi="宋体" w:cs="宋体"/>
          <w:b/>
          <w:bCs/>
          <w:color w:val="auto"/>
          <w:highlight w:val="none"/>
          <w:u w:val="single"/>
        </w:rPr>
        <w:t xml:space="preserve"> /。</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i/>
          <w:iCs/>
          <w:color w:val="auto"/>
          <w:highlight w:val="none"/>
          <w:u w:val="single"/>
        </w:rPr>
      </w:pPr>
      <w:r>
        <w:rPr>
          <w:rFonts w:hint="eastAsia" w:ascii="宋体" w:hAnsi="宋体" w:cs="宋体"/>
          <w:color w:val="auto"/>
          <w:highlight w:val="none"/>
        </w:rPr>
        <w:t>3.本项目的特定资格要求：</w:t>
      </w:r>
      <w:r>
        <w:rPr>
          <w:rFonts w:hint="eastAsia" w:ascii="宋体" w:hAnsi="宋体" w:cs="宋体"/>
          <w:color w:val="auto"/>
          <w:highlight w:val="none"/>
          <w:u w:val="single"/>
          <w:lang w:eastAsia="zh-CN"/>
        </w:rPr>
        <w:t>安装单位</w:t>
      </w:r>
      <w:r>
        <w:rPr>
          <w:rFonts w:hint="eastAsia" w:ascii="宋体" w:hAnsi="宋体" w:cs="宋体"/>
          <w:color w:val="auto"/>
          <w:highlight w:val="none"/>
          <w:u w:val="single"/>
        </w:rPr>
        <w:t>具有有效期内的电子与智能化工程专业承包贰级及以上</w:t>
      </w:r>
      <w:r>
        <w:rPr>
          <w:rFonts w:hint="eastAsia" w:ascii="宋体" w:hAnsi="宋体" w:cs="宋体"/>
          <w:color w:val="auto"/>
          <w:highlight w:val="none"/>
          <w:u w:val="single"/>
          <w:lang w:eastAsia="zh-CN"/>
        </w:rPr>
        <w:t>资质</w:t>
      </w:r>
      <w:r>
        <w:rPr>
          <w:rFonts w:hint="eastAsia" w:ascii="宋体" w:hAnsi="宋体" w:cs="宋体"/>
          <w:color w:val="auto"/>
          <w:highlight w:val="none"/>
          <w:u w:val="single"/>
        </w:rPr>
        <w:t>和安全生产许可证。</w:t>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23" w:name="_Toc14842"/>
      <w:bookmarkStart w:id="24" w:name="_Toc35393623"/>
      <w:bookmarkStart w:id="25" w:name="_Toc15777"/>
      <w:bookmarkStart w:id="26" w:name="_Toc16519"/>
      <w:bookmarkStart w:id="27" w:name="_Toc19132"/>
      <w:bookmarkStart w:id="28" w:name="_Toc35393792"/>
      <w:r>
        <w:rPr>
          <w:rFonts w:hint="eastAsia" w:ascii="宋体" w:hAnsi="宋体" w:cs="宋体"/>
          <w:b/>
          <w:bCs/>
          <w:color w:val="auto"/>
          <w:highlight w:val="none"/>
        </w:rPr>
        <w:t>三、获取招标文件</w:t>
      </w:r>
      <w:bookmarkEnd w:id="21"/>
      <w:bookmarkEnd w:id="22"/>
      <w:bookmarkEnd w:id="23"/>
      <w:bookmarkEnd w:id="24"/>
      <w:bookmarkEnd w:id="25"/>
      <w:bookmarkEnd w:id="26"/>
      <w:bookmarkEnd w:id="27"/>
      <w:bookmarkEnd w:id="28"/>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1.时间：即日起至投标截止时间，每天上午00:00至12:00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u w:val="single"/>
        </w:rPr>
      </w:pPr>
      <w:r>
        <w:rPr>
          <w:rFonts w:hint="eastAsia" w:ascii="宋体" w:hAnsi="宋体" w:cs="宋体"/>
          <w:color w:val="auto"/>
          <w:highlight w:val="none"/>
        </w:rPr>
        <w:t>2.地点（网址）：https://www.zcygov.cn</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u w:val="single"/>
        </w:rPr>
      </w:pPr>
      <w:r>
        <w:rPr>
          <w:rFonts w:hint="eastAsia" w:ascii="宋体" w:hAnsi="宋体" w:cs="宋体"/>
          <w:color w:val="auto"/>
          <w:highlight w:val="none"/>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4.售价（元）：0</w:t>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29" w:name="_Toc35393624"/>
      <w:bookmarkStart w:id="30" w:name="_Toc28359005"/>
      <w:bookmarkStart w:id="31" w:name="_Toc11629"/>
      <w:bookmarkStart w:id="32" w:name="_Toc5294"/>
      <w:bookmarkStart w:id="33" w:name="_Toc19277"/>
      <w:bookmarkStart w:id="34" w:name="_Toc35393793"/>
      <w:bookmarkStart w:id="35" w:name="_Toc28359082"/>
      <w:bookmarkStart w:id="36" w:name="_Toc25924"/>
      <w:r>
        <w:rPr>
          <w:rFonts w:hint="eastAsia" w:ascii="宋体" w:hAnsi="宋体" w:cs="宋体"/>
          <w:b/>
          <w:bCs/>
          <w:color w:val="auto"/>
          <w:highlight w:val="none"/>
        </w:rPr>
        <w:t>四、</w:t>
      </w:r>
      <w:bookmarkEnd w:id="29"/>
      <w:bookmarkEnd w:id="30"/>
      <w:bookmarkEnd w:id="31"/>
      <w:bookmarkEnd w:id="32"/>
      <w:bookmarkEnd w:id="33"/>
      <w:bookmarkEnd w:id="34"/>
      <w:bookmarkEnd w:id="35"/>
      <w:r>
        <w:rPr>
          <w:rFonts w:hint="eastAsia" w:ascii="宋体" w:hAnsi="宋体" w:cs="宋体"/>
          <w:b/>
          <w:bCs/>
          <w:color w:val="auto"/>
          <w:highlight w:val="none"/>
        </w:rPr>
        <w:t>提交投标文件截止时间、开标时间和地点</w:t>
      </w:r>
      <w:bookmarkEnd w:id="36"/>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bCs/>
          <w:color w:val="auto"/>
          <w:highlight w:val="none"/>
        </w:rPr>
      </w:pPr>
      <w:r>
        <w:rPr>
          <w:rFonts w:hint="eastAsia" w:ascii="宋体" w:hAnsi="宋体" w:cs="宋体"/>
          <w:bCs/>
          <w:color w:val="auto"/>
          <w:highlight w:val="none"/>
        </w:rPr>
        <w:t>1.提交投标文件截止时间：</w:t>
      </w:r>
      <w:r>
        <w:rPr>
          <w:rFonts w:hint="eastAsia" w:ascii="宋体" w:hAnsi="宋体" w:cs="宋体"/>
          <w:bCs/>
          <w:color w:val="auto"/>
          <w:highlight w:val="none"/>
          <w:lang w:eastAsia="zh-CN"/>
        </w:rPr>
        <w:t>2022年02月16日09:00</w:t>
      </w:r>
      <w:r>
        <w:rPr>
          <w:rFonts w:hint="eastAsia" w:ascii="宋体" w:hAnsi="宋体" w:cs="宋体"/>
          <w:bCs/>
          <w:color w:val="auto"/>
          <w:highlight w:val="none"/>
        </w:rPr>
        <w:t>（北京时间）</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bCs/>
          <w:color w:val="auto"/>
          <w:highlight w:val="none"/>
        </w:rPr>
      </w:pPr>
      <w:r>
        <w:rPr>
          <w:rFonts w:hint="eastAsia" w:ascii="宋体" w:hAnsi="宋体" w:cs="宋体"/>
          <w:bCs/>
          <w:color w:val="auto"/>
          <w:highlight w:val="none"/>
        </w:rPr>
        <w:t>2.投标地点（网址）：（1）“电子加密投标文件”：https://www.zcygov.cn在线投标；（2）“电子备份投标文件”：杭州市凤起路334号同方财富大厦14层1410室。</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bCs/>
          <w:color w:val="auto"/>
          <w:highlight w:val="none"/>
        </w:rPr>
      </w:pPr>
      <w:r>
        <w:rPr>
          <w:rFonts w:hint="eastAsia" w:ascii="宋体" w:hAnsi="宋体" w:cs="宋体"/>
          <w:bCs/>
          <w:color w:val="auto"/>
          <w:highlight w:val="none"/>
        </w:rPr>
        <w:t>3.开标时间：</w:t>
      </w:r>
      <w:r>
        <w:rPr>
          <w:rFonts w:hint="eastAsia" w:ascii="宋体" w:hAnsi="宋体" w:cs="宋体"/>
          <w:bCs/>
          <w:color w:val="auto"/>
          <w:highlight w:val="none"/>
          <w:lang w:eastAsia="zh-CN"/>
        </w:rPr>
        <w:t>2022年02月16日09:00</w:t>
      </w:r>
      <w:r>
        <w:rPr>
          <w:rFonts w:hint="eastAsia" w:ascii="宋体" w:hAnsi="宋体" w:cs="宋体"/>
          <w:bCs/>
          <w:color w:val="auto"/>
          <w:highlight w:val="none"/>
        </w:rPr>
        <w:t>（北京时间）</w:t>
      </w:r>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bCs/>
          <w:color w:val="auto"/>
          <w:highlight w:val="none"/>
        </w:rPr>
      </w:pPr>
      <w:r>
        <w:rPr>
          <w:rFonts w:hint="eastAsia" w:ascii="宋体" w:hAnsi="宋体" w:cs="宋体"/>
          <w:bCs/>
          <w:color w:val="auto"/>
          <w:highlight w:val="none"/>
        </w:rPr>
        <w:t>4.开标地点（网址）：</w:t>
      </w: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"https://www.zcygov.cn" </w:instrText>
      </w:r>
      <w:r>
        <w:rPr>
          <w:rFonts w:hint="eastAsia" w:ascii="宋体" w:hAnsi="宋体" w:cs="宋体"/>
          <w:bCs/>
          <w:color w:val="auto"/>
          <w:highlight w:val="none"/>
        </w:rPr>
        <w:fldChar w:fldCharType="separate"/>
      </w:r>
      <w:r>
        <w:rPr>
          <w:rFonts w:hint="eastAsia" w:ascii="宋体" w:hAnsi="宋体" w:cs="宋体"/>
          <w:bCs/>
          <w:color w:val="auto"/>
          <w:highlight w:val="none"/>
        </w:rPr>
        <w:t>https://www.zcygov.cn</w:t>
      </w:r>
      <w:r>
        <w:rPr>
          <w:rFonts w:hint="eastAsia" w:ascii="宋体" w:hAnsi="宋体" w:cs="宋体"/>
          <w:bCs/>
          <w:color w:val="auto"/>
          <w:highlight w:val="none"/>
        </w:rPr>
        <w:fldChar w:fldCharType="end"/>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37" w:name="_Toc28359007"/>
      <w:bookmarkStart w:id="38" w:name="_Toc35393625"/>
      <w:bookmarkStart w:id="39" w:name="_Toc1281"/>
      <w:bookmarkStart w:id="40" w:name="_Toc8162"/>
      <w:bookmarkStart w:id="41" w:name="_Toc13094"/>
      <w:bookmarkStart w:id="42" w:name="_Toc35393794"/>
      <w:bookmarkStart w:id="43" w:name="_Toc28359084"/>
      <w:bookmarkStart w:id="44" w:name="_Toc5353"/>
      <w:r>
        <w:rPr>
          <w:rFonts w:hint="eastAsia" w:ascii="宋体" w:hAnsi="宋体" w:cs="宋体"/>
          <w:b/>
          <w:bCs/>
          <w:color w:val="auto"/>
          <w:highlight w:val="none"/>
        </w:rPr>
        <w:t>五、公告期限</w:t>
      </w:r>
      <w:bookmarkEnd w:id="37"/>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kern w:val="0"/>
          <w:highlight w:val="none"/>
        </w:rPr>
      </w:pPr>
      <w:r>
        <w:rPr>
          <w:rFonts w:hint="eastAsia" w:ascii="宋体" w:hAnsi="宋体" w:cs="宋体"/>
          <w:color w:val="auto"/>
          <w:kern w:val="0"/>
          <w:highlight w:val="none"/>
        </w:rPr>
        <w:t>自本公告发布之日起5个工作日。</w:t>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45" w:name="_Toc8753"/>
      <w:bookmarkStart w:id="46" w:name="_Toc31439"/>
      <w:bookmarkStart w:id="47" w:name="_Toc31741"/>
      <w:bookmarkStart w:id="48" w:name="_Toc35393626"/>
      <w:bookmarkStart w:id="49" w:name="_Toc26883"/>
      <w:bookmarkStart w:id="50" w:name="_Toc35393795"/>
      <w:r>
        <w:rPr>
          <w:rFonts w:hint="eastAsia" w:ascii="宋体" w:hAnsi="宋体" w:cs="宋体"/>
          <w:b/>
          <w:bCs/>
          <w:color w:val="auto"/>
          <w:highlight w:val="none"/>
        </w:rPr>
        <w:t>六、其他补充事宜</w:t>
      </w:r>
      <w:bookmarkEnd w:id="45"/>
      <w:bookmarkEnd w:id="46"/>
      <w:bookmarkEnd w:id="47"/>
      <w:bookmarkEnd w:id="48"/>
      <w:bookmarkEnd w:id="49"/>
      <w:bookmarkEnd w:id="50"/>
    </w:p>
    <w:p>
      <w:pPr>
        <w:pStyle w:val="42"/>
        <w:keepNext w:val="0"/>
        <w:keepLines w:val="0"/>
        <w:pageBreakBefore w:val="0"/>
        <w:kinsoku/>
        <w:wordWrap/>
        <w:overflowPunct/>
        <w:topLinePunct w:val="0"/>
        <w:autoSpaceDE/>
        <w:autoSpaceDN/>
        <w:bidi w:val="0"/>
        <w:adjustRightInd/>
        <w:snapToGrid/>
        <w:spacing w:line="348" w:lineRule="auto"/>
        <w:ind w:left="1"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2"/>
        <w:keepNext w:val="0"/>
        <w:keepLines w:val="0"/>
        <w:pageBreakBefore w:val="0"/>
        <w:kinsoku/>
        <w:wordWrap/>
        <w:overflowPunct/>
        <w:topLinePunct w:val="0"/>
        <w:autoSpaceDE/>
        <w:autoSpaceDN/>
        <w:bidi w:val="0"/>
        <w:adjustRightInd/>
        <w:snapToGrid/>
        <w:spacing w:line="348" w:lineRule="auto"/>
        <w:ind w:left="1"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其他事项：（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优先采购节能产品、优先采购环境标志产品政策。</w:t>
      </w:r>
    </w:p>
    <w:p>
      <w:pPr>
        <w:keepNext w:val="0"/>
        <w:keepLines w:val="0"/>
        <w:pageBreakBefore w:val="0"/>
        <w:kinsoku/>
        <w:wordWrap/>
        <w:overflowPunct/>
        <w:topLinePunct w:val="0"/>
        <w:autoSpaceDE/>
        <w:autoSpaceDN/>
        <w:bidi w:val="0"/>
        <w:adjustRightInd/>
        <w:snapToGrid/>
        <w:spacing w:line="348" w:lineRule="auto"/>
        <w:ind w:firstLine="482"/>
        <w:textAlignment w:val="auto"/>
        <w:outlineLvl w:val="1"/>
        <w:rPr>
          <w:rFonts w:hint="eastAsia" w:ascii="宋体" w:hAnsi="宋体" w:cs="宋体"/>
          <w:b/>
          <w:bCs/>
          <w:color w:val="auto"/>
          <w:highlight w:val="none"/>
        </w:rPr>
      </w:pPr>
      <w:bookmarkStart w:id="51" w:name="_Toc35393627"/>
      <w:bookmarkStart w:id="52" w:name="_Toc28359008"/>
      <w:bookmarkStart w:id="53" w:name="_Toc28359085"/>
      <w:bookmarkStart w:id="54" w:name="_Toc7000"/>
      <w:bookmarkStart w:id="55" w:name="_Toc35393796"/>
      <w:bookmarkStart w:id="56" w:name="_Toc26724"/>
      <w:bookmarkStart w:id="57" w:name="_Toc26533"/>
      <w:bookmarkStart w:id="58" w:name="_Toc17782"/>
      <w:r>
        <w:rPr>
          <w:rFonts w:hint="eastAsia" w:ascii="宋体" w:hAnsi="宋体" w:cs="宋体"/>
          <w:b/>
          <w:bCs/>
          <w:color w:val="auto"/>
          <w:highlight w:val="none"/>
        </w:rPr>
        <w:t>七、对本次招标提出询问、质疑、投诉，请按以下方式联系</w:t>
      </w:r>
      <w:bookmarkEnd w:id="51"/>
      <w:bookmarkEnd w:id="52"/>
      <w:bookmarkEnd w:id="53"/>
      <w:bookmarkEnd w:id="54"/>
      <w:bookmarkEnd w:id="55"/>
      <w:bookmarkEnd w:id="56"/>
      <w:bookmarkEnd w:id="57"/>
      <w:bookmarkEnd w:id="58"/>
    </w:p>
    <w:p>
      <w:pPr>
        <w:keepNext w:val="0"/>
        <w:keepLines w:val="0"/>
        <w:pageBreakBefore w:val="0"/>
        <w:widowControl/>
        <w:kinsoku/>
        <w:wordWrap/>
        <w:overflowPunct/>
        <w:topLinePunct w:val="0"/>
        <w:autoSpaceDE/>
        <w:autoSpaceDN/>
        <w:bidi w:val="0"/>
        <w:adjustRightInd/>
        <w:snapToGrid/>
        <w:spacing w:line="348"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1.采购人信息</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名  称：中国美术学院</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地  址：杭州市上城区南山路218号</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项目联系人（询问）：曹老师</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ascii="宋体" w:hAnsi="宋体" w:cs="宋体"/>
          <w:color w:val="auto"/>
          <w:highlight w:val="none"/>
        </w:rPr>
      </w:pPr>
      <w:r>
        <w:rPr>
          <w:rFonts w:hint="eastAsia" w:ascii="宋体" w:hAnsi="宋体" w:cs="宋体"/>
          <w:color w:val="auto"/>
          <w:highlight w:val="none"/>
        </w:rPr>
        <w:t xml:space="preserve">项目联系方式（询问）：13858185162    </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hint="eastAsia" w:ascii="宋体" w:hAnsi="宋体"/>
          <w:color w:val="auto"/>
          <w:highlight w:val="none"/>
        </w:rPr>
      </w:pPr>
      <w:bookmarkStart w:id="59" w:name="_Toc28359086"/>
      <w:bookmarkStart w:id="60" w:name="_Toc28359009"/>
      <w:r>
        <w:rPr>
          <w:rFonts w:hint="eastAsia" w:ascii="宋体" w:hAnsi="宋体"/>
          <w:color w:val="auto"/>
          <w:highlight w:val="none"/>
        </w:rPr>
        <w:t>质疑联系人：黄老师</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ascii="宋体" w:hAnsi="宋体"/>
          <w:color w:val="auto"/>
          <w:highlight w:val="none"/>
        </w:rPr>
      </w:pPr>
      <w:r>
        <w:rPr>
          <w:rFonts w:hint="eastAsia" w:ascii="宋体" w:hAnsi="宋体"/>
          <w:color w:val="auto"/>
          <w:highlight w:val="none"/>
        </w:rPr>
        <w:t>质疑联系方式：0571-87200066</w:t>
      </w:r>
    </w:p>
    <w:p>
      <w:pPr>
        <w:keepNext w:val="0"/>
        <w:keepLines w:val="0"/>
        <w:pageBreakBefore w:val="0"/>
        <w:kinsoku/>
        <w:wordWrap/>
        <w:overflowPunct/>
        <w:topLinePunct w:val="0"/>
        <w:autoSpaceDE/>
        <w:autoSpaceDN/>
        <w:bidi w:val="0"/>
        <w:adjustRightInd/>
        <w:snapToGrid/>
        <w:spacing w:line="348"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rPr>
        <w:t>2.采购代理机构信息</w:t>
      </w:r>
      <w:bookmarkEnd w:id="59"/>
      <w:bookmarkEnd w:id="60"/>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名  称：浙江省国际技术设备招标有限公司</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地  址：杭州市凤起路334号同方财富大厦14层</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hint="eastAsia" w:ascii="宋体" w:hAnsi="宋体" w:cs="宋体"/>
          <w:color w:val="auto"/>
          <w:highlight w:val="none"/>
        </w:rPr>
      </w:pPr>
      <w:bookmarkStart w:id="61" w:name="_Toc28359087"/>
      <w:bookmarkStart w:id="62" w:name="_Toc28359010"/>
      <w:r>
        <w:rPr>
          <w:rFonts w:hint="eastAsia" w:ascii="宋体" w:hAnsi="宋体" w:cs="宋体"/>
          <w:color w:val="auto"/>
          <w:highlight w:val="none"/>
        </w:rPr>
        <w:t>项目联系人（询问）：李良君、陈婷婷</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hint="eastAsia" w:ascii="宋体" w:hAnsi="宋体" w:cs="宋体"/>
          <w:color w:val="auto"/>
          <w:highlight w:val="none"/>
          <w:u w:val="single"/>
        </w:rPr>
      </w:pPr>
      <w:r>
        <w:rPr>
          <w:rFonts w:hint="eastAsia" w:ascii="宋体" w:hAnsi="宋体" w:cs="宋体"/>
          <w:color w:val="auto"/>
          <w:highlight w:val="none"/>
        </w:rPr>
        <w:t>项目联系方式（询问）：0571-85826980、0571-85860255</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hint="eastAsia" w:ascii="宋体" w:hAnsi="宋体" w:cs="宋体"/>
          <w:color w:val="auto"/>
          <w:highlight w:val="none"/>
        </w:rPr>
      </w:pPr>
      <w:r>
        <w:rPr>
          <w:rFonts w:hint="eastAsia" w:ascii="宋体" w:hAnsi="宋体" w:cs="宋体"/>
          <w:color w:val="auto"/>
          <w:highlight w:val="none"/>
        </w:rPr>
        <w:t>质疑联系人：孙荣</w:t>
      </w:r>
    </w:p>
    <w:p>
      <w:pPr>
        <w:keepNext w:val="0"/>
        <w:keepLines w:val="0"/>
        <w:pageBreakBefore w:val="0"/>
        <w:kinsoku/>
        <w:wordWrap/>
        <w:overflowPunct/>
        <w:topLinePunct w:val="0"/>
        <w:autoSpaceDE/>
        <w:autoSpaceDN/>
        <w:bidi w:val="0"/>
        <w:adjustRightInd/>
        <w:snapToGrid/>
        <w:spacing w:line="348" w:lineRule="auto"/>
        <w:ind w:firstLine="720" w:firstLineChars="300"/>
        <w:jc w:val="left"/>
        <w:textAlignment w:val="auto"/>
        <w:rPr>
          <w:rFonts w:hint="eastAsia" w:ascii="宋体" w:hAnsi="宋体" w:cs="宋体"/>
          <w:color w:val="auto"/>
          <w:highlight w:val="none"/>
        </w:rPr>
      </w:pPr>
      <w:r>
        <w:rPr>
          <w:rFonts w:hint="eastAsia" w:ascii="宋体" w:hAnsi="宋体" w:cs="宋体"/>
          <w:color w:val="auto"/>
          <w:highlight w:val="none"/>
        </w:rPr>
        <w:t>质疑联系方式：0571-85860270</w:t>
      </w:r>
    </w:p>
    <w:bookmarkEnd w:id="61"/>
    <w:bookmarkEnd w:id="62"/>
    <w:p>
      <w:pPr>
        <w:keepNext w:val="0"/>
        <w:keepLines w:val="0"/>
        <w:pageBreakBefore w:val="0"/>
        <w:kinsoku/>
        <w:wordWrap/>
        <w:overflowPunct/>
        <w:topLinePunct w:val="0"/>
        <w:autoSpaceDE/>
        <w:autoSpaceDN/>
        <w:bidi w:val="0"/>
        <w:adjustRightInd/>
        <w:snapToGrid/>
        <w:spacing w:line="348" w:lineRule="auto"/>
        <w:ind w:firstLine="480"/>
        <w:textAlignment w:val="auto"/>
        <w:rPr>
          <w:rFonts w:hint="eastAsia" w:ascii="宋体" w:hAnsi="宋体" w:cs="宋体"/>
          <w:color w:val="auto"/>
          <w:highlight w:val="none"/>
        </w:rPr>
      </w:pPr>
      <w:r>
        <w:rPr>
          <w:rFonts w:hint="eastAsia" w:ascii="宋体" w:hAnsi="宋体" w:cs="宋体"/>
          <w:color w:val="auto"/>
          <w:highlight w:val="none"/>
        </w:rPr>
        <w:t>3.同级政府采购监督管理部门</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名  称：浙江省财政厅政府采购监管处</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地  址：杭州市环城西路37号</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联系人 ：倪文良、吴聪瑜</w:t>
      </w:r>
    </w:p>
    <w:p>
      <w:pPr>
        <w:keepNext w:val="0"/>
        <w:keepLines w:val="0"/>
        <w:pageBreakBefore w:val="0"/>
        <w:kinsoku/>
        <w:wordWrap/>
        <w:overflowPunct/>
        <w:topLinePunct w:val="0"/>
        <w:autoSpaceDE/>
        <w:autoSpaceDN/>
        <w:bidi w:val="0"/>
        <w:adjustRightInd/>
        <w:snapToGrid/>
        <w:spacing w:line="348" w:lineRule="auto"/>
        <w:ind w:firstLine="720" w:firstLineChars="300"/>
        <w:textAlignment w:val="auto"/>
        <w:rPr>
          <w:rFonts w:hint="eastAsia" w:ascii="宋体" w:hAnsi="宋体" w:cs="宋体"/>
          <w:color w:val="auto"/>
          <w:highlight w:val="none"/>
        </w:rPr>
      </w:pPr>
      <w:r>
        <w:rPr>
          <w:rFonts w:hint="eastAsia" w:ascii="宋体" w:hAnsi="宋体" w:cs="宋体"/>
          <w:color w:val="auto"/>
          <w:highlight w:val="none"/>
        </w:rPr>
        <w:t>监督投诉电话：0571-87057615、87058489</w:t>
      </w:r>
    </w:p>
    <w:p>
      <w:pPr>
        <w:pStyle w:val="4"/>
        <w:bidi w:val="0"/>
        <w:rPr>
          <w:rFonts w:hint="eastAsia" w:ascii="宋体" w:hAnsi="宋体" w:cs="宋体"/>
          <w:color w:val="auto"/>
          <w:highlight w:val="none"/>
        </w:rPr>
      </w:pPr>
      <w:r>
        <w:rPr>
          <w:rFonts w:hint="eastAsia" w:ascii="宋体" w:hAnsi="宋体" w:cs="宋体"/>
          <w:color w:val="auto"/>
          <w:highlight w:val="none"/>
        </w:rPr>
        <w:br w:type="page"/>
      </w:r>
      <w:bookmarkStart w:id="63" w:name="_Toc31025"/>
      <w:r>
        <w:rPr>
          <w:rFonts w:hint="eastAsia" w:ascii="宋体" w:hAnsi="宋体" w:cs="宋体"/>
          <w:color w:val="auto"/>
          <w:highlight w:val="none"/>
        </w:rPr>
        <w:t>投标人须知</w:t>
      </w:r>
      <w:bookmarkEnd w:id="63"/>
    </w:p>
    <w:p>
      <w:pPr>
        <w:pStyle w:val="5"/>
        <w:ind w:firstLine="562"/>
        <w:jc w:val="center"/>
        <w:rPr>
          <w:rFonts w:hint="eastAsia" w:ascii="宋体" w:hAnsi="宋体" w:cs="宋体"/>
          <w:color w:val="auto"/>
          <w:highlight w:val="none"/>
        </w:rPr>
      </w:pPr>
      <w:bookmarkStart w:id="64" w:name="_Toc24947"/>
      <w:r>
        <w:rPr>
          <w:rFonts w:hint="eastAsia" w:ascii="宋体" w:hAnsi="宋体" w:cs="宋体"/>
          <w:color w:val="auto"/>
          <w:highlight w:val="none"/>
        </w:rPr>
        <w:t>前附表</w:t>
      </w:r>
      <w:bookmarkEnd w:id="64"/>
    </w:p>
    <w:tbl>
      <w:tblPr>
        <w:tblStyle w:val="2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1370"/>
        <w:gridCol w:w="6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szCs w:val="20"/>
                <w:highlight w:val="none"/>
              </w:rPr>
            </w:pPr>
            <w:r>
              <w:rPr>
                <w:rFonts w:hint="eastAsia" w:ascii="宋体" w:hAnsi="宋体"/>
                <w:color w:val="auto"/>
                <w:highlight w:val="none"/>
              </w:rPr>
              <w:t>序号</w:t>
            </w: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名  称</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szCs w:val="20"/>
                <w:highlight w:val="none"/>
              </w:rPr>
            </w:pPr>
            <w:r>
              <w:rPr>
                <w:rFonts w:hint="eastAsia" w:ascii="宋体" w:hAnsi="宋体"/>
                <w:color w:val="auto"/>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项目名称</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安防系统技防提升（一期）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采购内容</w:t>
            </w:r>
          </w:p>
          <w:p>
            <w:pPr>
              <w:snapToGrid w:val="0"/>
              <w:ind w:firstLine="0" w:firstLineChars="0"/>
              <w:jc w:val="center"/>
              <w:rPr>
                <w:rFonts w:ascii="宋体" w:hAnsi="宋体"/>
                <w:color w:val="auto"/>
                <w:highlight w:val="none"/>
              </w:rPr>
            </w:pPr>
            <w:r>
              <w:rPr>
                <w:rFonts w:hint="eastAsia" w:ascii="宋体" w:hAnsi="宋体"/>
                <w:color w:val="auto"/>
                <w:highlight w:val="none"/>
              </w:rPr>
              <w:t>及数量</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采购内容：</w:t>
            </w:r>
            <w:r>
              <w:rPr>
                <w:rFonts w:hint="eastAsia" w:ascii="宋体" w:hAnsi="宋体" w:cs="宋体"/>
                <w:color w:val="auto"/>
                <w:highlight w:val="none"/>
              </w:rPr>
              <w:t>中国美术学院安防系统技防提升（一期）设备供货及布线安装调试，完成与学校监控系统的完美融合。对学校人脸库进行完善，实现人员出入识别，人员轨迹查询。通过对学校各部门系统数据融合建立校园安全处大数据平台，并形成可视化大屏等</w:t>
            </w:r>
            <w:r>
              <w:rPr>
                <w:rFonts w:hint="eastAsia" w:ascii="宋体" w:hAnsi="宋体" w:cs="宋体"/>
                <w:color w:val="auto"/>
                <w:highlight w:val="none"/>
                <w:lang w:eastAsia="zh-CN"/>
              </w:rPr>
              <w:t>，</w:t>
            </w:r>
            <w:r>
              <w:rPr>
                <w:rFonts w:hint="eastAsia" w:ascii="宋体" w:hAnsi="宋体" w:cs="宋体"/>
                <w:color w:val="auto"/>
                <w:highlight w:val="none"/>
              </w:rPr>
              <w:t>具体内容详见采购文件相关章节。</w:t>
            </w:r>
          </w:p>
          <w:p>
            <w:pPr>
              <w:snapToGrid w:val="0"/>
              <w:ind w:firstLine="0" w:firstLineChars="0"/>
              <w:rPr>
                <w:rFonts w:hint="eastAsia" w:ascii="宋体" w:hAnsi="宋体"/>
                <w:color w:val="auto"/>
                <w:highlight w:val="none"/>
              </w:rPr>
            </w:pPr>
            <w:r>
              <w:rPr>
                <w:rFonts w:hint="eastAsia" w:ascii="宋体" w:hAnsi="宋体"/>
                <w:color w:val="auto"/>
                <w:highlight w:val="none"/>
              </w:rPr>
              <w:t>数量：1批。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预算金额</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人民币4500000.00元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szCs w:val="20"/>
                <w:highlight w:val="none"/>
              </w:rPr>
              <w:t>公告媒体</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olor w:val="auto"/>
                <w:szCs w:val="20"/>
                <w:highlight w:val="none"/>
              </w:rPr>
            </w:pPr>
            <w:r>
              <w:rPr>
                <w:rFonts w:hint="eastAsia" w:ascii="宋体" w:hAnsi="宋体"/>
                <w:color w:val="auto"/>
                <w:szCs w:val="20"/>
                <w:highlight w:val="none"/>
              </w:rPr>
              <w:t>浙江政府采购网</w:t>
            </w:r>
            <w:r>
              <w:rPr>
                <w:rFonts w:hint="eastAsia" w:hAnsi="宋体"/>
                <w:color w:val="auto"/>
                <w:highlight w:val="none"/>
              </w:rPr>
              <w:t>（</w:t>
            </w:r>
            <w:r>
              <w:rPr>
                <w:rFonts w:hAnsi="宋体"/>
                <w:color w:val="auto"/>
                <w:highlight w:val="none"/>
              </w:rPr>
              <w:fldChar w:fldCharType="begin"/>
            </w:r>
            <w:r>
              <w:rPr>
                <w:rFonts w:hAnsi="宋体"/>
                <w:color w:val="auto"/>
                <w:highlight w:val="none"/>
              </w:rPr>
              <w:instrText xml:space="preserve"> HYPERLINK "</w:instrText>
            </w:r>
            <w:r>
              <w:rPr>
                <w:rFonts w:hint="eastAsia" w:hAnsi="宋体"/>
                <w:color w:val="auto"/>
                <w:highlight w:val="none"/>
              </w:rPr>
              <w:instrText xml:space="preserve">http://zfcg.czt.zj.gov.cn</w:instrText>
            </w:r>
            <w:r>
              <w:rPr>
                <w:rFonts w:hAnsi="宋体"/>
                <w:color w:val="auto"/>
                <w:highlight w:val="none"/>
              </w:rPr>
              <w:instrText xml:space="preserve">" </w:instrText>
            </w:r>
            <w:r>
              <w:rPr>
                <w:rFonts w:hAnsi="宋体"/>
                <w:color w:val="auto"/>
                <w:highlight w:val="none"/>
              </w:rPr>
              <w:fldChar w:fldCharType="separate"/>
            </w:r>
            <w:r>
              <w:rPr>
                <w:rFonts w:hint="eastAsia"/>
                <w:color w:val="auto"/>
                <w:highlight w:val="none"/>
              </w:rPr>
              <w:t>http://zfcg.czt.zj.gov.cn</w:t>
            </w:r>
            <w:r>
              <w:rPr>
                <w:rFonts w:hAnsi="宋体"/>
                <w:color w:val="auto"/>
                <w:highlight w:val="none"/>
              </w:rPr>
              <w:fldChar w:fldCharType="end"/>
            </w: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电子交</w:t>
            </w:r>
          </w:p>
          <w:p>
            <w:pPr>
              <w:snapToGrid w:val="0"/>
              <w:ind w:firstLine="0" w:firstLineChars="0"/>
              <w:jc w:val="center"/>
              <w:rPr>
                <w:rFonts w:hint="eastAsia" w:ascii="宋体" w:hAnsi="宋体"/>
                <w:color w:val="auto"/>
                <w:highlight w:val="none"/>
              </w:rPr>
            </w:pPr>
            <w:r>
              <w:rPr>
                <w:rFonts w:hint="eastAsia" w:ascii="宋体" w:hAnsi="宋体"/>
                <w:color w:val="auto"/>
                <w:highlight w:val="none"/>
              </w:rPr>
              <w:t>易平台</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hAnsi="宋体"/>
                <w:color w:val="auto"/>
                <w:highlight w:val="none"/>
              </w:rPr>
              <w:t>政府采购云平台（</w:t>
            </w:r>
            <w:r>
              <w:rPr>
                <w:rFonts w:hAnsi="宋体"/>
                <w:color w:val="auto"/>
                <w:highlight w:val="none"/>
              </w:rPr>
              <w:t>www.zcygov.cn</w:t>
            </w: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投标报价</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、本项目投标应以人民币报价。</w:t>
            </w:r>
          </w:p>
          <w:p>
            <w:pPr>
              <w:snapToGrid w:val="0"/>
              <w:ind w:firstLine="0" w:firstLineChars="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color w:val="auto"/>
                <w:highlight w:val="none"/>
              </w:rPr>
              <w:t>现场考察/标前答疑会</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ascii="宋体" w:hAnsi="宋体" w:cs="宋体"/>
                <w:color w:val="auto"/>
                <w:highlight w:val="none"/>
              </w:rPr>
              <w:t>□</w:t>
            </w:r>
            <w:r>
              <w:rPr>
                <w:rFonts w:hint="eastAsia" w:ascii="宋体" w:hAnsi="宋体" w:cs="宋体"/>
                <w:color w:val="auto"/>
                <w:highlight w:val="none"/>
              </w:rPr>
              <w:t xml:space="preserve"> </w:t>
            </w:r>
            <w:r>
              <w:rPr>
                <w:rFonts w:hint="eastAsia" w:ascii="宋体" w:hAnsi="宋体"/>
                <w:color w:val="auto"/>
                <w:highlight w:val="none"/>
              </w:rPr>
              <w:t>组织</w:t>
            </w:r>
          </w:p>
          <w:p>
            <w:pPr>
              <w:snapToGrid w:val="0"/>
              <w:ind w:firstLine="0" w:firstLineChars="0"/>
              <w:rPr>
                <w:rFonts w:ascii="宋体" w:hAnsi="宋体"/>
                <w:color w:val="auto"/>
                <w:szCs w:val="20"/>
                <w:highlight w:val="none"/>
              </w:rPr>
            </w:pPr>
            <w:r>
              <w:rPr>
                <w:rFonts w:ascii="宋体" w:hAnsi="宋体" w:cs="宋体"/>
                <w:color w:val="auto"/>
                <w:highlight w:val="none"/>
              </w:rPr>
              <w:sym w:font="Wingdings 2" w:char="0052"/>
            </w:r>
            <w:r>
              <w:rPr>
                <w:rFonts w:hint="eastAsia" w:ascii="宋体" w:hAnsi="宋体" w:cs="宋体"/>
                <w:color w:val="auto"/>
                <w:highlight w:val="none"/>
              </w:rPr>
              <w:t xml:space="preserve"> </w:t>
            </w:r>
            <w:r>
              <w:rPr>
                <w:rFonts w:hint="eastAsia" w:ascii="宋体" w:hAnsi="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样品</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color w:val="auto"/>
                <w:highlight w:val="none"/>
              </w:rPr>
            </w:pPr>
            <w:r>
              <w:rPr>
                <w:rFonts w:ascii="宋体" w:hAnsi="宋体" w:cs="宋体"/>
                <w:color w:val="auto"/>
                <w:highlight w:val="none"/>
              </w:rPr>
              <w:sym w:font="Wingdings 2" w:char="00A3"/>
            </w:r>
            <w:r>
              <w:rPr>
                <w:rFonts w:hint="eastAsia" w:ascii="宋体" w:hAnsi="宋体" w:cs="宋体"/>
                <w:color w:val="auto"/>
                <w:highlight w:val="none"/>
              </w:rPr>
              <w:t xml:space="preserve"> </w:t>
            </w:r>
            <w:r>
              <w:rPr>
                <w:rFonts w:hint="eastAsia" w:ascii="宋体" w:hAnsi="宋体"/>
                <w:color w:val="auto"/>
                <w:highlight w:val="none"/>
              </w:rPr>
              <w:t>提供</w:t>
            </w:r>
          </w:p>
          <w:p>
            <w:pPr>
              <w:snapToGrid w:val="0"/>
              <w:ind w:firstLine="0" w:firstLineChars="0"/>
              <w:rPr>
                <w:rFonts w:hint="eastAsia" w:ascii="宋体" w:hAnsi="宋体"/>
                <w:color w:val="auto"/>
                <w:highlight w:val="none"/>
              </w:rPr>
            </w:pPr>
            <w:r>
              <w:rPr>
                <w:rFonts w:ascii="宋体" w:hAnsi="宋体" w:cs="宋体"/>
                <w:color w:val="auto"/>
                <w:highlight w:val="none"/>
              </w:rPr>
              <w:sym w:font="Wingdings 2" w:char="0052"/>
            </w:r>
            <w:r>
              <w:rPr>
                <w:rFonts w:hint="eastAsia" w:ascii="宋体" w:hAnsi="宋体" w:cs="宋体"/>
                <w:color w:val="auto"/>
                <w:highlight w:val="none"/>
              </w:rPr>
              <w:t xml:space="preserve"> </w:t>
            </w:r>
            <w:r>
              <w:rPr>
                <w:rFonts w:hint="eastAsia" w:ascii="宋体" w:hAnsi="宋体"/>
                <w:color w:val="auto"/>
                <w:highlight w:val="none"/>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演示</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ascii="宋体" w:hAnsi="宋体" w:cs="宋体"/>
                <w:color w:val="auto"/>
                <w:highlight w:val="none"/>
              </w:rPr>
              <w:t>□</w:t>
            </w:r>
            <w:r>
              <w:rPr>
                <w:rFonts w:hint="eastAsia" w:ascii="宋体" w:hAnsi="宋体" w:cs="宋体"/>
                <w:color w:val="auto"/>
                <w:highlight w:val="none"/>
              </w:rPr>
              <w:t xml:space="preserve"> </w:t>
            </w:r>
            <w:r>
              <w:rPr>
                <w:rFonts w:hint="eastAsia" w:ascii="宋体" w:hAnsi="宋体"/>
                <w:color w:val="auto"/>
                <w:highlight w:val="none"/>
              </w:rPr>
              <w:t>要求</w:t>
            </w:r>
          </w:p>
          <w:p>
            <w:pPr>
              <w:snapToGrid w:val="0"/>
              <w:ind w:firstLine="0" w:firstLineChars="0"/>
              <w:rPr>
                <w:rFonts w:hint="eastAsia" w:ascii="宋体" w:hAnsi="宋体"/>
                <w:color w:val="auto"/>
                <w:highlight w:val="none"/>
              </w:rPr>
            </w:pPr>
            <w:r>
              <w:rPr>
                <w:rFonts w:ascii="宋体" w:hAnsi="宋体" w:cs="宋体"/>
                <w:color w:val="auto"/>
                <w:highlight w:val="none"/>
              </w:rPr>
              <w:sym w:font="Wingdings 2" w:char="0052"/>
            </w:r>
            <w:r>
              <w:rPr>
                <w:rFonts w:hint="eastAsia" w:ascii="宋体" w:hAnsi="宋体" w:cs="宋体"/>
                <w:color w:val="auto"/>
                <w:highlight w:val="none"/>
              </w:rPr>
              <w:t xml:space="preserve"> </w:t>
            </w:r>
            <w:r>
              <w:rPr>
                <w:rFonts w:hint="eastAsia" w:ascii="宋体" w:hAnsi="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招标文</w:t>
            </w:r>
          </w:p>
          <w:p>
            <w:pPr>
              <w:snapToGrid w:val="0"/>
              <w:ind w:firstLine="0" w:firstLineChars="0"/>
              <w:jc w:val="center"/>
              <w:rPr>
                <w:rFonts w:ascii="宋体" w:hAnsi="宋体"/>
                <w:color w:val="auto"/>
                <w:highlight w:val="none"/>
              </w:rPr>
            </w:pPr>
            <w:r>
              <w:rPr>
                <w:rFonts w:hint="eastAsia" w:ascii="宋体" w:hAnsi="宋体"/>
                <w:color w:val="auto"/>
                <w:highlight w:val="none"/>
              </w:rPr>
              <w:t>件澄清</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ascii="宋体" w:hAnsi="宋体"/>
                <w:color w:val="auto"/>
                <w:szCs w:val="20"/>
                <w:highlight w:val="none"/>
              </w:rPr>
            </w:pPr>
            <w:r>
              <w:rPr>
                <w:rFonts w:hint="eastAsia" w:ascii="宋体" w:hAnsi="宋体"/>
                <w:color w:val="auto"/>
                <w:highlight w:val="none"/>
              </w:rPr>
              <w:t>投标人如认为招标文件表述不清晰、存在前后矛盾等内容的，应当在投标截止日</w:t>
            </w:r>
            <w:r>
              <w:rPr>
                <w:rFonts w:hint="eastAsia" w:ascii="宋体" w:hAnsi="宋体"/>
                <w:color w:val="auto"/>
                <w:highlight w:val="none"/>
                <w:u w:val="single"/>
              </w:rPr>
              <w:t xml:space="preserve">  10  </w:t>
            </w:r>
            <w:r>
              <w:rPr>
                <w:rFonts w:hint="eastAsia" w:ascii="宋体" w:hAnsi="宋体"/>
                <w:color w:val="auto"/>
                <w:highlight w:val="none"/>
              </w:rPr>
              <w:t>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投标文件</w:t>
            </w:r>
          </w:p>
          <w:p>
            <w:pPr>
              <w:snapToGrid w:val="0"/>
              <w:ind w:firstLine="0" w:firstLineChars="0"/>
              <w:jc w:val="center"/>
              <w:rPr>
                <w:rFonts w:ascii="宋体" w:hAnsi="宋体"/>
                <w:color w:val="auto"/>
                <w:highlight w:val="none"/>
              </w:rPr>
            </w:pPr>
            <w:r>
              <w:rPr>
                <w:rFonts w:hint="eastAsia" w:ascii="宋体" w:hAnsi="宋体"/>
                <w:color w:val="auto"/>
                <w:highlight w:val="none"/>
              </w:rPr>
              <w:t>的组成</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olor w:val="auto"/>
                <w:highlight w:val="none"/>
              </w:rPr>
            </w:pPr>
            <w:r>
              <w:rPr>
                <w:rFonts w:hint="eastAsia" w:ascii="宋体" w:hAnsi="宋体"/>
                <w:color w:val="auto"/>
                <w:highlight w:val="none"/>
              </w:rPr>
              <w:t>投标文件由</w:t>
            </w:r>
            <w:r>
              <w:rPr>
                <w:rFonts w:hint="eastAsia" w:ascii="宋体" w:hAnsi="宋体" w:cs="Arial"/>
                <w:color w:val="auto"/>
                <w:highlight w:val="none"/>
              </w:rPr>
              <w:t>资格证明文件、商务技术文件、报价文件三部分组成</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投标文件</w:t>
            </w:r>
          </w:p>
          <w:p>
            <w:pPr>
              <w:snapToGrid w:val="0"/>
              <w:ind w:firstLine="0" w:firstLineChars="0"/>
              <w:jc w:val="center"/>
              <w:rPr>
                <w:rFonts w:ascii="宋体" w:hAnsi="宋体"/>
                <w:color w:val="auto"/>
                <w:highlight w:val="none"/>
              </w:rPr>
            </w:pPr>
            <w:r>
              <w:rPr>
                <w:rFonts w:hint="eastAsia" w:ascii="宋体" w:hAnsi="宋体"/>
                <w:color w:val="auto"/>
                <w:highlight w:val="none"/>
              </w:rPr>
              <w:t>的编制</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宋体" w:cs="宋体"/>
                <w:color w:val="auto"/>
                <w:highlight w:val="none"/>
                <w:lang w:bidi="ar"/>
              </w:rPr>
            </w:pPr>
            <w:r>
              <w:rPr>
                <w:rFonts w:hint="eastAsia" w:ascii="宋体" w:hAnsi="宋体" w:cs="宋体"/>
                <w:color w:val="auto"/>
                <w:highlight w:val="none"/>
                <w:lang w:bidi="ar"/>
              </w:rPr>
              <w:t>1、“电子加密投标文件”：</w:t>
            </w:r>
          </w:p>
          <w:p>
            <w:pPr>
              <w:autoSpaceDE w:val="0"/>
              <w:autoSpaceDN w:val="0"/>
              <w:adjustRightInd w:val="0"/>
              <w:ind w:firstLine="0" w:firstLineChars="0"/>
              <w:jc w:val="left"/>
              <w:rPr>
                <w:rFonts w:hint="eastAsia" w:ascii="宋体" w:hAnsi="宋体" w:cs="宋体"/>
                <w:color w:val="auto"/>
                <w:highlight w:val="none"/>
                <w:lang w:bidi="ar"/>
              </w:rPr>
            </w:pPr>
            <w:r>
              <w:rPr>
                <w:rFonts w:hint="eastAsia" w:ascii="宋体" w:hAnsi="宋体" w:cs="宋体"/>
                <w:color w:val="auto"/>
                <w:highlight w:val="none"/>
                <w:lang w:bidi="ar"/>
              </w:rPr>
              <w:t>（1）“电子加密投标文件”是指通过“政采云电子交易客户端”完成投标文件编制后生成并加密的数据电文形式的投标文件。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（2）供应商应先安装“政采云电子交易客户端”，并按照本招标文件和“政府采购云平台”的要求，通过“政采云电子交易客户端”编制并加密投标文件。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2、“电子备份投标文件”：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（1）“电子备份投标文件”是指与“电子加密投标文件”同时生成的数据电文形式的电子文件。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（2）供应商可自主选择是否编制“电子备份投标文件”。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投标文件</w:t>
            </w:r>
          </w:p>
          <w:p>
            <w:pPr>
              <w:snapToGrid w:val="0"/>
              <w:ind w:firstLine="0" w:firstLineChars="0"/>
              <w:jc w:val="center"/>
              <w:rPr>
                <w:rFonts w:hint="eastAsia" w:ascii="宋体" w:hAnsi="宋体"/>
                <w:color w:val="auto"/>
                <w:highlight w:val="none"/>
              </w:rPr>
            </w:pPr>
            <w:r>
              <w:rPr>
                <w:rFonts w:hint="eastAsia" w:ascii="宋体" w:hAnsi="宋体"/>
                <w:color w:val="auto"/>
                <w:highlight w:val="none"/>
              </w:rPr>
              <w:t>的签章：</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宋体"/>
                <w:color w:val="auto"/>
                <w:highlight w:val="none"/>
              </w:rPr>
            </w:pPr>
            <w:r>
              <w:rPr>
                <w:rFonts w:hint="eastAsia" w:ascii="宋体" w:hAnsi="宋体"/>
                <w:color w:val="auto"/>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投标文件</w:t>
            </w:r>
          </w:p>
          <w:p>
            <w:pPr>
              <w:snapToGrid w:val="0"/>
              <w:ind w:firstLine="0" w:firstLineChars="0"/>
              <w:jc w:val="center"/>
              <w:rPr>
                <w:rFonts w:ascii="宋体" w:hAnsi="宋体"/>
                <w:color w:val="auto"/>
                <w:highlight w:val="none"/>
              </w:rPr>
            </w:pPr>
            <w:r>
              <w:rPr>
                <w:rFonts w:hint="eastAsia" w:ascii="宋体" w:hAnsi="宋体"/>
                <w:color w:val="auto"/>
                <w:highlight w:val="none"/>
              </w:rPr>
              <w:t>的包装、密封和递交</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ascii="宋体" w:hAnsi="宋体" w:cs="宋体"/>
                <w:color w:val="auto"/>
                <w:highlight w:val="none"/>
                <w:lang w:bidi="ar"/>
              </w:rPr>
            </w:pPr>
            <w:r>
              <w:rPr>
                <w:rFonts w:hint="eastAsia" w:ascii="宋体" w:hAnsi="宋体" w:cs="宋体"/>
                <w:color w:val="auto"/>
                <w:highlight w:val="none"/>
                <w:lang w:bidi="ar"/>
              </w:rPr>
              <w:t>1、“电子加密投标文件”的递交：在线上传递交。</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（1）供应商应在投标截止时间前将“电子加密投标文件”成功上传递交至“政府采购云平台”，否则投标无效。</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（2）“电子加密投标文件”成功上传递交后，供应商可自行打印投标文件接收回执。</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2、“电子备份投标文件”的密封、包装和递交：</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（1）供应商可自主选择是否递交“电子备份投标文件”。</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（2）“电子备份投标文件”存入U盘（一份）。</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（3）“电子备份投标文件” 应在投标截止时间前以邮寄或送达方式递交。</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4）“电子备份投标文件”应当密封包装，并在包装上标注投标项目编号、项目名称、投标单位名称等并加盖公章（详见第六章投标文件格式）。没有密封包装或者逾期送达至浙江省国际技术设备招标有限公司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投标截止</w:t>
            </w:r>
          </w:p>
          <w:p>
            <w:pPr>
              <w:snapToGrid w:val="0"/>
              <w:ind w:firstLine="0" w:firstLineChars="0"/>
              <w:jc w:val="center"/>
              <w:rPr>
                <w:rFonts w:hint="eastAsia" w:ascii="宋体" w:hAnsi="宋体"/>
                <w:color w:val="auto"/>
                <w:highlight w:val="none"/>
              </w:rPr>
            </w:pPr>
            <w:r>
              <w:rPr>
                <w:rFonts w:hint="eastAsia" w:ascii="宋体" w:hAnsi="宋体"/>
                <w:color w:val="auto"/>
                <w:highlight w:val="none"/>
              </w:rPr>
              <w:t>时间和投</w:t>
            </w:r>
          </w:p>
          <w:p>
            <w:pPr>
              <w:snapToGrid w:val="0"/>
              <w:ind w:firstLine="0" w:firstLineChars="0"/>
              <w:jc w:val="center"/>
              <w:rPr>
                <w:rFonts w:ascii="宋体" w:hAnsi="宋体"/>
                <w:color w:val="auto"/>
                <w:highlight w:val="none"/>
              </w:rPr>
            </w:pPr>
            <w:r>
              <w:rPr>
                <w:rFonts w:hint="eastAsia" w:ascii="宋体" w:hAnsi="宋体"/>
                <w:color w:val="auto"/>
                <w:highlight w:val="none"/>
              </w:rPr>
              <w:t>标地址</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1、投标截止时间：</w:t>
            </w:r>
            <w:r>
              <w:rPr>
                <w:rFonts w:hint="eastAsia" w:ascii="宋体" w:hAnsi="宋体"/>
                <w:color w:val="auto"/>
                <w:highlight w:val="none"/>
                <w:u w:val="single"/>
                <w:lang w:eastAsia="zh-CN"/>
              </w:rPr>
              <w:t>2022年02月16日</w:t>
            </w:r>
            <w:r>
              <w:rPr>
                <w:rFonts w:hint="eastAsia" w:ascii="宋体" w:hAnsi="宋体"/>
                <w:color w:val="auto"/>
                <w:highlight w:val="none"/>
                <w:u w:val="single"/>
              </w:rPr>
              <w:t>09时</w:t>
            </w:r>
            <w:r>
              <w:rPr>
                <w:rFonts w:hint="eastAsia" w:ascii="宋体" w:hAnsi="宋体"/>
                <w:color w:val="auto"/>
                <w:highlight w:val="none"/>
                <w:u w:val="single"/>
                <w:lang w:val="en-US" w:eastAsia="zh-CN"/>
              </w:rPr>
              <w:t>0</w:t>
            </w:r>
            <w:r>
              <w:rPr>
                <w:rFonts w:hint="eastAsia" w:ascii="宋体" w:hAnsi="宋体"/>
                <w:color w:val="auto"/>
                <w:highlight w:val="none"/>
                <w:u w:val="single"/>
              </w:rPr>
              <w:t>0分</w:t>
            </w:r>
            <w:r>
              <w:rPr>
                <w:rFonts w:hint="eastAsia" w:ascii="宋体" w:hAnsi="宋体"/>
                <w:color w:val="auto"/>
                <w:highlight w:val="none"/>
              </w:rPr>
              <w:t>（北京时间）</w:t>
            </w:r>
          </w:p>
          <w:p>
            <w:pPr>
              <w:pStyle w:val="2"/>
              <w:spacing w:line="360" w:lineRule="auto"/>
              <w:ind w:firstLine="0" w:firstLineChars="0"/>
              <w:rPr>
                <w:rFonts w:hint="eastAsia" w:hAnsi="宋体"/>
                <w:color w:val="auto"/>
                <w:sz w:val="24"/>
                <w:highlight w:val="none"/>
              </w:rPr>
            </w:pPr>
            <w:r>
              <w:rPr>
                <w:rFonts w:hint="eastAsia" w:hAnsi="宋体"/>
                <w:color w:val="auto"/>
                <w:sz w:val="24"/>
                <w:highlight w:val="none"/>
              </w:rPr>
              <w:t>2、投标地址：</w:t>
            </w:r>
          </w:p>
          <w:p>
            <w:pPr>
              <w:pStyle w:val="2"/>
              <w:spacing w:line="360" w:lineRule="auto"/>
              <w:ind w:firstLine="0" w:firstLineChars="0"/>
              <w:rPr>
                <w:rFonts w:hint="eastAsia" w:hAnsi="宋体" w:cs="宋体"/>
                <w:color w:val="auto"/>
                <w:kern w:val="0"/>
                <w:sz w:val="24"/>
                <w:highlight w:val="none"/>
              </w:rPr>
            </w:pPr>
            <w:r>
              <w:rPr>
                <w:rFonts w:hint="eastAsia" w:hAnsi="宋体"/>
                <w:color w:val="auto"/>
                <w:sz w:val="24"/>
                <w:highlight w:val="none"/>
              </w:rPr>
              <w:t>（1）</w:t>
            </w:r>
            <w:r>
              <w:rPr>
                <w:rFonts w:hint="eastAsia" w:hAnsi="宋体" w:cs="宋体"/>
                <w:color w:val="auto"/>
                <w:sz w:val="24"/>
                <w:highlight w:val="none"/>
                <w:lang w:bidi="ar"/>
              </w:rPr>
              <w:t>“电子加密投标文件”：</w:t>
            </w:r>
            <w:r>
              <w:rPr>
                <w:rFonts w:hint="eastAsia" w:hAnsi="宋体" w:cs="宋体"/>
                <w:color w:val="auto"/>
                <w:kern w:val="0"/>
                <w:sz w:val="24"/>
                <w:highlight w:val="none"/>
              </w:rPr>
              <w:t>政府采购云平台在线投标。</w:t>
            </w:r>
          </w:p>
          <w:p>
            <w:pPr>
              <w:snapToGrid w:val="0"/>
              <w:ind w:firstLine="0" w:firstLineChars="0"/>
              <w:rPr>
                <w:rFonts w:hint="eastAsia" w:hAnsi="宋体"/>
                <w:color w:val="auto"/>
                <w:highlight w:val="none"/>
              </w:rPr>
            </w:pPr>
            <w:r>
              <w:rPr>
                <w:rFonts w:hint="eastAsia" w:hAnsi="宋体" w:cs="宋体"/>
                <w:color w:val="auto"/>
                <w:kern w:val="0"/>
                <w:highlight w:val="none"/>
              </w:rPr>
              <w:t>（2）</w:t>
            </w:r>
            <w:r>
              <w:rPr>
                <w:rFonts w:hint="eastAsia" w:hAnsi="宋体" w:cs="Arial"/>
                <w:color w:val="auto"/>
                <w:highlight w:val="none"/>
              </w:rPr>
              <w:t>“</w:t>
            </w:r>
            <w:r>
              <w:rPr>
                <w:rFonts w:hint="eastAsia" w:ascii="宋体" w:hAnsi="宋体" w:cs="宋体"/>
                <w:color w:val="auto"/>
                <w:highlight w:val="none"/>
                <w:lang w:bidi="ar"/>
              </w:rPr>
              <w:t>电子</w:t>
            </w:r>
            <w:r>
              <w:rPr>
                <w:rFonts w:hint="eastAsia" w:hAnsi="宋体" w:cs="Arial"/>
                <w:color w:val="auto"/>
                <w:highlight w:val="none"/>
              </w:rPr>
              <w:t>备份投标文件”：</w:t>
            </w:r>
            <w:r>
              <w:rPr>
                <w:rFonts w:hint="eastAsia" w:hAnsi="宋体"/>
                <w:color w:val="auto"/>
                <w:highlight w:val="none"/>
              </w:rPr>
              <w:t>杭州市凤起路334号同方财富大厦14层1410室。</w:t>
            </w:r>
          </w:p>
          <w:p>
            <w:pPr>
              <w:snapToGrid w:val="0"/>
              <w:ind w:firstLine="0" w:firstLineChars="0"/>
              <w:rPr>
                <w:rFonts w:hint="eastAsia" w:ascii="宋体" w:hAnsi="宋体"/>
                <w:color w:val="auto"/>
                <w:szCs w:val="20"/>
                <w:highlight w:val="none"/>
              </w:rPr>
            </w:pPr>
            <w:r>
              <w:rPr>
                <w:rFonts w:hint="eastAsia" w:hAnsi="宋体"/>
                <w:color w:val="auto"/>
                <w:highlight w:val="none"/>
              </w:rPr>
              <w:t>收</w:t>
            </w:r>
            <w:r>
              <w:rPr>
                <w:rFonts w:hint="eastAsia" w:ascii="宋体" w:hAnsi="宋体" w:cs="宋体"/>
                <w:color w:val="auto"/>
                <w:highlight w:val="none"/>
                <w:lang w:bidi="ar"/>
              </w:rPr>
              <w:t>件人：李良君、陈婷婷；0571-85826980、0571-85860255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开标时间</w:t>
            </w:r>
          </w:p>
          <w:p>
            <w:pPr>
              <w:snapToGrid w:val="0"/>
              <w:ind w:firstLine="0" w:firstLineChars="0"/>
              <w:jc w:val="center"/>
              <w:rPr>
                <w:rFonts w:ascii="宋体" w:hAnsi="宋体"/>
                <w:color w:val="auto"/>
                <w:highlight w:val="none"/>
              </w:rPr>
            </w:pPr>
            <w:r>
              <w:rPr>
                <w:rFonts w:hint="eastAsia" w:ascii="宋体" w:hAnsi="宋体"/>
                <w:color w:val="auto"/>
                <w:highlight w:val="none"/>
              </w:rPr>
              <w:t>和地址</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lang w:eastAsia="zh-CN"/>
              </w:rPr>
              <w:t>2022年02月16日</w:t>
            </w:r>
            <w:r>
              <w:rPr>
                <w:rFonts w:hint="eastAsia" w:ascii="宋体" w:hAnsi="宋体"/>
                <w:color w:val="auto"/>
                <w:highlight w:val="none"/>
                <w:u w:val="single"/>
              </w:rPr>
              <w:t>09时</w:t>
            </w:r>
            <w:r>
              <w:rPr>
                <w:rFonts w:hint="eastAsia" w:ascii="宋体" w:hAnsi="宋体"/>
                <w:color w:val="auto"/>
                <w:highlight w:val="none"/>
                <w:u w:val="single"/>
                <w:lang w:val="en-US" w:eastAsia="zh-CN"/>
              </w:rPr>
              <w:t>0</w:t>
            </w:r>
            <w:r>
              <w:rPr>
                <w:rFonts w:hint="eastAsia" w:ascii="宋体" w:hAnsi="宋体"/>
                <w:color w:val="auto"/>
                <w:highlight w:val="none"/>
                <w:u w:val="single"/>
              </w:rPr>
              <w:t>0分</w:t>
            </w:r>
            <w:r>
              <w:rPr>
                <w:rFonts w:hint="eastAsia" w:ascii="宋体" w:hAnsi="宋体"/>
                <w:color w:val="auto"/>
                <w:highlight w:val="none"/>
              </w:rPr>
              <w:t>（北京时间）</w:t>
            </w:r>
          </w:p>
          <w:p>
            <w:pPr>
              <w:snapToGrid w:val="0"/>
              <w:ind w:firstLine="0" w:firstLineChars="0"/>
              <w:rPr>
                <w:rFonts w:ascii="宋体" w:hAnsi="宋体"/>
                <w:color w:val="auto"/>
                <w:szCs w:val="20"/>
                <w:highlight w:val="none"/>
              </w:rPr>
            </w:pPr>
            <w:r>
              <w:rPr>
                <w:rFonts w:hint="eastAsia" w:ascii="宋体" w:hAnsi="宋体"/>
                <w:color w:val="auto"/>
                <w:highlight w:val="none"/>
              </w:rPr>
              <w:t>开标地址：https://www.zcygov.cn</w:t>
            </w:r>
            <w:r>
              <w:rPr>
                <w:rFonts w:hint="eastAsia" w:hAnsi="宋体"/>
                <w:color w:val="auto"/>
                <w:highlight w:val="none"/>
              </w:rPr>
              <w:t>投标人在线参加开标。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开标</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1、采购组织机构按照采购文件规定的时间通过电子交易平台组织开标，所有供应商均应当准时在线参加。</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2、开标时间后，采购组织机构将向各投标供应商发出“电子加密投标文件”的解密通知，各投标供应商代表应当在接到解密通知后</w:t>
            </w:r>
            <w:r>
              <w:rPr>
                <w:rFonts w:hint="eastAsia" w:ascii="宋体" w:hAnsi="宋体" w:cs="宋体"/>
                <w:i/>
                <w:color w:val="auto"/>
                <w:highlight w:val="none"/>
                <w:u w:val="single"/>
                <w:lang w:bidi="ar"/>
              </w:rPr>
              <w:t>30</w:t>
            </w:r>
            <w:r>
              <w:rPr>
                <w:rFonts w:hint="eastAsia" w:ascii="宋体" w:hAnsi="宋体" w:cs="宋体"/>
                <w:color w:val="auto"/>
                <w:highlight w:val="none"/>
                <w:lang w:bidi="ar"/>
              </w:rPr>
              <w:t>分钟内自行完成“电子加密投标文件”的在线解密。</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3、通过“政府采购云平台”上传递交的“电子加密投标文件”已按时解密的，“电子备份投标文件”自动失效。</w:t>
            </w:r>
          </w:p>
          <w:p>
            <w:pPr>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4、通过“政府采购云平台”上传递交的“电子加密投标文件”无法按时解密的，如投标供应商按规定递交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pPr>
              <w:snapToGrid w:val="0"/>
              <w:ind w:firstLine="0" w:firstLineChars="0"/>
              <w:rPr>
                <w:rFonts w:hint="eastAsia" w:ascii="宋体" w:hAnsi="宋体"/>
                <w:color w:val="auto"/>
                <w:highlight w:val="none"/>
              </w:rPr>
            </w:pPr>
            <w:r>
              <w:rPr>
                <w:rFonts w:hint="eastAsia" w:ascii="宋体" w:hAnsi="宋体" w:cs="宋体"/>
                <w:color w:val="auto"/>
                <w:highlight w:val="none"/>
                <w:lang w:bidi="ar"/>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评标办法</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ascii="宋体" w:hAnsi="宋体"/>
                <w:i/>
                <w:color w:val="auto"/>
                <w:szCs w:val="20"/>
                <w:highlight w:val="none"/>
              </w:rPr>
            </w:pPr>
            <w:r>
              <w:rPr>
                <w:rFonts w:hint="eastAsia" w:ascii="宋体" w:hAnsi="宋体"/>
                <w:color w:val="auto"/>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投标文件</w:t>
            </w:r>
          </w:p>
          <w:p>
            <w:pPr>
              <w:snapToGrid w:val="0"/>
              <w:ind w:firstLine="0" w:firstLineChars="0"/>
              <w:jc w:val="center"/>
              <w:rPr>
                <w:rFonts w:ascii="宋体" w:hAnsi="宋体"/>
                <w:color w:val="auto"/>
                <w:highlight w:val="none"/>
              </w:rPr>
            </w:pPr>
            <w:r>
              <w:rPr>
                <w:rFonts w:hint="eastAsia" w:ascii="宋体" w:hAnsi="宋体"/>
                <w:color w:val="auto"/>
                <w:highlight w:val="none"/>
              </w:rPr>
              <w:t>有效期</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ascii="宋体" w:hAnsi="宋体"/>
                <w:color w:val="auto"/>
                <w:highlight w:val="none"/>
              </w:rPr>
            </w:pPr>
            <w:r>
              <w:rPr>
                <w:rFonts w:hint="eastAsia" w:ascii="宋体" w:hAnsi="宋体"/>
                <w:color w:val="auto"/>
                <w:highlight w:val="none"/>
              </w:rPr>
              <w:t xml:space="preserve"> 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int="eastAsia" w:ascii="宋体" w:hAnsi="宋体"/>
                <w:color w:val="auto"/>
                <w:highlight w:val="none"/>
              </w:rPr>
              <w:t>进口</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pStyle w:val="15"/>
              <w:snapToGrid w:val="0"/>
              <w:spacing w:before="120" w:after="120"/>
              <w:ind w:firstLine="0" w:firstLineChars="0"/>
              <w:jc w:val="left"/>
              <w:rPr>
                <w:rFonts w:hAnsi="宋体"/>
                <w:color w:val="auto"/>
                <w:kern w:val="2"/>
                <w:highlight w:val="none"/>
              </w:rPr>
            </w:pPr>
            <w:r>
              <w:rPr>
                <w:rFonts w:hAnsi="宋体"/>
                <w:color w:val="auto"/>
                <w:kern w:val="2"/>
                <w:highlight w:val="none"/>
              </w:rPr>
              <w:t>□</w:t>
            </w:r>
            <w:r>
              <w:rPr>
                <w:rFonts w:hint="eastAsia" w:hAnsi="宋体"/>
                <w:color w:val="auto"/>
                <w:kern w:val="2"/>
                <w:highlight w:val="none"/>
              </w:rPr>
              <w:t>允许</w:t>
            </w:r>
          </w:p>
          <w:p>
            <w:pPr>
              <w:snapToGrid w:val="0"/>
              <w:ind w:firstLine="0" w:firstLineChars="0"/>
              <w:rPr>
                <w:rFonts w:ascii="宋体" w:hAnsi="宋体"/>
                <w:color w:val="auto"/>
                <w:highlight w:val="none"/>
              </w:rPr>
            </w:pPr>
            <w:r>
              <w:rPr>
                <w:rFonts w:ascii="宋体" w:hAnsi="宋体"/>
                <w:color w:val="auto"/>
                <w:highlight w:val="none"/>
              </w:rPr>
              <w:sym w:font="Wingdings 2" w:char="0052"/>
            </w:r>
            <w:r>
              <w:rPr>
                <w:rFonts w:hint="eastAsia" w:hAnsi="宋体"/>
                <w:color w:val="auto"/>
                <w:highlight w:val="none"/>
              </w:rPr>
              <w:t>不</w:t>
            </w:r>
            <w:r>
              <w:rPr>
                <w:rFonts w:hint="eastAsia" w:ascii="宋体" w:hAnsi="宋体"/>
                <w:color w:val="auto"/>
                <w:highlight w:val="none"/>
              </w:rPr>
              <w:t>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olor w:val="auto"/>
                <w:highlight w:val="none"/>
              </w:rPr>
            </w:pPr>
            <w:r>
              <w:rPr>
                <w:rFonts w:hAnsi="宋体"/>
                <w:color w:val="auto"/>
                <w:highlight w:val="none"/>
              </w:rPr>
              <w:t>节能产品</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hAnsi="宋体" w:eastAsia="宋体"/>
                <w:color w:val="auto"/>
                <w:highlight w:val="none"/>
                <w:lang w:eastAsia="zh-CN"/>
              </w:rPr>
            </w:pPr>
            <w:r>
              <w:rPr>
                <w:rFonts w:hAnsi="宋体"/>
                <w:color w:val="auto"/>
                <w:highlight w:val="none"/>
              </w:rPr>
              <w:sym w:font="Wingdings 2" w:char="00A3"/>
            </w:r>
            <w:r>
              <w:rPr>
                <w:rFonts w:hint="eastAsia" w:hAnsi="宋体"/>
                <w:color w:val="auto"/>
                <w:highlight w:val="none"/>
              </w:rPr>
              <w:t xml:space="preserve"> </w:t>
            </w:r>
            <w:r>
              <w:rPr>
                <w:rFonts w:hAnsi="宋体"/>
                <w:color w:val="auto"/>
                <w:highlight w:val="none"/>
              </w:rPr>
              <w:t>强制采购节能产品</w:t>
            </w:r>
          </w:p>
          <w:p>
            <w:pPr>
              <w:autoSpaceDE w:val="0"/>
              <w:autoSpaceDN w:val="0"/>
              <w:snapToGrid w:val="0"/>
              <w:ind w:firstLine="0" w:firstLineChars="0"/>
              <w:textAlignment w:val="bottom"/>
              <w:rPr>
                <w:rFonts w:hint="eastAsia" w:hAnsi="宋体"/>
                <w:color w:val="auto"/>
                <w:highlight w:val="none"/>
              </w:rPr>
            </w:pPr>
            <w:r>
              <w:rPr>
                <w:rFonts w:hAnsi="宋体"/>
                <w:color w:val="auto"/>
                <w:highlight w:val="none"/>
              </w:rPr>
              <w:sym w:font="Wingdings 2" w:char="0052"/>
            </w:r>
            <w:r>
              <w:rPr>
                <w:rFonts w:hint="eastAsia" w:hAnsi="宋体"/>
                <w:color w:val="auto"/>
                <w:highlight w:val="none"/>
              </w:rPr>
              <w:t xml:space="preserve"> </w:t>
            </w:r>
            <w:r>
              <w:rPr>
                <w:rFonts w:hAnsi="宋体"/>
                <w:color w:val="auto"/>
                <w:highlight w:val="none"/>
              </w:rPr>
              <w:t>优先采购节能产品</w:t>
            </w:r>
          </w:p>
          <w:p>
            <w:pPr>
              <w:autoSpaceDE w:val="0"/>
              <w:autoSpaceDN w:val="0"/>
              <w:snapToGrid w:val="0"/>
              <w:ind w:firstLine="0" w:firstLineChars="0"/>
              <w:textAlignment w:val="bottom"/>
              <w:rPr>
                <w:rFonts w:hint="eastAsia" w:hAnsi="宋体"/>
                <w:color w:val="auto"/>
                <w:highlight w:val="none"/>
              </w:rPr>
            </w:pPr>
            <w:r>
              <w:rPr>
                <w:rFonts w:hAnsi="宋体"/>
                <w:color w:val="auto"/>
                <w:highlight w:val="none"/>
              </w:rPr>
              <w:t>□</w:t>
            </w:r>
            <w:r>
              <w:rPr>
                <w:rFonts w:hint="eastAsia" w:hAnsi="宋体"/>
                <w:color w:val="auto"/>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hAnsi="宋体"/>
                <w:color w:val="auto"/>
                <w:highlight w:val="none"/>
              </w:rPr>
            </w:pPr>
            <w:r>
              <w:rPr>
                <w:rFonts w:hAnsi="宋体"/>
                <w:color w:val="auto"/>
                <w:highlight w:val="none"/>
              </w:rPr>
              <w:t>环境标</w:t>
            </w:r>
          </w:p>
          <w:p>
            <w:pPr>
              <w:snapToGrid w:val="0"/>
              <w:ind w:firstLine="0" w:firstLineChars="0"/>
              <w:jc w:val="center"/>
              <w:rPr>
                <w:rFonts w:hint="eastAsia" w:ascii="宋体" w:hAnsi="宋体"/>
                <w:color w:val="auto"/>
                <w:highlight w:val="none"/>
              </w:rPr>
            </w:pPr>
            <w:r>
              <w:rPr>
                <w:rFonts w:hAnsi="宋体"/>
                <w:color w:val="auto"/>
                <w:highlight w:val="none"/>
              </w:rPr>
              <w:t>志产品</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hint="eastAsia" w:hAnsi="宋体"/>
                <w:color w:val="auto"/>
                <w:highlight w:val="none"/>
              </w:rPr>
            </w:pPr>
            <w:r>
              <w:rPr>
                <w:rFonts w:hAnsi="宋体"/>
                <w:color w:val="auto"/>
                <w:highlight w:val="none"/>
              </w:rPr>
              <w:sym w:font="Wingdings 2" w:char="0052"/>
            </w:r>
            <w:r>
              <w:rPr>
                <w:rFonts w:hint="eastAsia" w:hAnsi="宋体"/>
                <w:color w:val="auto"/>
                <w:highlight w:val="none"/>
              </w:rPr>
              <w:t xml:space="preserve"> </w:t>
            </w:r>
            <w:r>
              <w:rPr>
                <w:rFonts w:hAnsi="宋体"/>
                <w:color w:val="auto"/>
                <w:highlight w:val="none"/>
              </w:rPr>
              <w:t>优先采购环境标志</w:t>
            </w:r>
            <w:r>
              <w:rPr>
                <w:rFonts w:hint="eastAsia" w:hAnsi="宋体"/>
                <w:color w:val="auto"/>
                <w:highlight w:val="none"/>
              </w:rPr>
              <w:t>产品</w:t>
            </w:r>
          </w:p>
          <w:p>
            <w:pPr>
              <w:autoSpaceDE w:val="0"/>
              <w:autoSpaceDN w:val="0"/>
              <w:snapToGrid w:val="0"/>
              <w:ind w:firstLine="0" w:firstLineChars="0"/>
              <w:textAlignment w:val="bottom"/>
              <w:rPr>
                <w:rFonts w:hint="eastAsia" w:hAnsi="宋体"/>
                <w:color w:val="auto"/>
                <w:highlight w:val="none"/>
              </w:rPr>
            </w:pPr>
            <w:r>
              <w:rPr>
                <w:rFonts w:hAnsi="宋体"/>
                <w:color w:val="auto"/>
                <w:highlight w:val="none"/>
              </w:rPr>
              <w:t>□</w:t>
            </w:r>
            <w:r>
              <w:rPr>
                <w:rFonts w:hint="eastAsia" w:hAnsi="宋体"/>
                <w:color w:val="auto"/>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hAnsi="宋体"/>
                <w:color w:val="auto"/>
                <w:highlight w:val="none"/>
              </w:rPr>
            </w:pPr>
            <w:r>
              <w:rPr>
                <w:rFonts w:hAnsi="宋体"/>
                <w:color w:val="auto"/>
                <w:highlight w:val="none"/>
              </w:rPr>
              <w:t>促进中小</w:t>
            </w:r>
          </w:p>
          <w:p>
            <w:pPr>
              <w:snapToGrid w:val="0"/>
              <w:ind w:firstLine="0" w:firstLineChars="0"/>
              <w:jc w:val="center"/>
              <w:rPr>
                <w:rFonts w:hint="eastAsia" w:ascii="宋体" w:hAnsi="宋体"/>
                <w:color w:val="auto"/>
                <w:highlight w:val="none"/>
              </w:rPr>
            </w:pPr>
            <w:r>
              <w:rPr>
                <w:rFonts w:hAnsi="宋体"/>
                <w:color w:val="auto"/>
                <w:highlight w:val="none"/>
              </w:rPr>
              <w:t>企业发展</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kern w:val="0"/>
                <w:highlight w:val="none"/>
              </w:rPr>
            </w:pPr>
            <w:r>
              <w:rPr>
                <w:rFonts w:hint="eastAsia" w:ascii="宋体" w:hAnsi="宋体" w:cs="宋体"/>
                <w:color w:val="auto"/>
                <w:kern w:val="0"/>
                <w:highlight w:val="none"/>
              </w:rPr>
              <w:t>1、本次采购为非专门面向中小企业预留采购份额的采购项目。</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0" w:firstLineChars="0"/>
              <w:rPr>
                <w:rFonts w:hint="eastAsia" w:ascii="宋体" w:hAnsi="宋体" w:cs="宋体"/>
                <w:color w:val="auto"/>
                <w:kern w:val="0"/>
                <w:highlight w:val="none"/>
                <w:u w:val="single"/>
              </w:rPr>
            </w:pPr>
            <w:r>
              <w:rPr>
                <w:rFonts w:hint="eastAsia" w:ascii="宋体" w:hAnsi="宋体" w:cs="宋体"/>
                <w:color w:val="auto"/>
                <w:kern w:val="0"/>
                <w:highlight w:val="none"/>
              </w:rPr>
              <w:t>3、本次采购标的为</w:t>
            </w:r>
            <w:r>
              <w:rPr>
                <w:rFonts w:hint="eastAsia" w:ascii="宋体" w:hAnsi="宋体" w:cs="宋体"/>
                <w:color w:val="auto"/>
                <w:kern w:val="0"/>
                <w:highlight w:val="none"/>
                <w:u w:val="single"/>
              </w:rPr>
              <w:t>货物</w:t>
            </w:r>
            <w:r>
              <w:rPr>
                <w:rFonts w:hint="eastAsia" w:ascii="宋体" w:hAnsi="宋体" w:cs="宋体"/>
                <w:color w:val="auto"/>
                <w:kern w:val="0"/>
                <w:highlight w:val="none"/>
              </w:rPr>
              <w:t>，对应的中小企业划分标准所属行业是：</w:t>
            </w:r>
            <w:r>
              <w:rPr>
                <w:rFonts w:hint="eastAsia" w:ascii="宋体" w:hAnsi="宋体" w:cs="宋体"/>
                <w:color w:val="auto"/>
                <w:kern w:val="0"/>
                <w:highlight w:val="none"/>
                <w:u w:val="single"/>
              </w:rPr>
              <w:t xml:space="preserve">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 </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rPr>
              <w:t>4、以联合体形式参加政府采购活动，联合体各方均为小微企业的，联合体视同小微企业。</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rPr>
              <w:t>5、符合小微企业划分标准的个体工商户，视同小微企业。</w:t>
            </w:r>
          </w:p>
          <w:p>
            <w:pPr>
              <w:ind w:firstLine="0" w:firstLineChars="0"/>
              <w:rPr>
                <w:rFonts w:hint="eastAsia" w:eastAsia="黑体"/>
                <w:color w:val="auto"/>
                <w:highlight w:val="none"/>
              </w:rPr>
            </w:pPr>
            <w:r>
              <w:rPr>
                <w:rFonts w:hint="eastAsia" w:ascii="宋体" w:hAnsi="宋体" w:cs="宋体"/>
                <w:color w:val="auto"/>
                <w:kern w:val="0"/>
                <w:highlight w:val="none"/>
              </w:rPr>
              <w:t>6、参加本次采购活动的供应商提供的货物全部由小微企业制造，其报价给予6%的扣除，用扣除后的价格参加评审。</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、本项目不允许大中型企业向一家或者多家小微企业分包。</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、提供的货物</w:t>
            </w:r>
            <w:r>
              <w:rPr>
                <w:rFonts w:hint="eastAsia" w:ascii="宋体" w:hAnsi="宋体" w:cs="宋体"/>
                <w:b/>
                <w:bCs/>
                <w:color w:val="auto"/>
                <w:kern w:val="0"/>
                <w:highlight w:val="none"/>
              </w:rPr>
              <w:t>全部</w:t>
            </w:r>
            <w:r>
              <w:rPr>
                <w:rFonts w:hint="eastAsia" w:ascii="宋体" w:hAnsi="宋体" w:cs="宋体"/>
                <w:color w:val="auto"/>
                <w:kern w:val="0"/>
                <w:highlight w:val="none"/>
              </w:rPr>
              <w:t>由小微企业</w:t>
            </w:r>
            <w:r>
              <w:rPr>
                <w:rFonts w:hint="eastAsia" w:ascii="宋体" w:hAnsi="宋体" w:cs="宋体"/>
                <w:b/>
                <w:bCs/>
                <w:color w:val="auto"/>
                <w:kern w:val="0"/>
                <w:highlight w:val="none"/>
              </w:rPr>
              <w:t>制造</w:t>
            </w:r>
            <w:r>
              <w:rPr>
                <w:rFonts w:hint="eastAsia" w:ascii="宋体" w:hAnsi="宋体" w:cs="宋体"/>
                <w:color w:val="auto"/>
                <w:kern w:val="0"/>
                <w:highlight w:val="none"/>
              </w:rPr>
              <w:t>的，供应商应当出具《中小企业声明函》。</w:t>
            </w:r>
          </w:p>
          <w:p>
            <w:pPr>
              <w:ind w:firstLine="0" w:firstLineChars="0"/>
              <w:rPr>
                <w:rFonts w:hint="eastAsia" w:ascii="宋体" w:hAnsi="宋体" w:cs="宋体"/>
                <w:color w:val="auto"/>
                <w:kern w:val="0"/>
                <w:highlight w:val="none"/>
              </w:rPr>
            </w:pP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、残疾人福利性单位视同小微企业。残疾人福利性单位参加政府采购活动时，应当提供《残疾人福利性单位声明函》。</w:t>
            </w:r>
          </w:p>
          <w:p>
            <w:pPr>
              <w:ind w:firstLine="0" w:firstLineChars="0"/>
              <w:rPr>
                <w:rFonts w:hint="eastAsia" w:hAnsi="宋体"/>
                <w:color w:val="auto"/>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、监狱企业视同小微企业。监狱企业参加政府采购活动时，应当出具</w:t>
            </w:r>
            <w:r>
              <w:rPr>
                <w:rFonts w:ascii="宋体" w:hAnsi="宋体" w:cs="宋体"/>
                <w:color w:val="auto"/>
                <w:kern w:val="0"/>
                <w:highlight w:val="none"/>
              </w:rPr>
              <w:t>省级以上监狱管理局、戒毒管理局（含新疆生产建设兵团）</w:t>
            </w:r>
            <w:r>
              <w:rPr>
                <w:rFonts w:hint="eastAsia" w:ascii="宋体" w:hAnsi="宋体" w:cs="宋体"/>
                <w:color w:val="auto"/>
                <w:kern w:val="0"/>
                <w:highlight w:val="none"/>
              </w:rPr>
              <w:t>提供</w:t>
            </w:r>
            <w:r>
              <w:rPr>
                <w:rFonts w:ascii="宋体" w:hAnsi="宋体" w:cs="宋体"/>
                <w:color w:val="auto"/>
                <w:kern w:val="0"/>
                <w:highlight w:val="none"/>
              </w:rPr>
              <w:t>的属于监狱企业的证明文件</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代理服务费</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olor w:val="auto"/>
                <w:highlight w:val="none"/>
              </w:rPr>
            </w:pPr>
            <w:r>
              <w:rPr>
                <w:rFonts w:hint="eastAsia" w:ascii="宋体" w:hAnsi="宋体"/>
                <w:color w:val="auto"/>
                <w:highlight w:val="none"/>
              </w:rPr>
              <w:t>1、本项目代理服务费参照计价格【2002】1980号文的收费标准的80%向中标供应商收取，</w:t>
            </w:r>
            <w:r>
              <w:rPr>
                <w:rFonts w:hint="eastAsia" w:ascii="宋体" w:hAnsi="宋体" w:cs="宋体"/>
                <w:color w:val="auto"/>
                <w:highlight w:val="none"/>
              </w:rPr>
              <w:t>计算不足3000元按3000元计取</w:t>
            </w:r>
            <w:r>
              <w:rPr>
                <w:rFonts w:hint="eastAsia" w:ascii="宋体" w:hAnsi="宋体"/>
                <w:color w:val="auto"/>
                <w:highlight w:val="none"/>
              </w:rPr>
              <w:t>。</w:t>
            </w:r>
          </w:p>
          <w:p>
            <w:pPr>
              <w:snapToGrid w:val="0"/>
              <w:ind w:firstLine="0" w:firstLineChars="0"/>
              <w:rPr>
                <w:rFonts w:hint="eastAsia" w:ascii="宋体" w:hAnsi="宋体"/>
                <w:color w:val="auto"/>
                <w:highlight w:val="none"/>
              </w:rPr>
            </w:pPr>
            <w:r>
              <w:rPr>
                <w:rFonts w:hint="eastAsia" w:ascii="宋体" w:hAnsi="宋体"/>
                <w:color w:val="auto"/>
                <w:highlight w:val="none"/>
              </w:rPr>
              <w:t>投标人应当自中标公告发布之日起5个工作日内一次性向采购代理机构支付代理服务费，并在投标文件中出具代理服务费支付承诺书（格式见第六章）。</w:t>
            </w:r>
          </w:p>
          <w:p>
            <w:pPr>
              <w:snapToGrid w:val="0"/>
              <w:ind w:firstLine="0" w:firstLineChars="0"/>
              <w:rPr>
                <w:rFonts w:hint="eastAsia" w:ascii="宋体" w:hAnsi="宋体"/>
                <w:color w:val="auto"/>
                <w:highlight w:val="none"/>
              </w:rPr>
            </w:pPr>
            <w:r>
              <w:rPr>
                <w:rFonts w:hint="eastAsia" w:ascii="宋体" w:hAnsi="宋体"/>
                <w:color w:val="auto"/>
                <w:highlight w:val="none"/>
              </w:rPr>
              <w:t>2、代理服务费支付：</w:t>
            </w:r>
          </w:p>
          <w:p>
            <w:pPr>
              <w:snapToGrid w:val="0"/>
              <w:ind w:firstLine="0" w:firstLineChars="0"/>
              <w:rPr>
                <w:rFonts w:ascii="宋体" w:hAnsi="宋体"/>
                <w:color w:val="auto"/>
                <w:highlight w:val="none"/>
              </w:rPr>
            </w:pPr>
            <w:r>
              <w:rPr>
                <w:rFonts w:hint="eastAsia" w:ascii="宋体" w:hAnsi="宋体"/>
                <w:color w:val="auto"/>
                <w:highlight w:val="none"/>
              </w:rPr>
              <w:t>① 代理服务费缴纳形式：汇票</w:t>
            </w:r>
            <w:r>
              <w:rPr>
                <w:rFonts w:ascii="宋体" w:hAnsi="宋体"/>
                <w:color w:val="auto"/>
                <w:highlight w:val="none"/>
              </w:rPr>
              <w:t>/</w:t>
            </w:r>
            <w:r>
              <w:rPr>
                <w:rFonts w:hint="eastAsia" w:ascii="宋体" w:hAnsi="宋体"/>
                <w:color w:val="auto"/>
                <w:highlight w:val="none"/>
              </w:rPr>
              <w:t>支票</w:t>
            </w:r>
            <w:r>
              <w:rPr>
                <w:rFonts w:ascii="宋体" w:hAnsi="宋体"/>
                <w:color w:val="auto"/>
                <w:highlight w:val="none"/>
              </w:rPr>
              <w:t>/</w:t>
            </w:r>
            <w:r>
              <w:rPr>
                <w:rFonts w:hint="eastAsia" w:ascii="宋体" w:hAnsi="宋体"/>
                <w:color w:val="auto"/>
                <w:highlight w:val="none"/>
              </w:rPr>
              <w:t>电汇</w:t>
            </w:r>
            <w:r>
              <w:rPr>
                <w:rFonts w:ascii="宋体" w:hAnsi="宋体"/>
                <w:color w:val="auto"/>
                <w:highlight w:val="none"/>
              </w:rPr>
              <w:t>/</w:t>
            </w:r>
            <w:r>
              <w:rPr>
                <w:rFonts w:hint="eastAsia" w:ascii="宋体" w:hAnsi="宋体"/>
                <w:color w:val="auto"/>
                <w:highlight w:val="none"/>
              </w:rPr>
              <w:t>现金</w:t>
            </w:r>
          </w:p>
          <w:p>
            <w:pPr>
              <w:snapToGrid w:val="0"/>
              <w:ind w:firstLine="0" w:firstLineChars="0"/>
              <w:rPr>
                <w:rFonts w:hint="eastAsia" w:ascii="宋体" w:hAnsi="宋体"/>
                <w:color w:val="auto"/>
                <w:highlight w:val="none"/>
              </w:rPr>
            </w:pPr>
            <w:r>
              <w:rPr>
                <w:rFonts w:hint="eastAsia" w:ascii="宋体" w:hAnsi="宋体"/>
                <w:color w:val="auto"/>
                <w:highlight w:val="none"/>
              </w:rPr>
              <w:t>② 代理服务费汇入以下账户</w:t>
            </w:r>
            <w:r>
              <w:rPr>
                <w:rFonts w:ascii="宋体" w:hAnsi="宋体"/>
                <w:color w:val="auto"/>
                <w:highlight w:val="none"/>
              </w:rPr>
              <w:t xml:space="preserve"> </w:t>
            </w:r>
            <w:r>
              <w:rPr>
                <w:rFonts w:hint="eastAsia" w:ascii="宋体" w:hAnsi="宋体"/>
                <w:color w:val="auto"/>
                <w:highlight w:val="none"/>
              </w:rPr>
              <w:t>：</w:t>
            </w:r>
          </w:p>
          <w:p>
            <w:pPr>
              <w:pStyle w:val="2"/>
              <w:spacing w:line="360" w:lineRule="auto"/>
              <w:ind w:firstLine="0" w:firstLineChars="0"/>
              <w:rPr>
                <w:rFonts w:hAnsi="宋体"/>
                <w:color w:val="auto"/>
                <w:sz w:val="24"/>
                <w:highlight w:val="none"/>
              </w:rPr>
            </w:pPr>
            <w:r>
              <w:rPr>
                <w:rFonts w:hint="eastAsia" w:hAnsi="宋体"/>
                <w:color w:val="auto"/>
                <w:sz w:val="24"/>
                <w:highlight w:val="none"/>
              </w:rPr>
              <w:t>收款单位（户名）：浙江省国际技术设备招标有限公司</w:t>
            </w:r>
          </w:p>
          <w:p>
            <w:pPr>
              <w:pStyle w:val="2"/>
              <w:spacing w:line="360" w:lineRule="auto"/>
              <w:ind w:firstLine="0" w:firstLineChars="0"/>
              <w:rPr>
                <w:rFonts w:hAnsi="宋体"/>
                <w:color w:val="auto"/>
                <w:sz w:val="24"/>
                <w:highlight w:val="none"/>
              </w:rPr>
            </w:pPr>
            <w:r>
              <w:rPr>
                <w:rFonts w:hint="eastAsia" w:hAnsi="宋体"/>
                <w:color w:val="auto"/>
                <w:sz w:val="24"/>
                <w:highlight w:val="none"/>
              </w:rPr>
              <w:t>开</w:t>
            </w:r>
            <w:r>
              <w:rPr>
                <w:rFonts w:hAnsi="宋体"/>
                <w:color w:val="auto"/>
                <w:sz w:val="24"/>
                <w:highlight w:val="none"/>
              </w:rPr>
              <w:t xml:space="preserve">  </w:t>
            </w:r>
            <w:r>
              <w:rPr>
                <w:rFonts w:hint="eastAsia" w:hAnsi="宋体"/>
                <w:color w:val="auto"/>
                <w:sz w:val="24"/>
                <w:highlight w:val="none"/>
              </w:rPr>
              <w:t>户：中国工商银行杭州分行武林支行</w:t>
            </w:r>
          </w:p>
          <w:p>
            <w:pPr>
              <w:snapToGrid w:val="0"/>
              <w:ind w:firstLine="0" w:firstLineChars="0"/>
              <w:rPr>
                <w:rFonts w:hint="eastAsia" w:hAnsi="宋体"/>
                <w:color w:val="auto"/>
                <w:highlight w:val="none"/>
              </w:rPr>
            </w:pPr>
            <w:r>
              <w:rPr>
                <w:rFonts w:hint="eastAsia" w:hAnsi="宋体"/>
                <w:color w:val="auto"/>
                <w:highlight w:val="none"/>
              </w:rPr>
              <w:t>账</w:t>
            </w:r>
            <w:r>
              <w:rPr>
                <w:rFonts w:hAnsi="宋体"/>
                <w:color w:val="auto"/>
                <w:highlight w:val="none"/>
              </w:rPr>
              <w:t xml:space="preserve">  </w:t>
            </w:r>
            <w:r>
              <w:rPr>
                <w:rFonts w:hint="eastAsia" w:hAnsi="宋体"/>
                <w:color w:val="auto"/>
                <w:highlight w:val="none"/>
              </w:rPr>
              <w:t>号：1202021209006759843</w:t>
            </w:r>
          </w:p>
          <w:p>
            <w:pPr>
              <w:autoSpaceDE w:val="0"/>
              <w:autoSpaceDN w:val="0"/>
              <w:snapToGrid w:val="0"/>
              <w:ind w:firstLine="0" w:firstLineChars="0"/>
              <w:textAlignment w:val="bottom"/>
              <w:rPr>
                <w:rFonts w:ascii="宋体" w:hAnsi="宋体"/>
                <w:color w:val="auto"/>
                <w:highlight w:val="none"/>
              </w:rPr>
            </w:pPr>
            <w:r>
              <w:rPr>
                <w:rFonts w:hint="eastAsia" w:ascii="宋体" w:hAnsi="宋体"/>
                <w:color w:val="auto"/>
                <w:highlight w:val="none"/>
              </w:rPr>
              <w:t>3、</w:t>
            </w:r>
            <w:r>
              <w:rPr>
                <w:rFonts w:hint="eastAsia" w:hAnsi="宋体"/>
                <w:b/>
                <w:color w:val="auto"/>
                <w:highlight w:val="none"/>
              </w:rPr>
              <w:t>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ind w:left="425" w:leftChars="0" w:hanging="425" w:firstLineChars="0"/>
              <w:jc w:val="center"/>
              <w:rPr>
                <w:rFonts w:hint="eastAsia" w:ascii="宋体" w:hAnsi="宋体"/>
                <w:color w:val="auto"/>
                <w:szCs w:val="20"/>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ascii="宋体" w:hAnsi="宋体"/>
                <w:color w:val="auto"/>
                <w:highlight w:val="none"/>
              </w:rPr>
            </w:pPr>
            <w:r>
              <w:rPr>
                <w:rFonts w:hint="eastAsia" w:ascii="宋体" w:hAnsi="宋体"/>
                <w:color w:val="auto"/>
                <w:highlight w:val="none"/>
              </w:rPr>
              <w:t>解释权</w:t>
            </w:r>
          </w:p>
        </w:tc>
        <w:tc>
          <w:tcPr>
            <w:tcW w:w="371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ind w:firstLine="0" w:firstLineChars="0"/>
              <w:textAlignment w:val="bottom"/>
              <w:rPr>
                <w:rFonts w:ascii="宋体" w:hAnsi="宋体"/>
                <w:color w:val="auto"/>
                <w:highlight w:val="none"/>
              </w:rPr>
            </w:pPr>
            <w:r>
              <w:rPr>
                <w:rFonts w:hint="eastAsia" w:ascii="宋体" w:hAnsi="宋体"/>
                <w:color w:val="auto"/>
                <w:highlight w:val="none"/>
              </w:rPr>
              <w:t>本招标文件的解释权属于采购人和采购</w:t>
            </w:r>
            <w:r>
              <w:rPr>
                <w:rFonts w:ascii="宋体" w:hAnsi="宋体"/>
                <w:color w:val="auto"/>
                <w:highlight w:val="none"/>
              </w:rPr>
              <w:t>代理机构</w:t>
            </w:r>
            <w:r>
              <w:rPr>
                <w:rFonts w:hint="eastAsia" w:ascii="宋体" w:hAnsi="宋体"/>
                <w:color w:val="auto"/>
                <w:highlight w:val="none"/>
              </w:rPr>
              <w:t>。</w:t>
            </w:r>
          </w:p>
        </w:tc>
      </w:tr>
    </w:tbl>
    <w:p>
      <w:pPr>
        <w:pStyle w:val="13"/>
        <w:ind w:left="0"/>
        <w:rPr>
          <w:rFonts w:hint="eastAsia"/>
          <w:color w:val="auto"/>
          <w:highlight w:val="none"/>
        </w:rPr>
      </w:pPr>
    </w:p>
    <w:p>
      <w:pPr>
        <w:pStyle w:val="5"/>
        <w:ind w:firstLine="562"/>
        <w:rPr>
          <w:rFonts w:hint="eastAsia" w:ascii="宋体" w:hAnsi="宋体" w:cs="宋体"/>
          <w:color w:val="auto"/>
          <w:highlight w:val="none"/>
        </w:rPr>
      </w:pPr>
      <w:r>
        <w:rPr>
          <w:rFonts w:hint="eastAsia" w:ascii="宋体" w:hAnsi="宋体" w:cs="宋体"/>
          <w:color w:val="auto"/>
          <w:highlight w:val="none"/>
        </w:rPr>
        <w:br w:type="page"/>
      </w:r>
      <w:bookmarkStart w:id="65" w:name="_Toc17070"/>
      <w:r>
        <w:rPr>
          <w:rFonts w:hint="eastAsia" w:ascii="宋体" w:hAnsi="宋体" w:cs="宋体"/>
          <w:color w:val="auto"/>
          <w:highlight w:val="none"/>
        </w:rPr>
        <w:t>一、总  则</w:t>
      </w:r>
      <w:bookmarkEnd w:id="65"/>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适用范围</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本招标文件适用于本次采购项目的招标、投标、评标、定标、验收、合同履约、付款等行为（法律、法规另有规定的，从其规定）。</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定义</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1.招标采购单位：系指组织本次招标的代理机构和采购人。</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2.投标人：系指按招标文件规定合法获取了招标文件并向招标采购单位提交投标文件的单位或个人，也称作供应商。</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3.投标人代表：是指参加本项目投标活动的供应商法定代表人或法定代表人授权代表。</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4.联合体：是指两个以上供应商组成联合体，以一个供应商的身份参加投标。</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5.甲方：是指合同签订的一方，一般与采购人、招标人、用户相同。</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6.乙方：是指合同签订的另一方，与中标人相同。</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7.“产品”系指供方按招标文件规定，须向采购人提供的一切设备、保险、税金、备品备件、工具、手册及其它有关技术资料和材料。</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8.“服务”系指招标文件规定投标人须承担的安装、调试、技术协助、校准、培训、技术指导以及其他类似的义务。</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9.“项目”系指投标人按招标文件规定向采购人提供的产品和服务。</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10.“书面形式”包括信函、传真、电报等。</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11.“▲”系指实质性要求条款。</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招标方式</w:t>
      </w:r>
    </w:p>
    <w:p>
      <w:pPr>
        <w:ind w:firstLine="480"/>
        <w:rPr>
          <w:color w:val="auto"/>
          <w:highlight w:val="none"/>
        </w:rPr>
      </w:pPr>
      <w:r>
        <w:rPr>
          <w:color w:val="auto"/>
          <w:highlight w:val="none"/>
        </w:rPr>
        <w:t>本次招标采用公开招标方式进行。</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投标费用</w:t>
      </w:r>
    </w:p>
    <w:p>
      <w:pPr>
        <w:ind w:firstLine="480"/>
        <w:rPr>
          <w:color w:val="auto"/>
          <w:highlight w:val="none"/>
        </w:rPr>
      </w:pPr>
      <w:r>
        <w:rPr>
          <w:rFonts w:hint="eastAsia"/>
          <w:color w:val="auto"/>
          <w:highlight w:val="none"/>
        </w:rPr>
        <w:t>不论投标结果如何，投标人均应自行承担所有与投标有关的全部费用。</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联合体投标</w:t>
      </w:r>
    </w:p>
    <w:p>
      <w:pPr>
        <w:ind w:firstLine="480"/>
        <w:rPr>
          <w:rFonts w:hint="eastAsia"/>
          <w:color w:val="auto"/>
          <w:highlight w:val="none"/>
        </w:rPr>
      </w:pPr>
      <w:r>
        <w:rPr>
          <w:color w:val="auto"/>
          <w:highlight w:val="none"/>
        </w:rPr>
        <w:t>以联合体形式进行</w:t>
      </w:r>
      <w:r>
        <w:rPr>
          <w:rFonts w:hint="eastAsia"/>
          <w:color w:val="auto"/>
          <w:highlight w:val="none"/>
        </w:rPr>
        <w:t>投标</w:t>
      </w:r>
      <w:r>
        <w:rPr>
          <w:color w:val="auto"/>
          <w:highlight w:val="none"/>
        </w:rPr>
        <w:t>的，参加联合体的供应商均应当具备</w:t>
      </w:r>
      <w:r>
        <w:rPr>
          <w:rFonts w:hint="eastAsia"/>
          <w:color w:val="auto"/>
          <w:highlight w:val="none"/>
        </w:rPr>
        <w:t>政府采购</w:t>
      </w:r>
      <w:r>
        <w:rPr>
          <w:color w:val="auto"/>
          <w:highlight w:val="none"/>
        </w:rPr>
        <w:t>法第二十二条规定的条件，并应当</w:t>
      </w:r>
      <w:r>
        <w:rPr>
          <w:rFonts w:hint="eastAsia"/>
          <w:color w:val="auto"/>
          <w:highlight w:val="none"/>
        </w:rPr>
        <w:t>在投标文件中</w:t>
      </w:r>
      <w:r>
        <w:rPr>
          <w:color w:val="auto"/>
          <w:highlight w:val="none"/>
        </w:rPr>
        <w:t>提交联合协议，载明联合体各方承担的工作和义务。联合体各方应当共同与采购人签订采购合同，就采购合同约定的事项对采购人承担连带责任。</w:t>
      </w:r>
    </w:p>
    <w:p>
      <w:pPr>
        <w:ind w:firstLine="480"/>
        <w:rPr>
          <w:color w:val="auto"/>
          <w:highlight w:val="none"/>
        </w:rPr>
      </w:pPr>
      <w:r>
        <w:rPr>
          <w:rFonts w:hint="eastAsia"/>
          <w:color w:val="auto"/>
          <w:highlight w:val="none"/>
        </w:rPr>
        <w:t>联合体中有同类资质的供应商按照联合体分工承担相同工作的，应当按照资质等级较低的供应商确定资质等级。</w:t>
      </w:r>
    </w:p>
    <w:p>
      <w:pPr>
        <w:ind w:firstLine="480"/>
        <w:rPr>
          <w:rFonts w:hint="eastAsia"/>
          <w:color w:val="auto"/>
          <w:highlight w:val="none"/>
        </w:rPr>
      </w:pPr>
      <w:r>
        <w:rPr>
          <w:rFonts w:hint="eastAsia"/>
          <w:color w:val="auto"/>
          <w:highlight w:val="none"/>
        </w:rPr>
        <w:t>以联合体形式参加投标的，联合体各方不得再单独参加或者与其他供应商另外组成联合体参加本项目的投标。</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转包与分包</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1.本项目不允许转包。</w:t>
      </w:r>
    </w:p>
    <w:p>
      <w:pPr>
        <w:widowControl/>
        <w:ind w:firstLine="480"/>
        <w:jc w:val="left"/>
        <w:rPr>
          <w:rFonts w:hint="eastAsia" w:ascii="宋体" w:hAnsi="宋体" w:cs="宋体"/>
          <w:color w:val="auto"/>
          <w:highlight w:val="none"/>
        </w:rPr>
      </w:pPr>
      <w:r>
        <w:rPr>
          <w:rFonts w:hint="eastAsia" w:ascii="宋体" w:hAnsi="宋体" w:cs="宋体"/>
          <w:color w:val="auto"/>
          <w:kern w:val="0"/>
          <w:highlight w:val="none"/>
        </w:rPr>
        <w:t>2.本项目不允许分包。</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特别说明</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1.本次招标采用电子交易方式。</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2.招标文件中指出的工艺、材料、设备、服务等标准以及推荐、参照的品牌或型号仅起说明作用，并没有任何限制性。投标人在投标中可以选用替代标准、品牌或型号，但这些替代要实质上满足或超过招标文件的要求。</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3.投标人投标所使用的资格、信誉、荣誉、业绩与企业认证证书必须为该投标人所拥有。</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4.投标人应仔细阅读招标文件的所有内容，按照招标文件的要求提交投标文件，并对所提供的全部资料的真实性承担法律责任。</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5.采购过程中出现以下情形，导致电子交易平台无法正常运行，或者无法保证电子交易的公平、公正和安全时，采购人（或代理机构）可中止电子交易活动：</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 xml:space="preserve">（1）电子交易平台发生故障而无法登录访问的； </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（2）电子交易平台应用或数据库出现错误，不能进行正常操作的；</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（3）电子交易平台发现严重安全漏洞，有潜在泄密危险的；</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（4）病毒发作导致不能进行正常操作的；</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（5）其他无法保证电子交易的公平、公正和安全的情况。</w:t>
      </w:r>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出现上述规定情形，不影响采购公平、公正性的，采购人（或代理机构）可以待上述情形消除后继续组织电子交易活动，也可以决定某些环节以纸质形式进行。</w:t>
      </w:r>
    </w:p>
    <w:p>
      <w:pPr>
        <w:pStyle w:val="6"/>
        <w:numPr>
          <w:ilvl w:val="0"/>
          <w:numId w:val="4"/>
        </w:numPr>
        <w:ind w:firstLine="482"/>
        <w:rPr>
          <w:rFonts w:hint="eastAsia" w:ascii="宋体" w:hAnsi="宋体" w:cs="宋体"/>
          <w:color w:val="auto"/>
          <w:highlight w:val="none"/>
        </w:rPr>
      </w:pPr>
      <w:r>
        <w:rPr>
          <w:rFonts w:hint="eastAsia" w:ascii="宋体" w:hAnsi="宋体" w:cs="宋体"/>
          <w:color w:val="auto"/>
          <w:highlight w:val="none"/>
        </w:rPr>
        <w:t>质疑和投诉</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1.投标人认为招标文件、招标过程或中标结果使自己的合法权益受到损害的，应当在知道或者应知其权益受到损害之日起七个工作日内，以书面形式向采购人、采购代理机构提出质疑。投标人对采购人、采购代理机构的质疑答复不满意或者采购人、采购代理机构未在规定时间内作出答复的，可以在答复期满后十五个工作日内向同级采购监管部门投诉。</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供应商应知其权益受到损害之日，是指：</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（1）对可以质疑的招标文件提出质疑的，为获取招标文件之日（公告期限届满之日后获取招标文件的为招标公告期限届满之日）。</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（2）对采购过程提出质疑的，为各采购程序环节结束之日。</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（3）对中标结果提出质疑的，为成交结果公告期限届满之日。</w:t>
      </w:r>
    </w:p>
    <w:p>
      <w:pPr>
        <w:pStyle w:val="2"/>
        <w:spacing w:line="360" w:lineRule="auto"/>
        <w:ind w:firstLine="464"/>
        <w:rPr>
          <w:rFonts w:hint="eastAsia" w:hAnsi="宋体" w:cs="宋体"/>
          <w:color w:val="auto"/>
          <w:sz w:val="24"/>
          <w:highlight w:val="none"/>
        </w:rPr>
      </w:pPr>
      <w:r>
        <w:rPr>
          <w:rFonts w:hint="eastAsia"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5"/>
        <w:ind w:firstLine="562"/>
        <w:rPr>
          <w:rFonts w:hint="eastAsia" w:ascii="宋体" w:hAnsi="宋体" w:cs="宋体"/>
          <w:color w:val="auto"/>
          <w:highlight w:val="none"/>
        </w:rPr>
      </w:pPr>
      <w:bookmarkStart w:id="66" w:name="_Toc16102"/>
      <w:r>
        <w:rPr>
          <w:rFonts w:hint="eastAsia" w:ascii="宋体" w:hAnsi="宋体" w:cs="宋体"/>
          <w:color w:val="auto"/>
          <w:highlight w:val="none"/>
        </w:rPr>
        <w:t>二、招标文件</w:t>
      </w:r>
      <w:bookmarkEnd w:id="66"/>
    </w:p>
    <w:p>
      <w:pPr>
        <w:pStyle w:val="6"/>
        <w:numPr>
          <w:ilvl w:val="0"/>
          <w:numId w:val="5"/>
        </w:numPr>
        <w:ind w:firstLine="482"/>
        <w:rPr>
          <w:rFonts w:hint="eastAsia" w:ascii="宋体" w:hAnsi="宋体" w:cs="宋体"/>
          <w:color w:val="auto"/>
          <w:highlight w:val="none"/>
        </w:rPr>
      </w:pPr>
      <w:r>
        <w:rPr>
          <w:rFonts w:hint="eastAsia" w:ascii="宋体" w:hAnsi="宋体" w:cs="宋体"/>
          <w:color w:val="auto"/>
          <w:highlight w:val="none"/>
        </w:rPr>
        <w:t>招标文件的构成。本招标文件由以下部份组成：</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1.投标邀请</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2.投标人须知</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3.评标办法</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4.招标内容及需求</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5.合同主要条款</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6.投标文件格式</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7.本项目招标文件的澄清、修改内容（如有）</w:t>
      </w:r>
    </w:p>
    <w:p>
      <w:pPr>
        <w:pStyle w:val="6"/>
        <w:numPr>
          <w:ilvl w:val="0"/>
          <w:numId w:val="5"/>
        </w:numPr>
        <w:ind w:firstLine="482"/>
        <w:rPr>
          <w:rFonts w:hint="eastAsia" w:ascii="宋体" w:hAnsi="宋体" w:cs="宋体"/>
          <w:color w:val="auto"/>
          <w:highlight w:val="none"/>
        </w:rPr>
      </w:pPr>
      <w:r>
        <w:rPr>
          <w:rFonts w:hint="eastAsia" w:ascii="宋体" w:hAnsi="宋体" w:cs="宋体"/>
          <w:color w:val="auto"/>
          <w:highlight w:val="none"/>
        </w:rPr>
        <w:t>投标人的风险</w:t>
      </w:r>
    </w:p>
    <w:p>
      <w:pPr>
        <w:pStyle w:val="23"/>
        <w:rPr>
          <w:rFonts w:hint="eastAsia" w:ascii="宋体" w:eastAsia="宋体" w:cs="宋体"/>
          <w:color w:val="auto"/>
          <w:highlight w:val="none"/>
        </w:rPr>
      </w:pPr>
      <w:r>
        <w:rPr>
          <w:rFonts w:hint="eastAsia" w:ascii="宋体" w:eastAsia="宋体" w:cs="宋体"/>
          <w:color w:val="auto"/>
          <w:highlight w:val="none"/>
        </w:rPr>
        <w:t>1.投标截止时间前，投标供应商仅递交了“ 电子备份投标文件”而未将“电子加密投标文件” 成功上传至“政府采购云平台”的，投标无效；通过“政府采购云平台”上传递交的“电子加密投标文件”无法按时解密的，如投标供应商未按规定递交“ 电子备份投标文件”的，视为投标文件撤回；在“政府采购云平台”正常运行情况下，“电子备份投标文件”无法上传至“政府采购云平台”的，视为投标文件撤回。</w:t>
      </w:r>
    </w:p>
    <w:p>
      <w:pPr>
        <w:pStyle w:val="23"/>
        <w:rPr>
          <w:rFonts w:hint="eastAsia" w:ascii="宋体" w:eastAsia="宋体" w:cs="宋体"/>
          <w:color w:val="auto"/>
          <w:szCs w:val="20"/>
          <w:highlight w:val="none"/>
        </w:rPr>
      </w:pPr>
      <w:r>
        <w:rPr>
          <w:rFonts w:hint="eastAsia" w:ascii="宋体" w:eastAsia="宋体" w:cs="宋体"/>
          <w:color w:val="auto"/>
          <w:highlight w:val="none"/>
        </w:rPr>
        <w:t>2.投标人没有按照招标文件要求提供全部资料，或者投标人没有对招标文件在各方面作出实质性响应是投标人的风险，并可能导致其投标无效。</w:t>
      </w:r>
    </w:p>
    <w:p>
      <w:pPr>
        <w:pStyle w:val="6"/>
        <w:numPr>
          <w:ilvl w:val="0"/>
          <w:numId w:val="5"/>
        </w:numPr>
        <w:ind w:firstLine="482"/>
        <w:rPr>
          <w:rFonts w:hint="eastAsia" w:ascii="宋体" w:hAnsi="宋体" w:cs="宋体"/>
          <w:color w:val="auto"/>
          <w:highlight w:val="none"/>
        </w:rPr>
      </w:pPr>
      <w:r>
        <w:rPr>
          <w:rFonts w:hint="eastAsia" w:ascii="宋体" w:hAnsi="宋体" w:cs="宋体"/>
          <w:color w:val="auto"/>
          <w:highlight w:val="none"/>
        </w:rPr>
        <w:t xml:space="preserve">招标文件的澄清与修改 </w:t>
      </w:r>
    </w:p>
    <w:p>
      <w:pPr>
        <w:ind w:firstLine="480"/>
        <w:rPr>
          <w:rFonts w:hint="eastAsia" w:ascii="宋体" w:hAnsi="宋体" w:cs="宋体"/>
          <w:color w:val="auto"/>
          <w:highlight w:val="none"/>
        </w:rPr>
      </w:pPr>
      <w:r>
        <w:rPr>
          <w:rFonts w:hint="eastAsia" w:ascii="宋体" w:hAnsi="宋体" w:cs="宋体"/>
          <w:color w:val="auto"/>
          <w:highlight w:val="none"/>
        </w:rPr>
        <w:t>1.投标人应认真阅读本招标文件，发现其中有表述不清晰、前后矛盾等内容的，投标人可以在投标截止日    天前以书面形式要求招标采购单位澄清。招标采购单位对已发出的招标文件进行必要澄清、修改的内容可能影响投标文件编制的，应当在招标文件要求提交投标文件截止时间十五日前，在财政部门指定的政府采购信息发布媒体上发布更正公告，并以书面形式通知所有招标文件收受人。</w:t>
      </w:r>
    </w:p>
    <w:p>
      <w:pPr>
        <w:ind w:firstLine="480"/>
        <w:rPr>
          <w:rFonts w:hint="eastAsia" w:ascii="宋体" w:hAnsi="宋体" w:cs="宋体"/>
          <w:color w:val="auto"/>
          <w:highlight w:val="none"/>
        </w:rPr>
      </w:pPr>
      <w:r>
        <w:rPr>
          <w:rFonts w:hint="eastAsia" w:ascii="宋体" w:hAnsi="宋体" w:cs="宋体"/>
          <w:color w:val="auto"/>
          <w:highlight w:val="none"/>
        </w:rPr>
        <w:t>2.招标采购单位必须以书面形式答复投标人要求澄清的问题，并将不包含问题来源的答复书面通知所有合法获取了招标文件的投标人；除书面答复以外的其他澄清方式及澄清内容均无效。</w:t>
      </w:r>
    </w:p>
    <w:p>
      <w:pPr>
        <w:ind w:firstLine="480"/>
        <w:rPr>
          <w:rFonts w:hint="eastAsia" w:ascii="宋体" w:hAnsi="宋体" w:cs="宋体"/>
          <w:color w:val="auto"/>
          <w:highlight w:val="none"/>
        </w:rPr>
      </w:pPr>
      <w:r>
        <w:rPr>
          <w:rFonts w:hint="eastAsia" w:ascii="宋体" w:hAnsi="宋体" w:cs="宋体"/>
          <w:color w:val="auto"/>
          <w:highlight w:val="none"/>
        </w:rPr>
        <w:t>3.招标文件澄清、修改的内容为招标文件的组成部分。当招标文件与招标文件的澄清、修改通知就同一内容的表述不一致时，以最后发出的书面文件为准。</w:t>
      </w:r>
    </w:p>
    <w:p>
      <w:pPr>
        <w:ind w:firstLine="480"/>
        <w:rPr>
          <w:rFonts w:hint="eastAsia" w:ascii="宋体" w:hAnsi="宋体" w:cs="宋体"/>
          <w:color w:val="auto"/>
          <w:highlight w:val="none"/>
        </w:rPr>
      </w:pPr>
      <w:r>
        <w:rPr>
          <w:rFonts w:hint="eastAsia" w:ascii="宋体" w:hAnsi="宋体" w:cs="宋体"/>
          <w:color w:val="auto"/>
          <w:highlight w:val="none"/>
        </w:rPr>
        <w:t>4.招标文件的澄清、修改都应该通过本代理机构发布。</w:t>
      </w:r>
    </w:p>
    <w:p>
      <w:pPr>
        <w:pStyle w:val="5"/>
        <w:numPr>
          <w:ilvl w:val="0"/>
          <w:numId w:val="6"/>
        </w:numPr>
        <w:ind w:firstLine="562"/>
        <w:rPr>
          <w:rFonts w:hint="eastAsia" w:ascii="宋体" w:hAnsi="宋体" w:cs="宋体"/>
          <w:color w:val="auto"/>
          <w:highlight w:val="none"/>
        </w:rPr>
      </w:pPr>
      <w:bookmarkStart w:id="67" w:name="_Toc24757"/>
      <w:r>
        <w:rPr>
          <w:rFonts w:hint="eastAsia" w:ascii="宋体" w:hAnsi="宋体" w:cs="宋体"/>
          <w:color w:val="auto"/>
          <w:highlight w:val="none"/>
        </w:rPr>
        <w:t>投标文件</w:t>
      </w:r>
      <w:bookmarkEnd w:id="67"/>
    </w:p>
    <w:p>
      <w:pPr>
        <w:pStyle w:val="6"/>
        <w:numPr>
          <w:ilvl w:val="0"/>
          <w:numId w:val="7"/>
        </w:numPr>
        <w:ind w:firstLine="482"/>
        <w:rPr>
          <w:rFonts w:hint="eastAsia" w:ascii="宋体" w:hAnsi="宋体" w:cs="宋体"/>
          <w:color w:val="auto"/>
          <w:highlight w:val="none"/>
        </w:rPr>
      </w:pPr>
      <w:r>
        <w:rPr>
          <w:rFonts w:hint="eastAsia" w:ascii="宋体" w:hAnsi="宋体" w:cs="宋体"/>
          <w:color w:val="auto"/>
          <w:highlight w:val="none"/>
        </w:rPr>
        <w:t>投标文件的组成</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投标文件由资格证明文件、商务技术文件、报价文件三部份组成。</w:t>
      </w:r>
    </w:p>
    <w:p>
      <w:pPr>
        <w:numPr>
          <w:ilvl w:val="0"/>
          <w:numId w:val="8"/>
        </w:numPr>
        <w:snapToGrid w:val="0"/>
        <w:spacing w:before="120" w:beforeLines="50"/>
        <w:ind w:firstLine="472" w:firstLineChars="196"/>
        <w:jc w:val="left"/>
        <w:rPr>
          <w:rFonts w:hint="eastAsia" w:ascii="宋体" w:hAnsi="宋体" w:cs="宋体"/>
          <w:b/>
          <w:color w:val="auto"/>
          <w:highlight w:val="none"/>
        </w:rPr>
      </w:pPr>
      <w:r>
        <w:rPr>
          <w:rFonts w:hint="eastAsia" w:ascii="宋体" w:hAnsi="宋体" w:cs="宋体"/>
          <w:b/>
          <w:color w:val="auto"/>
          <w:highlight w:val="none"/>
        </w:rPr>
        <w:t>资格证明文件</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▲（1）投标人资格承诺函；</w:t>
      </w:r>
    </w:p>
    <w:p>
      <w:pPr>
        <w:widowControl/>
        <w:ind w:firstLine="480"/>
        <w:jc w:val="left"/>
        <w:rPr>
          <w:rFonts w:ascii="宋体" w:hAnsi="宋体" w:cs="宋体"/>
          <w:color w:val="auto"/>
          <w:highlight w:val="none"/>
        </w:rPr>
      </w:pPr>
      <w:r>
        <w:rPr>
          <w:rFonts w:hint="eastAsia" w:ascii="宋体" w:hAnsi="宋体" w:cs="宋体"/>
          <w:color w:val="auto"/>
          <w:highlight w:val="none"/>
        </w:rPr>
        <w:t>▲（2）法人或者其他组织的营业执照等证明文件，自然人的身份证明；以联系和形式参与投标的，提供联合体协议书；</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安装单位具有</w:t>
      </w:r>
      <w:r>
        <w:rPr>
          <w:rFonts w:hint="eastAsia" w:ascii="宋体" w:hAnsi="宋体" w:cs="宋体"/>
          <w:color w:val="auto"/>
          <w:highlight w:val="none"/>
        </w:rPr>
        <w:t>有效内的电子与智能化工程专业承包贰级及以上资质</w:t>
      </w:r>
      <w:r>
        <w:rPr>
          <w:rFonts w:hint="eastAsia" w:ascii="宋体" w:hAnsi="宋体" w:cs="宋体"/>
          <w:color w:val="auto"/>
          <w:highlight w:val="none"/>
          <w:lang w:eastAsia="zh-CN"/>
        </w:rPr>
        <w:t>和</w:t>
      </w:r>
      <w:r>
        <w:rPr>
          <w:rFonts w:hint="eastAsia" w:ascii="宋体" w:hAnsi="宋体" w:cs="宋体"/>
          <w:color w:val="auto"/>
          <w:highlight w:val="none"/>
        </w:rPr>
        <w:t>有效的安全生产许可证。</w:t>
      </w:r>
    </w:p>
    <w:p>
      <w:pPr>
        <w:snapToGrid w:val="0"/>
        <w:ind w:firstLine="482"/>
        <w:jc w:val="left"/>
        <w:rPr>
          <w:rFonts w:hint="eastAsia" w:ascii="宋体" w:hAnsi="宋体" w:cs="宋体"/>
          <w:b/>
          <w:bCs/>
          <w:color w:val="auto"/>
          <w:highlight w:val="none"/>
        </w:rPr>
      </w:pPr>
      <w:r>
        <w:rPr>
          <w:rFonts w:hint="eastAsia" w:ascii="宋体" w:hAnsi="宋体" w:cs="宋体"/>
          <w:b/>
          <w:bCs/>
          <w:color w:val="auto"/>
          <w:highlight w:val="none"/>
        </w:rPr>
        <w:t>2.商务技术文件</w:t>
      </w:r>
    </w:p>
    <w:p>
      <w:pPr>
        <w:snapToGrid w:val="0"/>
        <w:ind w:firstLine="723" w:firstLineChars="300"/>
        <w:jc w:val="left"/>
        <w:rPr>
          <w:rFonts w:hint="eastAsia" w:ascii="宋体" w:hAnsi="宋体" w:cs="宋体"/>
          <w:b/>
          <w:bCs/>
          <w:color w:val="auto"/>
          <w:highlight w:val="none"/>
        </w:rPr>
      </w:pPr>
      <w:r>
        <w:rPr>
          <w:rFonts w:hint="eastAsia" w:ascii="宋体" w:hAnsi="宋体" w:cs="宋体"/>
          <w:b/>
          <w:bCs/>
          <w:color w:val="auto"/>
          <w:highlight w:val="none"/>
        </w:rPr>
        <w:t>评分索引表</w:t>
      </w:r>
    </w:p>
    <w:p>
      <w:pPr>
        <w:widowControl/>
        <w:ind w:firstLine="480"/>
        <w:jc w:val="left"/>
        <w:rPr>
          <w:rFonts w:hint="eastAsia" w:ascii="宋体" w:hAnsi="宋体" w:cs="宋体"/>
          <w:color w:val="auto"/>
          <w:kern w:val="0"/>
          <w:highlight w:val="none"/>
        </w:rPr>
      </w:pPr>
      <w:r>
        <w:rPr>
          <w:rFonts w:hint="eastAsia" w:ascii="宋体" w:hAnsi="宋体" w:cs="宋体"/>
          <w:color w:val="auto"/>
          <w:highlight w:val="none"/>
        </w:rPr>
        <w:t>（1）</w:t>
      </w:r>
      <w:r>
        <w:rPr>
          <w:rFonts w:hint="eastAsia" w:ascii="宋体" w:hAnsi="宋体" w:cs="宋体"/>
          <w:color w:val="auto"/>
          <w:kern w:val="0"/>
          <w:highlight w:val="none"/>
        </w:rPr>
        <w:t>投标声明函；</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（2）法定代表人授权委托书(格式见第六章)；</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（3）节能产品的相关证明材料：</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（4）环境标志产品的相关证明材料：</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（5）中小企业声明函或残疾人福利性单位声明函或属于监狱企业的证明文件。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（6）投标人情况介绍；</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（7）类似业绩情况；</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（8）商务响应表（格式见第六章）；</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（9）技术响应表（格式见第六章）；</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10）设备的详细配置及零部件清单；其中：零部件需说明制造商和国别（不含报价,格式见第六章），技术规格书、所投设备的品牌、型号规格、主要技术性能、特点、操作说明和质量水平的详细描述（不含报价）；产品样本说明书；</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（11）投标人建议的安装、调试、验收方法或方案；</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（12）技术服务、技术培训、售后服务的内容和措施；</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（13）项目实施人员一览表；</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 xml:space="preserve">（14）选配件、专用耗材、售后服务优惠表（格式见第六章）； </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（15）投标人对本项目的合理化建议和改进措施；</w:t>
      </w:r>
    </w:p>
    <w:p>
      <w:pPr>
        <w:widowControl/>
        <w:ind w:firstLine="480"/>
        <w:jc w:val="left"/>
        <w:rPr>
          <w:rFonts w:hint="eastAsia" w:ascii="宋体" w:hAnsi="宋体" w:cs="宋体"/>
          <w:color w:val="auto"/>
          <w:highlight w:val="none"/>
        </w:rPr>
      </w:pPr>
      <w:r>
        <w:rPr>
          <w:rFonts w:hint="eastAsia" w:ascii="宋体" w:hAnsi="宋体" w:cs="宋体"/>
          <w:color w:val="auto"/>
          <w:highlight w:val="none"/>
        </w:rPr>
        <w:t>（16）投标人需要说明的其他文件和说明及与评审、评分有关的其他技术资料。</w:t>
      </w:r>
    </w:p>
    <w:p>
      <w:pPr>
        <w:pStyle w:val="12"/>
        <w:rPr>
          <w:rFonts w:hint="eastAsia"/>
          <w:color w:val="auto"/>
          <w:highlight w:val="none"/>
        </w:rPr>
      </w:pPr>
    </w:p>
    <w:p>
      <w:pPr>
        <w:snapToGrid w:val="0"/>
        <w:ind w:firstLine="472" w:firstLineChars="196"/>
        <w:jc w:val="left"/>
        <w:rPr>
          <w:rFonts w:hint="eastAsia" w:ascii="宋体" w:hAnsi="宋体" w:cs="宋体"/>
          <w:b/>
          <w:bCs/>
          <w:color w:val="auto"/>
          <w:highlight w:val="none"/>
        </w:rPr>
      </w:pPr>
      <w:r>
        <w:rPr>
          <w:rFonts w:hint="eastAsia" w:ascii="宋体" w:hAnsi="宋体" w:cs="宋体"/>
          <w:b/>
          <w:bCs/>
          <w:color w:val="auto"/>
          <w:highlight w:val="none"/>
        </w:rPr>
        <w:t>3.报价文件</w:t>
      </w:r>
    </w:p>
    <w:p>
      <w:pPr>
        <w:tabs>
          <w:tab w:val="left" w:pos="3870"/>
          <w:tab w:val="left" w:pos="4085"/>
        </w:tabs>
        <w:snapToGrid w:val="0"/>
        <w:ind w:firstLine="480"/>
        <w:jc w:val="left"/>
        <w:rPr>
          <w:rFonts w:hint="eastAsia" w:ascii="宋体" w:hAnsi="宋体" w:cs="宋体"/>
          <w:color w:val="auto"/>
          <w:szCs w:val="20"/>
          <w:highlight w:val="none"/>
        </w:rPr>
      </w:pPr>
      <w:r>
        <w:rPr>
          <w:rFonts w:hint="eastAsia" w:ascii="宋体" w:hAnsi="宋体" w:cs="宋体"/>
          <w:color w:val="auto"/>
          <w:highlight w:val="none"/>
        </w:rPr>
        <w:t>（1）投标函（格式见第六章）；</w:t>
      </w:r>
      <w:r>
        <w:rPr>
          <w:rFonts w:hint="eastAsia" w:ascii="宋体" w:hAnsi="宋体" w:cs="宋体"/>
          <w:color w:val="auto"/>
          <w:szCs w:val="20"/>
          <w:highlight w:val="none"/>
        </w:rPr>
        <w:t xml:space="preserve"> </w:t>
      </w:r>
    </w:p>
    <w:p>
      <w:pPr>
        <w:pStyle w:val="16"/>
        <w:snapToGrid w:val="0"/>
        <w:ind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（2）开标一览表（格式见第六章）；</w:t>
      </w:r>
    </w:p>
    <w:p>
      <w:pPr>
        <w:pStyle w:val="16"/>
        <w:snapToGrid w:val="0"/>
        <w:ind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（3）投标报价明细表（格式见第六章）；</w:t>
      </w:r>
    </w:p>
    <w:p>
      <w:pPr>
        <w:pStyle w:val="16"/>
        <w:snapToGrid w:val="0"/>
        <w:ind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（4）投标人针对报价需要说明的其他文件和说明；</w:t>
      </w:r>
    </w:p>
    <w:p>
      <w:pPr>
        <w:ind w:firstLine="480"/>
        <w:rPr>
          <w:rFonts w:hint="eastAsia" w:ascii="宋体" w:hAnsi="宋体" w:cs="宋体"/>
          <w:color w:val="auto"/>
          <w:highlight w:val="none"/>
        </w:rPr>
      </w:pPr>
      <w:r>
        <w:rPr>
          <w:rFonts w:hint="eastAsia" w:ascii="宋体" w:hAnsi="宋体" w:cs="宋体"/>
          <w:color w:val="auto"/>
          <w:highlight w:val="none"/>
        </w:rPr>
        <w:t>（5）代理服务费支付承诺书。</w:t>
      </w:r>
    </w:p>
    <w:p>
      <w:pPr>
        <w:ind w:firstLine="482"/>
        <w:rPr>
          <w:rFonts w:hint="eastAsia" w:ascii="宋体" w:hAnsi="宋体" w:cs="宋体"/>
          <w:color w:val="auto"/>
          <w:highlight w:val="none"/>
        </w:rPr>
      </w:pPr>
      <w:r>
        <w:rPr>
          <w:rFonts w:hint="eastAsia" w:ascii="宋体" w:hAnsi="宋体" w:cs="宋体"/>
          <w:b/>
          <w:color w:val="auto"/>
          <w:highlight w:val="none"/>
        </w:rPr>
        <w:t>备注：编制在投标文件中的以上所需的各种证书、证件、证明等若系复印件，须在复印件上加盖投标人单位公章。</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投标文件的语言及计量</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 xml:space="preserve">1投标文件以及投标方与招标方就有关投标事宜的所有来往函电，均应以中文汉语书写。除签名、盖章、专用名称等特殊情形外，以中文汉语以外的文字表述的投标文件视同未提供。 </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2投标计量单位，招标文件已有明确规定的，使用招标文件规定的计量单位；招标文件没有规定的，应采用中华人民共和国法定计量单位（货币单位：人民币元），否则视同未响应。</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投标报价</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投标报价应当包括履行合同的全部价格，包括但不限于货款、标准附件、备品备件、专用工具、包装、运输、装卸、保险、税金、货到就位以及安装、调试、培训、保修、税金等一切费用，以及中标后向采购代理机构支付的代理服务费。</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2.投标文件只允许有一个报价，有选择或有条件的报价将不予接受，其投标无效。</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投标文件的有效期</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1.自投标截止日起</w:t>
      </w:r>
      <w:r>
        <w:rPr>
          <w:rFonts w:hint="eastAsia" w:ascii="宋体" w:hAnsi="宋体" w:cs="宋体"/>
          <w:color w:val="auto"/>
          <w:highlight w:val="none"/>
          <w:u w:val="single"/>
        </w:rPr>
        <w:t xml:space="preserve">   90  </w:t>
      </w:r>
      <w:r>
        <w:rPr>
          <w:rFonts w:hint="eastAsia" w:ascii="宋体" w:hAnsi="宋体" w:cs="宋体"/>
          <w:color w:val="auto"/>
          <w:highlight w:val="none"/>
        </w:rPr>
        <w:t>天投标文件应保持有效。有效期不足的投标文件将被视为无效。</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2.在特殊情况下，招标人可与投标人协商延长投标书的有效期，这种要求和答复均以书面形式进行。</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3.投标人可拒绝接受延期要求。同意延长有效期的，投标人不能修改其投标文件。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4.中标人的投标文件自开标之日起至合同履行完毕止均应保持有效。</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投标文件的编制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1.“电子加密投标文件”：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（1）“电子加密投标文件”是指通过“政采云电子交易客户端”完成投标文件编制后生成并加密的数据电文形式的投标文件。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（2）供应商应先安装“政采云电子交易客户端”，并按照本招标文件和“政府采购云平台”的要求，通过“政采云电子交易客户端”编制并加密投标文件。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2.“电子备份投标文件”：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（1）“电子备份投标文件”是指与“电子加密投标文件”同时生成的数据电文形式的电子文件。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（2）供应商可自主选择是否编制“电子备份投标文件”。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（3）其他方式编制的备份投标文件视为无效备份投标文件。</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投标文件的签章</w:t>
      </w:r>
    </w:p>
    <w:p>
      <w:pPr>
        <w:snapToGrid w:val="0"/>
        <w:spacing w:before="120" w:beforeLines="50"/>
        <w:ind w:firstLine="712" w:firstLineChars="297"/>
        <w:jc w:val="left"/>
        <w:rPr>
          <w:rFonts w:hint="eastAsia" w:ascii="宋体" w:hAnsi="宋体" w:cs="宋体"/>
          <w:color w:val="auto"/>
          <w:highlight w:val="none"/>
        </w:rPr>
      </w:pPr>
      <w:r>
        <w:rPr>
          <w:rFonts w:hint="eastAsia" w:ascii="宋体" w:hAnsi="宋体" w:cs="宋体"/>
          <w:color w:val="auto"/>
          <w:highlight w:val="none"/>
        </w:rPr>
        <w:t>采用电子签章。</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投标文件的包装、密封和递交</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1.“电子加密投标文件”的递交：在线上传递交。</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（1）供应商应在投标截止时间前将“电子加密投标文件”成功上传递交至“政府采购云平台”，否则投标无效。</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（2）“电子加密投标文件”成功上传递交后，供应商可自行打印投标文件接收回执。</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2.“电子备份投标文件”的密封、包装和递交：</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（1）供应商可自主选择是否递交“电子备份投标文件”。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（2）“电子备份投标文件”存入U盘（一份）。</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（3）“电子备份投标文件” 应当在投标截止时间前以邮寄或送达方式递交。</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4）“电子备投标应文件”应当密封包装，并在包装上标注项目编号、采购项目名称、投标单位名称并加盖公章（详见第六章响投标件格式）。没有密封包装或者逾期送达至浙江省国际技术设备招标有限公司的“电子备份投标文件”将不予接收</w:t>
      </w:r>
    </w:p>
    <w:p>
      <w:pPr>
        <w:pStyle w:val="6"/>
        <w:numPr>
          <w:ilvl w:val="0"/>
          <w:numId w:val="7"/>
        </w:numPr>
        <w:ind w:firstLine="482"/>
        <w:rPr>
          <w:rFonts w:hint="eastAsia" w:ascii="宋体" w:hAnsi="宋体" w:cs="宋体"/>
          <w:color w:val="auto"/>
          <w:szCs w:val="20"/>
          <w:highlight w:val="none"/>
        </w:rPr>
      </w:pPr>
      <w:r>
        <w:rPr>
          <w:rFonts w:hint="eastAsia" w:ascii="宋体" w:hAnsi="宋体" w:cs="宋体"/>
          <w:color w:val="auto"/>
          <w:highlight w:val="none"/>
        </w:rPr>
        <w:t>投标文件的修改和撤回</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1.供应商在投标截止时间前可以补充、修改或者撤回投标文件。</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2.补充或者修改投标文件的，应当先行撤回原投标文件，补充、修改后重新上传递交。</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3.投标截止时间前未完成上传的，视为撤回投标文件。</w:t>
      </w:r>
    </w:p>
    <w:p>
      <w:pPr>
        <w:pStyle w:val="5"/>
        <w:numPr>
          <w:ilvl w:val="0"/>
          <w:numId w:val="6"/>
        </w:numPr>
        <w:ind w:firstLine="0" w:firstLineChars="0"/>
        <w:rPr>
          <w:rFonts w:hint="eastAsia" w:ascii="宋体" w:hAnsi="宋体" w:cs="宋体"/>
          <w:color w:val="auto"/>
          <w:highlight w:val="none"/>
        </w:rPr>
      </w:pPr>
      <w:bookmarkStart w:id="68" w:name="_Toc5455"/>
      <w:r>
        <w:rPr>
          <w:rFonts w:hint="eastAsia" w:ascii="宋体" w:hAnsi="宋体" w:cs="宋体"/>
          <w:color w:val="auto"/>
          <w:highlight w:val="none"/>
        </w:rPr>
        <w:t>开标</w:t>
      </w:r>
      <w:bookmarkEnd w:id="68"/>
    </w:p>
    <w:p>
      <w:pPr>
        <w:pStyle w:val="6"/>
        <w:ind w:firstLine="482"/>
        <w:rPr>
          <w:rFonts w:hint="eastAsia" w:ascii="宋体" w:hAnsi="宋体" w:cs="宋体"/>
          <w:color w:val="auto"/>
          <w:highlight w:val="none"/>
        </w:rPr>
      </w:pPr>
      <w:r>
        <w:rPr>
          <w:rFonts w:hint="eastAsia" w:ascii="宋体" w:hAnsi="宋体" w:cs="宋体"/>
          <w:color w:val="auto"/>
          <w:highlight w:val="none"/>
        </w:rPr>
        <w:t>（一）开标形式</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采购组织机构将按照招标文件规定的时间通过“政府采购云平台”组织在线开标，所有供应商均应当准时在线参加。</w:t>
      </w:r>
    </w:p>
    <w:p>
      <w:pPr>
        <w:pStyle w:val="6"/>
        <w:ind w:firstLine="482"/>
        <w:rPr>
          <w:rFonts w:hint="eastAsia" w:ascii="宋体" w:hAnsi="宋体" w:cs="宋体"/>
          <w:color w:val="auto"/>
          <w:highlight w:val="none"/>
        </w:rPr>
      </w:pPr>
      <w:r>
        <w:rPr>
          <w:rFonts w:hint="eastAsia" w:ascii="宋体" w:hAnsi="宋体" w:cs="宋体"/>
          <w:color w:val="auto"/>
          <w:highlight w:val="none"/>
        </w:rPr>
        <w:t>（二）开标准备</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1.开标的准备工作由采购组织机构负责落实。</w:t>
      </w:r>
    </w:p>
    <w:p>
      <w:pPr>
        <w:snapToGrid w:val="0"/>
        <w:ind w:firstLine="480"/>
        <w:jc w:val="left"/>
        <w:rPr>
          <w:rFonts w:hint="eastAsia" w:ascii="宋体" w:hAnsi="宋体" w:cs="宋体"/>
          <w:color w:val="auto"/>
          <w:highlight w:val="none"/>
        </w:rPr>
      </w:pPr>
      <w:r>
        <w:rPr>
          <w:rFonts w:hint="eastAsia" w:ascii="宋体" w:hAnsi="宋体" w:cs="宋体"/>
          <w:color w:val="auto"/>
          <w:highlight w:val="none"/>
        </w:rPr>
        <w:t>2.采购组织机构将按照招标文件规定的时间通过“政府采购云平台”组织开标，所有供应商均应当准时在线参加。供应商自行承担因不参加在线开标而产生的不利后果。</w:t>
      </w:r>
    </w:p>
    <w:p>
      <w:pPr>
        <w:pStyle w:val="6"/>
        <w:ind w:firstLine="482"/>
        <w:rPr>
          <w:rFonts w:hint="eastAsia" w:ascii="宋体" w:hAnsi="宋体" w:cs="宋体"/>
          <w:color w:val="auto"/>
          <w:highlight w:val="none"/>
        </w:rPr>
      </w:pPr>
      <w:r>
        <w:rPr>
          <w:rFonts w:hint="eastAsia" w:ascii="宋体" w:hAnsi="宋体" w:cs="宋体"/>
          <w:color w:val="auto"/>
          <w:highlight w:val="none"/>
        </w:rPr>
        <w:t>（三）开标流程</w:t>
      </w:r>
    </w:p>
    <w:p>
      <w:pPr>
        <w:ind w:firstLine="426" w:firstLineChars="177"/>
        <w:jc w:val="left"/>
        <w:rPr>
          <w:rFonts w:hint="eastAsia" w:ascii="宋体" w:hAnsi="宋体" w:cs="Arial"/>
          <w:b/>
          <w:color w:val="auto"/>
          <w:kern w:val="0"/>
          <w:highlight w:val="none"/>
        </w:rPr>
      </w:pPr>
      <w:r>
        <w:rPr>
          <w:rFonts w:hint="eastAsia" w:ascii="宋体" w:hAnsi="宋体" w:cs="Arial"/>
          <w:b/>
          <w:color w:val="auto"/>
          <w:kern w:val="0"/>
          <w:highlight w:val="none"/>
        </w:rPr>
        <w:t>1.开标第一阶段</w:t>
      </w:r>
    </w:p>
    <w:p>
      <w:pPr>
        <w:ind w:firstLine="424" w:firstLineChars="177"/>
        <w:jc w:val="left"/>
        <w:rPr>
          <w:rFonts w:hint="eastAsia" w:ascii="宋体" w:hAnsi="宋体" w:cs="宋体"/>
          <w:color w:val="auto"/>
          <w:highlight w:val="none"/>
          <w:lang w:bidi="ar"/>
        </w:rPr>
      </w:pPr>
      <w:r>
        <w:rPr>
          <w:rFonts w:hint="eastAsia" w:ascii="宋体" w:hAnsi="宋体" w:cs="Arial"/>
          <w:color w:val="auto"/>
          <w:kern w:val="0"/>
          <w:highlight w:val="none"/>
        </w:rPr>
        <w:t>（</w:t>
      </w:r>
      <w:r>
        <w:rPr>
          <w:rFonts w:ascii="宋体" w:hAnsi="宋体" w:cs="Arial"/>
          <w:color w:val="auto"/>
          <w:kern w:val="0"/>
          <w:highlight w:val="none"/>
        </w:rPr>
        <w:t>1</w:t>
      </w:r>
      <w:r>
        <w:rPr>
          <w:rFonts w:hint="eastAsia" w:ascii="宋体" w:hAnsi="宋体" w:cs="Arial"/>
          <w:color w:val="auto"/>
          <w:kern w:val="0"/>
          <w:highlight w:val="none"/>
        </w:rPr>
        <w:t>）向各投标供应商发出电子加密投标文件【开始解密】通知，</w:t>
      </w:r>
      <w:r>
        <w:rPr>
          <w:rFonts w:hint="eastAsia" w:ascii="宋体" w:hAnsi="宋体" w:cs="宋体"/>
          <w:color w:val="auto"/>
          <w:highlight w:val="none"/>
          <w:lang w:bidi="ar"/>
        </w:rPr>
        <w:t>各投标供应商代表应当在接到解密通知后</w:t>
      </w:r>
      <w:r>
        <w:rPr>
          <w:rFonts w:hint="eastAsia" w:ascii="宋体" w:hAnsi="宋体" w:cs="宋体"/>
          <w:i/>
          <w:color w:val="auto"/>
          <w:highlight w:val="none"/>
          <w:u w:val="single"/>
          <w:lang w:bidi="ar"/>
        </w:rPr>
        <w:t>30</w:t>
      </w:r>
      <w:r>
        <w:rPr>
          <w:rFonts w:hint="eastAsia" w:ascii="宋体" w:hAnsi="宋体" w:cs="宋体"/>
          <w:color w:val="auto"/>
          <w:highlight w:val="none"/>
          <w:lang w:bidi="ar"/>
        </w:rPr>
        <w:t>分钟内自行完成“电子加密投标文件”的在线解密。</w:t>
      </w:r>
      <w:r>
        <w:rPr>
          <w:rFonts w:hint="eastAsia" w:ascii="宋体" w:hAnsi="宋体" w:cs="Arial"/>
          <w:color w:val="auto"/>
          <w:kern w:val="0"/>
          <w:highlight w:val="none"/>
        </w:rPr>
        <w:t>投标供应商在规定的时间内无法完成“电子加密投标文件”解密的，</w:t>
      </w:r>
      <w:r>
        <w:rPr>
          <w:rFonts w:hint="eastAsia" w:ascii="宋体" w:hAnsi="宋体" w:cs="宋体"/>
          <w:color w:val="auto"/>
          <w:highlight w:val="none"/>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（2）开启</w:t>
      </w:r>
      <w:r>
        <w:rPr>
          <w:rFonts w:hint="eastAsia" w:ascii="宋体" w:hAnsi="宋体" w:cs="Arial"/>
          <w:color w:val="auto"/>
          <w:highlight w:val="none"/>
        </w:rPr>
        <w:t>资格证明文件、商务技术文件</w:t>
      </w:r>
      <w:r>
        <w:rPr>
          <w:rFonts w:hint="eastAsia" w:ascii="宋体" w:hAnsi="宋体" w:cs="Arial"/>
          <w:color w:val="auto"/>
          <w:kern w:val="0"/>
          <w:highlight w:val="none"/>
        </w:rPr>
        <w:t>。</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（3）进行资格审查。对通过资格审查的投标供应商进行符合性审查、商务技术评审；</w:t>
      </w:r>
    </w:p>
    <w:p>
      <w:pPr>
        <w:ind w:firstLine="426" w:firstLineChars="177"/>
        <w:jc w:val="left"/>
        <w:rPr>
          <w:rFonts w:hint="eastAsia" w:ascii="宋体" w:hAnsi="宋体" w:cs="Arial"/>
          <w:b/>
          <w:color w:val="auto"/>
          <w:kern w:val="0"/>
          <w:highlight w:val="none"/>
        </w:rPr>
      </w:pPr>
      <w:r>
        <w:rPr>
          <w:rFonts w:hint="eastAsia" w:ascii="宋体" w:hAnsi="宋体" w:cs="Arial"/>
          <w:b/>
          <w:color w:val="auto"/>
          <w:kern w:val="0"/>
          <w:highlight w:val="none"/>
        </w:rPr>
        <w:t>2.开标第二阶段</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（1）资格审查、符合性审查、商务技术评审结束后，进入开标第二阶段。</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（2）通过</w:t>
      </w:r>
      <w:r>
        <w:rPr>
          <w:rFonts w:hint="eastAsia" w:ascii="宋体" w:hAnsi="宋体"/>
          <w:color w:val="auto"/>
          <w:highlight w:val="none"/>
        </w:rPr>
        <w:t>电子交易平台</w:t>
      </w:r>
      <w:r>
        <w:rPr>
          <w:rFonts w:hint="eastAsia" w:ascii="宋体" w:hAnsi="宋体" w:cs="Arial"/>
          <w:color w:val="auto"/>
          <w:kern w:val="0"/>
          <w:highlight w:val="none"/>
        </w:rPr>
        <w:t>公布无效供应商名单及导致无效的原因</w:t>
      </w:r>
      <w:r>
        <w:rPr>
          <w:rFonts w:ascii="宋体" w:hAnsi="宋体" w:cs="Arial"/>
          <w:color w:val="auto"/>
          <w:kern w:val="0"/>
          <w:highlight w:val="none"/>
        </w:rPr>
        <w:t>；公布</w:t>
      </w:r>
      <w:r>
        <w:rPr>
          <w:rFonts w:hint="eastAsia" w:ascii="宋体" w:hAnsi="宋体" w:cs="Arial"/>
          <w:color w:val="auto"/>
          <w:kern w:val="0"/>
          <w:highlight w:val="none"/>
        </w:rPr>
        <w:t>有效</w:t>
      </w:r>
      <w:r>
        <w:rPr>
          <w:rFonts w:ascii="宋体" w:hAnsi="宋体" w:cs="Arial"/>
          <w:color w:val="auto"/>
          <w:kern w:val="0"/>
          <w:highlight w:val="none"/>
        </w:rPr>
        <w:t>供应商</w:t>
      </w:r>
      <w:r>
        <w:rPr>
          <w:rFonts w:hint="eastAsia" w:ascii="宋体" w:hAnsi="宋体" w:cs="Arial"/>
          <w:color w:val="auto"/>
          <w:kern w:val="0"/>
          <w:highlight w:val="none"/>
        </w:rPr>
        <w:t>的</w:t>
      </w:r>
      <w:r>
        <w:rPr>
          <w:rFonts w:ascii="宋体" w:hAnsi="宋体" w:cs="Arial"/>
          <w:color w:val="auto"/>
          <w:kern w:val="0"/>
          <w:highlight w:val="none"/>
        </w:rPr>
        <w:t>名单</w:t>
      </w:r>
      <w:r>
        <w:rPr>
          <w:rFonts w:hint="eastAsia" w:ascii="宋体" w:hAnsi="宋体" w:cs="Arial"/>
          <w:color w:val="auto"/>
          <w:kern w:val="0"/>
          <w:highlight w:val="none"/>
        </w:rPr>
        <w:t>及其资信</w:t>
      </w:r>
      <w:r>
        <w:rPr>
          <w:rFonts w:ascii="宋体" w:hAnsi="宋体" w:cs="Arial"/>
          <w:color w:val="auto"/>
          <w:kern w:val="0"/>
          <w:highlight w:val="none"/>
        </w:rPr>
        <w:t>商务</w:t>
      </w:r>
      <w:r>
        <w:rPr>
          <w:rFonts w:hint="eastAsia" w:ascii="宋体" w:hAnsi="宋体" w:cs="Arial"/>
          <w:color w:val="auto"/>
          <w:kern w:val="0"/>
          <w:highlight w:val="none"/>
        </w:rPr>
        <w:t>得分、</w:t>
      </w:r>
      <w:r>
        <w:rPr>
          <w:rFonts w:ascii="宋体" w:hAnsi="宋体" w:cs="Arial"/>
          <w:color w:val="auto"/>
          <w:kern w:val="0"/>
          <w:highlight w:val="none"/>
        </w:rPr>
        <w:t>技术得分</w:t>
      </w:r>
      <w:r>
        <w:rPr>
          <w:rFonts w:hint="eastAsia" w:ascii="宋体" w:hAnsi="宋体" w:cs="Arial"/>
          <w:color w:val="auto"/>
          <w:kern w:val="0"/>
          <w:highlight w:val="none"/>
        </w:rPr>
        <w:t>。</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（3）开启有效供应商的《报价文件》，系统形成开标记录。</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（4）价格评审。价格评审结束后，通过</w:t>
      </w:r>
      <w:r>
        <w:rPr>
          <w:rFonts w:hint="eastAsia" w:ascii="宋体" w:hAnsi="宋体"/>
          <w:color w:val="auto"/>
          <w:highlight w:val="none"/>
        </w:rPr>
        <w:t>电子交易平台</w:t>
      </w:r>
      <w:r>
        <w:rPr>
          <w:rFonts w:hint="eastAsia" w:ascii="宋体" w:hAnsi="宋体" w:cs="Arial"/>
          <w:color w:val="auto"/>
          <w:kern w:val="0"/>
          <w:highlight w:val="none"/>
        </w:rPr>
        <w:t>公布中标候选供应商名单。</w:t>
      </w:r>
    </w:p>
    <w:p>
      <w:pPr>
        <w:pStyle w:val="5"/>
        <w:numPr>
          <w:ilvl w:val="0"/>
          <w:numId w:val="6"/>
        </w:numPr>
        <w:ind w:firstLine="0" w:firstLineChars="0"/>
        <w:rPr>
          <w:rFonts w:hint="eastAsia" w:ascii="宋体" w:hAnsi="宋体" w:cs="宋体"/>
          <w:color w:val="auto"/>
          <w:highlight w:val="none"/>
        </w:rPr>
      </w:pPr>
      <w:bookmarkStart w:id="69" w:name="_Toc20766"/>
      <w:r>
        <w:rPr>
          <w:rFonts w:hint="eastAsia" w:ascii="宋体" w:hAnsi="宋体" w:cs="宋体"/>
          <w:color w:val="auto"/>
          <w:highlight w:val="none"/>
        </w:rPr>
        <w:t>评标</w:t>
      </w:r>
      <w:bookmarkEnd w:id="69"/>
    </w:p>
    <w:p>
      <w:pPr>
        <w:pStyle w:val="6"/>
        <w:ind w:firstLine="482"/>
        <w:rPr>
          <w:rFonts w:hint="eastAsia" w:ascii="宋体" w:hAnsi="宋体" w:cs="宋体"/>
          <w:color w:val="auto"/>
          <w:highlight w:val="none"/>
        </w:rPr>
      </w:pPr>
      <w:r>
        <w:rPr>
          <w:rFonts w:hint="eastAsia" w:ascii="宋体" w:hAnsi="宋体" w:cs="宋体"/>
          <w:color w:val="auto"/>
          <w:highlight w:val="none"/>
        </w:rPr>
        <w:t>（一）组建评标委员会</w:t>
      </w:r>
    </w:p>
    <w:p>
      <w:pPr>
        <w:ind w:firstLine="424" w:firstLineChars="177"/>
        <w:jc w:val="left"/>
        <w:rPr>
          <w:rFonts w:hint="eastAsia" w:ascii="宋体" w:hAnsi="宋体" w:cs="Arial"/>
          <w:color w:val="auto"/>
          <w:kern w:val="0"/>
          <w:highlight w:val="none"/>
        </w:rPr>
      </w:pPr>
      <w:r>
        <w:rPr>
          <w:rFonts w:hint="eastAsia" w:ascii="宋体" w:hAnsi="宋体" w:cs="Arial"/>
          <w:color w:val="auto"/>
          <w:kern w:val="0"/>
          <w:highlight w:val="none"/>
        </w:rPr>
        <w:t>评标委员会由采购人代表和有关技术、经济等方面的专家组成,成员人数应当为五人以上单数。其中,技术、经济等方面的专家不得少于成员总数的三分之二。</w:t>
      </w:r>
    </w:p>
    <w:p>
      <w:pPr>
        <w:pStyle w:val="6"/>
        <w:ind w:firstLine="482"/>
        <w:rPr>
          <w:rFonts w:hint="eastAsia" w:ascii="宋体" w:hAnsi="宋体" w:cs="宋体"/>
          <w:color w:val="auto"/>
          <w:highlight w:val="none"/>
        </w:rPr>
      </w:pPr>
      <w:r>
        <w:rPr>
          <w:rFonts w:hint="eastAsia" w:ascii="宋体" w:hAnsi="宋体" w:cs="宋体"/>
          <w:color w:val="auto"/>
          <w:highlight w:val="none"/>
        </w:rPr>
        <w:t>（二）评标程序</w:t>
      </w:r>
    </w:p>
    <w:p>
      <w:pPr>
        <w:ind w:firstLine="480"/>
        <w:rPr>
          <w:rFonts w:hint="eastAsia"/>
          <w:color w:val="auto"/>
          <w:highlight w:val="none"/>
        </w:rPr>
      </w:pPr>
      <w:r>
        <w:rPr>
          <w:rFonts w:hint="eastAsia"/>
          <w:color w:val="auto"/>
          <w:highlight w:val="none"/>
        </w:rPr>
        <w:t>1.</w:t>
      </w:r>
      <w:r>
        <w:rPr>
          <w:color w:val="auto"/>
          <w:highlight w:val="none"/>
        </w:rPr>
        <w:t>在评审专家中推选评审小组组长。</w:t>
      </w:r>
    </w:p>
    <w:p>
      <w:pPr>
        <w:ind w:firstLine="480"/>
        <w:rPr>
          <w:rFonts w:hint="eastAsia"/>
          <w:color w:val="auto"/>
          <w:highlight w:val="none"/>
        </w:rPr>
      </w:pPr>
      <w:r>
        <w:rPr>
          <w:rFonts w:hint="eastAsia"/>
          <w:color w:val="auto"/>
          <w:highlight w:val="none"/>
        </w:rPr>
        <w:t>2.</w:t>
      </w:r>
      <w:r>
        <w:rPr>
          <w:color w:val="auto"/>
          <w:highlight w:val="none"/>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ind w:firstLine="480"/>
        <w:rPr>
          <w:rFonts w:hint="eastAsia"/>
          <w:color w:val="auto"/>
          <w:highlight w:val="none"/>
        </w:rPr>
      </w:pPr>
      <w:r>
        <w:rPr>
          <w:rFonts w:hint="eastAsia"/>
          <w:color w:val="auto"/>
          <w:highlight w:val="none"/>
        </w:rPr>
        <w:t>3.招标人或者招标代理机构对</w:t>
      </w:r>
      <w:r>
        <w:rPr>
          <w:color w:val="auto"/>
          <w:highlight w:val="none"/>
        </w:rPr>
        <w:t>各</w:t>
      </w:r>
      <w:r>
        <w:rPr>
          <w:rFonts w:hint="eastAsia"/>
          <w:color w:val="auto"/>
          <w:highlight w:val="none"/>
        </w:rPr>
        <w:t>投标人的资格进行审查，投标人资格条件不符合招标文件要求的投标无效，不再进入符合性审查。</w:t>
      </w:r>
    </w:p>
    <w:p>
      <w:pPr>
        <w:ind w:firstLine="480"/>
        <w:rPr>
          <w:rFonts w:hint="eastAsia"/>
          <w:color w:val="auto"/>
          <w:highlight w:val="none"/>
        </w:rPr>
      </w:pPr>
      <w:r>
        <w:rPr>
          <w:rFonts w:hint="eastAsia"/>
          <w:color w:val="auto"/>
          <w:highlight w:val="none"/>
        </w:rPr>
        <w:t>4.</w:t>
      </w:r>
      <w:r>
        <w:rPr>
          <w:color w:val="auto"/>
          <w:highlight w:val="none"/>
        </w:rPr>
        <w:t>评审小组</w:t>
      </w:r>
      <w:r>
        <w:rPr>
          <w:rFonts w:hint="eastAsia"/>
          <w:color w:val="auto"/>
          <w:highlight w:val="none"/>
        </w:rPr>
        <w:t>对各</w:t>
      </w:r>
      <w:r>
        <w:rPr>
          <w:color w:val="auto"/>
          <w:highlight w:val="none"/>
        </w:rPr>
        <w:t>投标文件的</w:t>
      </w:r>
      <w:r>
        <w:rPr>
          <w:rFonts w:hint="eastAsia"/>
          <w:color w:val="auto"/>
          <w:highlight w:val="none"/>
        </w:rPr>
        <w:t>符合</w:t>
      </w:r>
      <w:r>
        <w:rPr>
          <w:color w:val="auto"/>
          <w:highlight w:val="none"/>
        </w:rPr>
        <w:t>性进行审查，确定是否对招标文件</w:t>
      </w:r>
      <w:r>
        <w:rPr>
          <w:rFonts w:hint="eastAsia"/>
          <w:color w:val="auto"/>
          <w:highlight w:val="none"/>
        </w:rPr>
        <w:t>作出了实质性响应</w:t>
      </w:r>
      <w:r>
        <w:rPr>
          <w:color w:val="auto"/>
          <w:highlight w:val="none"/>
        </w:rPr>
        <w:t>。</w:t>
      </w:r>
      <w:r>
        <w:rPr>
          <w:rFonts w:hint="eastAsia"/>
          <w:color w:val="auto"/>
          <w:highlight w:val="none"/>
        </w:rPr>
        <w:t>实质上没有响应招标文件要求的投标将被视为无效投标，不再进入下一阶段的评审。</w:t>
      </w:r>
    </w:p>
    <w:p>
      <w:pPr>
        <w:ind w:firstLine="480"/>
        <w:rPr>
          <w:rFonts w:hint="eastAsia"/>
          <w:color w:val="auto"/>
          <w:highlight w:val="none"/>
        </w:rPr>
      </w:pPr>
      <w:r>
        <w:rPr>
          <w:rFonts w:hint="eastAsia"/>
          <w:color w:val="auto"/>
          <w:highlight w:val="none"/>
        </w:rPr>
        <w:t>5.</w:t>
      </w:r>
      <w:r>
        <w:rPr>
          <w:color w:val="auto"/>
          <w:highlight w:val="none"/>
        </w:rPr>
        <w:t>评审人员按招标文件规定的评审方法和评审标准，依法独立对供应商投标文件进行评估、比较，并给予评价或打分，不受任何单位和个人的干预。</w:t>
      </w:r>
    </w:p>
    <w:p>
      <w:pPr>
        <w:ind w:firstLine="480"/>
        <w:rPr>
          <w:color w:val="auto"/>
          <w:highlight w:val="none"/>
        </w:rPr>
      </w:pPr>
      <w:r>
        <w:rPr>
          <w:rFonts w:hint="eastAsia"/>
          <w:color w:val="auto"/>
          <w:highlight w:val="none"/>
        </w:rPr>
        <w:t>6.</w:t>
      </w:r>
      <w:r>
        <w:rPr>
          <w:color w:val="auto"/>
          <w:highlight w:val="none"/>
        </w:rPr>
        <w:t>各投标人的得分为所有评委的有效评分的算术平均数</w:t>
      </w:r>
      <w:r>
        <w:rPr>
          <w:rFonts w:hint="eastAsia"/>
          <w:color w:val="auto"/>
          <w:highlight w:val="none"/>
        </w:rPr>
        <w:t>，</w:t>
      </w:r>
      <w:r>
        <w:rPr>
          <w:color w:val="auto"/>
          <w:highlight w:val="none"/>
        </w:rPr>
        <w:t>由指定专人进行计算复核。</w:t>
      </w:r>
    </w:p>
    <w:p>
      <w:pPr>
        <w:ind w:firstLine="480"/>
        <w:rPr>
          <w:rFonts w:hint="eastAsia"/>
          <w:color w:val="auto"/>
          <w:highlight w:val="none"/>
        </w:rPr>
      </w:pPr>
      <w:r>
        <w:rPr>
          <w:rFonts w:hint="eastAsia"/>
          <w:color w:val="auto"/>
          <w:highlight w:val="none"/>
        </w:rPr>
        <w:t>7.</w:t>
      </w:r>
      <w:r>
        <w:rPr>
          <w:color w:val="auto"/>
          <w:highlight w:val="none"/>
        </w:rPr>
        <w:t>评标委员会完成评标后,评委对各部分得分汇总,</w:t>
      </w:r>
      <w:r>
        <w:rPr>
          <w:rFonts w:hint="eastAsia"/>
          <w:color w:val="auto"/>
          <w:highlight w:val="none"/>
        </w:rPr>
        <w:t>计算</w:t>
      </w:r>
      <w:r>
        <w:rPr>
          <w:color w:val="auto"/>
          <w:highlight w:val="none"/>
        </w:rPr>
        <w:t>出本项目</w:t>
      </w:r>
      <w:r>
        <w:rPr>
          <w:rFonts w:hint="eastAsia"/>
          <w:color w:val="auto"/>
          <w:highlight w:val="none"/>
        </w:rPr>
        <w:t>最终得分</w:t>
      </w:r>
      <w:r>
        <w:rPr>
          <w:color w:val="auto"/>
          <w:highlight w:val="none"/>
        </w:rPr>
        <w:t>。评标委员会按评标原则推荐中标候选人</w:t>
      </w:r>
      <w:r>
        <w:rPr>
          <w:rFonts w:hint="eastAsia"/>
          <w:color w:val="auto"/>
          <w:highlight w:val="none"/>
        </w:rPr>
        <w:t>，</w:t>
      </w:r>
      <w:r>
        <w:rPr>
          <w:color w:val="auto"/>
          <w:highlight w:val="none"/>
        </w:rPr>
        <w:t>同时起草评标报告。</w:t>
      </w:r>
    </w:p>
    <w:p>
      <w:pPr>
        <w:ind w:firstLine="480"/>
        <w:rPr>
          <w:rFonts w:hint="eastAsia"/>
          <w:color w:val="auto"/>
          <w:highlight w:val="none"/>
        </w:rPr>
      </w:pPr>
      <w:r>
        <w:rPr>
          <w:rFonts w:hint="eastAsia"/>
          <w:color w:val="auto"/>
          <w:highlight w:val="none"/>
        </w:rPr>
        <w:t>8.实质上响应招标文件要求的投标人不足三家的，除财政部门另有规定外，应当作废标处理。</w:t>
      </w:r>
    </w:p>
    <w:p>
      <w:pPr>
        <w:pStyle w:val="6"/>
        <w:ind w:firstLine="482"/>
        <w:rPr>
          <w:rFonts w:hint="eastAsia" w:ascii="宋体" w:hAnsi="宋体" w:cs="宋体"/>
          <w:color w:val="auto"/>
          <w:highlight w:val="none"/>
        </w:rPr>
      </w:pPr>
      <w:r>
        <w:rPr>
          <w:rFonts w:hint="eastAsia" w:ascii="宋体" w:hAnsi="宋体" w:cs="宋体"/>
          <w:color w:val="auto"/>
          <w:highlight w:val="none"/>
        </w:rPr>
        <w:t>（三）澄清问题的形式</w:t>
      </w:r>
    </w:p>
    <w:p>
      <w:pPr>
        <w:autoSpaceDE w:val="0"/>
        <w:autoSpaceDN w:val="0"/>
        <w:adjustRightInd w:val="0"/>
        <w:ind w:firstLine="480"/>
        <w:jc w:val="left"/>
        <w:rPr>
          <w:rFonts w:hint="eastAsia" w:ascii="宋体" w:hAnsi="宋体"/>
          <w:color w:val="auto"/>
          <w:highlight w:val="none"/>
        </w:rPr>
      </w:pPr>
      <w:r>
        <w:rPr>
          <w:rFonts w:hint="eastAsia" w:ascii="宋体" w:hAnsi="宋体"/>
          <w:color w:val="auto"/>
          <w:highlight w:val="none"/>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autoSpaceDE w:val="0"/>
        <w:autoSpaceDN w:val="0"/>
        <w:adjustRightInd w:val="0"/>
        <w:ind w:firstLine="480"/>
        <w:jc w:val="left"/>
        <w:rPr>
          <w:rFonts w:ascii="宋体" w:hAnsi="宋体"/>
          <w:color w:val="auto"/>
          <w:highlight w:val="none"/>
        </w:rPr>
      </w:pPr>
      <w:r>
        <w:rPr>
          <w:rFonts w:hint="eastAsia" w:ascii="宋体" w:hAnsi="宋体"/>
          <w:color w:val="auto"/>
          <w:highlight w:val="none"/>
        </w:rPr>
        <w:t>评标委员会发出澄清内容后，供应商应当在</w:t>
      </w:r>
      <w:r>
        <w:rPr>
          <w:rFonts w:hint="eastAsia" w:ascii="宋体" w:hAnsi="宋体"/>
          <w:i/>
          <w:color w:val="auto"/>
          <w:highlight w:val="none"/>
          <w:u w:val="single"/>
        </w:rPr>
        <w:t>规定的时间内</w:t>
      </w:r>
      <w:r>
        <w:rPr>
          <w:rFonts w:hint="eastAsia" w:ascii="宋体" w:hAnsi="宋体"/>
          <w:color w:val="auto"/>
          <w:highlight w:val="none"/>
        </w:rPr>
        <w:t>钟内提交澄清说明或补正，否则视为供应商放弃答复，并</w:t>
      </w:r>
      <w:r>
        <w:rPr>
          <w:rFonts w:hint="eastAsia" w:ascii="宋体" w:hAnsi="宋体" w:cs="Arial"/>
          <w:color w:val="auto"/>
          <w:kern w:val="0"/>
          <w:highlight w:val="none"/>
        </w:rPr>
        <w:t>自行承担因此而产生的不利后果。</w:t>
      </w:r>
      <w:r>
        <w:rPr>
          <w:rFonts w:hint="eastAsia" w:ascii="宋体" w:hAnsi="宋体"/>
          <w:color w:val="auto"/>
          <w:highlight w:val="none"/>
        </w:rPr>
        <w:t>澄清、说明或者补正不得超出投标文件的范围或者改变投标文件的实质性内容。</w:t>
      </w:r>
    </w:p>
    <w:p>
      <w:pPr>
        <w:pStyle w:val="6"/>
        <w:ind w:firstLine="482"/>
        <w:rPr>
          <w:rFonts w:hint="eastAsia" w:ascii="宋体" w:hAnsi="宋体" w:cs="宋体"/>
          <w:color w:val="auto"/>
          <w:highlight w:val="none"/>
        </w:rPr>
      </w:pPr>
      <w:r>
        <w:rPr>
          <w:rFonts w:hint="eastAsia" w:ascii="宋体" w:hAnsi="宋体" w:cs="宋体"/>
          <w:color w:val="auto"/>
          <w:highlight w:val="none"/>
        </w:rPr>
        <w:t>（四）错误修正</w:t>
      </w:r>
    </w:p>
    <w:p>
      <w:pPr>
        <w:ind w:firstLine="480"/>
        <w:rPr>
          <w:rFonts w:ascii="宋体" w:hAnsi="宋体" w:cs="Arial"/>
          <w:color w:val="auto"/>
          <w:kern w:val="0"/>
          <w:highlight w:val="none"/>
        </w:rPr>
      </w:pPr>
      <w:r>
        <w:rPr>
          <w:rFonts w:ascii="宋体" w:hAnsi="宋体" w:cs="Arial"/>
          <w:color w:val="auto"/>
          <w:kern w:val="0"/>
          <w:highlight w:val="none"/>
        </w:rPr>
        <w:t>投标文件报价出现前后不一致的，按照下列规定修正：</w:t>
      </w:r>
    </w:p>
    <w:p>
      <w:pPr>
        <w:autoSpaceDE w:val="0"/>
        <w:autoSpaceDN w:val="0"/>
        <w:adjustRightInd w:val="0"/>
        <w:ind w:firstLine="480"/>
        <w:jc w:val="left"/>
        <w:rPr>
          <w:rFonts w:hint="eastAsia" w:ascii="宋体" w:hAnsi="宋体"/>
          <w:color w:val="auto"/>
          <w:highlight w:val="none"/>
        </w:rPr>
      </w:pPr>
      <w:r>
        <w:rPr>
          <w:rFonts w:hint="eastAsia" w:ascii="宋体" w:hAnsi="宋体"/>
          <w:color w:val="auto"/>
          <w:highlight w:val="none"/>
        </w:rPr>
        <w:t>1.电子交易平台生成的开标记录表内容与投标文件中相应内容不一致的，以电子交易平台生成的开标记录表为准；（出现万元或元单位错误时，以供应商澄清确认后的合理报价为准）；</w:t>
      </w:r>
    </w:p>
    <w:p>
      <w:pPr>
        <w:autoSpaceDE w:val="0"/>
        <w:autoSpaceDN w:val="0"/>
        <w:adjustRightInd w:val="0"/>
        <w:ind w:firstLine="480"/>
        <w:jc w:val="left"/>
        <w:rPr>
          <w:rFonts w:hint="eastAsia" w:ascii="宋体" w:hAnsi="宋体"/>
          <w:color w:val="auto"/>
          <w:highlight w:val="none"/>
        </w:rPr>
      </w:pPr>
      <w:r>
        <w:rPr>
          <w:rFonts w:hint="eastAsia" w:ascii="宋体" w:hAnsi="宋体"/>
          <w:color w:val="auto"/>
          <w:highlight w:val="none"/>
        </w:rPr>
        <w:t>2.大写金额和小写金额不一致的，以大写金额为准；</w:t>
      </w:r>
    </w:p>
    <w:p>
      <w:pPr>
        <w:autoSpaceDE w:val="0"/>
        <w:autoSpaceDN w:val="0"/>
        <w:adjustRightInd w:val="0"/>
        <w:ind w:firstLine="480"/>
        <w:jc w:val="left"/>
        <w:rPr>
          <w:rFonts w:hint="eastAsia" w:ascii="宋体" w:hAnsi="宋体"/>
          <w:color w:val="auto"/>
          <w:highlight w:val="none"/>
        </w:rPr>
      </w:pPr>
      <w:r>
        <w:rPr>
          <w:rFonts w:hint="eastAsia" w:ascii="宋体" w:hAnsi="宋体"/>
          <w:color w:val="auto"/>
          <w:highlight w:val="none"/>
        </w:rPr>
        <w:t>3.单价金额小数点或者百分比有明显错位的，以开标一览表的总价为准，并修改单价；</w:t>
      </w:r>
    </w:p>
    <w:p>
      <w:pPr>
        <w:autoSpaceDE w:val="0"/>
        <w:autoSpaceDN w:val="0"/>
        <w:adjustRightInd w:val="0"/>
        <w:ind w:firstLine="480"/>
        <w:jc w:val="left"/>
        <w:rPr>
          <w:rFonts w:hint="eastAsia" w:ascii="宋体" w:hAnsi="宋体"/>
          <w:color w:val="auto"/>
          <w:highlight w:val="none"/>
        </w:rPr>
      </w:pPr>
      <w:r>
        <w:rPr>
          <w:rFonts w:hint="eastAsia" w:ascii="宋体" w:hAnsi="宋体"/>
          <w:color w:val="auto"/>
          <w:highlight w:val="none"/>
        </w:rPr>
        <w:t>4.总价金额与按单价汇总金额不一致的，以单价金额计算结果为准。</w:t>
      </w:r>
    </w:p>
    <w:p>
      <w:pPr>
        <w:autoSpaceDE w:val="0"/>
        <w:autoSpaceDN w:val="0"/>
        <w:adjustRightInd w:val="0"/>
        <w:ind w:firstLine="480"/>
        <w:jc w:val="left"/>
        <w:rPr>
          <w:rFonts w:hint="eastAsia" w:ascii="宋体" w:hAnsi="宋体" w:cs="宋体"/>
          <w:color w:val="auto"/>
          <w:highlight w:val="none"/>
        </w:rPr>
      </w:pPr>
      <w:r>
        <w:rPr>
          <w:rFonts w:hint="eastAsia" w:ascii="宋体" w:hAnsi="宋体"/>
          <w:color w:val="auto"/>
          <w:highlight w:val="none"/>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pStyle w:val="6"/>
        <w:ind w:firstLine="482"/>
        <w:rPr>
          <w:rFonts w:hint="eastAsia" w:ascii="宋体" w:hAnsi="宋体" w:cs="宋体"/>
          <w:color w:val="auto"/>
          <w:highlight w:val="none"/>
        </w:rPr>
      </w:pPr>
      <w:r>
        <w:rPr>
          <w:rFonts w:hint="eastAsia" w:ascii="宋体" w:hAnsi="宋体" w:cs="宋体"/>
          <w:color w:val="auto"/>
          <w:highlight w:val="none"/>
        </w:rPr>
        <w:t>（五）评标原则和评标办法</w:t>
      </w:r>
    </w:p>
    <w:p>
      <w:pPr>
        <w:ind w:firstLine="480"/>
        <w:rPr>
          <w:rFonts w:hint="eastAsia" w:ascii="宋体" w:hAnsi="宋体" w:cs="宋体"/>
          <w:color w:val="auto"/>
          <w:highlight w:val="none"/>
        </w:rPr>
      </w:pPr>
      <w:r>
        <w:rPr>
          <w:rFonts w:hint="eastAsia" w:ascii="宋体" w:hAnsi="宋体" w:cs="宋体"/>
          <w:color w:val="auto"/>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rPr>
          <w:rFonts w:hint="eastAsia" w:ascii="宋体" w:hAnsi="宋体" w:cs="宋体"/>
          <w:color w:val="auto"/>
          <w:highlight w:val="none"/>
        </w:rPr>
      </w:pPr>
      <w:r>
        <w:rPr>
          <w:rFonts w:hint="eastAsia" w:ascii="宋体" w:hAnsi="宋体" w:cs="宋体"/>
          <w:color w:val="auto"/>
          <w:highlight w:val="none"/>
        </w:rPr>
        <w:t>2.采用最低评标价法的采购项目，提供相同品牌产品的不同投标人参加同一合同项下投标的，以其中通过资格审查、符合性审查且报价最低的参加评标；报价相同的，采取随机抽取方式确定（或其他招标文件规定的方式），其他投标无效。</w:t>
      </w:r>
    </w:p>
    <w:p>
      <w:pPr>
        <w:ind w:firstLine="480"/>
        <w:rPr>
          <w:rFonts w:hint="eastAsia"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或招标文件规定的其他方式）确定一个投标人获得中标人推荐资格，其他同品牌投标人不作为中标候选人。</w:t>
      </w:r>
    </w:p>
    <w:p>
      <w:pPr>
        <w:ind w:firstLine="482"/>
        <w:rPr>
          <w:rFonts w:hint="eastAsia"/>
          <w:b/>
          <w:bCs/>
          <w:color w:val="auto"/>
          <w:highlight w:val="none"/>
        </w:rPr>
      </w:pPr>
      <w:r>
        <w:rPr>
          <w:rFonts w:hint="eastAsia"/>
          <w:b/>
          <w:bCs/>
          <w:color w:val="auto"/>
          <w:highlight w:val="none"/>
        </w:rPr>
        <w:t xml:space="preserve"> 项目核心产品为摄像机。多个投标人提供的核心产品品牌均相同的，按一家供应商计算。</w:t>
      </w:r>
    </w:p>
    <w:p>
      <w:pPr>
        <w:ind w:firstLine="482"/>
        <w:rPr>
          <w:rFonts w:hint="eastAsia"/>
          <w:b/>
          <w:bCs/>
          <w:color w:val="auto"/>
          <w:highlight w:val="none"/>
        </w:rPr>
      </w:pPr>
      <w:r>
        <w:rPr>
          <w:rFonts w:hint="eastAsia"/>
          <w:b/>
          <w:bCs/>
          <w:color w:val="auto"/>
          <w:highlight w:val="none"/>
        </w:rPr>
        <w:t>多个投标人提供的核心产品品牌均相同的，按一家供应商计算。</w:t>
      </w:r>
    </w:p>
    <w:p>
      <w:pPr>
        <w:ind w:firstLine="480"/>
        <w:rPr>
          <w:rFonts w:hint="eastAsia" w:ascii="宋体" w:hAnsi="宋体" w:cs="宋体"/>
          <w:color w:val="auto"/>
          <w:highlight w:val="none"/>
        </w:rPr>
      </w:pPr>
      <w:r>
        <w:rPr>
          <w:rFonts w:hint="eastAsia" w:ascii="宋体" w:hAnsi="宋体" w:cs="宋体"/>
          <w:color w:val="auto"/>
          <w:highlight w:val="none"/>
        </w:rPr>
        <w:t>3.本项目评标办法是综合评分法/最低评标价法，具体评标内容及评分标准等详见第三章《评标办法》。</w:t>
      </w:r>
    </w:p>
    <w:p>
      <w:pPr>
        <w:pStyle w:val="5"/>
        <w:numPr>
          <w:ilvl w:val="0"/>
          <w:numId w:val="6"/>
        </w:numPr>
        <w:ind w:firstLine="0" w:firstLineChars="0"/>
        <w:rPr>
          <w:rFonts w:hint="eastAsia" w:ascii="宋体" w:hAnsi="宋体" w:cs="宋体"/>
          <w:color w:val="auto"/>
          <w:highlight w:val="none"/>
        </w:rPr>
      </w:pPr>
      <w:bookmarkStart w:id="70" w:name="_Toc22987"/>
      <w:r>
        <w:rPr>
          <w:rFonts w:hint="eastAsia" w:ascii="宋体" w:hAnsi="宋体" w:cs="宋体"/>
          <w:color w:val="auto"/>
          <w:highlight w:val="none"/>
        </w:rPr>
        <w:t>定标</w:t>
      </w:r>
      <w:bookmarkEnd w:id="70"/>
    </w:p>
    <w:p>
      <w:pPr>
        <w:pStyle w:val="6"/>
        <w:ind w:firstLine="482"/>
        <w:rPr>
          <w:rFonts w:hint="eastAsia" w:ascii="宋体" w:hAnsi="宋体" w:cs="宋体"/>
          <w:color w:val="auto"/>
          <w:highlight w:val="none"/>
        </w:rPr>
      </w:pPr>
      <w:r>
        <w:rPr>
          <w:rFonts w:hint="eastAsia" w:ascii="宋体" w:hAnsi="宋体" w:cs="宋体"/>
          <w:color w:val="auto"/>
          <w:highlight w:val="none"/>
        </w:rPr>
        <w:t>（一）确定中标人</w:t>
      </w:r>
    </w:p>
    <w:p>
      <w:pPr>
        <w:ind w:firstLine="480"/>
        <w:rPr>
          <w:rFonts w:hint="eastAsia" w:ascii="宋体" w:hAnsi="宋体" w:cs="宋体"/>
          <w:color w:val="auto"/>
          <w:highlight w:val="none"/>
        </w:rPr>
      </w:pPr>
      <w:r>
        <w:rPr>
          <w:rFonts w:hint="eastAsia" w:ascii="宋体" w:hAnsi="宋体" w:cs="宋体"/>
          <w:color w:val="auto"/>
          <w:highlight w:val="none"/>
        </w:rPr>
        <w:t>1.采购人依法确定中标人后2个工作日内，采购代理机构以书面形式发出《中标通知书》和《招标结果通知书》,并同时在相关网站上发布中标公告。</w:t>
      </w:r>
    </w:p>
    <w:p>
      <w:pPr>
        <w:pStyle w:val="5"/>
        <w:numPr>
          <w:ilvl w:val="0"/>
          <w:numId w:val="6"/>
        </w:numPr>
        <w:ind w:firstLine="0" w:firstLineChars="0"/>
        <w:rPr>
          <w:rFonts w:hint="eastAsia" w:ascii="宋体" w:hAnsi="宋体" w:cs="宋体"/>
          <w:color w:val="auto"/>
          <w:highlight w:val="none"/>
        </w:rPr>
      </w:pPr>
      <w:bookmarkStart w:id="71" w:name="_Toc28845"/>
      <w:r>
        <w:rPr>
          <w:rFonts w:hint="eastAsia" w:ascii="宋体" w:hAnsi="宋体" w:cs="宋体"/>
          <w:color w:val="auto"/>
          <w:highlight w:val="none"/>
        </w:rPr>
        <w:t>合同授予</w:t>
      </w:r>
      <w:bookmarkEnd w:id="71"/>
    </w:p>
    <w:p>
      <w:pPr>
        <w:pStyle w:val="6"/>
        <w:ind w:firstLine="482"/>
        <w:rPr>
          <w:rFonts w:hint="eastAsia" w:ascii="宋体" w:hAnsi="宋体" w:cs="宋体"/>
          <w:color w:val="auto"/>
          <w:highlight w:val="none"/>
        </w:rPr>
      </w:pPr>
      <w:r>
        <w:rPr>
          <w:rFonts w:hint="eastAsia" w:ascii="宋体" w:hAnsi="宋体" w:cs="宋体"/>
          <w:color w:val="auto"/>
          <w:highlight w:val="none"/>
        </w:rPr>
        <w:t>（一）签订合同</w:t>
      </w:r>
    </w:p>
    <w:p>
      <w:pPr>
        <w:ind w:firstLine="480"/>
        <w:rPr>
          <w:rFonts w:hint="eastAsia" w:ascii="宋体" w:hAnsi="宋体" w:cs="宋体"/>
          <w:color w:val="auto"/>
          <w:highlight w:val="none"/>
        </w:rPr>
      </w:pPr>
      <w:r>
        <w:rPr>
          <w:rFonts w:hint="eastAsia" w:ascii="宋体" w:hAnsi="宋体" w:cs="宋体"/>
          <w:color w:val="auto"/>
          <w:highlight w:val="none"/>
        </w:rPr>
        <w:t>1.采购人与中标人应当在《中标通知书》发出之日起30日内签订政府采购合同。</w:t>
      </w:r>
    </w:p>
    <w:p>
      <w:pPr>
        <w:ind w:firstLine="480"/>
        <w:rPr>
          <w:rFonts w:hint="eastAsia" w:ascii="宋体" w:hAnsi="宋体" w:cs="宋体"/>
          <w:color w:val="auto"/>
          <w:highlight w:val="none"/>
        </w:rPr>
      </w:pPr>
      <w:r>
        <w:rPr>
          <w:rFonts w:hint="eastAsia" w:ascii="宋体" w:hAnsi="宋体" w:cs="宋体"/>
          <w:color w:val="auto"/>
          <w:highlight w:val="none"/>
        </w:rPr>
        <w:t>2.中标人拖延、拒签合同的,将被取消中标资格。</w:t>
      </w:r>
    </w:p>
    <w:p>
      <w:pPr>
        <w:pStyle w:val="6"/>
        <w:ind w:firstLine="482"/>
        <w:rPr>
          <w:rFonts w:hint="eastAsia" w:ascii="宋体" w:hAnsi="宋体" w:cs="宋体"/>
          <w:color w:val="auto"/>
          <w:highlight w:val="none"/>
        </w:rPr>
      </w:pPr>
      <w:r>
        <w:rPr>
          <w:rFonts w:hint="eastAsia" w:ascii="宋体" w:hAnsi="宋体" w:cs="宋体"/>
          <w:color w:val="auto"/>
          <w:highlight w:val="none"/>
        </w:rPr>
        <w:t>（二）履约保证金</w:t>
      </w:r>
    </w:p>
    <w:p>
      <w:pPr>
        <w:ind w:firstLine="480"/>
        <w:rPr>
          <w:rFonts w:hint="eastAsia" w:ascii="宋体" w:hAnsi="宋体" w:cs="宋体"/>
          <w:color w:val="auto"/>
          <w:highlight w:val="none"/>
        </w:rPr>
      </w:pPr>
      <w:r>
        <w:rPr>
          <w:rFonts w:hint="eastAsia" w:ascii="宋体" w:hAnsi="宋体" w:cs="宋体"/>
          <w:color w:val="auto"/>
          <w:highlight w:val="none"/>
        </w:rPr>
        <w:t>1.中标人应按招标文件确定的履约保证金金额，向采购人交纳履约保证金。</w:t>
      </w:r>
    </w:p>
    <w:p>
      <w:pPr>
        <w:ind w:firstLine="480"/>
        <w:rPr>
          <w:rFonts w:hint="eastAsia" w:ascii="宋体" w:hAnsi="宋体" w:cs="宋体"/>
          <w:color w:val="auto"/>
          <w:highlight w:val="none"/>
        </w:rPr>
      </w:pPr>
      <w:r>
        <w:rPr>
          <w:rFonts w:hint="eastAsia" w:ascii="宋体" w:hAnsi="宋体" w:cs="宋体"/>
          <w:color w:val="auto"/>
          <w:highlight w:val="none"/>
        </w:rPr>
        <w:t>2.签订合同后，如中标人不按双方合同约定履约，则没收其全部履约保证金。</w:t>
      </w:r>
    </w:p>
    <w:p>
      <w:pPr>
        <w:ind w:firstLine="480"/>
        <w:rPr>
          <w:rFonts w:hint="eastAsia" w:ascii="宋体" w:hAnsi="宋体" w:cs="宋体"/>
          <w:color w:val="auto"/>
          <w:highlight w:val="none"/>
        </w:rPr>
      </w:pPr>
    </w:p>
    <w:p>
      <w:pPr>
        <w:pStyle w:val="4"/>
        <w:numPr>
          <w:ilvl w:val="0"/>
          <w:numId w:val="2"/>
        </w:numPr>
        <w:ind w:firstLine="0" w:firstLineChars="0"/>
        <w:rPr>
          <w:rFonts w:hint="eastAsia" w:ascii="宋体" w:hAnsi="宋体" w:cs="宋体"/>
          <w:color w:val="auto"/>
          <w:highlight w:val="none"/>
        </w:rPr>
      </w:pPr>
      <w:r>
        <w:rPr>
          <w:rFonts w:hint="eastAsia" w:ascii="宋体" w:hAnsi="宋体" w:cs="宋体"/>
          <w:color w:val="auto"/>
          <w:highlight w:val="none"/>
        </w:rPr>
        <w:br w:type="page"/>
      </w:r>
      <w:bookmarkStart w:id="72" w:name="_Toc10682"/>
      <w:r>
        <w:rPr>
          <w:rFonts w:hint="eastAsia" w:ascii="宋体" w:hAnsi="宋体" w:cs="宋体"/>
          <w:color w:val="auto"/>
          <w:highlight w:val="none"/>
        </w:rPr>
        <w:t>评标办法</w:t>
      </w:r>
      <w:bookmarkEnd w:id="72"/>
    </w:p>
    <w:p>
      <w:pPr>
        <w:spacing w:before="120" w:beforeLines="50" w:after="120" w:afterLines="50"/>
        <w:ind w:firstLine="480"/>
        <w:rPr>
          <w:rFonts w:hint="eastAsia" w:ascii="宋体" w:hAnsi="宋体" w:cs="宋体"/>
          <w:color w:val="auto"/>
          <w:highlight w:val="none"/>
        </w:rPr>
      </w:pPr>
      <w:r>
        <w:rPr>
          <w:rFonts w:hint="eastAsia" w:ascii="宋体" w:hAnsi="宋体" w:cs="宋体"/>
          <w:color w:val="auto"/>
          <w:highlight w:val="none"/>
        </w:rPr>
        <w:t>为公正、公平、科学地选择中标人，根据《中华人民共和国政府采购法》等有关法律法规的规定，并结合本项目的实际，制定本办法。</w:t>
      </w:r>
    </w:p>
    <w:p>
      <w:pPr>
        <w:spacing w:before="120" w:beforeLines="50" w:after="120" w:afterLines="50"/>
        <w:ind w:firstLine="480"/>
        <w:rPr>
          <w:rFonts w:hint="eastAsia" w:ascii="宋体" w:hAnsi="宋体" w:cs="宋体"/>
          <w:bCs/>
          <w:color w:val="auto"/>
          <w:szCs w:val="48"/>
          <w:highlight w:val="none"/>
        </w:rPr>
      </w:pPr>
      <w:r>
        <w:rPr>
          <w:rFonts w:hint="eastAsia" w:ascii="宋体" w:hAnsi="宋体" w:cs="宋体"/>
          <w:color w:val="auto"/>
          <w:highlight w:val="none"/>
        </w:rPr>
        <w:t>本办法适用于</w:t>
      </w:r>
      <w:r>
        <w:rPr>
          <w:rFonts w:hint="eastAsia" w:ascii="宋体" w:hAnsi="宋体" w:cs="宋体"/>
          <w:color w:val="auto"/>
          <w:highlight w:val="none"/>
          <w:u w:val="single"/>
        </w:rPr>
        <w:t>安防系统技防提升（一期）</w:t>
      </w:r>
      <w:r>
        <w:rPr>
          <w:rFonts w:hint="eastAsia" w:ascii="宋体" w:hAnsi="宋体" w:cs="宋体"/>
          <w:bCs/>
          <w:color w:val="auto"/>
          <w:szCs w:val="48"/>
          <w:highlight w:val="none"/>
        </w:rPr>
        <w:t>项目的评审。</w:t>
      </w:r>
    </w:p>
    <w:p>
      <w:pPr>
        <w:pStyle w:val="5"/>
        <w:numPr>
          <w:ilvl w:val="0"/>
          <w:numId w:val="9"/>
        </w:numPr>
        <w:ind w:firstLine="562"/>
        <w:rPr>
          <w:rFonts w:hint="eastAsia" w:ascii="宋体" w:hAnsi="宋体" w:cs="宋体"/>
          <w:color w:val="auto"/>
          <w:highlight w:val="none"/>
        </w:rPr>
      </w:pPr>
      <w:bookmarkStart w:id="73" w:name="_Toc5158"/>
      <w:bookmarkStart w:id="74" w:name="_Toc27300"/>
      <w:bookmarkStart w:id="75" w:name="_Toc31725"/>
      <w:r>
        <w:rPr>
          <w:rFonts w:hint="eastAsia" w:ascii="宋体" w:hAnsi="宋体" w:cs="宋体"/>
          <w:color w:val="auto"/>
          <w:highlight w:val="none"/>
        </w:rPr>
        <w:t>总则</w:t>
      </w:r>
      <w:bookmarkEnd w:id="73"/>
      <w:bookmarkEnd w:id="74"/>
      <w:bookmarkEnd w:id="75"/>
    </w:p>
    <w:p>
      <w:pPr>
        <w:spacing w:before="120" w:beforeLines="50" w:after="120" w:afterLines="50"/>
        <w:ind w:firstLine="480"/>
        <w:rPr>
          <w:rFonts w:hint="eastAsia" w:ascii="宋体" w:hAnsi="宋体" w:cs="宋体"/>
          <w:bCs/>
          <w:color w:val="auto"/>
          <w:highlight w:val="none"/>
        </w:rPr>
      </w:pPr>
      <w:r>
        <w:rPr>
          <w:rFonts w:hint="eastAsia" w:ascii="宋体" w:hAnsi="宋体" w:cs="宋体"/>
          <w:color w:val="auto"/>
          <w:highlight w:val="none"/>
        </w:rPr>
        <w:t>本次评审采用综合评分法，总分为100分，其中价格分</w:t>
      </w:r>
      <w:r>
        <w:rPr>
          <w:rFonts w:hint="eastAsia" w:ascii="宋体" w:hAnsi="宋体" w:cs="宋体"/>
          <w:color w:val="auto"/>
          <w:highlight w:val="none"/>
          <w:u w:val="single"/>
        </w:rPr>
        <w:t>30</w:t>
      </w:r>
      <w:r>
        <w:rPr>
          <w:rFonts w:hint="eastAsia" w:ascii="宋体" w:hAnsi="宋体" w:cs="宋体"/>
          <w:color w:val="auto"/>
          <w:highlight w:val="none"/>
        </w:rPr>
        <w:t>分，商务分</w:t>
      </w:r>
      <w:r>
        <w:rPr>
          <w:rFonts w:hint="eastAsia" w:ascii="宋体" w:hAnsi="宋体" w:cs="宋体"/>
          <w:color w:val="auto"/>
          <w:highlight w:val="none"/>
          <w:u w:val="single"/>
          <w:lang w:val="en-US" w:eastAsia="zh-CN"/>
        </w:rPr>
        <w:t>9</w:t>
      </w:r>
      <w:r>
        <w:rPr>
          <w:rFonts w:hint="eastAsia" w:ascii="宋体" w:hAnsi="宋体" w:cs="宋体"/>
          <w:color w:val="auto"/>
          <w:highlight w:val="none"/>
        </w:rPr>
        <w:t>分，技术分</w:t>
      </w:r>
      <w:r>
        <w:rPr>
          <w:rFonts w:hint="eastAsia" w:ascii="宋体" w:hAnsi="宋体" w:cs="宋体"/>
          <w:color w:val="auto"/>
          <w:highlight w:val="none"/>
          <w:u w:val="single"/>
        </w:rPr>
        <w:t xml:space="preserve"> 6</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 xml:space="preserve"> </w:t>
      </w:r>
      <w:r>
        <w:rPr>
          <w:rFonts w:hint="eastAsia" w:ascii="宋体" w:hAnsi="宋体" w:cs="宋体"/>
          <w:color w:val="auto"/>
          <w:highlight w:val="none"/>
        </w:rPr>
        <w:t>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r>
        <w:rPr>
          <w:rFonts w:hint="eastAsia" w:ascii="宋体" w:hAnsi="宋体" w:cs="宋体"/>
          <w:bCs/>
          <w:color w:val="auto"/>
          <w:highlight w:val="none"/>
        </w:rPr>
        <w:t>除财政部门另有规定外，评标委员会推荐得分排列前</w:t>
      </w:r>
      <w:r>
        <w:rPr>
          <w:rFonts w:hint="eastAsia" w:ascii="宋体" w:hAnsi="宋体" w:cs="宋体"/>
          <w:bCs/>
          <w:color w:val="auto"/>
          <w:highlight w:val="none"/>
          <w:u w:val="single"/>
        </w:rPr>
        <w:t xml:space="preserve"> 3 </w:t>
      </w:r>
      <w:r>
        <w:rPr>
          <w:rFonts w:hint="eastAsia" w:ascii="宋体" w:hAnsi="宋体" w:cs="宋体"/>
          <w:bCs/>
          <w:color w:val="auto"/>
          <w:highlight w:val="none"/>
        </w:rPr>
        <w:t>名的投标人为中标候选人。</w:t>
      </w:r>
    </w:p>
    <w:p>
      <w:pPr>
        <w:spacing w:before="120" w:beforeLines="50" w:after="120" w:afterLines="50"/>
        <w:ind w:firstLine="480"/>
        <w:rPr>
          <w:rFonts w:hint="eastAsia" w:ascii="宋体" w:hAnsi="宋体" w:cs="宋体"/>
          <w:color w:val="auto"/>
          <w:highlight w:val="none"/>
        </w:rPr>
      </w:pPr>
      <w:r>
        <w:rPr>
          <w:rFonts w:hint="eastAsia" w:ascii="宋体" w:hAnsi="宋体" w:cs="宋体"/>
          <w:color w:val="auto"/>
          <w:highlight w:val="none"/>
        </w:rPr>
        <w:t>商务技术分=评审小组人数评标委员会所有成员评分合计数/评标委员会组成人员数</w:t>
      </w:r>
    </w:p>
    <w:p>
      <w:pPr>
        <w:spacing w:before="120" w:beforeLines="50" w:after="120" w:afterLines="50"/>
        <w:ind w:firstLine="480"/>
        <w:rPr>
          <w:rFonts w:hint="eastAsia" w:ascii="宋体" w:hAnsi="宋体" w:cs="宋体"/>
          <w:bCs/>
          <w:color w:val="auto"/>
          <w:highlight w:val="none"/>
        </w:rPr>
      </w:pPr>
      <w:r>
        <w:rPr>
          <w:rFonts w:hint="eastAsia" w:ascii="宋体" w:hAnsi="宋体" w:cs="宋体"/>
          <w:bCs/>
          <w:color w:val="auto"/>
          <w:highlight w:val="none"/>
        </w:rPr>
        <w:t>投标人评标综合得分=价格分+商务分+技术分</w:t>
      </w:r>
    </w:p>
    <w:p>
      <w:pPr>
        <w:pStyle w:val="5"/>
        <w:numPr>
          <w:ilvl w:val="0"/>
          <w:numId w:val="9"/>
        </w:numPr>
        <w:ind w:firstLine="562"/>
        <w:rPr>
          <w:rFonts w:hint="eastAsia" w:ascii="宋体" w:hAnsi="宋体" w:cs="宋体"/>
          <w:color w:val="auto"/>
          <w:highlight w:val="none"/>
        </w:rPr>
      </w:pPr>
      <w:bookmarkStart w:id="76" w:name="_Toc10262"/>
      <w:r>
        <w:rPr>
          <w:rFonts w:hint="eastAsia" w:ascii="宋体" w:hAnsi="宋体" w:cs="宋体"/>
          <w:color w:val="auto"/>
          <w:highlight w:val="none"/>
        </w:rPr>
        <w:t>资格审查</w:t>
      </w:r>
      <w:bookmarkEnd w:id="76"/>
    </w:p>
    <w:p>
      <w:pPr>
        <w:spacing w:before="120" w:beforeLines="50" w:after="120" w:afterLines="50"/>
        <w:ind w:firstLine="480"/>
        <w:rPr>
          <w:rFonts w:hint="eastAsia" w:ascii="宋体" w:hAnsi="宋体" w:cs="宋体"/>
          <w:color w:val="auto"/>
          <w:highlight w:val="none"/>
        </w:rPr>
      </w:pPr>
      <w:r>
        <w:rPr>
          <w:rFonts w:hint="eastAsia" w:ascii="宋体" w:hAnsi="宋体" w:cs="宋体"/>
          <w:color w:val="auto"/>
          <w:highlight w:val="none"/>
        </w:rPr>
        <w:t>招标人或者招标代理机构对各投标人的资格进行审查，投标人资格条件不符合招标文件要求的投标无效，不再进入符合性审查。</w:t>
      </w:r>
    </w:p>
    <w:p>
      <w:pPr>
        <w:pStyle w:val="5"/>
        <w:numPr>
          <w:ilvl w:val="0"/>
          <w:numId w:val="9"/>
        </w:numPr>
        <w:ind w:firstLine="562"/>
        <w:rPr>
          <w:rFonts w:hint="eastAsia" w:ascii="宋体" w:hAnsi="宋体" w:cs="宋体"/>
          <w:color w:val="auto"/>
          <w:highlight w:val="none"/>
        </w:rPr>
      </w:pPr>
      <w:bookmarkStart w:id="77" w:name="_Toc30428"/>
      <w:r>
        <w:rPr>
          <w:rFonts w:hint="eastAsia" w:ascii="宋体" w:hAnsi="宋体" w:cs="宋体"/>
          <w:color w:val="auto"/>
          <w:highlight w:val="none"/>
        </w:rPr>
        <w:t>符合性审查</w:t>
      </w:r>
      <w:bookmarkEnd w:id="77"/>
    </w:p>
    <w:p>
      <w:pPr>
        <w:snapToGrid w:val="0"/>
        <w:ind w:firstLine="480"/>
        <w:rPr>
          <w:rFonts w:ascii="宋体" w:hAnsi="宋体"/>
          <w:bCs/>
          <w:color w:val="auto"/>
          <w:szCs w:val="20"/>
          <w:highlight w:val="none"/>
        </w:rPr>
      </w:pPr>
      <w:r>
        <w:rPr>
          <w:rFonts w:hint="eastAsia" w:ascii="宋体" w:hAnsi="宋体"/>
          <w:bCs/>
          <w:color w:val="auto"/>
          <w:highlight w:val="none"/>
        </w:rPr>
        <w:t>评标委员会</w:t>
      </w:r>
      <w:r>
        <w:rPr>
          <w:rFonts w:ascii="宋体" w:hAnsi="宋体"/>
          <w:bCs/>
          <w:color w:val="auto"/>
          <w:highlight w:val="none"/>
        </w:rPr>
        <w:t>对</w:t>
      </w:r>
      <w:r>
        <w:rPr>
          <w:rFonts w:hint="eastAsia" w:ascii="宋体" w:hAnsi="宋体"/>
          <w:bCs/>
          <w:color w:val="auto"/>
          <w:highlight w:val="none"/>
        </w:rPr>
        <w:t>资格审查合格的</w:t>
      </w:r>
      <w:r>
        <w:rPr>
          <w:rFonts w:ascii="宋体" w:hAnsi="宋体"/>
          <w:bCs/>
          <w:color w:val="auto"/>
          <w:highlight w:val="none"/>
        </w:rPr>
        <w:t>投标文件进行</w:t>
      </w:r>
      <w:r>
        <w:rPr>
          <w:rFonts w:hint="eastAsia" w:ascii="宋体" w:hAnsi="宋体"/>
          <w:bCs/>
          <w:color w:val="auto"/>
          <w:highlight w:val="none"/>
        </w:rPr>
        <w:t>符合</w:t>
      </w:r>
      <w:r>
        <w:rPr>
          <w:rFonts w:ascii="宋体" w:hAnsi="宋体"/>
          <w:bCs/>
          <w:color w:val="auto"/>
          <w:highlight w:val="none"/>
        </w:rPr>
        <w:t>性审查，确定是否对招标文件</w:t>
      </w:r>
      <w:r>
        <w:rPr>
          <w:rFonts w:hint="eastAsia" w:ascii="宋体" w:hAnsi="宋体"/>
          <w:bCs/>
          <w:color w:val="auto"/>
          <w:highlight w:val="none"/>
        </w:rPr>
        <w:t>作出了实质性响应</w:t>
      </w:r>
      <w:r>
        <w:rPr>
          <w:rFonts w:ascii="宋体" w:hAnsi="宋体"/>
          <w:bCs/>
          <w:color w:val="auto"/>
          <w:highlight w:val="none"/>
        </w:rPr>
        <w:t>。</w:t>
      </w:r>
      <w:r>
        <w:rPr>
          <w:rFonts w:hint="eastAsia" w:ascii="宋体" w:hAnsi="宋体"/>
          <w:bCs/>
          <w:color w:val="auto"/>
          <w:highlight w:val="none"/>
        </w:rPr>
        <w:t>符合性审查不合格的投标无效，不再</w:t>
      </w:r>
      <w:r>
        <w:rPr>
          <w:rFonts w:hint="eastAsia"/>
          <w:color w:val="auto"/>
          <w:highlight w:val="none"/>
        </w:rPr>
        <w:t>进行商务和技术评估、综合比较与评价。</w:t>
      </w:r>
      <w:r>
        <w:rPr>
          <w:rFonts w:hint="eastAsia" w:ascii="宋体" w:hAnsi="宋体"/>
          <w:bCs/>
          <w:color w:val="auto"/>
          <w:highlight w:val="none"/>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pPr>
        <w:snapToGrid w:val="0"/>
        <w:ind w:firstLine="472" w:firstLineChars="196"/>
        <w:rPr>
          <w:rFonts w:hint="eastAsia" w:ascii="宋体" w:hAnsi="宋体"/>
          <w:b/>
          <w:bCs/>
          <w:color w:val="auto"/>
          <w:highlight w:val="none"/>
        </w:rPr>
      </w:pPr>
      <w:r>
        <w:rPr>
          <w:rFonts w:ascii="宋体" w:hAnsi="宋体"/>
          <w:b/>
          <w:bCs/>
          <w:color w:val="auto"/>
          <w:highlight w:val="none"/>
        </w:rPr>
        <w:t>1</w:t>
      </w:r>
      <w:r>
        <w:rPr>
          <w:rFonts w:hint="eastAsia" w:ascii="宋体" w:hAnsi="宋体"/>
          <w:b/>
          <w:bCs/>
          <w:color w:val="auto"/>
          <w:highlight w:val="none"/>
        </w:rPr>
        <w:t>.</w:t>
      </w:r>
      <w:r>
        <w:rPr>
          <w:rFonts w:ascii="宋体" w:hAnsi="宋体"/>
          <w:b/>
          <w:bCs/>
          <w:color w:val="auto"/>
          <w:highlight w:val="none"/>
        </w:rPr>
        <w:t>在商务</w:t>
      </w:r>
      <w:r>
        <w:rPr>
          <w:rFonts w:hint="eastAsia" w:ascii="宋体" w:hAnsi="宋体"/>
          <w:b/>
          <w:bCs/>
          <w:color w:val="auto"/>
          <w:highlight w:val="none"/>
        </w:rPr>
        <w:t>、技术</w:t>
      </w:r>
      <w:r>
        <w:rPr>
          <w:rFonts w:ascii="宋体" w:hAnsi="宋体"/>
          <w:b/>
          <w:bCs/>
          <w:color w:val="auto"/>
          <w:highlight w:val="none"/>
        </w:rPr>
        <w:t>评审时，如发现下列情形之一的，投标</w:t>
      </w:r>
      <w:r>
        <w:rPr>
          <w:rFonts w:hint="eastAsia" w:ascii="宋体" w:hAnsi="宋体"/>
          <w:b/>
          <w:bCs/>
          <w:color w:val="auto"/>
          <w:highlight w:val="none"/>
        </w:rPr>
        <w:t>文件</w:t>
      </w:r>
      <w:r>
        <w:rPr>
          <w:rFonts w:ascii="宋体" w:hAnsi="宋体"/>
          <w:b/>
          <w:bCs/>
          <w:color w:val="auto"/>
          <w:highlight w:val="none"/>
        </w:rPr>
        <w:t>将被视为无效：</w:t>
      </w:r>
    </w:p>
    <w:p>
      <w:pPr>
        <w:ind w:firstLine="480"/>
        <w:rPr>
          <w:rFonts w:hint="eastAsia"/>
          <w:color w:val="auto"/>
          <w:highlight w:val="none"/>
        </w:rPr>
      </w:pPr>
      <w:r>
        <w:rPr>
          <w:rFonts w:hint="eastAsia"/>
          <w:color w:val="auto"/>
          <w:highlight w:val="none"/>
        </w:rPr>
        <w:t>（1）单位负责人为同一人或者存在直接控股、管理关系的不同供应商，同时参加同一合同项下投标的。</w:t>
      </w:r>
    </w:p>
    <w:p>
      <w:pPr>
        <w:ind w:firstLine="480"/>
        <w:rPr>
          <w:rFonts w:hint="eastAsia"/>
          <w:color w:val="auto"/>
          <w:highlight w:val="none"/>
        </w:rPr>
      </w:pPr>
      <w:r>
        <w:rPr>
          <w:rFonts w:hint="eastAsia"/>
          <w:color w:val="auto"/>
          <w:highlight w:val="none"/>
        </w:rPr>
        <w:t>（2）为项目提供整体设计、规范编制或者项目管理、监理、检测等服务的供应商，再参加本采购项目的其他采购活动的。</w:t>
      </w:r>
    </w:p>
    <w:p>
      <w:pPr>
        <w:ind w:firstLine="480"/>
        <w:rPr>
          <w:rFonts w:hint="eastAsia"/>
          <w:color w:val="auto"/>
          <w:highlight w:val="none"/>
        </w:rPr>
      </w:pPr>
      <w:r>
        <w:rPr>
          <w:rFonts w:hint="eastAsia"/>
          <w:color w:val="auto"/>
          <w:highlight w:val="none"/>
        </w:rPr>
        <w:t>（3</w:t>
      </w:r>
      <w:r>
        <w:rPr>
          <w:color w:val="auto"/>
          <w:highlight w:val="none"/>
        </w:rPr>
        <w:t>）投标文件</w:t>
      </w:r>
      <w:r>
        <w:rPr>
          <w:rFonts w:hint="eastAsia"/>
          <w:color w:val="auto"/>
          <w:highlight w:val="none"/>
        </w:rPr>
        <w:t>未按招标文件要求盖章的；</w:t>
      </w:r>
    </w:p>
    <w:p>
      <w:pPr>
        <w:ind w:firstLine="480"/>
        <w:rPr>
          <w:color w:val="auto"/>
          <w:highlight w:val="none"/>
        </w:rPr>
      </w:pPr>
      <w:r>
        <w:rPr>
          <w:rFonts w:hint="eastAsia"/>
          <w:color w:val="auto"/>
          <w:highlight w:val="none"/>
        </w:rPr>
        <w:t>（4）未提供投标声明书</w:t>
      </w:r>
      <w:r>
        <w:rPr>
          <w:color w:val="auto"/>
          <w:highlight w:val="none"/>
        </w:rPr>
        <w:t>或</w:t>
      </w:r>
      <w:r>
        <w:rPr>
          <w:rFonts w:hint="eastAsia"/>
          <w:color w:val="auto"/>
          <w:highlight w:val="none"/>
        </w:rPr>
        <w:t>填写项目不齐全的；</w:t>
      </w:r>
    </w:p>
    <w:p>
      <w:pPr>
        <w:ind w:firstLine="480"/>
        <w:rPr>
          <w:rFonts w:hint="eastAsia"/>
          <w:color w:val="auto"/>
          <w:highlight w:val="none"/>
        </w:rPr>
      </w:pPr>
      <w:r>
        <w:rPr>
          <w:color w:val="auto"/>
          <w:highlight w:val="none"/>
        </w:rPr>
        <w:t>（</w:t>
      </w:r>
      <w:r>
        <w:rPr>
          <w:rFonts w:hint="eastAsia"/>
          <w:color w:val="auto"/>
          <w:highlight w:val="none"/>
        </w:rPr>
        <w:t>5</w:t>
      </w:r>
      <w:r>
        <w:rPr>
          <w:color w:val="auto"/>
          <w:highlight w:val="none"/>
        </w:rPr>
        <w:t>）投标有效期不满足招标文件要求的；</w:t>
      </w:r>
    </w:p>
    <w:p>
      <w:pPr>
        <w:ind w:firstLine="480"/>
        <w:rPr>
          <w:rFonts w:hint="eastAsia"/>
          <w:color w:val="auto"/>
          <w:highlight w:val="none"/>
        </w:rPr>
      </w:pPr>
      <w:r>
        <w:rPr>
          <w:rFonts w:hint="eastAsia"/>
          <w:color w:val="auto"/>
          <w:highlight w:val="none"/>
        </w:rPr>
        <w:t>（6）</w:t>
      </w:r>
      <w:r>
        <w:rPr>
          <w:color w:val="auto"/>
          <w:highlight w:val="none"/>
        </w:rPr>
        <w:t>以联合体形式进行</w:t>
      </w:r>
      <w:r>
        <w:rPr>
          <w:rFonts w:hint="eastAsia"/>
          <w:color w:val="auto"/>
          <w:highlight w:val="none"/>
        </w:rPr>
        <w:t>投标</w:t>
      </w:r>
      <w:r>
        <w:rPr>
          <w:color w:val="auto"/>
          <w:highlight w:val="none"/>
        </w:rPr>
        <w:t>的，</w:t>
      </w:r>
      <w:r>
        <w:rPr>
          <w:rFonts w:hint="eastAsia"/>
          <w:color w:val="auto"/>
          <w:highlight w:val="none"/>
        </w:rPr>
        <w:t>在投标文件中未</w:t>
      </w:r>
      <w:r>
        <w:rPr>
          <w:color w:val="auto"/>
          <w:highlight w:val="none"/>
        </w:rPr>
        <w:t>提交联合</w:t>
      </w:r>
      <w:r>
        <w:rPr>
          <w:rFonts w:hint="eastAsia"/>
          <w:color w:val="auto"/>
          <w:highlight w:val="none"/>
        </w:rPr>
        <w:t>体</w:t>
      </w:r>
      <w:r>
        <w:rPr>
          <w:color w:val="auto"/>
          <w:highlight w:val="none"/>
        </w:rPr>
        <w:t>协议</w:t>
      </w:r>
      <w:r>
        <w:rPr>
          <w:rFonts w:hint="eastAsia"/>
          <w:color w:val="auto"/>
          <w:highlight w:val="none"/>
        </w:rPr>
        <w:t>的；</w:t>
      </w:r>
    </w:p>
    <w:p>
      <w:pPr>
        <w:ind w:firstLine="480"/>
        <w:rPr>
          <w:rFonts w:hint="eastAsia"/>
          <w:color w:val="auto"/>
          <w:highlight w:val="none"/>
        </w:rPr>
      </w:pPr>
      <w:r>
        <w:rPr>
          <w:rFonts w:hint="eastAsia"/>
          <w:color w:val="auto"/>
          <w:highlight w:val="none"/>
        </w:rPr>
        <w:t>（7）</w:t>
      </w:r>
      <w:r>
        <w:rPr>
          <w:color w:val="auto"/>
          <w:highlight w:val="none"/>
        </w:rPr>
        <w:t>未提供或未如实提供投标货物的技术参数，或者投标文件标明的</w:t>
      </w:r>
      <w:r>
        <w:rPr>
          <w:rFonts w:hint="eastAsia"/>
          <w:color w:val="auto"/>
          <w:highlight w:val="none"/>
        </w:rPr>
        <w:t>商务、技术</w:t>
      </w:r>
      <w:r>
        <w:rPr>
          <w:color w:val="auto"/>
          <w:highlight w:val="none"/>
        </w:rPr>
        <w:t>响应与事实不符或虚假投标的；</w:t>
      </w:r>
    </w:p>
    <w:p>
      <w:pPr>
        <w:ind w:firstLine="480"/>
        <w:rPr>
          <w:color w:val="auto"/>
          <w:highlight w:val="none"/>
        </w:rPr>
      </w:pPr>
      <w:r>
        <w:rPr>
          <w:color w:val="auto"/>
          <w:highlight w:val="none"/>
        </w:rPr>
        <w:t>（</w:t>
      </w:r>
      <w:r>
        <w:rPr>
          <w:rFonts w:hint="eastAsia"/>
          <w:color w:val="auto"/>
          <w:highlight w:val="none"/>
        </w:rPr>
        <w:t>8</w:t>
      </w:r>
      <w:r>
        <w:rPr>
          <w:color w:val="auto"/>
          <w:highlight w:val="none"/>
        </w:rPr>
        <w:t>）</w:t>
      </w:r>
      <w:r>
        <w:rPr>
          <w:rFonts w:hint="eastAsia"/>
          <w:color w:val="auto"/>
          <w:highlight w:val="none"/>
        </w:rPr>
        <w:t>未</w:t>
      </w:r>
      <w:r>
        <w:rPr>
          <w:color w:val="auto"/>
          <w:highlight w:val="none"/>
        </w:rPr>
        <w:t>响应招标文件</w:t>
      </w:r>
      <w:r>
        <w:rPr>
          <w:rFonts w:hint="eastAsia"/>
          <w:color w:val="auto"/>
          <w:highlight w:val="none"/>
        </w:rPr>
        <w:t>标注</w:t>
      </w:r>
      <w:r>
        <w:rPr>
          <w:color w:val="auto"/>
          <w:highlight w:val="none"/>
        </w:rPr>
        <w:t>“</w:t>
      </w:r>
      <w:r>
        <w:rPr>
          <w:rFonts w:hint="eastAsia"/>
          <w:color w:val="auto"/>
          <w:highlight w:val="none"/>
        </w:rPr>
        <w:t>▲</w:t>
      </w:r>
      <w:r>
        <w:rPr>
          <w:color w:val="auto"/>
          <w:highlight w:val="none"/>
        </w:rPr>
        <w:t>”</w:t>
      </w:r>
      <w:r>
        <w:rPr>
          <w:rFonts w:hint="eastAsia"/>
          <w:color w:val="auto"/>
          <w:highlight w:val="none"/>
        </w:rPr>
        <w:t>的实质性</w:t>
      </w:r>
      <w:r>
        <w:rPr>
          <w:color w:val="auto"/>
          <w:highlight w:val="none"/>
        </w:rPr>
        <w:t>要求的；</w:t>
      </w:r>
    </w:p>
    <w:p>
      <w:pPr>
        <w:ind w:firstLine="480"/>
        <w:rPr>
          <w:color w:val="auto"/>
          <w:highlight w:val="none"/>
        </w:rPr>
      </w:pPr>
      <w:r>
        <w:rPr>
          <w:color w:val="auto"/>
          <w:highlight w:val="none"/>
        </w:rPr>
        <w:t>（</w:t>
      </w:r>
      <w:r>
        <w:rPr>
          <w:rFonts w:hint="eastAsia"/>
          <w:color w:val="auto"/>
          <w:highlight w:val="none"/>
        </w:rPr>
        <w:t>9</w:t>
      </w:r>
      <w:r>
        <w:rPr>
          <w:color w:val="auto"/>
          <w:highlight w:val="none"/>
        </w:rPr>
        <w:t>）投标技术方案不明确，存在一个或一个以上备选（替代）投标方案的；</w:t>
      </w:r>
    </w:p>
    <w:p>
      <w:pPr>
        <w:ind w:firstLine="480"/>
        <w:rPr>
          <w:rFonts w:hint="eastAsia"/>
          <w:color w:val="auto"/>
          <w:highlight w:val="none"/>
        </w:rPr>
      </w:pPr>
      <w:r>
        <w:rPr>
          <w:color w:val="auto"/>
          <w:highlight w:val="none"/>
        </w:rPr>
        <w:t>（</w:t>
      </w:r>
      <w:r>
        <w:rPr>
          <w:rFonts w:hint="eastAsia"/>
          <w:color w:val="auto"/>
          <w:highlight w:val="none"/>
        </w:rPr>
        <w:t>10</w:t>
      </w:r>
      <w:r>
        <w:rPr>
          <w:color w:val="auto"/>
          <w:highlight w:val="none"/>
        </w:rPr>
        <w:t>）</w:t>
      </w:r>
      <w:r>
        <w:rPr>
          <w:rFonts w:hint="eastAsia"/>
          <w:color w:val="auto"/>
          <w:highlight w:val="none"/>
        </w:rPr>
        <w:t>投标文件含有采购人不能接受的附加条件的；</w:t>
      </w:r>
    </w:p>
    <w:p>
      <w:pPr>
        <w:ind w:firstLine="480"/>
        <w:rPr>
          <w:rFonts w:hint="eastAsia"/>
          <w:color w:val="auto"/>
          <w:highlight w:val="none"/>
        </w:rPr>
      </w:pPr>
      <w:r>
        <w:rPr>
          <w:rFonts w:hint="eastAsia"/>
          <w:color w:val="auto"/>
          <w:highlight w:val="none"/>
        </w:rPr>
        <w:t>（11）不同投标人的投标文件由同一单位或者个人编制的；</w:t>
      </w:r>
    </w:p>
    <w:p>
      <w:pPr>
        <w:ind w:firstLine="480"/>
        <w:rPr>
          <w:rFonts w:hint="eastAsia"/>
          <w:color w:val="auto"/>
          <w:highlight w:val="none"/>
        </w:rPr>
      </w:pPr>
      <w:r>
        <w:rPr>
          <w:rFonts w:hint="eastAsia"/>
          <w:color w:val="auto"/>
          <w:highlight w:val="none"/>
        </w:rPr>
        <w:t>（12）不同投标人委托同一单位或者个人办理投标事宜的；</w:t>
      </w:r>
    </w:p>
    <w:p>
      <w:pPr>
        <w:ind w:firstLine="480"/>
        <w:rPr>
          <w:rFonts w:hint="eastAsia"/>
          <w:color w:val="auto"/>
          <w:highlight w:val="none"/>
        </w:rPr>
      </w:pPr>
      <w:r>
        <w:rPr>
          <w:rFonts w:hint="eastAsia"/>
          <w:color w:val="auto"/>
          <w:highlight w:val="none"/>
        </w:rPr>
        <w:t>（13） 不同投标人的投标文件载明的项目管理成员或者联系人员为同一人的；</w:t>
      </w:r>
    </w:p>
    <w:p>
      <w:pPr>
        <w:ind w:firstLine="480"/>
        <w:rPr>
          <w:rFonts w:hint="eastAsia"/>
          <w:color w:val="auto"/>
          <w:highlight w:val="none"/>
        </w:rPr>
      </w:pPr>
      <w:r>
        <w:rPr>
          <w:rFonts w:hint="eastAsia"/>
          <w:color w:val="auto"/>
          <w:highlight w:val="none"/>
        </w:rPr>
        <w:t>（14）不同投标人的投标文件异常一致或者投标报价呈规律性差异的；</w:t>
      </w:r>
    </w:p>
    <w:p>
      <w:pPr>
        <w:ind w:firstLine="480"/>
        <w:rPr>
          <w:rFonts w:hint="eastAsia"/>
          <w:color w:val="auto"/>
          <w:highlight w:val="none"/>
        </w:rPr>
      </w:pPr>
      <w:r>
        <w:rPr>
          <w:rFonts w:hint="eastAsia"/>
          <w:color w:val="auto"/>
          <w:highlight w:val="none"/>
        </w:rPr>
        <w:t>（15）不同投标人的投标文件相互混装的；</w:t>
      </w:r>
    </w:p>
    <w:p>
      <w:pPr>
        <w:ind w:firstLine="480"/>
        <w:rPr>
          <w:rFonts w:hint="eastAsia"/>
          <w:color w:val="auto"/>
          <w:highlight w:val="none"/>
        </w:rPr>
      </w:pPr>
      <w:r>
        <w:rPr>
          <w:rFonts w:hint="eastAsia"/>
          <w:color w:val="auto"/>
          <w:highlight w:val="none"/>
        </w:rPr>
        <w:t>（16）法律、法规和招标文件规定的其他无效情形。</w:t>
      </w:r>
    </w:p>
    <w:p>
      <w:pPr>
        <w:pStyle w:val="2"/>
        <w:snapToGrid w:val="0"/>
        <w:spacing w:line="360" w:lineRule="auto"/>
        <w:ind w:firstLine="457" w:firstLineChars="196"/>
        <w:rPr>
          <w:rFonts w:hint="eastAsia" w:hAnsi="宋体"/>
          <w:b/>
          <w:bCs/>
          <w:color w:val="auto"/>
          <w:sz w:val="24"/>
          <w:highlight w:val="none"/>
        </w:rPr>
      </w:pPr>
      <w:r>
        <w:rPr>
          <w:rFonts w:hint="eastAsia" w:hAnsi="宋体"/>
          <w:b/>
          <w:bCs/>
          <w:color w:val="auto"/>
          <w:sz w:val="24"/>
          <w:highlight w:val="none"/>
        </w:rPr>
        <w:t>2.</w:t>
      </w:r>
      <w:r>
        <w:rPr>
          <w:rFonts w:hAnsi="宋体"/>
          <w:b/>
          <w:bCs/>
          <w:color w:val="auto"/>
          <w:sz w:val="24"/>
          <w:highlight w:val="none"/>
        </w:rPr>
        <w:t>在报价评审时，如发现下列情形之一的，投标将被视为无效：</w:t>
      </w:r>
    </w:p>
    <w:p>
      <w:pPr>
        <w:ind w:firstLine="480"/>
        <w:rPr>
          <w:rFonts w:hint="eastAsia"/>
          <w:color w:val="auto"/>
          <w:highlight w:val="none"/>
        </w:rPr>
      </w:pPr>
      <w:r>
        <w:rPr>
          <w:rFonts w:hint="eastAsia"/>
          <w:color w:val="auto"/>
          <w:highlight w:val="none"/>
        </w:rPr>
        <w:t>（1）投标文件未按招标文件要求盖章的；</w:t>
      </w:r>
    </w:p>
    <w:p>
      <w:pPr>
        <w:ind w:firstLine="480"/>
        <w:rPr>
          <w:rFonts w:hint="eastAsia"/>
          <w:color w:val="auto"/>
          <w:highlight w:val="none"/>
        </w:rPr>
      </w:pPr>
      <w:r>
        <w:rPr>
          <w:rFonts w:hint="eastAsia"/>
          <w:color w:val="auto"/>
          <w:highlight w:val="none"/>
        </w:rPr>
        <w:t>（2）报价超过招标文件中规定的预算金额/最高限价的；</w:t>
      </w:r>
    </w:p>
    <w:p>
      <w:pPr>
        <w:ind w:firstLine="480"/>
        <w:rPr>
          <w:rFonts w:hint="eastAsia"/>
          <w:color w:val="auto"/>
          <w:highlight w:val="none"/>
        </w:rPr>
      </w:pPr>
      <w:r>
        <w:rPr>
          <w:rFonts w:hint="eastAsia"/>
          <w:color w:val="auto"/>
          <w:highlight w:val="none"/>
        </w:rPr>
        <w:t>（3）投标报价具有选择性的；</w:t>
      </w:r>
    </w:p>
    <w:p>
      <w:pPr>
        <w:ind w:firstLine="480"/>
        <w:rPr>
          <w:rFonts w:hint="eastAsia"/>
          <w:color w:val="auto"/>
          <w:highlight w:val="none"/>
        </w:rPr>
      </w:pPr>
      <w:r>
        <w:rPr>
          <w:rFonts w:hint="eastAsia"/>
          <w:color w:val="auto"/>
          <w:highlight w:val="none"/>
        </w:rPr>
        <w:t>（4）不接受按招标文件规定的修正错误原则修正后的报价的；</w:t>
      </w:r>
    </w:p>
    <w:p>
      <w:pPr>
        <w:ind w:firstLine="480"/>
        <w:rPr>
          <w:rFonts w:hint="eastAsia"/>
          <w:color w:val="auto"/>
          <w:highlight w:val="none"/>
        </w:rPr>
      </w:pPr>
      <w:r>
        <w:rPr>
          <w:rFonts w:hint="eastAsia"/>
          <w:color w:val="auto"/>
          <w:highlight w:val="none"/>
        </w:rPr>
        <w:t>（5）评标委员会认为投标人的报价明显低于其他通过符合性审查投标人的报价，且投标人不能证明其报价合理性，有可能影响产品质量或者不能诚信履约的；</w:t>
      </w:r>
    </w:p>
    <w:p>
      <w:pPr>
        <w:ind w:firstLine="480"/>
        <w:rPr>
          <w:rFonts w:hint="eastAsia"/>
          <w:color w:val="auto"/>
          <w:highlight w:val="none"/>
        </w:rPr>
      </w:pPr>
      <w:r>
        <w:rPr>
          <w:rFonts w:hint="eastAsia"/>
          <w:color w:val="auto"/>
          <w:highlight w:val="none"/>
        </w:rPr>
        <w:t>（6）法律、法规和招标文件规定的其他无效情形。</w:t>
      </w:r>
    </w:p>
    <w:p>
      <w:pPr>
        <w:pStyle w:val="5"/>
        <w:numPr>
          <w:ilvl w:val="0"/>
          <w:numId w:val="9"/>
        </w:numPr>
        <w:ind w:firstLine="562"/>
        <w:rPr>
          <w:rFonts w:hint="eastAsia" w:ascii="宋体" w:hAnsi="宋体" w:cs="宋体"/>
          <w:color w:val="auto"/>
          <w:highlight w:val="none"/>
        </w:rPr>
      </w:pPr>
      <w:bookmarkStart w:id="78" w:name="_Toc7736"/>
      <w:r>
        <w:rPr>
          <w:rFonts w:hint="eastAsia" w:ascii="宋体" w:hAnsi="宋体" w:cs="宋体"/>
          <w:color w:val="auto"/>
          <w:highlight w:val="none"/>
        </w:rPr>
        <w:t>评审内容及标准</w:t>
      </w:r>
      <w:bookmarkEnd w:id="78"/>
      <w:r>
        <w:rPr>
          <w:rFonts w:hint="eastAsia" w:ascii="宋体" w:hAnsi="宋体" w:cs="宋体"/>
          <w:color w:val="auto"/>
          <w:highlight w:val="none"/>
        </w:rPr>
        <w:t xml:space="preserve"> </w:t>
      </w:r>
    </w:p>
    <w:p>
      <w:pPr>
        <w:pStyle w:val="6"/>
        <w:numPr>
          <w:ilvl w:val="0"/>
          <w:numId w:val="10"/>
        </w:numPr>
        <w:ind w:firstLine="482"/>
        <w:rPr>
          <w:rFonts w:hint="eastAsia" w:ascii="宋体" w:hAnsi="宋体" w:cs="宋体"/>
          <w:bCs/>
          <w:color w:val="auto"/>
          <w:highlight w:val="none"/>
        </w:rPr>
      </w:pPr>
      <w:r>
        <w:rPr>
          <w:rFonts w:hint="eastAsia" w:ascii="宋体" w:hAnsi="宋体" w:cs="宋体"/>
          <w:bCs/>
          <w:color w:val="auto"/>
          <w:highlight w:val="none"/>
        </w:rPr>
        <w:t>商务部分（9分）</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674"/>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color w:val="auto"/>
                <w:spacing w:val="-6"/>
                <w:highlight w:val="none"/>
              </w:rPr>
            </w:pPr>
            <w:r>
              <w:rPr>
                <w:rFonts w:hint="eastAsia" w:ascii="宋体" w:hAnsi="宋体" w:cs="宋体"/>
                <w:b/>
                <w:color w:val="auto"/>
                <w:spacing w:val="-6"/>
                <w:highlight w:val="none"/>
              </w:rPr>
              <w:t>评审因素</w:t>
            </w:r>
          </w:p>
        </w:tc>
        <w:tc>
          <w:tcPr>
            <w:tcW w:w="395"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color w:val="auto"/>
                <w:spacing w:val="-6"/>
                <w:highlight w:val="none"/>
              </w:rPr>
            </w:pPr>
            <w:r>
              <w:rPr>
                <w:rFonts w:hint="eastAsia" w:ascii="宋体" w:hAnsi="宋体" w:cs="宋体"/>
                <w:b/>
                <w:color w:val="auto"/>
                <w:spacing w:val="-6"/>
                <w:highlight w:val="none"/>
              </w:rPr>
              <w:t>分值</w:t>
            </w:r>
          </w:p>
        </w:tc>
        <w:tc>
          <w:tcPr>
            <w:tcW w:w="3862" w:type="pct"/>
            <w:tcBorders>
              <w:top w:val="single" w:color="auto" w:sz="4" w:space="0"/>
              <w:left w:val="single" w:color="auto" w:sz="4" w:space="0"/>
              <w:bottom w:val="single" w:color="auto" w:sz="4" w:space="0"/>
              <w:right w:val="single" w:color="auto" w:sz="4" w:space="0"/>
            </w:tcBorders>
            <w:noWrap w:val="0"/>
            <w:vAlign w:val="center"/>
          </w:tcPr>
          <w:p>
            <w:pPr>
              <w:pStyle w:val="47"/>
              <w:spacing w:line="240" w:lineRule="auto"/>
              <w:ind w:firstLine="0" w:firstLineChars="0"/>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质保期</w:t>
            </w:r>
          </w:p>
        </w:tc>
        <w:tc>
          <w:tcPr>
            <w:tcW w:w="395"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2</w:t>
            </w:r>
          </w:p>
        </w:tc>
        <w:tc>
          <w:tcPr>
            <w:tcW w:w="386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s="宋体"/>
                <w:color w:val="auto"/>
                <w:highlight w:val="none"/>
              </w:rPr>
            </w:pPr>
            <w:r>
              <w:rPr>
                <w:rFonts w:hint="eastAsia" w:ascii="宋体" w:hAnsi="宋体" w:cs="宋体"/>
                <w:color w:val="auto"/>
                <w:highlight w:val="none"/>
              </w:rPr>
              <w:t>质保期满足招标文件要求不得分，每延长半年加1分，最多加2分，延长时间不足半年的不计入加分，质保期不满足招标文件要求的得0分。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认证证书</w:t>
            </w:r>
          </w:p>
        </w:tc>
        <w:tc>
          <w:tcPr>
            <w:tcW w:w="395"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3</w:t>
            </w:r>
          </w:p>
        </w:tc>
        <w:tc>
          <w:tcPr>
            <w:tcW w:w="386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auto"/>
                <w:highlight w:val="none"/>
              </w:rPr>
            </w:pPr>
            <w:r>
              <w:rPr>
                <w:rFonts w:hint="eastAsia"/>
                <w:color w:val="auto"/>
                <w:highlight w:val="none"/>
              </w:rPr>
              <w:t>投标人具有有效期内的：</w:t>
            </w:r>
          </w:p>
          <w:p>
            <w:pPr>
              <w:ind w:firstLine="0" w:firstLineChars="0"/>
              <w:rPr>
                <w:rFonts w:hint="eastAsia"/>
                <w:color w:val="auto"/>
                <w:highlight w:val="none"/>
              </w:rPr>
            </w:pPr>
            <w:r>
              <w:rPr>
                <w:rFonts w:hint="eastAsia"/>
                <w:color w:val="auto"/>
                <w:highlight w:val="none"/>
              </w:rPr>
              <w:t>质量管理体系认证证书得1.5分；</w:t>
            </w:r>
          </w:p>
          <w:p>
            <w:pPr>
              <w:ind w:firstLine="0" w:firstLineChars="0"/>
              <w:rPr>
                <w:rFonts w:hint="eastAsia"/>
                <w:color w:val="auto"/>
                <w:highlight w:val="none"/>
              </w:rPr>
            </w:pPr>
            <w:r>
              <w:rPr>
                <w:rFonts w:hint="eastAsia"/>
                <w:color w:val="auto"/>
                <w:highlight w:val="none"/>
              </w:rPr>
              <w:t>信息安全管理体系认证证书（安防监控）得1.5分；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业绩</w:t>
            </w:r>
          </w:p>
        </w:tc>
        <w:tc>
          <w:tcPr>
            <w:tcW w:w="395"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3</w:t>
            </w:r>
          </w:p>
        </w:tc>
        <w:tc>
          <w:tcPr>
            <w:tcW w:w="386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投标人自2019年1月1日以来（以合同签订时间为准）同类项目业绩（以提供的中标通知书和合同复印件为准）：每提供1个同类业绩得1分，最高得3分。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政策功能</w:t>
            </w:r>
          </w:p>
        </w:tc>
        <w:tc>
          <w:tcPr>
            <w:tcW w:w="395"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1</w:t>
            </w:r>
          </w:p>
        </w:tc>
        <w:tc>
          <w:tcPr>
            <w:tcW w:w="386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spacing w:val="-6"/>
                <w:highlight w:val="none"/>
              </w:rPr>
            </w:pPr>
            <w:r>
              <w:rPr>
                <w:rFonts w:hint="eastAsia" w:ascii="宋体" w:hAnsi="宋体" w:cs="宋体"/>
                <w:color w:val="auto"/>
                <w:highlight w:val="none"/>
              </w:rPr>
              <w:t>主要产品属于品目清单范围，且提供国家确定的认证机构出具的处于有效期之内的节能产品认证证书（加盖公章），得0.5分；主要产品属于品目清单范围，且提供国家确定的认证机构出具的处于有效期之内的环境标志产品认证证书（加盖公章），得0.5分；否则得0分。</w:t>
            </w:r>
          </w:p>
        </w:tc>
      </w:tr>
    </w:tbl>
    <w:p>
      <w:pPr>
        <w:ind w:firstLine="0" w:firstLineChars="0"/>
        <w:rPr>
          <w:rFonts w:hint="eastAsia"/>
          <w:color w:val="auto"/>
          <w:highlight w:val="none"/>
        </w:rPr>
      </w:pPr>
    </w:p>
    <w:p>
      <w:pPr>
        <w:pStyle w:val="6"/>
        <w:numPr>
          <w:ilvl w:val="0"/>
          <w:numId w:val="10"/>
        </w:numPr>
        <w:ind w:firstLine="482"/>
        <w:rPr>
          <w:rFonts w:hint="eastAsia" w:ascii="宋体" w:hAnsi="宋体" w:cs="宋体"/>
          <w:bCs/>
          <w:color w:val="auto"/>
          <w:highlight w:val="none"/>
        </w:rPr>
      </w:pPr>
      <w:r>
        <w:rPr>
          <w:rFonts w:hint="eastAsia" w:ascii="宋体" w:hAnsi="宋体" w:cs="宋体"/>
          <w:bCs/>
          <w:color w:val="auto"/>
          <w:highlight w:val="none"/>
        </w:rPr>
        <w:t>技术部分（61分）</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720"/>
        <w:gridCol w:w="6567"/>
      </w:tblGrid>
      <w:tr>
        <w:tblPrEx>
          <w:tblCellMar>
            <w:top w:w="0" w:type="dxa"/>
            <w:left w:w="108" w:type="dxa"/>
            <w:bottom w:w="0" w:type="dxa"/>
            <w:right w:w="108" w:type="dxa"/>
          </w:tblCellMar>
        </w:tblPrEx>
        <w:trPr>
          <w:trHeight w:val="454"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b/>
                <w:bCs/>
                <w:color w:val="auto"/>
                <w:highlight w:val="none"/>
              </w:rPr>
              <w:t>评审因素</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b/>
                <w:bCs/>
                <w:color w:val="auto"/>
                <w:highlight w:val="none"/>
              </w:rPr>
              <w:t>分值</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b/>
                <w:bCs/>
                <w:color w:val="auto"/>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产品的响应程度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18</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1.响应产品全部满足招标文件明确的功能、性能和技术指标要求，该项得满分（18分）；</w:t>
            </w:r>
          </w:p>
          <w:p>
            <w:pPr>
              <w:ind w:firstLine="0" w:firstLineChars="0"/>
              <w:rPr>
                <w:rFonts w:hint="eastAsia" w:ascii="宋体" w:hAnsi="宋体" w:cs="宋体"/>
                <w:color w:val="auto"/>
                <w:highlight w:val="none"/>
              </w:rPr>
            </w:pPr>
            <w:r>
              <w:rPr>
                <w:rFonts w:hint="eastAsia" w:ascii="宋体" w:hAnsi="宋体" w:cs="宋体"/>
                <w:color w:val="auto"/>
                <w:highlight w:val="none"/>
              </w:rPr>
              <w:t>2.不符合（负偏离）技术要求中标注“▲”条款（不可偏离）的响应投标无效；</w:t>
            </w:r>
          </w:p>
          <w:p>
            <w:pPr>
              <w:ind w:firstLine="0" w:firstLineChars="0"/>
              <w:rPr>
                <w:rFonts w:hint="eastAsia" w:ascii="宋体" w:hAnsi="宋体" w:cs="宋体"/>
                <w:color w:val="auto"/>
                <w:highlight w:val="none"/>
              </w:rPr>
            </w:pPr>
            <w:r>
              <w:rPr>
                <w:rFonts w:hint="eastAsia" w:ascii="宋体" w:hAnsi="宋体" w:cs="宋体"/>
                <w:color w:val="auto"/>
                <w:highlight w:val="none"/>
              </w:rPr>
              <w:t>3.带“★”的功能、性能和技术指标低于招标需求（负偏离）的，每条扣2分；其他允许偏离的功能、性能和技术指标低于招标需求（负偏离）的，每条扣1分；</w:t>
            </w:r>
          </w:p>
          <w:p>
            <w:pPr>
              <w:ind w:firstLine="0" w:firstLineChars="0"/>
              <w:rPr>
                <w:rFonts w:hint="eastAsia" w:ascii="宋体" w:hAnsi="宋体" w:cs="宋体"/>
                <w:color w:val="auto"/>
                <w:highlight w:val="none"/>
              </w:rPr>
            </w:pPr>
            <w:r>
              <w:rPr>
                <w:rFonts w:hint="eastAsia" w:ascii="宋体" w:hAnsi="宋体" w:cs="宋体"/>
                <w:color w:val="auto"/>
                <w:highlight w:val="none"/>
              </w:rPr>
              <w:t>4.本项分值扣至0分为止。</w:t>
            </w:r>
          </w:p>
          <w:p>
            <w:pPr>
              <w:ind w:firstLine="0" w:firstLineChars="0"/>
              <w:rPr>
                <w:rFonts w:hint="eastAsia" w:ascii="宋体" w:hAnsi="宋体" w:cs="宋体"/>
                <w:color w:val="auto"/>
                <w:highlight w:val="none"/>
              </w:rPr>
            </w:pPr>
            <w:r>
              <w:rPr>
                <w:rFonts w:hint="eastAsia" w:ascii="宋体" w:hAnsi="宋体" w:cs="宋体"/>
                <w:color w:val="auto"/>
                <w:highlight w:val="none"/>
              </w:rPr>
              <w:t>注：采购需求偏离表技术要求中响应规格与技术支持资料不一致的</w:t>
            </w:r>
            <w:r>
              <w:rPr>
                <w:rFonts w:hint="eastAsia" w:ascii="宋体" w:hAnsi="宋体" w:cs="宋体"/>
                <w:color w:val="auto"/>
                <w:highlight w:val="none"/>
                <w:lang w:eastAsia="zh-CN"/>
              </w:rPr>
              <w:t>将</w:t>
            </w:r>
            <w:r>
              <w:rPr>
                <w:rFonts w:hint="eastAsia" w:ascii="宋体" w:hAnsi="宋体" w:cs="宋体"/>
                <w:color w:val="auto"/>
                <w:highlight w:val="none"/>
              </w:rPr>
              <w:t>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产品功能及配置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6</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产品功能的先进性、完整性和适用性；</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ind w:firstLine="0" w:firstLineChars="0"/>
              <w:rPr>
                <w:rFonts w:hint="eastAsia" w:ascii="宋体" w:hAnsi="宋体" w:cs="宋体"/>
                <w:color w:val="auto"/>
                <w:highlight w:val="none"/>
              </w:rPr>
            </w:pPr>
            <w:r>
              <w:rPr>
                <w:rFonts w:hint="eastAsia" w:ascii="宋体" w:hAnsi="宋体" w:cs="宋体"/>
                <w:color w:val="auto"/>
                <w:highlight w:val="none"/>
              </w:rPr>
              <w:t>产品配置合理性、兼容性程度（为证明投标人所投产品的兼容能力，投标人需提供完整的兼容性方案）；</w:t>
            </w: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项目实施方案</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highlight w:val="none"/>
                <w:lang w:val="en-US" w:eastAsia="zh-CN"/>
              </w:rPr>
              <w:t>7</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投标人对本项目建设需求的理解程度、重点难点的解决方案的完整性进行评分。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对</w:t>
            </w:r>
            <w:r>
              <w:rPr>
                <w:rFonts w:hint="eastAsia" w:ascii="宋体" w:hAnsi="宋体" w:eastAsia="宋体" w:cs="宋体"/>
                <w:color w:val="auto"/>
                <w:highlight w:val="none"/>
              </w:rPr>
              <w:t>本项目重点</w:t>
            </w:r>
            <w:r>
              <w:rPr>
                <w:rFonts w:hint="eastAsia" w:ascii="宋体" w:hAnsi="宋体" w:eastAsia="宋体" w:cs="宋体"/>
                <w:color w:val="auto"/>
                <w:highlight w:val="none"/>
                <w:lang w:eastAsia="zh-CN"/>
              </w:rPr>
              <w:t>的分析情况</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pPr>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对</w:t>
            </w: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难点的分析情况</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pPr>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.对本项目重点及难点</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解决措施</w:t>
            </w:r>
            <w:r>
              <w:rPr>
                <w:rFonts w:hint="eastAsia" w:ascii="宋体" w:hAnsi="宋体" w:eastAsia="宋体" w:cs="宋体"/>
                <w:color w:val="auto"/>
                <w:highlight w:val="none"/>
                <w:lang w:eastAsia="zh-CN"/>
              </w:rPr>
              <w:t>及具体</w:t>
            </w:r>
            <w:r>
              <w:rPr>
                <w:rFonts w:hint="eastAsia" w:ascii="宋体" w:hAnsi="宋体" w:eastAsia="宋体" w:cs="宋体"/>
                <w:color w:val="auto"/>
                <w:highlight w:val="none"/>
              </w:rPr>
              <w:t>方案的针对性及全面性情况；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cs="宋体"/>
                <w:color w:val="auto"/>
                <w:spacing w:val="-6"/>
                <w:kern w:val="2"/>
                <w:sz w:val="24"/>
                <w:szCs w:val="24"/>
                <w:highlight w:val="none"/>
                <w:lang w:val="en-US" w:eastAsia="zh-CN" w:bidi="ar-SA"/>
              </w:rPr>
            </w:pPr>
            <w:r>
              <w:rPr>
                <w:rFonts w:hint="eastAsia" w:ascii="宋体" w:hAnsi="宋体" w:cs="宋体"/>
                <w:color w:val="auto"/>
                <w:spacing w:val="-6"/>
                <w:highlight w:val="none"/>
                <w:lang w:val="en-US" w:eastAsia="zh-CN"/>
              </w:rPr>
              <w:t>9</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投标人针对本项目提供完整的系统建设方案，</w:t>
            </w:r>
            <w:r>
              <w:rPr>
                <w:rFonts w:hint="eastAsia" w:ascii="宋体" w:hAnsi="宋体" w:eastAsia="宋体" w:cs="宋体"/>
                <w:color w:val="auto"/>
                <w:highlight w:val="none"/>
                <w:lang w:eastAsia="zh-CN"/>
              </w:rPr>
              <w:t>根据方案的针对性及合理性进行综合评分。</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1.整体</w:t>
            </w:r>
            <w:r>
              <w:rPr>
                <w:rFonts w:hint="eastAsia" w:ascii="宋体" w:hAnsi="宋体" w:eastAsia="宋体" w:cs="宋体"/>
                <w:color w:val="auto"/>
                <w:highlight w:val="none"/>
              </w:rPr>
              <w:t>系统架构设计方案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人脸识别系统方案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pPr>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存储</w:t>
            </w:r>
            <w:r>
              <w:rPr>
                <w:rFonts w:hint="eastAsia" w:ascii="宋体" w:hAnsi="宋体" w:eastAsia="宋体" w:cs="宋体"/>
                <w:color w:val="auto"/>
                <w:highlight w:val="none"/>
                <w:lang w:eastAsia="zh-CN"/>
              </w:rPr>
              <w:t>系统</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kern w:val="2"/>
                <w:sz w:val="24"/>
                <w:szCs w:val="24"/>
                <w:highlight w:val="none"/>
                <w:lang w:val="en-US" w:eastAsia="zh-CN" w:bidi="ar-SA"/>
              </w:rPr>
            </w:pPr>
            <w:r>
              <w:rPr>
                <w:rFonts w:hint="eastAsia" w:ascii="宋体" w:hAnsi="宋体" w:cs="宋体"/>
                <w:color w:val="auto"/>
                <w:spacing w:val="-6"/>
                <w:highlight w:val="none"/>
                <w:lang w:val="en-US" w:eastAsia="zh-CN"/>
              </w:rPr>
              <w:t>3</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本项目整体设计、施工、安装、调试、验收方案的合理性及针对性；3分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38"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p>
        </w:tc>
        <w:tc>
          <w:tcPr>
            <w:tcW w:w="720" w:type="dxa"/>
            <w:tcBorders>
              <w:top w:val="single" w:color="auto" w:sz="4" w:space="0"/>
              <w:left w:val="single" w:color="auto" w:sz="4" w:space="0"/>
              <w:right w:val="single" w:color="auto" w:sz="4" w:space="0"/>
            </w:tcBorders>
            <w:noWrap w:val="0"/>
            <w:vAlign w:val="center"/>
          </w:tcPr>
          <w:p>
            <w:pPr>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highlight w:val="none"/>
                <w:lang w:val="en-US" w:eastAsia="zh-CN"/>
              </w:rPr>
              <w:t>3</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项目实施</w:t>
            </w:r>
            <w:r>
              <w:rPr>
                <w:rFonts w:hint="eastAsia" w:ascii="宋体" w:hAnsi="宋体" w:eastAsia="宋体" w:cs="宋体"/>
                <w:color w:val="auto"/>
                <w:sz w:val="24"/>
                <w:highlight w:val="none"/>
                <w:lang w:eastAsia="zh-CN"/>
              </w:rPr>
              <w:t>进度</w:t>
            </w:r>
            <w:r>
              <w:rPr>
                <w:rFonts w:hint="eastAsia" w:ascii="宋体" w:hAnsi="宋体" w:eastAsia="宋体" w:cs="宋体"/>
                <w:color w:val="auto"/>
                <w:sz w:val="24"/>
                <w:highlight w:val="none"/>
              </w:rPr>
              <w:t>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提供项目实施进度排期表</w:t>
            </w:r>
            <w:r>
              <w:rPr>
                <w:rFonts w:hint="eastAsia" w:ascii="宋体" w:hAnsi="宋体" w:eastAsia="宋体" w:cs="宋体"/>
                <w:color w:val="auto"/>
                <w:sz w:val="24"/>
                <w:highlight w:val="none"/>
                <w:lang w:eastAsia="zh-CN"/>
              </w:rPr>
              <w:t>，详细列明供货、安装、调试、验收等进度安排情况）的</w:t>
            </w:r>
            <w:r>
              <w:rPr>
                <w:rFonts w:hint="eastAsia" w:ascii="宋体" w:hAnsi="宋体" w:eastAsia="宋体" w:cs="宋体"/>
                <w:color w:val="auto"/>
                <w:sz w:val="24"/>
                <w:highlight w:val="none"/>
              </w:rPr>
              <w:t>合理性及针对性进行综合评分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8"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组织分工情况</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2</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项目负责人具备高级项目经理资格的证书，且在有效期内的，得2分，不提供不得分。（须提供相关证书及本单位在职社保证明）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2</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auto"/>
                <w:highlight w:val="none"/>
              </w:rPr>
            </w:pPr>
            <w:r>
              <w:rPr>
                <w:rFonts w:hint="eastAsia"/>
                <w:color w:val="auto"/>
                <w:highlight w:val="none"/>
              </w:rPr>
              <w:t>项目技术服务团队人员（不含项目负责人）中项目实施人员具备项目管理工程师中级及以上证书，且在有效期内，2人及以上的，得2分，不提供不得分。（须提供相关证书及本单位在职社保证明）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拟派驻的驻场项目工程师</w:t>
            </w:r>
            <w:r>
              <w:rPr>
                <w:rFonts w:hint="eastAsia" w:ascii="宋体" w:hAnsi="宋体" w:cs="宋体"/>
                <w:color w:val="auto"/>
                <w:highlight w:val="none"/>
                <w:lang w:eastAsia="zh-CN"/>
              </w:rPr>
              <w:t>不少于</w:t>
            </w:r>
            <w:r>
              <w:rPr>
                <w:rFonts w:hint="eastAsia" w:ascii="宋体" w:hAnsi="宋体" w:cs="宋体"/>
                <w:color w:val="auto"/>
                <w:highlight w:val="none"/>
                <w:lang w:val="en-US" w:eastAsia="zh-CN"/>
              </w:rPr>
              <w:t>2人，且</w:t>
            </w:r>
            <w:r>
              <w:rPr>
                <w:rFonts w:hint="eastAsia" w:ascii="宋体" w:hAnsi="宋体" w:cs="宋体"/>
                <w:color w:val="auto"/>
                <w:highlight w:val="none"/>
                <w:lang w:eastAsia="zh-CN"/>
              </w:rPr>
              <w:t>具有</w:t>
            </w:r>
            <w:r>
              <w:rPr>
                <w:rFonts w:hint="eastAsia" w:ascii="宋体" w:hAnsi="宋体" w:cs="宋体"/>
                <w:color w:val="auto"/>
                <w:highlight w:val="none"/>
              </w:rPr>
              <w:t>相关工作经验</w:t>
            </w:r>
            <w:r>
              <w:rPr>
                <w:rFonts w:hint="eastAsia" w:ascii="宋体" w:hAnsi="宋体" w:cs="宋体"/>
                <w:color w:val="auto"/>
                <w:highlight w:val="none"/>
                <w:lang w:eastAsia="zh-CN"/>
              </w:rPr>
              <w:t>的得</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r>
              <w:rPr>
                <w:rFonts w:hint="eastAsia" w:ascii="宋体" w:hAnsi="宋体" w:cs="宋体"/>
                <w:color w:val="auto"/>
                <w:highlight w:val="none"/>
              </w:rPr>
              <w:t>提供驻场项目工程师简历及本单位的社保证明</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售后服务方案</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3</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根据售后服务方案的完整性、合理性、针对性，专业服务力量和服务保障方案的详细程度。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vMerge w:val="continue"/>
            <w:tcBorders>
              <w:left w:val="single" w:color="auto" w:sz="4" w:space="0"/>
              <w:right w:val="single" w:color="auto" w:sz="4" w:space="0"/>
            </w:tcBorders>
            <w:noWrap w:val="0"/>
            <w:vAlign w:val="center"/>
          </w:tcPr>
          <w:p>
            <w:pPr>
              <w:widowControl/>
              <w:ind w:firstLine="0" w:firstLineChars="0"/>
              <w:jc w:val="left"/>
              <w:rPr>
                <w:rFonts w:hint="eastAsia" w:ascii="宋体" w:hAnsi="宋体" w:cs="宋体"/>
                <w:color w:val="auto"/>
                <w:spacing w:val="-6"/>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3</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质保期内</w:t>
            </w:r>
            <w:r>
              <w:rPr>
                <w:rFonts w:hint="eastAsia" w:ascii="宋体" w:hAnsi="宋体" w:cs="宋体"/>
                <w:color w:val="auto"/>
                <w:highlight w:val="none"/>
                <w:lang w:eastAsia="zh-CN"/>
              </w:rPr>
              <w:t>及质保期满之后</w:t>
            </w:r>
            <w:r>
              <w:rPr>
                <w:rFonts w:hint="eastAsia" w:ascii="宋体" w:hAnsi="宋体" w:cs="宋体"/>
                <w:color w:val="auto"/>
                <w:highlight w:val="none"/>
              </w:rPr>
              <w:t>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color w:val="auto"/>
                <w:spacing w:val="-6"/>
                <w:highlight w:val="none"/>
              </w:rPr>
            </w:pPr>
            <w:r>
              <w:rPr>
                <w:rFonts w:hint="eastAsia" w:ascii="宋体" w:hAnsi="宋体" w:cs="宋体"/>
                <w:color w:val="auto"/>
                <w:spacing w:val="-6"/>
                <w:highlight w:val="none"/>
              </w:rPr>
              <w:t>技术服务、培训</w:t>
            </w:r>
          </w:p>
        </w:tc>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3</w:t>
            </w:r>
          </w:p>
        </w:tc>
        <w:tc>
          <w:tcPr>
            <w:tcW w:w="65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根据技术服务、培训计划内容合理性、详细程度，培训范围，实施计划的针对性。</w:t>
            </w:r>
          </w:p>
        </w:tc>
      </w:tr>
    </w:tbl>
    <w:p>
      <w:pPr>
        <w:ind w:firstLine="480"/>
        <w:rPr>
          <w:rFonts w:hint="eastAsia" w:ascii="宋体" w:hAnsi="宋体" w:cs="宋体"/>
          <w:bCs/>
          <w:color w:val="auto"/>
          <w:highlight w:val="none"/>
        </w:rPr>
      </w:pPr>
    </w:p>
    <w:p>
      <w:pPr>
        <w:pStyle w:val="12"/>
        <w:rPr>
          <w:rFonts w:hint="eastAsia"/>
          <w:color w:val="auto"/>
          <w:highlight w:val="none"/>
        </w:rPr>
      </w:pPr>
    </w:p>
    <w:p>
      <w:pPr>
        <w:pStyle w:val="6"/>
        <w:ind w:firstLine="482"/>
        <w:rPr>
          <w:rFonts w:hint="eastAsia" w:ascii="宋体" w:hAnsi="宋体" w:cs="宋体"/>
          <w:bCs/>
          <w:color w:val="auto"/>
          <w:highlight w:val="none"/>
        </w:rPr>
      </w:pPr>
      <w:r>
        <w:rPr>
          <w:rFonts w:hint="eastAsia" w:ascii="宋体" w:hAnsi="宋体" w:cs="宋体"/>
          <w:bCs/>
          <w:color w:val="auto"/>
          <w:highlight w:val="none"/>
        </w:rPr>
        <w:t>（三）价格部分（30分）</w:t>
      </w:r>
    </w:p>
    <w:p>
      <w:pPr>
        <w:pStyle w:val="2"/>
        <w:spacing w:before="120" w:beforeLines="50" w:after="120" w:afterLines="50" w:line="360" w:lineRule="auto"/>
        <w:ind w:firstLine="464"/>
        <w:rPr>
          <w:rFonts w:hint="eastAsia"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采用低价优先法计算，即满足招标文件要求且投标价格最低的投标报价为评标基准价，其价格分为满分。其他投标人的价格分按照下列公式计算：</w:t>
      </w:r>
    </w:p>
    <w:p>
      <w:pPr>
        <w:spacing w:before="120" w:beforeLines="50" w:after="120" w:afterLines="50"/>
        <w:ind w:firstLine="480"/>
        <w:rPr>
          <w:rFonts w:hint="eastAsia" w:ascii="宋体" w:hAnsi="宋体"/>
          <w:color w:val="auto"/>
          <w:highlight w:val="none"/>
        </w:rPr>
      </w:pPr>
      <w:r>
        <w:rPr>
          <w:rFonts w:hint="eastAsia" w:ascii="宋体" w:hAnsi="宋体"/>
          <w:color w:val="auto"/>
          <w:highlight w:val="none"/>
        </w:rPr>
        <w:t>价格分=（评标基准价/投标报价）×</w:t>
      </w:r>
      <w:r>
        <w:rPr>
          <w:rFonts w:hint="eastAsia" w:ascii="宋体" w:hAnsi="宋体"/>
          <w:color w:val="auto"/>
          <w:highlight w:val="none"/>
          <w:u w:val="single"/>
        </w:rPr>
        <w:t xml:space="preserve">  30  </w:t>
      </w:r>
      <w:r>
        <w:rPr>
          <w:rFonts w:hint="eastAsia" w:ascii="宋体" w:hAnsi="宋体"/>
          <w:color w:val="auto"/>
          <w:highlight w:val="none"/>
        </w:rPr>
        <w:t>%×100</w:t>
      </w:r>
    </w:p>
    <w:p>
      <w:pPr>
        <w:pStyle w:val="12"/>
        <w:rPr>
          <w:rFonts w:hint="eastAsia"/>
          <w:color w:val="auto"/>
          <w:highlight w:val="none"/>
        </w:rPr>
      </w:pPr>
    </w:p>
    <w:p>
      <w:pPr>
        <w:pStyle w:val="4"/>
        <w:numPr>
          <w:ilvl w:val="0"/>
          <w:numId w:val="2"/>
        </w:numPr>
        <w:ind w:firstLine="0" w:firstLineChars="0"/>
        <w:rPr>
          <w:rFonts w:hint="eastAsia" w:ascii="宋体" w:hAnsi="宋体" w:cs="宋体"/>
          <w:color w:val="auto"/>
          <w:highlight w:val="none"/>
        </w:rPr>
      </w:pPr>
      <w:r>
        <w:rPr>
          <w:rFonts w:hint="eastAsia" w:ascii="宋体" w:hAnsi="宋体" w:cs="宋体"/>
          <w:color w:val="auto"/>
          <w:highlight w:val="none"/>
        </w:rPr>
        <w:br w:type="page"/>
      </w:r>
      <w:bookmarkStart w:id="79" w:name="_Toc4811"/>
      <w:r>
        <w:rPr>
          <w:rFonts w:hint="eastAsia" w:ascii="宋体" w:hAnsi="宋体" w:cs="宋体"/>
          <w:color w:val="auto"/>
          <w:highlight w:val="none"/>
        </w:rPr>
        <w:t>招标内容及需求</w:t>
      </w:r>
      <w:bookmarkEnd w:id="79"/>
    </w:p>
    <w:p>
      <w:pPr>
        <w:pStyle w:val="5"/>
        <w:numPr>
          <w:ilvl w:val="0"/>
          <w:numId w:val="11"/>
        </w:numPr>
        <w:ind w:firstLine="562"/>
        <w:rPr>
          <w:rFonts w:hint="eastAsia" w:ascii="宋体" w:hAnsi="宋体" w:cs="宋体"/>
          <w:color w:val="auto"/>
          <w:highlight w:val="none"/>
        </w:rPr>
      </w:pPr>
      <w:bookmarkStart w:id="80" w:name="_Toc17422"/>
      <w:r>
        <w:rPr>
          <w:rFonts w:hint="eastAsia" w:ascii="宋体" w:hAnsi="宋体" w:cs="宋体"/>
          <w:color w:val="auto"/>
          <w:highlight w:val="none"/>
        </w:rPr>
        <w:t>概述</w:t>
      </w:r>
      <w:bookmarkEnd w:id="80"/>
    </w:p>
    <w:p>
      <w:pPr>
        <w:snapToGrid w:val="0"/>
        <w:ind w:firstLine="480"/>
        <w:rPr>
          <w:rFonts w:hint="eastAsia" w:ascii="宋体" w:hAnsi="宋体" w:cs="宋体"/>
          <w:color w:val="auto"/>
          <w:highlight w:val="none"/>
        </w:rPr>
      </w:pPr>
      <w:r>
        <w:rPr>
          <w:rFonts w:hint="eastAsia" w:ascii="宋体" w:hAnsi="宋体" w:cs="宋体"/>
          <w:color w:val="auto"/>
          <w:highlight w:val="none"/>
        </w:rPr>
        <w:t>1.本次招标货物为中国美术学院</w:t>
      </w:r>
      <w:r>
        <w:rPr>
          <w:rFonts w:ascii="宋体" w:hAnsi="宋体" w:cs="宋体"/>
          <w:color w:val="auto"/>
          <w:highlight w:val="none"/>
        </w:rPr>
        <w:t>安防系统技防提升（一期）</w:t>
      </w:r>
      <w:r>
        <w:rPr>
          <w:rFonts w:hint="eastAsia" w:ascii="宋体" w:hAnsi="宋体" w:cs="宋体"/>
          <w:color w:val="auto"/>
          <w:highlight w:val="none"/>
        </w:rPr>
        <w:t>设备采购，投标人应根据招标文件所提出的要求，选择具有最佳性能价格比的产品前来投标，并以精良的产品、优质的服务和优惠的价格，充分显示各自的竞争力。</w:t>
      </w:r>
    </w:p>
    <w:p>
      <w:pPr>
        <w:snapToGrid w:val="0"/>
        <w:ind w:firstLine="480"/>
        <w:rPr>
          <w:rFonts w:hint="eastAsia" w:ascii="宋体" w:hAnsi="宋体" w:cs="宋体"/>
          <w:color w:val="auto"/>
          <w:highlight w:val="none"/>
        </w:rPr>
      </w:pPr>
      <w:r>
        <w:rPr>
          <w:rFonts w:hint="eastAsia" w:ascii="宋体" w:hAnsi="宋体" w:cs="宋体"/>
          <w:color w:val="auto"/>
          <w:highlight w:val="none"/>
        </w:rPr>
        <w:t>2.按交钥匙工程方式交货。</w:t>
      </w:r>
    </w:p>
    <w:p>
      <w:pPr>
        <w:adjustRightInd w:val="0"/>
        <w:snapToGrid w:val="0"/>
        <w:ind w:firstLine="480"/>
        <w:rPr>
          <w:rFonts w:hint="eastAsia" w:ascii="宋体" w:hAnsi="宋体" w:cs="宋体"/>
          <w:bCs/>
          <w:color w:val="auto"/>
          <w:highlight w:val="none"/>
        </w:rPr>
      </w:pPr>
      <w:r>
        <w:rPr>
          <w:rFonts w:hint="eastAsia" w:ascii="宋体" w:hAnsi="宋体" w:cs="宋体"/>
          <w:bCs/>
          <w:color w:val="auto"/>
          <w:highlight w:val="none"/>
        </w:rPr>
        <w:t>3.安装坏境</w:t>
      </w:r>
    </w:p>
    <w:p>
      <w:pPr>
        <w:adjustRightInd w:val="0"/>
        <w:snapToGrid w:val="0"/>
        <w:ind w:firstLine="480"/>
        <w:rPr>
          <w:rFonts w:hint="eastAsia" w:ascii="宋体" w:hAnsi="宋体" w:cs="宋体"/>
          <w:bCs/>
          <w:color w:val="auto"/>
          <w:highlight w:val="none"/>
        </w:rPr>
      </w:pPr>
      <w:r>
        <w:rPr>
          <w:rFonts w:hint="eastAsia" w:ascii="宋体" w:hAnsi="宋体" w:cs="宋体"/>
          <w:bCs/>
          <w:color w:val="auto"/>
          <w:highlight w:val="none"/>
        </w:rPr>
        <w:t>投标人须自行了解使用坏境的一切与本项目实施有关的情况，提供产品时应考虑相应的环境与条件。</w:t>
      </w:r>
    </w:p>
    <w:p>
      <w:pPr>
        <w:numPr>
          <w:ilvl w:val="0"/>
          <w:numId w:val="12"/>
        </w:numPr>
        <w:ind w:firstLine="480"/>
        <w:rPr>
          <w:rFonts w:hint="eastAsia" w:ascii="宋体" w:hAnsi="宋体" w:cs="宋体"/>
          <w:bCs/>
          <w:color w:val="auto"/>
          <w:highlight w:val="none"/>
        </w:rPr>
      </w:pPr>
      <w:r>
        <w:rPr>
          <w:rFonts w:hint="eastAsia" w:ascii="宋体" w:hAnsi="宋体" w:cs="宋体"/>
          <w:bCs/>
          <w:color w:val="auto"/>
          <w:highlight w:val="none"/>
        </w:rPr>
        <w:t>安装地点：招标人指定的安装地点。</w:t>
      </w:r>
    </w:p>
    <w:p>
      <w:pPr>
        <w:adjustRightInd w:val="0"/>
        <w:snapToGrid w:val="0"/>
        <w:ind w:firstLine="480"/>
        <w:rPr>
          <w:rFonts w:hint="eastAsia" w:ascii="宋体" w:hAnsi="宋体" w:cs="宋体"/>
          <w:bCs/>
          <w:color w:val="auto"/>
          <w:highlight w:val="none"/>
        </w:rPr>
      </w:pPr>
      <w:r>
        <w:rPr>
          <w:rFonts w:hint="eastAsia" w:ascii="宋体" w:hAnsi="宋体" w:cs="宋体"/>
          <w:bCs/>
          <w:color w:val="auto"/>
          <w:highlight w:val="none"/>
        </w:rPr>
        <w:t>5.本招标文件中打▲的条款为关键性指标，不允许负偏离，出现负偏离的将导致投标无效。打★的条款为重要指标，允许偏离，但在技术评分时会重点扣分。</w:t>
      </w:r>
    </w:p>
    <w:p>
      <w:pPr>
        <w:pStyle w:val="5"/>
        <w:ind w:firstLine="562"/>
        <w:rPr>
          <w:rFonts w:hint="eastAsia" w:ascii="宋体" w:hAnsi="宋体" w:cs="宋体"/>
          <w:color w:val="auto"/>
          <w:highlight w:val="none"/>
        </w:rPr>
      </w:pPr>
      <w:bookmarkStart w:id="81" w:name="_Toc22147"/>
      <w:r>
        <w:rPr>
          <w:rFonts w:hint="eastAsia" w:ascii="宋体" w:hAnsi="宋体" w:cs="宋体"/>
          <w:color w:val="auto"/>
          <w:highlight w:val="none"/>
        </w:rPr>
        <w:t>二、货物需求一览表及具体技术要求</w:t>
      </w:r>
      <w:bookmarkEnd w:id="81"/>
    </w:p>
    <w:p>
      <w:pPr>
        <w:pStyle w:val="6"/>
        <w:ind w:firstLine="482"/>
        <w:rPr>
          <w:rFonts w:hint="eastAsia"/>
          <w:color w:val="auto"/>
          <w:highlight w:val="none"/>
        </w:rPr>
      </w:pPr>
      <w:r>
        <w:rPr>
          <w:rFonts w:hint="eastAsia"/>
          <w:color w:val="auto"/>
          <w:highlight w:val="none"/>
        </w:rPr>
        <w:t>（一）货物需求一览表</w:t>
      </w:r>
    </w:p>
    <w:tbl>
      <w:tblPr>
        <w:tblStyle w:val="28"/>
        <w:tblW w:w="5000" w:type="pct"/>
        <w:tblInd w:w="0" w:type="dxa"/>
        <w:tblLayout w:type="fixed"/>
        <w:tblCellMar>
          <w:top w:w="0" w:type="dxa"/>
          <w:left w:w="108" w:type="dxa"/>
          <w:bottom w:w="0" w:type="dxa"/>
          <w:right w:w="108" w:type="dxa"/>
        </w:tblCellMar>
      </w:tblPr>
      <w:tblGrid>
        <w:gridCol w:w="518"/>
        <w:gridCol w:w="1226"/>
        <w:gridCol w:w="1444"/>
        <w:gridCol w:w="1395"/>
        <w:gridCol w:w="885"/>
        <w:gridCol w:w="1590"/>
        <w:gridCol w:w="1248"/>
        <w:gridCol w:w="222"/>
      </w:tblGrid>
      <w:tr>
        <w:tblPrEx>
          <w:tblCellMar>
            <w:top w:w="0" w:type="dxa"/>
            <w:left w:w="108" w:type="dxa"/>
            <w:bottom w:w="0" w:type="dxa"/>
            <w:right w:w="108" w:type="dxa"/>
          </w:tblCellMar>
        </w:tblPrEx>
        <w:trPr>
          <w:gridAfter w:val="1"/>
          <w:wAfter w:w="130" w:type="pct"/>
        </w:trPr>
        <w:tc>
          <w:tcPr>
            <w:tcW w:w="303" w:type="pct"/>
            <w:vMerge w:val="restart"/>
            <w:tcBorders>
              <w:top w:val="single" w:color="auto" w:sz="8" w:space="0"/>
              <w:left w:val="single" w:color="auto" w:sz="8" w:space="0"/>
              <w:bottom w:val="single" w:color="000000" w:sz="8" w:space="0"/>
              <w:right w:val="single" w:color="auto" w:sz="8" w:space="0"/>
            </w:tcBorders>
            <w:noWrap/>
            <w:vAlign w:val="center"/>
          </w:tcPr>
          <w:p>
            <w:pPr>
              <w:ind w:firstLine="0" w:firstLineChars="0"/>
              <w:jc w:val="center"/>
              <w:rPr>
                <w:color w:val="auto"/>
                <w:highlight w:val="none"/>
              </w:rPr>
            </w:pPr>
            <w:r>
              <w:rPr>
                <w:rFonts w:hint="eastAsia"/>
                <w:color w:val="auto"/>
                <w:highlight w:val="none"/>
              </w:rPr>
              <w:t>序号</w:t>
            </w:r>
          </w:p>
        </w:tc>
        <w:tc>
          <w:tcPr>
            <w:tcW w:w="718" w:type="pct"/>
            <w:vMerge w:val="restart"/>
            <w:tcBorders>
              <w:top w:val="single" w:color="auto" w:sz="8" w:space="0"/>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区域</w:t>
            </w:r>
          </w:p>
        </w:tc>
        <w:tc>
          <w:tcPr>
            <w:tcW w:w="846" w:type="pct"/>
            <w:vMerge w:val="restart"/>
            <w:tcBorders>
              <w:top w:val="single" w:color="auto" w:sz="8" w:space="0"/>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位置</w:t>
            </w:r>
          </w:p>
        </w:tc>
        <w:tc>
          <w:tcPr>
            <w:tcW w:w="1336" w:type="pct"/>
            <w:gridSpan w:val="2"/>
            <w:tcBorders>
              <w:top w:val="single" w:color="auto" w:sz="8" w:space="0"/>
              <w:left w:val="nil"/>
              <w:bottom w:val="single" w:color="auto" w:sz="8" w:space="0"/>
              <w:right w:val="single" w:color="000000" w:sz="8" w:space="0"/>
            </w:tcBorders>
            <w:noWrap/>
            <w:vAlign w:val="center"/>
          </w:tcPr>
          <w:p>
            <w:pPr>
              <w:ind w:firstLine="0" w:firstLineChars="0"/>
              <w:jc w:val="center"/>
              <w:rPr>
                <w:rFonts w:hint="eastAsia"/>
                <w:color w:val="auto"/>
                <w:highlight w:val="none"/>
              </w:rPr>
            </w:pPr>
            <w:r>
              <w:rPr>
                <w:rFonts w:hint="eastAsia"/>
                <w:color w:val="auto"/>
                <w:highlight w:val="none"/>
              </w:rPr>
              <w:t>原有技防设备</w:t>
            </w:r>
          </w:p>
        </w:tc>
        <w:tc>
          <w:tcPr>
            <w:tcW w:w="1663" w:type="pct"/>
            <w:gridSpan w:val="2"/>
            <w:tcBorders>
              <w:top w:val="single" w:color="auto" w:sz="8" w:space="0"/>
              <w:left w:val="nil"/>
              <w:bottom w:val="single" w:color="auto" w:sz="8" w:space="0"/>
              <w:right w:val="single" w:color="000000" w:sz="8" w:space="0"/>
            </w:tcBorders>
            <w:noWrap/>
            <w:vAlign w:val="center"/>
          </w:tcPr>
          <w:p>
            <w:pPr>
              <w:ind w:firstLine="0" w:firstLineChars="0"/>
              <w:jc w:val="center"/>
              <w:rPr>
                <w:rFonts w:hint="eastAsia"/>
                <w:color w:val="auto"/>
                <w:highlight w:val="none"/>
              </w:rPr>
            </w:pPr>
            <w:r>
              <w:rPr>
                <w:rFonts w:hint="eastAsia"/>
                <w:color w:val="auto"/>
                <w:highlight w:val="none"/>
              </w:rPr>
              <w:t>新增技防设备</w:t>
            </w:r>
          </w:p>
        </w:tc>
      </w:tr>
      <w:tr>
        <w:tblPrEx>
          <w:tblCellMar>
            <w:top w:w="0" w:type="dxa"/>
            <w:left w:w="108" w:type="dxa"/>
            <w:bottom w:w="0" w:type="dxa"/>
            <w:right w:w="108" w:type="dxa"/>
          </w:tblCellMar>
        </w:tblPrEx>
        <w:trPr>
          <w:gridAfter w:val="1"/>
          <w:wAfter w:w="130" w:type="pct"/>
        </w:trPr>
        <w:tc>
          <w:tcPr>
            <w:tcW w:w="303" w:type="pct"/>
            <w:vMerge w:val="continue"/>
            <w:tcBorders>
              <w:top w:val="single" w:color="auto" w:sz="8" w:space="0"/>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single" w:color="auto" w:sz="8" w:space="0"/>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single" w:color="auto" w:sz="8" w:space="0"/>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设备种类</w:t>
            </w: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数量</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种类</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数量</w:t>
            </w:r>
          </w:p>
        </w:tc>
      </w:tr>
      <w:tr>
        <w:tblPrEx>
          <w:tblCellMar>
            <w:top w:w="0" w:type="dxa"/>
            <w:left w:w="108" w:type="dxa"/>
            <w:bottom w:w="0" w:type="dxa"/>
            <w:right w:w="108" w:type="dxa"/>
          </w:tblCellMar>
        </w:tblPrEx>
        <w:trPr>
          <w:gridAfter w:val="1"/>
          <w:wAfter w:w="130" w:type="pct"/>
        </w:trPr>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山北生活区4号楼东</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7</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50</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w:t>
            </w:r>
          </w:p>
        </w:tc>
      </w:tr>
      <w:tr>
        <w:tblPrEx>
          <w:tblCellMar>
            <w:top w:w="0" w:type="dxa"/>
            <w:left w:w="108" w:type="dxa"/>
            <w:bottom w:w="0" w:type="dxa"/>
            <w:right w:w="108" w:type="dxa"/>
          </w:tblCellMar>
        </w:tblPrEx>
        <w:trPr>
          <w:gridAfter w:val="1"/>
          <w:wAfter w:w="130" w:type="pct"/>
          <w:trHeight w:val="833" w:hRule="atLeas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电瓶车充电处（新增）</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r>
      <w:tr>
        <w:tblPrEx>
          <w:tblCellMar>
            <w:top w:w="0" w:type="dxa"/>
            <w:left w:w="108" w:type="dxa"/>
            <w:bottom w:w="0" w:type="dxa"/>
            <w:right w:w="108" w:type="dxa"/>
          </w:tblCellMar>
        </w:tblPrEx>
        <w:trPr>
          <w:gridAfter w:val="1"/>
          <w:wAfter w:w="130" w:type="pct"/>
          <w:trHeight w:val="286" w:hRule="atLeas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w:t>
            </w:r>
          </w:p>
        </w:tc>
      </w:tr>
      <w:tr>
        <w:tblPrEx>
          <w:tblCellMar>
            <w:top w:w="0" w:type="dxa"/>
            <w:left w:w="108" w:type="dxa"/>
            <w:bottom w:w="0" w:type="dxa"/>
            <w:right w:w="108" w:type="dxa"/>
          </w:tblCellMar>
        </w:tblPrEx>
        <w:trPr>
          <w:gridAfter w:val="1"/>
          <w:wAfter w:w="130" w:type="pct"/>
        </w:trPr>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山北生活区4号楼西</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61</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电瓶车充电处（新增）</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w:t>
            </w:r>
          </w:p>
        </w:tc>
      </w:tr>
      <w:tr>
        <w:tblPrEx>
          <w:tblCellMar>
            <w:top w:w="0" w:type="dxa"/>
            <w:left w:w="108" w:type="dxa"/>
            <w:bottom w:w="0" w:type="dxa"/>
            <w:right w:w="108" w:type="dxa"/>
          </w:tblCellMar>
        </w:tblPrEx>
        <w:trPr>
          <w:gridAfter w:val="1"/>
          <w:wAfter w:w="130" w:type="pct"/>
        </w:trPr>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山北生活区5号楼</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10</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52</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电瓶车充电处（新增）</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w:t>
            </w:r>
          </w:p>
        </w:tc>
      </w:tr>
      <w:tr>
        <w:tblPrEx>
          <w:tblCellMar>
            <w:top w:w="0" w:type="dxa"/>
            <w:left w:w="108" w:type="dxa"/>
            <w:bottom w:w="0" w:type="dxa"/>
            <w:right w:w="108" w:type="dxa"/>
          </w:tblCellMar>
        </w:tblPrEx>
        <w:trPr>
          <w:gridAfter w:val="1"/>
          <w:wAfter w:w="130" w:type="pct"/>
        </w:trPr>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w:t>
            </w:r>
          </w:p>
        </w:tc>
      </w:tr>
      <w:tr>
        <w:tblPrEx>
          <w:tblCellMar>
            <w:top w:w="0" w:type="dxa"/>
            <w:left w:w="108" w:type="dxa"/>
            <w:bottom w:w="0" w:type="dxa"/>
            <w:right w:w="108" w:type="dxa"/>
          </w:tblCellMar>
        </w:tblPrEx>
        <w:trPr>
          <w:gridAfter w:val="1"/>
          <w:wAfter w:w="130" w:type="pct"/>
          <w:trHeight w:val="439" w:hRule="atLeast"/>
        </w:trPr>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4</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山北生活区7号楼</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72</w:t>
            </w:r>
          </w:p>
        </w:tc>
        <w:tc>
          <w:tcPr>
            <w:tcW w:w="932"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高清监控（楼梯）</w:t>
            </w:r>
          </w:p>
        </w:tc>
        <w:tc>
          <w:tcPr>
            <w:tcW w:w="731"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25</w:t>
            </w: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31"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130" w:type="pct"/>
            <w:tcBorders>
              <w:top w:val="nil"/>
              <w:left w:val="nil"/>
              <w:bottom w:val="nil"/>
              <w:right w:val="nil"/>
            </w:tcBorders>
            <w:noWrap/>
            <w:vAlign w:val="center"/>
          </w:tcPr>
          <w:p>
            <w:pPr>
              <w:ind w:firstLine="0" w:firstLineChars="0"/>
              <w:jc w:val="center"/>
              <w:rPr>
                <w:rFonts w:hint="eastAsia"/>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4</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山北生活区8号楼</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模拟监控(已坏)、高清监控</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21</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23</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电瓶车充电处（新增）</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山北生活区食堂三楼</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室内外重要点位</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8</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31"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130" w:type="pct"/>
            <w:tcBorders>
              <w:top w:val="nil"/>
              <w:left w:val="nil"/>
              <w:bottom w:val="nil"/>
              <w:right w:val="nil"/>
            </w:tcBorders>
            <w:noWrap/>
            <w:vAlign w:val="center"/>
          </w:tcPr>
          <w:p>
            <w:pPr>
              <w:ind w:firstLine="0" w:firstLineChars="0"/>
              <w:jc w:val="center"/>
              <w:rPr>
                <w:rFonts w:hint="eastAsia"/>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color w:val="auto"/>
                <w:highlight w:val="none"/>
              </w:rPr>
            </w:pPr>
            <w:r>
              <w:rPr>
                <w:rFonts w:hint="eastAsia"/>
                <w:color w:val="auto"/>
                <w:highlight w:val="none"/>
              </w:rPr>
              <w:t>7</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象山校区21A</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10</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50</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8</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象山校区21B</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模拟监控(已坏)</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10</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50</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电瓶车充电处</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w:t>
            </w: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无</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高空抛物</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楼顶防范</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4</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9</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附中宿舍楼</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室内外主要通道</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模拟监控（独立使用）</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30</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40</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6</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10</w:t>
            </w:r>
          </w:p>
        </w:tc>
        <w:tc>
          <w:tcPr>
            <w:tcW w:w="7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潘天寿纪念馆</w:t>
            </w: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馆内</w:t>
            </w:r>
          </w:p>
        </w:tc>
        <w:tc>
          <w:tcPr>
            <w:tcW w:w="817"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w:t>
            </w: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22</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35</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入侵报警</w:t>
            </w:r>
          </w:p>
        </w:tc>
        <w:tc>
          <w:tcPr>
            <w:tcW w:w="518"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25</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入侵报警</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35</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室外</w:t>
            </w:r>
          </w:p>
        </w:tc>
        <w:tc>
          <w:tcPr>
            <w:tcW w:w="817"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模拟监控</w:t>
            </w:r>
          </w:p>
        </w:tc>
        <w:tc>
          <w:tcPr>
            <w:tcW w:w="518" w:type="pct"/>
            <w:vMerge w:val="restart"/>
            <w:tcBorders>
              <w:top w:val="nil"/>
              <w:left w:val="single" w:color="auto" w:sz="8" w:space="0"/>
              <w:bottom w:val="single" w:color="000000"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10</w:t>
            </w: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高清监控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303"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7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46"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817"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518" w:type="pct"/>
            <w:vMerge w:val="continue"/>
            <w:tcBorders>
              <w:top w:val="nil"/>
              <w:left w:val="single" w:color="auto" w:sz="8" w:space="0"/>
              <w:bottom w:val="single" w:color="000000" w:sz="8" w:space="0"/>
              <w:right w:val="single" w:color="auto" w:sz="8" w:space="0"/>
            </w:tcBorders>
            <w:noWrap w:val="0"/>
            <w:vAlign w:val="center"/>
          </w:tcPr>
          <w:p>
            <w:pPr>
              <w:ind w:firstLine="0" w:firstLineChars="0"/>
              <w:jc w:val="center"/>
              <w:rPr>
                <w:color w:val="auto"/>
                <w:highlight w:val="none"/>
              </w:rPr>
            </w:pPr>
          </w:p>
        </w:tc>
        <w:tc>
          <w:tcPr>
            <w:tcW w:w="932"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智能监控</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15</w:t>
            </w:r>
          </w:p>
        </w:tc>
        <w:tc>
          <w:tcPr>
            <w:tcW w:w="130" w:type="pct"/>
            <w:noWrap w:val="0"/>
            <w:vAlign w:val="center"/>
          </w:tcPr>
          <w:p>
            <w:pPr>
              <w:ind w:firstLine="0" w:firstLineChars="0"/>
              <w:jc w:val="center"/>
              <w:rPr>
                <w:color w:val="auto"/>
                <w:highlight w:val="none"/>
              </w:rPr>
            </w:pPr>
          </w:p>
        </w:tc>
      </w:tr>
      <w:tr>
        <w:tblPrEx>
          <w:tblCellMar>
            <w:top w:w="0" w:type="dxa"/>
            <w:left w:w="108" w:type="dxa"/>
            <w:bottom w:w="0" w:type="dxa"/>
            <w:right w:w="108" w:type="dxa"/>
          </w:tblCellMar>
        </w:tblPrEx>
        <w:tc>
          <w:tcPr>
            <w:tcW w:w="4138" w:type="pct"/>
            <w:gridSpan w:val="6"/>
            <w:tcBorders>
              <w:top w:val="single" w:color="auto" w:sz="8" w:space="0"/>
              <w:left w:val="single" w:color="auto" w:sz="8" w:space="0"/>
              <w:bottom w:val="single" w:color="auto" w:sz="8" w:space="0"/>
              <w:right w:val="single" w:color="000000" w:sz="8" w:space="0"/>
            </w:tcBorders>
            <w:noWrap/>
            <w:vAlign w:val="center"/>
          </w:tcPr>
          <w:p>
            <w:pPr>
              <w:ind w:firstLine="0" w:firstLineChars="0"/>
              <w:jc w:val="center"/>
              <w:rPr>
                <w:rFonts w:hint="eastAsia"/>
                <w:color w:val="auto"/>
                <w:highlight w:val="none"/>
              </w:rPr>
            </w:pPr>
            <w:r>
              <w:rPr>
                <w:rFonts w:hint="eastAsia"/>
                <w:color w:val="auto"/>
                <w:highlight w:val="none"/>
              </w:rPr>
              <w:t>合计</w:t>
            </w:r>
          </w:p>
        </w:tc>
        <w:tc>
          <w:tcPr>
            <w:tcW w:w="731" w:type="pct"/>
            <w:tcBorders>
              <w:top w:val="nil"/>
              <w:left w:val="nil"/>
              <w:bottom w:val="single" w:color="auto" w:sz="8" w:space="0"/>
              <w:right w:val="single" w:color="auto" w:sz="8" w:space="0"/>
            </w:tcBorders>
            <w:noWrap/>
            <w:vAlign w:val="center"/>
          </w:tcPr>
          <w:p>
            <w:pPr>
              <w:ind w:firstLine="0" w:firstLineChars="0"/>
              <w:jc w:val="center"/>
              <w:rPr>
                <w:rFonts w:hint="eastAsia"/>
                <w:color w:val="auto"/>
                <w:highlight w:val="none"/>
              </w:rPr>
            </w:pPr>
            <w:r>
              <w:rPr>
                <w:rFonts w:hint="eastAsia"/>
                <w:color w:val="auto"/>
                <w:highlight w:val="none"/>
              </w:rPr>
              <w:t>525</w:t>
            </w:r>
          </w:p>
        </w:tc>
        <w:tc>
          <w:tcPr>
            <w:tcW w:w="130" w:type="pct"/>
            <w:noWrap w:val="0"/>
            <w:vAlign w:val="center"/>
          </w:tcPr>
          <w:p>
            <w:pPr>
              <w:ind w:firstLine="0" w:firstLineChars="0"/>
              <w:jc w:val="center"/>
              <w:rPr>
                <w:color w:val="auto"/>
                <w:highlight w:val="none"/>
              </w:rPr>
            </w:pPr>
          </w:p>
        </w:tc>
      </w:tr>
    </w:tbl>
    <w:p>
      <w:pPr>
        <w:ind w:firstLine="480"/>
        <w:rPr>
          <w:rFonts w:hint="eastAsia"/>
          <w:color w:val="auto"/>
          <w:highlight w:val="none"/>
        </w:rPr>
      </w:pPr>
    </w:p>
    <w:p>
      <w:pPr>
        <w:pStyle w:val="6"/>
        <w:numPr>
          <w:ilvl w:val="0"/>
          <w:numId w:val="10"/>
        </w:numPr>
        <w:ind w:firstLine="482"/>
        <w:rPr>
          <w:rFonts w:hint="eastAsia"/>
          <w:color w:val="auto"/>
          <w:highlight w:val="none"/>
        </w:rPr>
      </w:pPr>
      <w:r>
        <w:rPr>
          <w:rFonts w:hint="eastAsia"/>
          <w:color w:val="auto"/>
          <w:highlight w:val="none"/>
        </w:rPr>
        <w:t>具体参数要求</w:t>
      </w:r>
    </w:p>
    <w:tbl>
      <w:tblPr>
        <w:tblStyle w:val="28"/>
        <w:tblW w:w="5000" w:type="pct"/>
        <w:tblInd w:w="0" w:type="dxa"/>
        <w:tblLayout w:type="autofit"/>
        <w:tblCellMar>
          <w:top w:w="0" w:type="dxa"/>
          <w:left w:w="108" w:type="dxa"/>
          <w:bottom w:w="0" w:type="dxa"/>
          <w:right w:w="108" w:type="dxa"/>
        </w:tblCellMar>
      </w:tblPr>
      <w:tblGrid>
        <w:gridCol w:w="457"/>
        <w:gridCol w:w="1056"/>
        <w:gridCol w:w="5853"/>
        <w:gridCol w:w="463"/>
        <w:gridCol w:w="699"/>
      </w:tblGrid>
      <w:tr>
        <w:tblPrEx>
          <w:tblCellMar>
            <w:top w:w="0" w:type="dxa"/>
            <w:left w:w="108" w:type="dxa"/>
            <w:bottom w:w="0" w:type="dxa"/>
            <w:right w:w="108" w:type="dxa"/>
          </w:tblCellMar>
        </w:tblPrEx>
        <w:tc>
          <w:tcPr>
            <w:tcW w:w="5000" w:type="pct"/>
            <w:gridSpan w:val="5"/>
            <w:tcBorders>
              <w:top w:val="nil"/>
              <w:left w:val="nil"/>
              <w:bottom w:val="nil"/>
              <w:right w:val="nil"/>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象山宿舍视频监控系统招标清单</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序号</w:t>
            </w:r>
          </w:p>
        </w:tc>
        <w:tc>
          <w:tcPr>
            <w:tcW w:w="619" w:type="pct"/>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产品名称</w:t>
            </w:r>
          </w:p>
        </w:tc>
        <w:tc>
          <w:tcPr>
            <w:tcW w:w="3432" w:type="pct"/>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highlight w:val="none"/>
              </w:rPr>
              <w:t>具体技术参数要求</w:t>
            </w:r>
          </w:p>
        </w:tc>
        <w:tc>
          <w:tcPr>
            <w:tcW w:w="270" w:type="pct"/>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单位</w:t>
            </w:r>
          </w:p>
        </w:tc>
        <w:tc>
          <w:tcPr>
            <w:tcW w:w="409" w:type="pct"/>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数量</w:t>
            </w:r>
          </w:p>
        </w:tc>
      </w:tr>
      <w:tr>
        <w:tblPrEx>
          <w:tblCellMar>
            <w:top w:w="0" w:type="dxa"/>
            <w:left w:w="108" w:type="dxa"/>
            <w:bottom w:w="0" w:type="dxa"/>
            <w:right w:w="108" w:type="dxa"/>
          </w:tblCellMar>
        </w:tblPrEx>
        <w:tc>
          <w:tcPr>
            <w:tcW w:w="267" w:type="pct"/>
            <w:tcBorders>
              <w:top w:val="nil"/>
              <w:left w:val="nil"/>
              <w:bottom w:val="nil"/>
              <w:right w:val="nil"/>
            </w:tcBorders>
            <w:shd w:val="clear" w:color="auto" w:fill="auto"/>
            <w:noWrap w:val="0"/>
            <w:vAlign w:val="center"/>
          </w:tcPr>
          <w:p>
            <w:pPr>
              <w:ind w:firstLine="0" w:firstLineChars="0"/>
              <w:jc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前端系统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both"/>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智能筒型网络摄像机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具有400万像素 CMOS传感器。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内置麦克风和扬声器。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最低照度彩色：0.005 lx，黑白:0.0005 lx，最大亮度鉴别等级（灰度等级）不小于11级。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需支持双码流技术，主码流最高2560x1440@25fps，子码流640x480@25fps。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在2560x1440 @ 25fps下，清晰度不小于1400TVL。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支持H.264、H.265、MJPEG视频编码格式，其中H.264支持Baseline/Main/High Profile。</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信噪比不小于62dB。</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白光补光距离不小于60米。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具有白光补光、混合补光模式，在仅开启白光灯进行补光时，可输出彩色视频图像；支持自动和手动亮度调节模式，当在自动模式下，补光灯开启时，样机可跟据被摄物的距离自动调节补光灯亮度。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支持检出两眼瞳距20像素点以上的人脸图片。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★支持最佳抓拍和快速抓拍2种人脸图片抓拍模式设置选项。（公安部检验报告证明）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需具备区域入侵检测、越界入侵检测、进入区域、离开区域等功能。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支持声音报警功能，报警声音类型不小于10种，报警声级及报警次数可设置。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需具备智能分析抗干扰功能，当篮球、小狗、树叶等非人或车辆目标经过检测区域时，不会触发报警。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支持快捷配置功能，可在预览画面开启/关闭“快捷配置”页面，对曝光参数、OSD、智能资源分配模式等参数进行配置，并支持恢复默认操作。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支持像素显示功能，可通过IE浏览器显示监控画面上选定区域的水平及垂直方向的像素数。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不低于IP67防尘防水等级。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需支持DC12V供电，且在不小于DC12V±30%范围内变化时可以正常工作。</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448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周界防范摄像机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 xml:space="preserve">400万 1/3" CMOS 变焦筒型网络摄像机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最低照度: 彩色：0.005 Lux @（F1.2，AGC ON），0 Lux with Light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宽动态: 120 dB</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焦距&amp;视场角: 2.7~12 mm，水平视场角：96.7°~29.7°，垂直视场角：51.7°~16.7°，对角视场角：114.3°~34°</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补光灯类型: 默认白光，可切换红外补光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补光距离: 红外光最远可达50 m，白光最远可达30 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防补光过曝: 支持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红外波长范围: 850 nm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最大图像尺寸: 2560 × 1440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视频压缩标准: 主码流：H.265/H.264</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网络存储: 支持NAS（NFS，SMB/CIFS均支持），支持MicroSD(即TF卡)/MicroSDHC/MicroSDXC卡（最大256 GB），断网本地录像存储及断网续传，配合黑卡支持SD卡加密及SD卡状态检测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网络: 1个RJ45 10 M/100 M自适应以太网口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音频: 1个内置麦克风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复位: 支持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启动和工作温湿度: -30 ℃~60 ℃，湿度小于95%（无凝结）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电流及功耗: DC：12 V，0.63 A，最大功耗：7.5 W；PoE：802.3af，36 V~57 V，0.28 A~0.22 A，最大功耗：9 W</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供电方式: DC：12 V ± 25%；PoE：802.3af，Class 3</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电源接口类型: Ø5.5 mm圆口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防护: IP67</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双舱人脸抓拍摄像机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 内置双镜头，图像传感器均不小于1/1.8"靶面尺寸。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双镜头均具有不小于400万像素 CMOS传感器。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 内置GPU芯片。内置2个麦克风、1个扬声器、1个风扇。内置混合补光灯（均由红外灯、白光灯组成），支持混合补光、白光补光和关闭模式，可根据被摄物的距离自动调节混合灯亮度。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 最低照度彩色不大于0.0002 lx，黑白不大于0.0001 lx。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 信噪比不小于60dB。</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 在分辨率1920x1080 @ 25fps，延时不大于70ms。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 支持亮度异常、清晰度异常、花屏、雪花、偏色、画面冻结、增益失衡、画面抖动、条纹干扰、信号丢失、视频遮挡、光晕、紫边等故障报警功能。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 在2560x1440 @ 25fps下，清晰度均不小于1400TVL。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 ★支持检出两眼瞳距20像素点以上的人脸图片。（公安部检验报告证明）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10.★支持侧脸过滤功能，可过滤上下、左右角度达到预设值的人脸。支持单场景同时检出不少于40张人脸图片。（公安部检验报告证明）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 同一静止场景相同图像质量下，设备在H.265编码方式时，开启智能编码功能和不开启智能编码相比，码率节约80%。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 内置eMMC存储，支持开启、关闭eMMC保护功能。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 不低于IP66防护等级。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 具有DC12V电压输出接口。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 支持对镜头前盖玻璃加热，去除玻璃上的冰状和水状附着物。</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全局人脸抓拍摄像机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
              </w:numPr>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设备具有1个RJ45网络接口，可输出两路视频图像：通道1、通道2。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摄像机定焦镜头、变焦镜头靶面尺寸均不小于1/1.8英寸。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 内置不少于2个GPU芯片。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 两路视频输出分别支持分辨率设置为2560x1440，帧率设置为25fps，分辨力不小于1500线。</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 支持最低照度可达彩色0.0002Lux，黑白0.0001Lux。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 设备一共有8个补光灯，其中特写摄像机的每个补光灯均包含红外补光模块和白光补光模块。</w:t>
            </w:r>
          </w:p>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7. 设备支持混合补光，可对红外灯及白光灯进行选择性开启。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 支持对镜头前盖玻璃加热，去除玻璃上的冰状和水状附着物。</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 在设定的侦测区域内有目标移动时，设备可联动开启白光灯并抓拍图像。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 支持水平、垂直旋转，水平手控速度不小于240°/s，定位准确度不大于0.1°。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 设备可同时对行人、非机动车、机动车进行检测、跟踪及抓拍；可支持人脸、车牌的抠图及人脸与人体、车牌与车辆的关联显示。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 设备支持看清80米处人体轮廓，并可生成人体小图。</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 可通过客户端软件显示行人的属性，包括上衣颜色、下装颜色、是/否戴眼镜、是/否背包、是/否戴帽子。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 支持检出两眼瞳距20像素点以上的人脸图片，人脸检出率不小于99%，支持单场景同时检出不少于30张人脸图片，并支持面部跟踪。</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 ★设备可对30米处的行人进行人脸抓拍，并可生成分辨率不小于110×120的人脸图片,图片中人脸两眼瞳距应≥40像素。（以公安部检验报告为准）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 在距离设备30米处，人脸抓拍准确率不小于95%，人体抓拍准确率不小于95%。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 ★通道1检测到且框出移动目标至通道2摄像机开始转动的时间不大于0.2秒。（以公安部检验报告为准）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 支持本机存储功能，支持SD卡热插拔，SD卡最大支持256GB。</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 电压在DC36V±25%范围内变化时，设备可正常工作，工作温度范围可达-45℃-70℃，支持IP67。</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 设备支持创建10个人脸库，可导入不少于15万张人脸图片。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 ★设备支持人脸抓拍去重功能，去重后在所有人脸抓拍图片中，同一人脸抓拍图的数量占比应≤1%。（以公安部检验报告为准）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22. 设备可将车辆抓拍模式设置为不抓拍未悬挂车牌车辆。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23. ★设备细节画面支持快速聚焦，从聚焦开始到聚焦结束用时不超过0.01s。（以公安部检验报告为准）</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室外网络黑光球机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摄像机具体两个图像传感器，靶面尺寸不小于1/1.8英寸，视频图像分辨率不小于2560×1440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摄像机具有双路视频融合功能，可分别输出黑白及彩色图像，并对视频图像进行融合输出</w:t>
            </w:r>
          </w:p>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内置GPU芯片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支持35倍光学变倍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最低照度：彩色0.0002 lx，黑白0.0001 lx（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设备运动结束静止时，其水平和垂直角度方向受到外力作用发生偏移时，能够检测角度改变并产生报警信息，报警信息可在OSD上叠加。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设备具备偏移自动校正功能。设备运动结束静止时，其水平和垂直角度方向受到外力作用发生偏移时，设备可进行偏移自动校正，校正后与原位置偏差角度应不大于0.05°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摄像机抓拍图片格式包括JPEG、JPEG2000、BMP、PNG及TIF</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在丢包率设置为20%且网络直连的环境下，网络延时设置为200ms，带宽限制为1Mbps情况下，画面预览正常不卡顿，且云台响应客户端控制命令的延时时间不大于200ms（以公安部检验报告为准）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摄像机可在预览画面及抓拍图片中叠加人员和车辆的移动轨迹，轨迹颜色支持红色、黄色、蓝色、绿色及紫色，轨迹末尾具有一个方向箭头，指向目标离开的方向，抓拍图片大小不大于500KB（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★摄像机通过标定校准可检测当前镜头方向与地平面夹角，并根据夹角变化自动调整倍率（以公安部检验报告为准）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摄像机可对镜头前盖玻璃进行加热</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在混合目标检测模式下，可同时对行人、非机动车、机动车进行检测、跟踪及抓拍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在混合目标检测模式下，可同时对行人、非机动车、机动车进行分类计数。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在混合目标检测模式下，对监视区域中的行人、非机动车和机动车的目标捕获率不低于99%（以公安部检验报告为准）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在混合目标检测模式下，可支持人脸与人体、车牌与车辆的关联显示。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设备可显示行人、非机动车的属性。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可抓拍距设备100米处的人脸，可抓拍距设备150米处的人体及车辆。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★设备可对监视画面中不小于40个人脸进行检测、跟踪和抓拍。（以公安部检验报告为准）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水平旋转范围为360°连续旋转，垂直旋转范围为-20°~90°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支持7路报警输入，2路报警输出，支持1路音频输入和输出接口。最大支持512GB SD卡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黑光人脸抓拍筒型摄像机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分辨率设置为2560×1440@25fps，分辨力不小于1400TVL。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内置双镜头，靶面尺寸均不低于1/1.8英寸。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内置两个图像传感器，分别输出黑白及彩色图像，可对视频图像进行融合输出。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内置混合补光灯，每颗补光灯由红外灯、白光灯组成，可自动或手动调节补光灯的亮度。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动态范围不小于120dB。</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最低照度彩色：0.0002 lx，黑白:0.0001 lx，最大亮度鉴别等级（灰度等级）不小于11级。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需支持五码流技术，主码流最高≥2560x1440@25fps；子码流≥704x576@25fps；第三码流最高≥1920x1080@8fps；第四码流最高≥704x576@25fps；第五码流最高≥704x576@25fps。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支持H.264、H.265、MJPEG视频编码格式，且具有High Profile编码能力。</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★支持检出两眼瞳距19像素点以上的人脸图片。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人脸检出率不小于99%。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人脸抓拍重复率不大于1%。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支持人脸区域自动曝光功能，可根据外部不同场景和光照变化自动调节人脸区域曝光参数。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同一静止场景相同图像质量下，设备在H.265编码方式时，开启智能编码功能和不开启智能编码相比，码率节约80%。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内置1个麦克风。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内置不低于8GB eMMC存储，支持开启、关闭eMMC保护功能。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不低于IP67防尘防水等级。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具有低温低气压适应性，可在不高于-45℃和气压70kPa环境下正常工作。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频电磁场辐射抗扰度应符合GB/T 17626.3-2006中试验等级3的规定。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传导骚扰极限值应符合GB/T 9254-2008中等级A的规定。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辐射骚扰限值应符合GB/T 9254-2008中等级A的规定。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在IE 浏览器下，可通过扫描预览界面上的二维码获取设备资料。</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支持数据感知功能，在IE 浏览器下，重启事件记录可包括正常重启和异常重启2种类型。正常重启可记录重启的时间、服务类型、用户名、IP/域名信息；异常重启可记录重启时间、异常类型信息。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支持数据感知功能，可同时支持10路客户端和5路web端事件布防，设备在布防时间段内主动上传感知数据，断网重连后，报警信息与报警图片可继续上传。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支持数据感知功能，可同时支持3路web监听通道，设备响应web端发送的查询请求，并返回对应的感知数据；断网重连后，报警信息可继续上传。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固件安全，支持硬件微引导程序OTP写入保护机制，uboot的FLASH存储空间应采用防篡改功能。若非法修改FLASH中的内容，可提示异常报错，uboot无法正常启动。</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67</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高空抛物摄像机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具有400万像素 CMOS传感器。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具有不小于1/1.8"靶面尺寸。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光圈大小为F1.0±5%。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最低照度彩色不大于0.0002 lx，黑白不大于0.0001 lx。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设备水平中心分辨力不小于1500TVL。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支持H.264、H.265、MJPEG视频编码格式，且具有High Profile编码能力。</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需支持双码流技术，主码流分辨率不小于2560x1440@25fps，子码流不小于704x576@25fps。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支持镜头前盖玻璃加热功能，内置温度传感器，当温度低于设定阈值时，可开启加热片，去除玻璃上的水、冰、雪、雾类附着物，可根据环境温度自动调整加热功率。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镜头前盖采用增强透光玻璃，透过率不小于96%。</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需支持IP67防尘防水、IK10防暴等级。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★支持高空抛物检测功能，可检测如垃圾袋、纸盒、矿泉水瓶等，可抓图并发出报警提示。（公安部检验报告证明）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★支持高空抛物抗扰功能，当出现非从高处落向低处的物体，不产生报警提示信息。（公安部检验报告证明）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高空抛物检测误报率≤1%。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设备默认不开启telnet、ftp和tftp服务，对未使用的服务及端口应默认关闭。</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射频电磁场辐射抗扰度应符合GB/T 17626.3-2006中试验等级3的规定。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传导骚扰极限值应符合GB 9254-2008中等级A的规定。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辐射骚扰限值应符合GB 9254-2008中等级A的规定。</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摄像机支架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壁装支架/白/复合纤维/197×48×78mm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605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摄像机电源</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两端带线式，国标，输入线长500mm，输出线长1000mm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605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网络传输系统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核心交换机板卡</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24端口千兆以太网光口(SFP,LC)+12端口千兆以太网电口复用(RJ45)+4端口万兆以太网光口(SFP+,LC)</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汇聚交换机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24口千兆全网管二层交换机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机架式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24个千兆电口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4个千兆光口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支持通过console口管理。交换容量：336Gbps/3.36Tbps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包转发率：42Mpps/96Mpps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1U高度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19英寸宽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工作温度：0℃～40℃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支持220v交流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满负荷功耗23W；支持VLAN</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流量控制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ACL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QOS支持SNMP V1/V2c/V3网管。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24POE口交换机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轻网管提供24个百兆电口，2个千兆光电复用口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支持IEEE 802.3、IEEE 802.3u、IEEE 802.3x、 IEEE802.3ab、IEEE802.3z 标准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支持APP管理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支持安防网络拓扑管理、QoS、链路聚合、端口管理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支持远程升级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支持最远250 m传输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支持红口保障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百兆网络接入，千兆上行设计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线速转发</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存储转发交换方式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坚固式高强度金属外壳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无风扇设计，高可靠性</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光模块单模1000M</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光模块-eSFP-GE-单模模块(1310nm,10km,LC)</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光模块单模10G</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SFP+-10G-单模模块(1310nm,10km,LC)</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后端系统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高空抛物超脑</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1.支持接入双目、三目、800w、1600w球型鹰眼、2400w环型鹰眼相机，3200w摄像机，并可将视频画面以多画面分割方式显示，可自定义画面布局</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3.支持设备级联，NVR接入NVR、DVR、XVR设备，选择通道添加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配合具有高温点检测、船舶检测、测温、温差报警功能的网络摄像机，当触发报警时，样机可联动录像、抓拍并保存图片、弹出报警画面、声音警告、上传中心、发送邮件、触发报警输出，联动云台轮巡、联动云台预置点、记录日志（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6.支持按年龄、性别、眼镜、上衣颜色、骑车、背包属性分组显示人员录像文件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9.支持秒级检索查看硬盘中录像文件，秒级检索录像文件中的人员、车辆、人体等活动目标，并以弹窗形式来展示活动目标关联的录像片段</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10.支持图片文件秒级检索，秒级提取硬盘中人脸、车辆、人体等图片文件，用户可快速浏览全部通道中的图片文件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11.支持过车记录导出表格功能，表格包含通道、时间、车牌号、车型、车身颜色、车辆品牌、车辆抓拍图片信息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12.支持图表形式展示已添加的IP通道，支持自动抓拍一张图片作为IP通道封面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13.配合全局摄像机，支持3D定位功能，可以在全景通道上任意选取点位，球机通道可变倍定位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14.支持查看希捷硬盘健康状态信息，包括温度，震动，链路稳定性。支持查看最近7天（168小时）的硬盘状态信息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16.支持图片存储服务管理功能，可将NVR作为图片存储服务器，接收外设推送的图片进行存储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17.可对视频画面叠加10行字符，每行可输入22个汉字；可设置透明闪烁、透明不闪烁、不透明不闪烁、不透明闪烁4种OSD属性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18.支持缩略图,录像回放中，当鼠标在进度条上移动时，可自动显示该时间点附近的视频画面图片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19.支持回放双进度条控制功能，可在进度条上自动标注目标事件，一条为当前回放通道，一条为全部通道。支持鼠标在进度条上点击进行快速定位回放功能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20.可通过IE预览和回放双目摄像机的立体声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21.支持报警输入触发一键撤防功能，撤防的报警类型可选（弹出报警画面、声音警告、上传中心、发送邮件、触发报警输出）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22.支持实时监测并显示系统正在进行的录像备份任务，可查看剩余录像大小、剩余时间、备份进度百分比和进度条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23. 支持智能后检索回放功能：接入支持智能后检索功能的IPC，录像回放时，可设置移动侦测区域、越界/区域入侵区域并进行检索，可自动跳过未触发设定规则的录像，只播放触发规则的录像，并且播放速度可设置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24.支持对任一录像文件打标签，单个文件最大支持1024个标签，设备可添加的标签个数不少于8192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25.支持POS功能，可接入POS机，叠加POS信息到录像中，可修改POS信息的字体大小和颜色，可按关键字搜索录像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26.配合前端接入的智能摄像机，可在客户端视频画面上显示叠加的智能分析规则框，智能分析规则框大小和数量可随目标大小和数量自动调整，并随目标消失而消失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27.支持时间轴缩放：录像回放中支持设置时间轴范围，范围可选5分钟、10分钟、20分钟、1小时、2小时、4小时、8小时、12小时、16小时、20小时、24小时、2天、4天、1周、2周、4周，通过鼠标滚轮缩放时间轴范围</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28.★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29.支持实时查看设备状态，包括CPU使用率、内存使用率、CPU温度、机箱温度、风扇转速等；支持配置风扇全速、自动调速转动模式，自动调速转动模式可根据机箱温度自适应调节风扇转速</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30.可接入10T容量的SATA接口硬盘；可接入AI硬盘。支持硬盘休眠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31.支持设置8个二次认证用户，当设备启用二次认证，其他用户在回放、下载时，需要二次用户同时授权才能登录设备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32.可设置主码流、子码流流进行录像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33.支持即时回放功能，在预览状态下可回放任一通道5-120分钟内的录像文件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34.可同时正放或倒放32路H.265编码的视频图像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35.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36.支持1路H.265编码、25fps、8160×2400格式的视频实时预览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37.支持录像打包时间1-300分钟可设置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38.支持1/8、1/4、1/2、1、2、4、8、16、32、64、128、256等倍速回放录像，支持录像回放的剪辑和回放截图功能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39.支持密码安全,密码错误次数超过7次，锁定账号；设备密码定期提示修改、删除；支持密码复杂度等级显示；设备密码不允许明文显示和拷贝操作，并支持通过安全问题恢复密码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40.支持开启RAID后，系统接入带宽、存储带宽、转发带宽、回放带宽不下降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41.支持日志回放功能，可对报警日志关联的录像进行回放；录像文件含设备的序列号、MAC地址、录像时间水印信息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42.支持在预览界面下拖动任意预览通道画面，交换通道顺序。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43.支持摘要回放：选中通道指定时间范围内的一段录像，对重要事件和目标进行轨迹分析、重新排序、叠加显示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44.支持回放控制：录像回放时，支持截图、剪辑、打标签、电子放大、调节音量、锁定等操作；并支持多路电子放大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45.支持弹幕显示，录像回放时，当播放至有录像标签时间点时，可在画面上自动叠加显示标签内容</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46.支持接入云台，并可以通过本地GUI或者客户端软件实现云台的8个方向的转动、变倍、聚焦、巡航功能、预置点的设置与调用等功能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47.NVR总资源为满负载条件下的最大接入带宽640Mbps、最大存储带宽640Mbps、最大转发带宽640Mbps、最大回放带宽640Mbps。最大接入路数32路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48.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49.样机可接入H.265、H.264、MPEG4、smart265、smart264、MJPEG视频编码格式的IPC。支持接入SVAC视频编码格式的IPC可通过客户端显示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50.支持对重要的数据能够进行备份，视频数据备份格式MP4和AVI可选；可按移动侦测、外部输入报警、智能侦测等事件类型进行数据备份，将录像文件或者图片保存至USB设备（U盘、移动硬盘）、eSATA盘、DVD刻录机等存储设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51.★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52.支持浓缩播放功能，录像回放中，移动侦测、外部输入报警、智能侦测等类型的重要录像，视频默认按正常速度播放，其他普通录像视频自动按高倍速播放，并支持自定义设置普通录像和重要录像的播放速度，支持跳过普通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53.支持即时存储和回放功能，可回放设备断电、断网前一秒的录像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54.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55.支持设置走廊模式，对画面进行“左右”、“上下”、“中心”镜像翻转</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56.支持录像续传接收功能，接入具有断网续传功能的网络摄像机，当设备与摄像机之间网络中断并恢复后，可自动接收摄像机内存储的视频图像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57.支持整机热备份功能，设置一台备份硬盘录像机，当主设备断网时，备份设备替换主设备进行录像，当主设备正常时，备份设备可回传录像文件至主设备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58.支持接入带有热度图功能的IPC，可检索热度图并按日、周、月、年统计生成报表，可同时选择多个带有客流统计功能的IPC，自动将多个IPC通道的客流统计数据求和，并按日、周、月、年统计生成报表；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59.支持人脸侦测，接入带有人脸侦测报警功能的IPC，当触发报警时，可联动录像、抓拍并保存图片、弹出报警画面、声音警告、上传中心、发送邮件、触发报警输出，联动云台轮巡、联动云台预置点、记录日志；可按通道、时间检索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60.支持即时流畅预览，通过客户端软件预览图像时，当网络带宽低于该通道码率时，自动抽帧处理，使预览画面无花屏、马赛克现象产生</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61.支持抽帧回放</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62.支持预览转码，通过WEB端、客户端软件远程预览时，样机可重新编码一路与主码流不同分辨率、帧率、码率的图像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63.支持多址设定功能，可将2个网口设置不同网段的IP地址</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64.支持客户端与设备端进行实时双向对讲；支持客户端与设备的IP通道进行实时双向对讲，可通过设备端与IPC进行实时双向对讲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65.支持远程管理IPC功能。支持对前端IPC批量远程升级；支持远程对IPC的参数配置修改，支持IPC的参数配置到其他通道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66.可设置定时抓图、移动侦测抓图、报警抓图、移动侦测且报警抓图、智能侦测抓图、手动抓图，可进行32路抓拍并存储1080P格式的图片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67.支持对任一录像文件加锁、解锁，只有解锁后才可被覆盖</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68.支持双系统功能检查，检测到一个系统异常时，可从另一个系统启动，并恢复异常系统</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69.具有2个HDMI接口、2个VGA接口、2个RJ45网络接口、2个USB2.0接口、1个USB3.0接口、16路报警输入接口、8路报警输出接口，可内置8块SATA接口硬盘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70.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71.支持实时查看RAID状态，发生故障时可实时报警并记录相关日志，RAID模式可设置自适应、同步优先、业务优先、负载均衡模式，RAID组中正常工作的硬盘掉线1分钟内再插上，硬盘可恢复至原RAID组中</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48盘位存储主机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Style w:val="52"/>
                <w:color w:val="auto"/>
                <w:sz w:val="24"/>
                <w:szCs w:val="24"/>
                <w:highlight w:val="none"/>
                <w:lang w:bidi="ar"/>
              </w:rPr>
              <w:t>1.单设备应配置≥64位多核处理器，≥4GB内存，内存支持扩展到≥32GB，需配置冗余金牌电源，支持双系统（其中电源仅以照片证明即可）</w:t>
            </w:r>
            <w:r>
              <w:rPr>
                <w:rStyle w:val="52"/>
                <w:color w:val="auto"/>
                <w:sz w:val="24"/>
                <w:szCs w:val="24"/>
                <w:highlight w:val="none"/>
                <w:lang w:bidi="ar"/>
              </w:rPr>
              <w:br w:type="textWrapping"/>
            </w:r>
            <w:r>
              <w:rPr>
                <w:rStyle w:val="52"/>
                <w:color w:val="auto"/>
                <w:sz w:val="24"/>
                <w:szCs w:val="24"/>
                <w:highlight w:val="none"/>
                <w:lang w:bidi="ar"/>
              </w:rPr>
              <w:t>2.单设备应标配≥2个千兆网口，可增扩≥2个万兆口或≥2个光纤接口或增配≥4个HDMI接口或≥2个SAS3.0接口</w:t>
            </w:r>
            <w:r>
              <w:rPr>
                <w:rStyle w:val="52"/>
                <w:color w:val="auto"/>
                <w:sz w:val="24"/>
                <w:szCs w:val="24"/>
                <w:highlight w:val="none"/>
                <w:lang w:bidi="ar"/>
              </w:rPr>
              <w:br w:type="textWrapping"/>
            </w:r>
            <w:r>
              <w:rPr>
                <w:rStyle w:val="52"/>
                <w:color w:val="auto"/>
                <w:sz w:val="24"/>
                <w:szCs w:val="24"/>
                <w:highlight w:val="none"/>
                <w:lang w:bidi="ar"/>
              </w:rPr>
              <w:t>3.应支持FCSAN、IPSAN、NAS存储功能</w:t>
            </w:r>
            <w:r>
              <w:rPr>
                <w:rStyle w:val="52"/>
                <w:color w:val="auto"/>
                <w:sz w:val="24"/>
                <w:szCs w:val="24"/>
                <w:highlight w:val="none"/>
                <w:lang w:bidi="ar"/>
              </w:rPr>
              <w:br w:type="textWrapping"/>
            </w:r>
            <w:r>
              <w:rPr>
                <w:rStyle w:val="52"/>
                <w:color w:val="auto"/>
                <w:sz w:val="24"/>
                <w:szCs w:val="24"/>
                <w:highlight w:val="none"/>
                <w:lang w:bidi="ar"/>
              </w:rPr>
              <w:t>4.可接入2T/3T/4T/6T/8TSATA磁盘，支持磁盘交错启动和漫游，并支持在线热插拔；</w:t>
            </w:r>
            <w:r>
              <w:rPr>
                <w:rStyle w:val="52"/>
                <w:color w:val="auto"/>
                <w:sz w:val="24"/>
                <w:szCs w:val="24"/>
                <w:highlight w:val="none"/>
                <w:lang w:bidi="ar"/>
              </w:rPr>
              <w:br w:type="textWrapping"/>
            </w:r>
            <w:r>
              <w:rPr>
                <w:rStyle w:val="52"/>
                <w:color w:val="auto"/>
                <w:sz w:val="24"/>
                <w:szCs w:val="24"/>
                <w:highlight w:val="none"/>
                <w:lang w:bidi="ar"/>
              </w:rPr>
              <w:t>5.可接入硬盘≥48块，支持SATA和SAS混插，并支持≥12级扩展柜级联扩展；</w:t>
            </w:r>
            <w:r>
              <w:rPr>
                <w:rStyle w:val="52"/>
                <w:color w:val="auto"/>
                <w:sz w:val="24"/>
                <w:szCs w:val="24"/>
                <w:highlight w:val="none"/>
                <w:lang w:bidi="ar"/>
              </w:rPr>
              <w:br w:type="textWrapping"/>
            </w:r>
            <w:r>
              <w:rPr>
                <w:rStyle w:val="52"/>
                <w:color w:val="auto"/>
                <w:sz w:val="24"/>
                <w:szCs w:val="24"/>
                <w:highlight w:val="none"/>
                <w:lang w:bidi="ar"/>
              </w:rPr>
              <w:t>6.应能提供RAID0、1、3、5、6、10、50，60、JBOD模式，支持全局、局部等多种热备选择，支持坏盘自动重构；</w:t>
            </w:r>
            <w:r>
              <w:rPr>
                <w:rStyle w:val="52"/>
                <w:color w:val="auto"/>
                <w:sz w:val="24"/>
                <w:szCs w:val="24"/>
                <w:highlight w:val="none"/>
                <w:lang w:bidi="ar"/>
              </w:rPr>
              <w:br w:type="textWrapping"/>
            </w:r>
            <w:r>
              <w:rPr>
                <w:rStyle w:val="52"/>
                <w:color w:val="auto"/>
                <w:sz w:val="24"/>
                <w:szCs w:val="24"/>
                <w:highlight w:val="none"/>
                <w:lang w:bidi="ar"/>
              </w:rPr>
              <w:t>7.设备可对视音频、图片、智能数据（智能行为分析录像）流进行混合直存，无须存储服务器和图片服务器的参与，平台服务器宕机时，存储业务正常</w:t>
            </w:r>
            <w:r>
              <w:rPr>
                <w:rStyle w:val="52"/>
                <w:color w:val="auto"/>
                <w:sz w:val="24"/>
                <w:szCs w:val="24"/>
                <w:highlight w:val="none"/>
                <w:lang w:bidi="ar"/>
              </w:rPr>
              <w:br w:type="textWrapping"/>
            </w:r>
            <w:r>
              <w:rPr>
                <w:rStyle w:val="52"/>
                <w:color w:val="auto"/>
                <w:sz w:val="24"/>
                <w:szCs w:val="24"/>
                <w:highlight w:val="none"/>
                <w:lang w:bidi="ar"/>
              </w:rPr>
              <w:t>8.应能接入并存储1880Mbps视频图像，同时转发1880Mbps的视频图像；同时回放512Mbps的视频图像；</w:t>
            </w:r>
            <w:r>
              <w:rPr>
                <w:rStyle w:val="52"/>
                <w:color w:val="auto"/>
                <w:sz w:val="24"/>
                <w:szCs w:val="24"/>
                <w:highlight w:val="none"/>
                <w:lang w:bidi="ar"/>
              </w:rPr>
              <w:br w:type="textWrapping"/>
            </w:r>
            <w:r>
              <w:rPr>
                <w:rStyle w:val="52"/>
                <w:color w:val="auto"/>
                <w:sz w:val="24"/>
                <w:szCs w:val="24"/>
                <w:highlight w:val="none"/>
                <w:lang w:bidi="ar"/>
              </w:rPr>
              <w:t>9.支持不低于600MBps图片并发输入，同时不低于600MBps图片并发输出</w:t>
            </w:r>
            <w:r>
              <w:rPr>
                <w:rStyle w:val="52"/>
                <w:color w:val="auto"/>
                <w:sz w:val="24"/>
                <w:szCs w:val="24"/>
                <w:highlight w:val="none"/>
                <w:lang w:bidi="ar"/>
              </w:rPr>
              <w:br w:type="textWrapping"/>
            </w:r>
            <w:r>
              <w:rPr>
                <w:rStyle w:val="52"/>
                <w:color w:val="auto"/>
                <w:sz w:val="24"/>
                <w:szCs w:val="24"/>
                <w:highlight w:val="none"/>
                <w:lang w:bidi="ar"/>
              </w:rPr>
              <w:t>10.当RAID中某块工作正常的硬盘被误拔出后，60分钟内插回，该硬盘能恢复到原RAID中，系统自动恢复工作，而且会对拔掉的硬盘进行增量数据恢复</w:t>
            </w:r>
            <w:r>
              <w:rPr>
                <w:rStyle w:val="52"/>
                <w:color w:val="auto"/>
                <w:sz w:val="24"/>
                <w:szCs w:val="24"/>
                <w:highlight w:val="none"/>
                <w:lang w:bidi="ar"/>
              </w:rPr>
              <w:br w:type="textWrapping"/>
            </w:r>
            <w:r>
              <w:rPr>
                <w:rStyle w:val="52"/>
                <w:color w:val="auto"/>
                <w:sz w:val="24"/>
                <w:szCs w:val="24"/>
                <w:highlight w:val="none"/>
                <w:lang w:bidi="ar"/>
              </w:rPr>
              <w:t>11.在RAID内丢失2块（含）以上硬盘但至少有1块正常磁盘时，无需等待丢失盘恢复，保留的硬盘中的数据可正常读出，且新数据可正常写入</w:t>
            </w:r>
            <w:r>
              <w:rPr>
                <w:rStyle w:val="52"/>
                <w:color w:val="auto"/>
                <w:sz w:val="24"/>
                <w:szCs w:val="24"/>
                <w:highlight w:val="none"/>
                <w:lang w:bidi="ar"/>
              </w:rPr>
              <w:br w:type="textWrapping"/>
            </w:r>
            <w:r>
              <w:rPr>
                <w:rStyle w:val="52"/>
                <w:color w:val="auto"/>
                <w:sz w:val="24"/>
                <w:szCs w:val="24"/>
                <w:highlight w:val="none"/>
                <w:lang w:bidi="ar"/>
              </w:rPr>
              <w:t>12.支持接入单前端设备不超出30路码流冗余存储</w:t>
            </w:r>
            <w:r>
              <w:rPr>
                <w:rStyle w:val="52"/>
                <w:color w:val="auto"/>
                <w:sz w:val="24"/>
                <w:szCs w:val="24"/>
                <w:highlight w:val="none"/>
                <w:lang w:bidi="ar"/>
              </w:rPr>
              <w:br w:type="textWrapping"/>
            </w:r>
            <w:r>
              <w:rPr>
                <w:rStyle w:val="52"/>
                <w:color w:val="auto"/>
                <w:sz w:val="24"/>
                <w:szCs w:val="24"/>
                <w:highlight w:val="none"/>
                <w:lang w:bidi="ar"/>
              </w:rPr>
              <w:t>13.根据数据对象的重要性（例如：系统信息、配置信息、报警录像、普通录像等）、访问频率等属性按照预先设定的分层存储区域可进行自动分层存储并可实现快速访问</w:t>
            </w:r>
            <w:r>
              <w:rPr>
                <w:rStyle w:val="52"/>
                <w:color w:val="auto"/>
                <w:sz w:val="24"/>
                <w:szCs w:val="24"/>
                <w:highlight w:val="none"/>
                <w:lang w:bidi="ar"/>
              </w:rPr>
              <w:br w:type="textWrapping"/>
            </w:r>
            <w:r>
              <w:rPr>
                <w:rStyle w:val="52"/>
                <w:color w:val="auto"/>
                <w:sz w:val="24"/>
                <w:szCs w:val="24"/>
                <w:highlight w:val="none"/>
                <w:lang w:bidi="ar"/>
              </w:rPr>
              <w:t>14.设备在不增加任何外围服务器硬件的情况下可由存储设备直接进行虚拟化系统部署</w:t>
            </w:r>
            <w:r>
              <w:rPr>
                <w:rStyle w:val="52"/>
                <w:color w:val="auto"/>
                <w:sz w:val="24"/>
                <w:szCs w:val="24"/>
                <w:highlight w:val="none"/>
                <w:lang w:bidi="ar"/>
              </w:rPr>
              <w:br w:type="textWrapping"/>
            </w:r>
            <w:r>
              <w:rPr>
                <w:rStyle w:val="52"/>
                <w:color w:val="auto"/>
                <w:sz w:val="24"/>
                <w:szCs w:val="24"/>
                <w:highlight w:val="none"/>
                <w:lang w:bidi="ar"/>
              </w:rPr>
              <w:t>15.设备应能预录报警触发前1-40分钟的视频录像。</w:t>
            </w:r>
            <w:r>
              <w:rPr>
                <w:rStyle w:val="52"/>
                <w:color w:val="auto"/>
                <w:sz w:val="24"/>
                <w:szCs w:val="24"/>
                <w:highlight w:val="none"/>
                <w:lang w:bidi="ar"/>
              </w:rPr>
              <w:br w:type="textWrapping"/>
            </w:r>
            <w:r>
              <w:rPr>
                <w:rStyle w:val="52"/>
                <w:color w:val="auto"/>
                <w:sz w:val="24"/>
                <w:szCs w:val="24"/>
                <w:highlight w:val="none"/>
                <w:lang w:bidi="ar"/>
              </w:rPr>
              <w:t>16.可接入MPEG4、H.264、H.265、Smart265、SVAC编码格式的前端设备并存储录像文件,可将大华、宇视、海康等厂商SDK封装格式的视频流转成标准（MPEG4、H.264、H.265、SVAC、4K等编码格式）PS流（ProgramStream）输出。</w:t>
            </w:r>
            <w:r>
              <w:rPr>
                <w:rStyle w:val="52"/>
                <w:color w:val="auto"/>
                <w:sz w:val="24"/>
                <w:szCs w:val="24"/>
                <w:highlight w:val="none"/>
                <w:lang w:bidi="ar"/>
              </w:rPr>
              <w:br w:type="textWrapping"/>
            </w:r>
            <w:r>
              <w:rPr>
                <w:rStyle w:val="52"/>
                <w:color w:val="auto"/>
                <w:sz w:val="24"/>
                <w:szCs w:val="24"/>
                <w:highlight w:val="none"/>
                <w:lang w:bidi="ar"/>
              </w:rPr>
              <w:t>17.可在视频画面上绘制区域或界线，检索指定范围内的报警录像；</w:t>
            </w:r>
            <w:r>
              <w:rPr>
                <w:rStyle w:val="52"/>
                <w:color w:val="auto"/>
                <w:sz w:val="24"/>
                <w:szCs w:val="24"/>
                <w:highlight w:val="none"/>
                <w:lang w:bidi="ar"/>
              </w:rPr>
              <w:br w:type="textWrapping"/>
            </w:r>
            <w:r>
              <w:rPr>
                <w:rStyle w:val="52"/>
                <w:color w:val="auto"/>
                <w:sz w:val="24"/>
                <w:szCs w:val="24"/>
                <w:highlight w:val="none"/>
                <w:lang w:bidi="ar"/>
              </w:rPr>
              <w:t>18.★可输入车牌号码可查证出相关图片和视频；可按照报警事件进行检索。</w:t>
            </w:r>
            <w:r>
              <w:rPr>
                <w:rFonts w:hint="eastAsia" w:ascii="宋体" w:hAnsi="宋体" w:cs="宋体"/>
                <w:color w:val="auto"/>
                <w:kern w:val="0"/>
                <w:highlight w:val="none"/>
                <w:lang w:bidi="ar"/>
              </w:rPr>
              <w:t>（公安部检验报告证明）</w:t>
            </w:r>
            <w:r>
              <w:rPr>
                <w:rStyle w:val="52"/>
                <w:color w:val="auto"/>
                <w:sz w:val="24"/>
                <w:szCs w:val="24"/>
                <w:highlight w:val="none"/>
                <w:lang w:bidi="ar"/>
              </w:rPr>
              <w:br w:type="textWrapping"/>
            </w:r>
            <w:r>
              <w:rPr>
                <w:rStyle w:val="52"/>
                <w:color w:val="auto"/>
                <w:sz w:val="24"/>
                <w:szCs w:val="24"/>
                <w:highlight w:val="none"/>
                <w:lang w:bidi="ar"/>
              </w:rPr>
              <w:t>19.★可通过客户端将交通卡口数据（包括车标、车道、车速范围、车牌及车身颜色），行为分析的图片及数据（包括进入警戒线、进入警戒区、物品遗留、人脸检测）进行检索、查看、下载图片及进行录像</w:t>
            </w:r>
            <w:r>
              <w:rPr>
                <w:rFonts w:hint="eastAsia" w:ascii="宋体" w:hAnsi="宋体" w:cs="宋体"/>
                <w:color w:val="auto"/>
                <w:kern w:val="0"/>
                <w:highlight w:val="none"/>
                <w:lang w:bidi="ar"/>
              </w:rPr>
              <w:t>（公安部检验报告证明）</w:t>
            </w:r>
            <w:r>
              <w:rPr>
                <w:rStyle w:val="52"/>
                <w:color w:val="auto"/>
                <w:sz w:val="24"/>
                <w:szCs w:val="24"/>
                <w:highlight w:val="none"/>
                <w:lang w:bidi="ar"/>
              </w:rPr>
              <w:br w:type="textWrapping"/>
            </w:r>
            <w:r>
              <w:rPr>
                <w:rStyle w:val="52"/>
                <w:color w:val="auto"/>
                <w:sz w:val="24"/>
                <w:szCs w:val="24"/>
                <w:highlight w:val="none"/>
                <w:lang w:bidi="ar"/>
              </w:rPr>
              <w:t>20.★网络中断后重新恢复，设备可续存断网期间存储在前端设备中的录像文件，并可通过IE浏览器设置自动回传和手动回传。支持256路4M的录像回传。（公安部检验报告证明）</w:t>
            </w:r>
            <w:r>
              <w:rPr>
                <w:rStyle w:val="52"/>
                <w:color w:val="auto"/>
                <w:sz w:val="24"/>
                <w:szCs w:val="24"/>
                <w:highlight w:val="none"/>
                <w:lang w:bidi="ar"/>
              </w:rPr>
              <w:br w:type="textWrapping"/>
            </w:r>
            <w:r>
              <w:rPr>
                <w:rStyle w:val="52"/>
                <w:color w:val="auto"/>
                <w:sz w:val="24"/>
                <w:szCs w:val="24"/>
                <w:highlight w:val="none"/>
                <w:lang w:bidi="ar"/>
              </w:rPr>
              <w:t>21.当录像视频流发生丢失5s以上可在日志中记录报警信息。</w:t>
            </w:r>
            <w:r>
              <w:rPr>
                <w:rStyle w:val="52"/>
                <w:color w:val="auto"/>
                <w:sz w:val="24"/>
                <w:szCs w:val="24"/>
                <w:highlight w:val="none"/>
                <w:lang w:bidi="ar"/>
              </w:rPr>
              <w:br w:type="textWrapping"/>
            </w:r>
            <w:r>
              <w:rPr>
                <w:rStyle w:val="52"/>
                <w:color w:val="auto"/>
                <w:sz w:val="24"/>
                <w:szCs w:val="24"/>
                <w:highlight w:val="none"/>
                <w:lang w:bidi="ar"/>
              </w:rPr>
              <w:t>22.★设备可将接入的鱼眼摄像机、双目摄像机、全景自拼接摄像机（鹰眼摄像机）、深眸智能摄像机、热成像相机的图像以多画面分割方式显示；（公安部检验报告证明）</w:t>
            </w:r>
            <w:r>
              <w:rPr>
                <w:rStyle w:val="52"/>
                <w:color w:val="auto"/>
                <w:sz w:val="24"/>
                <w:szCs w:val="24"/>
                <w:highlight w:val="none"/>
                <w:lang w:bidi="ar"/>
              </w:rPr>
              <w:br w:type="textWrapping"/>
            </w:r>
            <w:r>
              <w:rPr>
                <w:rStyle w:val="52"/>
                <w:color w:val="auto"/>
                <w:sz w:val="24"/>
                <w:szCs w:val="24"/>
                <w:highlight w:val="none"/>
                <w:lang w:bidi="ar"/>
              </w:rPr>
              <w:t>23.提供多设备同步升级功能，可以通过一键式操作对整个局域网内的所有设备同步升级。</w:t>
            </w:r>
            <w:r>
              <w:rPr>
                <w:rStyle w:val="52"/>
                <w:color w:val="auto"/>
                <w:sz w:val="24"/>
                <w:szCs w:val="24"/>
                <w:highlight w:val="none"/>
                <w:lang w:bidi="ar"/>
              </w:rPr>
              <w:br w:type="textWrapping"/>
            </w:r>
            <w:r>
              <w:rPr>
                <w:rStyle w:val="52"/>
                <w:color w:val="auto"/>
                <w:sz w:val="24"/>
                <w:szCs w:val="24"/>
                <w:highlight w:val="none"/>
                <w:lang w:bidi="ar"/>
              </w:rPr>
              <w:t>24.设备可同时支持视频、图片、智能流和文件直写存储。</w:t>
            </w:r>
            <w:r>
              <w:rPr>
                <w:rStyle w:val="52"/>
                <w:color w:val="auto"/>
                <w:sz w:val="24"/>
                <w:szCs w:val="24"/>
                <w:highlight w:val="none"/>
                <w:lang w:bidi="ar"/>
              </w:rPr>
              <w:br w:type="textWrapping"/>
            </w:r>
            <w:r>
              <w:rPr>
                <w:rStyle w:val="52"/>
                <w:color w:val="auto"/>
                <w:sz w:val="24"/>
                <w:szCs w:val="24"/>
                <w:highlight w:val="none"/>
                <w:lang w:bidi="ar"/>
              </w:rPr>
              <w:t>25.支持多路文件采用非NAS方式直接上传存储，且速度可设置。</w:t>
            </w:r>
            <w:r>
              <w:rPr>
                <w:rStyle w:val="52"/>
                <w:color w:val="auto"/>
                <w:sz w:val="24"/>
                <w:szCs w:val="24"/>
                <w:highlight w:val="none"/>
                <w:lang w:bidi="ar"/>
              </w:rPr>
              <w:br w:type="textWrapping"/>
            </w:r>
            <w:r>
              <w:rPr>
                <w:rStyle w:val="52"/>
                <w:color w:val="auto"/>
                <w:sz w:val="24"/>
                <w:szCs w:val="24"/>
                <w:highlight w:val="none"/>
                <w:lang w:bidi="ar"/>
              </w:rPr>
              <w:t>26.具有ONVIF、PSIA、TCP/IP、UDP、SIP、RTSP、RTP、RTCP、iSCSI、CIFS(SMB)、NFS、FTP、HTTP、AFP、RSYNC、SNMP、IPV4、IPV6设置选项，支持IP组播</w:t>
            </w:r>
            <w:r>
              <w:rPr>
                <w:rStyle w:val="52"/>
                <w:color w:val="auto"/>
                <w:sz w:val="24"/>
                <w:szCs w:val="24"/>
                <w:highlight w:val="none"/>
                <w:lang w:bidi="ar"/>
              </w:rPr>
              <w:br w:type="textWrapping"/>
            </w:r>
            <w:r>
              <w:rPr>
                <w:rStyle w:val="52"/>
                <w:color w:val="auto"/>
                <w:sz w:val="24"/>
                <w:szCs w:val="24"/>
                <w:highlight w:val="none"/>
                <w:lang w:bidi="ar"/>
              </w:rPr>
              <w:t>27.通过客户端软件添加及删除手机号，启用短信网关报警功能后，可向添加的手机号码发送电源异常、系统卡容量不足、存储空间异常、自动修复失败、私有卷IO异常、无可用逻辑卷等报警信息，报警种类可设。</w:t>
            </w:r>
            <w:r>
              <w:rPr>
                <w:rStyle w:val="52"/>
                <w:color w:val="auto"/>
                <w:sz w:val="24"/>
                <w:szCs w:val="24"/>
                <w:highlight w:val="none"/>
                <w:lang w:bidi="ar"/>
              </w:rPr>
              <w:br w:type="textWrapping"/>
            </w:r>
            <w:r>
              <w:rPr>
                <w:rStyle w:val="52"/>
                <w:color w:val="auto"/>
                <w:sz w:val="24"/>
                <w:szCs w:val="24"/>
                <w:highlight w:val="none"/>
                <w:lang w:bidi="ar"/>
              </w:rPr>
              <w:t>28.可对指定的录像段或指定事件的1个或多个前端的不同时间段的录像段添加标签，并自动备份到存档卷中，使之不会被覆盖删除。</w:t>
            </w:r>
            <w:r>
              <w:rPr>
                <w:rStyle w:val="52"/>
                <w:color w:val="auto"/>
                <w:sz w:val="24"/>
                <w:szCs w:val="24"/>
                <w:highlight w:val="none"/>
                <w:lang w:bidi="ar"/>
              </w:rPr>
              <w:br w:type="textWrapping"/>
            </w:r>
            <w:r>
              <w:rPr>
                <w:rStyle w:val="52"/>
                <w:color w:val="auto"/>
                <w:sz w:val="24"/>
                <w:szCs w:val="24"/>
                <w:highlight w:val="none"/>
                <w:lang w:bidi="ar"/>
              </w:rPr>
              <w:t>29.可根据事件名称查询所有相关联的不同前端或时间的录像段并进行回放和下载。</w:t>
            </w:r>
            <w:r>
              <w:rPr>
                <w:rStyle w:val="52"/>
                <w:color w:val="auto"/>
                <w:sz w:val="24"/>
                <w:szCs w:val="24"/>
                <w:highlight w:val="none"/>
                <w:lang w:bidi="ar"/>
              </w:rPr>
              <w:br w:type="textWrapping"/>
            </w:r>
            <w:r>
              <w:rPr>
                <w:rStyle w:val="52"/>
                <w:color w:val="auto"/>
                <w:sz w:val="24"/>
                <w:szCs w:val="24"/>
                <w:highlight w:val="none"/>
                <w:lang w:bidi="ar"/>
              </w:rPr>
              <w:t>30.可通过IE浏览器对一台、多台样机或扩展柜中的磁盘进行定位，使对应的磁盘指示灯闪烁，闪烁的时长可设。</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集联人脸分析服务器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1.单台服务器支持视频流的人脸、人体、车辆分析；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2.单台服务器支持图片流的人脸、人体、车辆分析；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3.支持本地存储不小于5000万条人脸图片、模型及结构化数据；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4.支持不少于100GB的录像上传及存储分析；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5.支持web界面进行多台设备集群管理，存储及分析性能的线性扩展；且可对集群中的资源使用情况、健康状况进行监测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6.支持设备间灾备，可保证图片在主备中URL一致，实现图片无缝提取；支持当磁盘或设备故障时，支持智能数据恢复，对标明重要的特定文件中的数据优先恢复；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8.系统可扩容，增加管理或存储节点。在多节点系统中，任何一个存储节点出现故障，应不影响数据的正常存取；支持控制流与数据流分离，数据的存储或读取由存储节点并行读写；</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云存储支持单机EC方案，即支持以任一存储节点为单位独立设置N+M数据保护，支持多硬盘时，业务不中断，数据不丢失，同时可根据实时接入业务进行负载均衡；支持对人脸智能结构化数据进行实时缓存备份和全量备份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10.支持解析的编码格式包括：H.264、H.265等；支持的录像格式包括avi、mp4、ps、ts、dav等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11.支持对人脸图片在人脸被遮挡住半边脸的情况下，可正确检测人脸，检出率不小于99%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12.单卡人脸图片建模速度不低于250张/秒，建模加比对分析性能不低于200张/秒；单卡支持接入30路1080P视频流进行实时人脸分析比对</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13.人脸图片建模成功率不低于99.99%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14.单卡支持接入30路1080P视频流进行活动目标智能分析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15.支持数据两副本冗余存储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16.支持本地web界面展示报警统计信息、点位统计信息、人流量/车流量统计信息、点位抓拍日均值、峰值、排行等信息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17.支持本地web界面添加相机的实时预览，支持16分屏同时预览，支持抓拍图片的实时展示、陌生人报警、名单报警、高频报警的实时展示，支持不同报警信息提示不同的报警声音以及报警信息支持以弹窗方式展示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18.本地web界面支持名单报警、陌生人报警、高频报警、低频报警、车牌报警查询，支持按照抓拍图片的点位、时间、名单库、报警的确认状态、相似度等信息进行筛选展示，支持报警结果的导出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19.支持本地web界面对人员档案的查询、检索功能，支持以图表、数据的形式展示档案总数、实名及路人档案、昨日新增档案数以及档案新增报表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20.支持在本地web界面，按照条件进行以图搜图、身份确认、抓拍库检索操作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21.支持本地web界面1V1比对功能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22.支持本地web界面单张及批量名单的导入、删除、修改、查询等功能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23.支持本地web界面直接添加人脸抓拍机、普通摄像机、结构化相机和导入录像，并支持下发任务进行人脸分析、视频结构化分析、人脸布控、车牌布控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24.★支持一个画面中两眼瞳距14像素点以上的128张人脸同时进行检测；（公安部检验报告证明）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25.★支持检出人脸图片中两眼瞳距8像素点以上的人脸；（公安部检验报告证明）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26.光照条件正常，人脸无明显遮挡的情况下，白天和夜晚人脸图片的检出率不低于99%；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27.人脸检测后台响应时间不超过1秒</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28.支持检出人脸图片中右斜向上、右斜向下、左斜向上、左斜向下等不同角度的人脸；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29.支持不同表情条件下人脸检出（微笑、大笑、瞪眼、闭眼、张嘴、歪嘴、吐舌头等）；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30.支持检出齐刘海遮挡眉毛、头发遮挡眼睛、戴普通眼镜、戴墨镜、戴彩色眼镜、戴棒球帽、戴雷锋帽、戴普通帽子、戴头戴式耳机、披肩长发、长刘海等遮挡方式的人脸；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31.支持不同光照条件下人脸检出（过曝、欠曝、阴阳脸、逆光下等）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32.★支持识别32×32~2000万像素人脸图片，支持识别不低于8MB人脸图片，支持比对两眼瞳距不小于8像素点的人脸图片，支持比对水平转动不超过60度，俯仰角不超过45度的人脸图片（公安部检验报告证明）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33.支持对人脸图片识别人脸性别，人脸性别检出率不低于99%，人脸性别识别准确率不低于99%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34.支持对人脸图片识别人脸年龄段（婴幼儿、童年、少年、青年、中年、老年），人脸年龄段检出率不低于99%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35.支持对人脸图片识别人脸是否戴眼镜，人脸图片戴眼镜检出率不低于99%，人脸图片戴眼镜识别准确率不低于99%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36.支持对人脸图片识别人脸是否戴口罩，人脸图片戴口罩检出率不低于99%，人脸图片戴口罩识别准确率不低于99%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37.支持对人脸图片识别人脸是否微笑，人脸图片人脸是否微笑检出率不低于99%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38.★支持识别256×256～900万像素人体/车辆图片，支持识别图片大小小于等于8MB的人体/车辆图片，支持在同一画面中可同时检测30个人体或车辆目标（公安部检验报告证明）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39.目标大小应满足以下条件：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40.人体、车辆目标大小为120×120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41.支持对活动目标进行分类和检索（人、机动车、二轮车、三轮车），并支持识别活动目标的速度（快速、正常、慢速）、目标尺寸（大、中、小）、方向（上、下、左、 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42.活动目标识别准确率不低于98%</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43.支持黑、白、蓝、黄、绿五种车牌颜色的识别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44.视频结构化后，白天（光线正常）识别准确率不低于97%，夜晚（补光正常）识别准确率不低于95%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45.支持无车牌车辆的识别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46.支持红/粉/紫、黄/橙/棕、绿、蓝、白/灰、黑车身颜色识别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47.视频结构化后，车辆颜色识别白天（光线正常）正向准确率不低于95%，背向准确率不低于92%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48.支持客车，大货车，轿车，面包车， 小货车，SUV/MPV，中型客车7种车型的识别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49.视频结构化后，车辆类型识别白天（光线正常）正向识别准确率不低于97% ，背向识别准确率不低于95%；车辆类型识别夜晚（补光正常）正向识别准确率不低于95%，背向识别准确率不低于90%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50.视频结构化后，支持正向不少于260种机动车车辆品牌的识别；支持背向不少于200种机动车车辆品牌的识别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51.视频结构化后，车辆品牌识别白天（光线正常）正向识别准确率不低于98%，白天背向识别准确率不低于97%；车辆品牌识别夜晚（补光正常）正向识别准确率不低于95%，背向识别准确率不低于95%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52.视频结构化后，支持正向不少于5300种车辆子品牌和年款的识别，背向不少于2800种车辆子品牌和年款的识别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53.视频结构化后，车辆品牌识别白天（光线正常）正向识别准确率不低于95% ，背向识别准确率不低于93%；车辆品牌识别夜晚（补光正常）正向识别准确率不低于92%，背向识别准确率不低于92%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54.支持车牌号码识别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55.支持危险品车辆的检测识别，黄标车的检测识别，主驾驶未系安全带检测识别，主、副驾驶遮阳板打开检测识别，驾驶人打手机检测识别，侧面及斜侧角度（≤60°）检测车型、车辆品牌、子品牌、年款</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56.支持非机动车（二轮车/三轮车）驾驶人年龄段（少年、青年、中年、老年）、 性别、发型（长发、短发）、是否戴眼镜、是否背包、是否拎东西、是否戴帽子、是否戴口罩、上衣颜色（白、灰、黑、红、橙、蓝、黄、绿、棕、粉、紫、青、混色）、上衣类型（短袖、长袖）、骑车类型（自行车、二轮摩托车/电动车、三轮车）、骑车人数（单人、多人）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57.支持人体年龄段（少年、青年、中年、老年）、 性别、发型（长发、短发）、是否戴眼镜、是否骑车、是否背包、是否拎东西、是否戴帽子、是否戴口罩、上衣颜色（白、灰、黑、红、橙、蓝、黄、绿、棕、粉、紫、青、混色）、下衣颜色（白、黑、灰、蓝、黄、棕混色）、上衣类型（短袖、长袖）、下衣类型（短裤、长裤、裙子）、骑车类型（自行车、二轮摩托车/电动车、三轮车）、骑车人数（单人、多人）的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58.支持对视频中的人员、二轮车、三轮车、机动车目标进行建模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59.支持对人体、车辆图片进行建模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60.支持检测视频中的人体目标，并且同时输出满足要求的人体目标的人脸图片，进行以图搜图、身份确认</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61.支持对抓拍的人脸照片进行分析，将分析后的结果与关联的名单库进行比较，比对成功时触发报警，并产生报警提示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62.黑名单实时报警首位命中准确率不低于99%，实时报警误报率不超过1%，实时报警漏报率不超过1%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63.支持对白名单人员进行报警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64.支持对指定前端点位抓拍的人员多次出现超过设定阈值进行报警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65.支持对指定前端点位和指定名单库的人员出现次数进行统计（抓拍间隔可配置为1分钟-1440分钟），在固定周期内（可配置1天-180天），对出现次数低于阈值（可配置1次-100次）的人员进行报警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66.支持对指定车牌号进行布控，比对成功时触发报警，并获得报警提示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67.支持单张或批量导入名单照片及信息；动态比对支持500万人脸布控；支持1000万的名单库存储及检索；支持1000条车牌号码布控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68.支持按照姓名、性别、省份、城市、身份证号、起始生日、截止生日查询名单库中的人脸照片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69.支持将名单分为最多9999个库分别管理，每个库可设置不同的报警阈值或关联相机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70.★支持抓拍库以图搜图及身份确认功能，同时支持按照抓拍设备、时间、相似度、年龄、性别、是否戴眼镜、是否微笑等属性信息进行筛选检索；以脸搜脸结果支持以二维地图展示轨迹（公安部检验报告证明）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71.支持上传一张人脸图片，与抓拍库或名单库中的人脸图片进行比对，输出比对相似的人脸图片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72.★5000万张图片的人脸抓拍库，进行以图搜图检索，后台响应时间不超过0.5秒（公安部检验报告证明）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73.支持使用视频中车辆截图或目标车辆照片（含正向及逆向）在监控视频中抓拍形成的图像库中搜索相似机动车，得到相似度并排序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74.支持多张人体图片以图搜图，结果按照相似度值降序排列，支持自动识别框选人体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75.支持导入两张人脸照片进行一对一比对，输出比对相似度；比对性能不低于200次/秒；单卡1V1比对平均响应时间不超过0.5秒</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76.支持通过web本地界面进行人脸抓拍机、普通摄像机、录像文件的布防管理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77.★支持在web界面对档案的总数、新增档案数、实名档案及陌生人档案的数据信息进行图形化展示、轨迹展示，支持按照实名及陌生人档案进行分类查询（公安部检验报告证明）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78.★支持将解析后的人脸图片与名单库内的人员进行比对，对于相似度大于阈值的人脸图片，自动聚类至已有实名人员档案中，档案信息包括姓名、性别等档案属性（公安部检验报告证明）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79.★支持将解析后的人脸图片与名单库内的人员进行比对，对于相似度小于阈值的人脸图片，自动入库至路人库，并生成具有人员ID的档案，当该人员下次被抓拍到时，抓拍图片能够聚类到该人员已有的档案中（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80.★支持通过人员姓名和照片进行档案信息查询，档案能够以人像缩略图方式展示，点击档案可查看详情；</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81.档案信息统计报表：支持按照时间、监控点、人员档案进行人流总量统计、按性别统计、按人员年龄段统计，支持统计数据按照日、周、月、年报表导出，按照折线、柱状、饼状图展示（公安部检验报告证明）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82.支持NTP校时服务器配置，并支持手动校时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83.★整机支持对视频文件全帧率90倍加速进行活动目标智能分析（最小切片时长2min）（公安部检验报告证明）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84.▲整机支持接入不少于750路人脸抓拍机同时分析，分析速度不小于750张/s，支持90路动态摄像头视频流的接入和处理分析能力；（公安部检验报告证明）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85.安全防范报警设备的电源插头或电源引入端与外壳裸露金属部件之间，应能承受GB16796-2009中表1规定的45Hz～65Hz交流电压的抗电强度试验，历时1min应无击穿和飞弧现象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8T硬盘</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宋体" w:hAnsi="宋体" w:cs="宋体"/>
                <w:color w:val="auto"/>
                <w:highlight w:val="none"/>
              </w:rPr>
            </w:pPr>
            <w:r>
              <w:rPr>
                <w:rFonts w:hint="eastAsia" w:ascii="宋体" w:hAnsi="宋体" w:cs="宋体"/>
                <w:color w:val="auto"/>
                <w:kern w:val="0"/>
                <w:highlight w:val="none"/>
                <w:lang w:bidi="ar"/>
              </w:rPr>
              <w:t>8T,7200RPM,3.5寸,SATA，供货时需抽样送第三方检测机构，出具检测报告</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240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弱电机房UPS系统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3KVA UPS主机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Style w:val="54"/>
                <w:color w:val="auto"/>
                <w:sz w:val="24"/>
                <w:szCs w:val="24"/>
                <w:highlight w:val="none"/>
                <w:lang w:bidi="ar"/>
              </w:rPr>
              <w:t>UPS容量：3KVA/2.4KW，UPS系统为在线式双变换UPS，整流及逆变均采用IGBT整流技术；</w:t>
            </w:r>
            <w:r>
              <w:rPr>
                <w:rStyle w:val="54"/>
                <w:color w:val="auto"/>
                <w:sz w:val="24"/>
                <w:szCs w:val="24"/>
                <w:highlight w:val="none"/>
                <w:lang w:bidi="ar"/>
              </w:rPr>
              <w:br w:type="textWrapping"/>
            </w:r>
            <w:r>
              <w:rPr>
                <w:rStyle w:val="54"/>
                <w:color w:val="auto"/>
                <w:sz w:val="24"/>
                <w:szCs w:val="24"/>
                <w:highlight w:val="none"/>
                <w:lang w:bidi="ar"/>
              </w:rPr>
              <w:t>1</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UPS输入电压范围应不小于110V-300V；输入频率范围不小于：40-70Hz；</w:t>
            </w:r>
            <w:r>
              <w:rPr>
                <w:rStyle w:val="54"/>
                <w:color w:val="auto"/>
                <w:sz w:val="24"/>
                <w:szCs w:val="24"/>
                <w:highlight w:val="none"/>
                <w:lang w:bidi="ar"/>
              </w:rPr>
              <w:br w:type="textWrapping"/>
            </w:r>
            <w:r>
              <w:rPr>
                <w:rStyle w:val="54"/>
                <w:color w:val="auto"/>
                <w:sz w:val="24"/>
                <w:szCs w:val="24"/>
                <w:highlight w:val="none"/>
                <w:lang w:bidi="ar"/>
              </w:rPr>
              <w:t>2</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当输入额定电压，满载运行时，UPS设备输入功率因数应不小于 0.99；UPS设备要求100%非线性负载时的电流谐波成份应不大于10％；</w:t>
            </w:r>
            <w:r>
              <w:rPr>
                <w:rStyle w:val="54"/>
                <w:color w:val="auto"/>
                <w:sz w:val="24"/>
                <w:szCs w:val="24"/>
                <w:highlight w:val="none"/>
                <w:lang w:bidi="ar"/>
              </w:rPr>
              <w:br w:type="textWrapping"/>
            </w:r>
            <w:r>
              <w:rPr>
                <w:rStyle w:val="54"/>
                <w:color w:val="auto"/>
                <w:sz w:val="24"/>
                <w:szCs w:val="24"/>
                <w:highlight w:val="none"/>
                <w:lang w:bidi="ar"/>
              </w:rPr>
              <w:t>3</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UPS设备输出电压稳压精度应不大于±1％，UPS设备输出频率范围应不超出50 Hz ± 0.25 Hz 或 60Hz ± 0.3 Hz (电池逆变工作方式)。</w:t>
            </w:r>
            <w:r>
              <w:rPr>
                <w:rStyle w:val="54"/>
                <w:color w:val="auto"/>
                <w:sz w:val="24"/>
                <w:szCs w:val="24"/>
                <w:highlight w:val="none"/>
                <w:lang w:bidi="ar"/>
              </w:rPr>
              <w:br w:type="textWrapping"/>
            </w:r>
            <w:r>
              <w:rPr>
                <w:rStyle w:val="54"/>
                <w:color w:val="auto"/>
                <w:sz w:val="24"/>
                <w:szCs w:val="24"/>
                <w:highlight w:val="none"/>
                <w:lang w:bidi="ar"/>
              </w:rPr>
              <w:t>4</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UPS设备输出功率因数应不小于0.8(0-40℃不降额)；</w:t>
            </w:r>
            <w:r>
              <w:rPr>
                <w:rStyle w:val="54"/>
                <w:color w:val="auto"/>
                <w:sz w:val="24"/>
                <w:szCs w:val="24"/>
                <w:highlight w:val="none"/>
                <w:lang w:bidi="ar"/>
              </w:rPr>
              <w:br w:type="textWrapping"/>
            </w:r>
            <w:r>
              <w:rPr>
                <w:rStyle w:val="54"/>
                <w:color w:val="auto"/>
                <w:sz w:val="24"/>
                <w:szCs w:val="24"/>
                <w:highlight w:val="none"/>
                <w:lang w:bidi="ar"/>
              </w:rPr>
              <w:t>5</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UPS设备线性负载输出波形失真度应不大于3％，UPS设备非线性负载输出波形失真度应不大于6％。</w:t>
            </w:r>
            <w:r>
              <w:rPr>
                <w:rStyle w:val="54"/>
                <w:color w:val="auto"/>
                <w:sz w:val="24"/>
                <w:szCs w:val="24"/>
                <w:highlight w:val="none"/>
                <w:lang w:bidi="ar"/>
              </w:rPr>
              <w:br w:type="textWrapping"/>
            </w:r>
            <w:r>
              <w:rPr>
                <w:rStyle w:val="54"/>
                <w:color w:val="auto"/>
                <w:sz w:val="24"/>
                <w:szCs w:val="24"/>
                <w:highlight w:val="none"/>
                <w:lang w:bidi="ar"/>
              </w:rPr>
              <w:t>6</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UPS设备在100%负载率情况下的效率应不低于88%；</w:t>
            </w:r>
            <w:r>
              <w:rPr>
                <w:rStyle w:val="54"/>
                <w:color w:val="auto"/>
                <w:sz w:val="24"/>
                <w:szCs w:val="24"/>
                <w:highlight w:val="none"/>
                <w:lang w:bidi="ar"/>
              </w:rPr>
              <w:br w:type="textWrapping"/>
            </w:r>
            <w:r>
              <w:rPr>
                <w:rStyle w:val="54"/>
                <w:color w:val="auto"/>
                <w:sz w:val="24"/>
                <w:szCs w:val="24"/>
                <w:highlight w:val="none"/>
                <w:lang w:bidi="ar"/>
              </w:rPr>
              <w:t>7</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UPS过载能力在逆变工作方式情况下，105% ＜Load ≤110%  10 minutes分钟；110% ＜ load ≤ 130%  1分钟；</w:t>
            </w:r>
            <w:r>
              <w:rPr>
                <w:rStyle w:val="54"/>
                <w:color w:val="auto"/>
                <w:sz w:val="24"/>
                <w:szCs w:val="24"/>
                <w:highlight w:val="none"/>
                <w:lang w:bidi="ar"/>
              </w:rPr>
              <w:br w:type="textWrapping"/>
            </w:r>
            <w:r>
              <w:rPr>
                <w:rStyle w:val="54"/>
                <w:color w:val="auto"/>
                <w:sz w:val="24"/>
                <w:szCs w:val="24"/>
                <w:highlight w:val="none"/>
                <w:lang w:bidi="ar"/>
              </w:rPr>
              <w:t>8</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UPS在市电和电池两种状态间切换的时间应为0ms。</w:t>
            </w:r>
            <w:r>
              <w:rPr>
                <w:rStyle w:val="54"/>
                <w:color w:val="auto"/>
                <w:sz w:val="24"/>
                <w:szCs w:val="24"/>
                <w:highlight w:val="none"/>
                <w:lang w:bidi="ar"/>
              </w:rPr>
              <w:br w:type="textWrapping"/>
            </w:r>
            <w:r>
              <w:rPr>
                <w:rStyle w:val="54"/>
                <w:color w:val="auto"/>
                <w:sz w:val="24"/>
                <w:szCs w:val="24"/>
                <w:highlight w:val="none"/>
                <w:lang w:bidi="ar"/>
              </w:rPr>
              <w:t>9</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UPS应配置LCD显示屏和按键，可以查看UPS的运行状态包括工作模式等。</w:t>
            </w:r>
            <w:r>
              <w:rPr>
                <w:rStyle w:val="54"/>
                <w:color w:val="auto"/>
                <w:sz w:val="24"/>
                <w:szCs w:val="24"/>
                <w:highlight w:val="none"/>
                <w:lang w:bidi="ar"/>
              </w:rPr>
              <w:br w:type="textWrapping"/>
            </w:r>
            <w:r>
              <w:rPr>
                <w:rStyle w:val="54"/>
                <w:color w:val="auto"/>
                <w:sz w:val="24"/>
                <w:szCs w:val="24"/>
                <w:highlight w:val="none"/>
                <w:lang w:bidi="ar"/>
              </w:rPr>
              <w:t>10</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UPS设备应具备RS232或RS485/422、SNMP、USB、干接点等标准通信接口，并提供与通信接口配套使用的通信线缆和各种告警信号输出端子</w:t>
            </w:r>
            <w:r>
              <w:rPr>
                <w:rStyle w:val="54"/>
                <w:color w:val="auto"/>
                <w:sz w:val="24"/>
                <w:szCs w:val="24"/>
                <w:highlight w:val="none"/>
                <w:lang w:bidi="ar"/>
              </w:rPr>
              <w:br w:type="textWrapping"/>
            </w:r>
            <w:r>
              <w:rPr>
                <w:rStyle w:val="54"/>
                <w:color w:val="auto"/>
                <w:sz w:val="24"/>
                <w:szCs w:val="24"/>
                <w:highlight w:val="none"/>
                <w:lang w:bidi="ar"/>
              </w:rPr>
              <w:t>11</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UPS设备应能够采集和存储系统以下运行参数：主输入电压、旁路输入电压、输出电压、输出电流、输出频率、模块输出电流、蓄电池电压、充/放电电流；显示精度应符合YD/T 1363.1的要求</w:t>
            </w:r>
            <w:r>
              <w:rPr>
                <w:rStyle w:val="54"/>
                <w:color w:val="auto"/>
                <w:sz w:val="24"/>
                <w:szCs w:val="24"/>
                <w:highlight w:val="none"/>
                <w:lang w:bidi="ar"/>
              </w:rPr>
              <w:br w:type="textWrapping"/>
            </w:r>
            <w:r>
              <w:rPr>
                <w:rStyle w:val="54"/>
                <w:color w:val="auto"/>
                <w:sz w:val="24"/>
                <w:szCs w:val="24"/>
                <w:highlight w:val="none"/>
                <w:lang w:bidi="ar"/>
              </w:rPr>
              <w:t>12</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风扇故障预警：风扇故障停止工作时，应发出声光告警，在风扇转速不正常时，可以提前预警。</w:t>
            </w:r>
            <w:r>
              <w:rPr>
                <w:rStyle w:val="54"/>
                <w:color w:val="auto"/>
                <w:sz w:val="24"/>
                <w:szCs w:val="24"/>
                <w:highlight w:val="none"/>
                <w:lang w:bidi="ar"/>
              </w:rPr>
              <w:br w:type="textWrapping"/>
            </w:r>
            <w:r>
              <w:rPr>
                <w:rStyle w:val="54"/>
                <w:color w:val="auto"/>
                <w:sz w:val="24"/>
                <w:szCs w:val="24"/>
                <w:highlight w:val="none"/>
                <w:lang w:bidi="ar"/>
              </w:rPr>
              <w:t>13</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UPS应具有定期对电池组进行自动浮充、均充转换的功能，电池组自动温度补偿及电池组放电记录功能。</w:t>
            </w:r>
            <w:r>
              <w:rPr>
                <w:rStyle w:val="54"/>
                <w:color w:val="auto"/>
                <w:sz w:val="24"/>
                <w:szCs w:val="24"/>
                <w:highlight w:val="none"/>
                <w:lang w:bidi="ar"/>
              </w:rPr>
              <w:br w:type="textWrapping"/>
            </w:r>
            <w:r>
              <w:rPr>
                <w:rStyle w:val="54"/>
                <w:color w:val="auto"/>
                <w:sz w:val="24"/>
                <w:szCs w:val="24"/>
                <w:highlight w:val="none"/>
                <w:lang w:bidi="ar"/>
              </w:rPr>
              <w:t>14</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工作温度范围：0℃～+40℃，能长期满载正常工作，功率因数不降额；储存温度：-40℃～+70℃</w:t>
            </w:r>
            <w:r>
              <w:rPr>
                <w:rStyle w:val="54"/>
                <w:color w:val="auto"/>
                <w:sz w:val="24"/>
                <w:szCs w:val="24"/>
                <w:highlight w:val="none"/>
                <w:lang w:bidi="ar"/>
              </w:rPr>
              <w:br w:type="textWrapping"/>
            </w:r>
            <w:r>
              <w:rPr>
                <w:rStyle w:val="54"/>
                <w:color w:val="auto"/>
                <w:sz w:val="24"/>
                <w:szCs w:val="24"/>
                <w:highlight w:val="none"/>
                <w:lang w:bidi="ar"/>
              </w:rPr>
              <w:t>15</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 xml:space="preserve">UPS在正常使用环境条件下，平均无故障间隔时间MTBF应不小于15万小时(不含蓄电池)。UPS设备有效的使用年限应不少于15年。电解电容电容的有效使用年限应不小于5年。                                                       </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10KVA UPS主机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Style w:val="54"/>
                <w:color w:val="auto"/>
                <w:sz w:val="24"/>
                <w:szCs w:val="24"/>
                <w:highlight w:val="none"/>
                <w:lang w:bidi="ar"/>
              </w:rPr>
              <w:t>UPS容量：10KVA/9KW，单进单出，UPS系统为在线式双变换UPS，整流及逆变均采用IGBT整流技术；</w:t>
            </w:r>
            <w:r>
              <w:rPr>
                <w:rStyle w:val="54"/>
                <w:color w:val="auto"/>
                <w:sz w:val="24"/>
                <w:szCs w:val="24"/>
                <w:highlight w:val="none"/>
                <w:lang w:bidi="ar"/>
              </w:rPr>
              <w:br w:type="textWrapping"/>
            </w:r>
            <w:r>
              <w:rPr>
                <w:rStyle w:val="54"/>
                <w:color w:val="auto"/>
                <w:sz w:val="24"/>
                <w:szCs w:val="24"/>
                <w:highlight w:val="none"/>
                <w:lang w:bidi="ar"/>
              </w:rPr>
              <w:t>1</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UPS输入电压范围应不小于80V-280V；输入频率范围不小于：40-70Hz；</w:t>
            </w:r>
            <w:r>
              <w:rPr>
                <w:rStyle w:val="54"/>
                <w:color w:val="auto"/>
                <w:sz w:val="24"/>
                <w:szCs w:val="24"/>
                <w:highlight w:val="none"/>
                <w:lang w:bidi="ar"/>
              </w:rPr>
              <w:br w:type="textWrapping"/>
            </w:r>
            <w:r>
              <w:rPr>
                <w:rStyle w:val="54"/>
                <w:color w:val="auto"/>
                <w:sz w:val="24"/>
                <w:szCs w:val="24"/>
                <w:highlight w:val="none"/>
                <w:lang w:bidi="ar"/>
              </w:rPr>
              <w:t>2</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当输入额定电压，满载运行时，UPS设备输入功率因数应不小于 0.95；UPS设备要求100%非线性负载时的电流谐波成份应不大于5％；</w:t>
            </w:r>
            <w:r>
              <w:rPr>
                <w:rStyle w:val="54"/>
                <w:color w:val="auto"/>
                <w:sz w:val="24"/>
                <w:szCs w:val="24"/>
                <w:highlight w:val="none"/>
                <w:lang w:bidi="ar"/>
              </w:rPr>
              <w:br w:type="textWrapping"/>
            </w:r>
            <w:r>
              <w:rPr>
                <w:rStyle w:val="54"/>
                <w:color w:val="auto"/>
                <w:sz w:val="24"/>
                <w:szCs w:val="24"/>
                <w:highlight w:val="none"/>
                <w:lang w:bidi="ar"/>
              </w:rPr>
              <w:t>3</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UPS输出电压稳压精度应小于±1％，UPS设备输出频率范围应不超出50 Hz ± 0.25 Hz 或 60Hz ± 0.3 Hz (电池逆变工作方式)。</w:t>
            </w:r>
            <w:r>
              <w:rPr>
                <w:rStyle w:val="54"/>
                <w:color w:val="auto"/>
                <w:sz w:val="24"/>
                <w:szCs w:val="24"/>
                <w:highlight w:val="none"/>
                <w:lang w:bidi="ar"/>
              </w:rPr>
              <w:br w:type="textWrapping"/>
            </w:r>
            <w:r>
              <w:rPr>
                <w:rStyle w:val="54"/>
                <w:color w:val="auto"/>
                <w:sz w:val="24"/>
                <w:szCs w:val="24"/>
                <w:highlight w:val="none"/>
                <w:lang w:bidi="ar"/>
              </w:rPr>
              <w:t>4</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UPS设备输出功率因数应不小于0.9(0-40℃不降额)；</w:t>
            </w:r>
            <w:r>
              <w:rPr>
                <w:rStyle w:val="54"/>
                <w:color w:val="auto"/>
                <w:sz w:val="24"/>
                <w:szCs w:val="24"/>
                <w:highlight w:val="none"/>
                <w:lang w:bidi="ar"/>
              </w:rPr>
              <w:br w:type="textWrapping"/>
            </w:r>
            <w:r>
              <w:rPr>
                <w:rStyle w:val="54"/>
                <w:color w:val="auto"/>
                <w:sz w:val="24"/>
                <w:szCs w:val="24"/>
                <w:highlight w:val="none"/>
                <w:lang w:bidi="ar"/>
              </w:rPr>
              <w:t>5</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UPS设备线性负载输出波形失真度应不大于2％，UPS设备非线性负载输出波形失真度应不大于4％。</w:t>
            </w:r>
            <w:r>
              <w:rPr>
                <w:rStyle w:val="54"/>
                <w:color w:val="auto"/>
                <w:sz w:val="24"/>
                <w:szCs w:val="24"/>
                <w:highlight w:val="none"/>
                <w:lang w:bidi="ar"/>
              </w:rPr>
              <w:br w:type="textWrapping"/>
            </w:r>
            <w:r>
              <w:rPr>
                <w:rStyle w:val="54"/>
                <w:color w:val="auto"/>
                <w:sz w:val="24"/>
                <w:szCs w:val="24"/>
                <w:highlight w:val="none"/>
                <w:lang w:bidi="ar"/>
              </w:rPr>
              <w:t>6</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UPS设备在100%负载率情况下的效率应不低于94%；</w:t>
            </w:r>
            <w:r>
              <w:rPr>
                <w:rStyle w:val="54"/>
                <w:color w:val="auto"/>
                <w:sz w:val="24"/>
                <w:szCs w:val="24"/>
                <w:highlight w:val="none"/>
                <w:lang w:bidi="ar"/>
              </w:rPr>
              <w:br w:type="textWrapping"/>
            </w:r>
            <w:r>
              <w:rPr>
                <w:rStyle w:val="54"/>
                <w:color w:val="auto"/>
                <w:sz w:val="24"/>
                <w:szCs w:val="24"/>
                <w:highlight w:val="none"/>
                <w:lang w:bidi="ar"/>
              </w:rPr>
              <w:t>7</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UPS过载能力：UPS在正常工作方式情况下，过载125%的工作时间，6kVA以下设备应不少于1分钟，6kVA以上设备应不少5分钟，</w:t>
            </w:r>
            <w:r>
              <w:rPr>
                <w:rStyle w:val="54"/>
                <w:color w:val="auto"/>
                <w:sz w:val="24"/>
                <w:szCs w:val="24"/>
                <w:highlight w:val="none"/>
                <w:lang w:bidi="ar"/>
              </w:rPr>
              <w:br w:type="textWrapping"/>
            </w:r>
            <w:r>
              <w:rPr>
                <w:rStyle w:val="54"/>
                <w:color w:val="auto"/>
                <w:sz w:val="24"/>
                <w:szCs w:val="24"/>
                <w:highlight w:val="none"/>
                <w:lang w:bidi="ar"/>
              </w:rPr>
              <w:t>8</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UPS在市电和电池两种状态间切换的时间应为0ms。</w:t>
            </w:r>
            <w:r>
              <w:rPr>
                <w:rStyle w:val="54"/>
                <w:color w:val="auto"/>
                <w:sz w:val="24"/>
                <w:szCs w:val="24"/>
                <w:highlight w:val="none"/>
                <w:lang w:bidi="ar"/>
              </w:rPr>
              <w:br w:type="textWrapping"/>
            </w:r>
            <w:r>
              <w:rPr>
                <w:rStyle w:val="54"/>
                <w:color w:val="auto"/>
                <w:sz w:val="24"/>
                <w:szCs w:val="24"/>
                <w:highlight w:val="none"/>
                <w:lang w:bidi="ar"/>
              </w:rPr>
              <w:t>9</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UPS应配置LCD显示屏和按键，可以查看UPS的运行状态包括工作模式等。</w:t>
            </w:r>
            <w:r>
              <w:rPr>
                <w:rStyle w:val="54"/>
                <w:color w:val="auto"/>
                <w:sz w:val="24"/>
                <w:szCs w:val="24"/>
                <w:highlight w:val="none"/>
                <w:lang w:bidi="ar"/>
              </w:rPr>
              <w:br w:type="textWrapping"/>
            </w:r>
            <w:r>
              <w:rPr>
                <w:rStyle w:val="54"/>
                <w:color w:val="auto"/>
                <w:sz w:val="24"/>
                <w:szCs w:val="24"/>
                <w:highlight w:val="none"/>
                <w:lang w:bidi="ar"/>
              </w:rPr>
              <w:t>10</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UPS设备应具备RS232或RS485/422、SNMP、USB、干接点等标准通信接口，并提供与通信接口配套使用的通信线缆和各种告警信号输出端子</w:t>
            </w:r>
            <w:r>
              <w:rPr>
                <w:rStyle w:val="54"/>
                <w:color w:val="auto"/>
                <w:sz w:val="24"/>
                <w:szCs w:val="24"/>
                <w:highlight w:val="none"/>
                <w:lang w:bidi="ar"/>
              </w:rPr>
              <w:br w:type="textWrapping"/>
            </w:r>
            <w:r>
              <w:rPr>
                <w:rStyle w:val="54"/>
                <w:color w:val="auto"/>
                <w:sz w:val="24"/>
                <w:szCs w:val="24"/>
                <w:highlight w:val="none"/>
                <w:lang w:bidi="ar"/>
              </w:rPr>
              <w:t>11</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UPS主机应能并机系统应能支持4并机。可以共用电池组，并且电池节数可调，支持16~20节可调整。</w:t>
            </w:r>
            <w:r>
              <w:rPr>
                <w:rStyle w:val="54"/>
                <w:color w:val="auto"/>
                <w:sz w:val="24"/>
                <w:szCs w:val="24"/>
                <w:highlight w:val="none"/>
                <w:lang w:bidi="ar"/>
              </w:rPr>
              <w:br w:type="textWrapping"/>
            </w:r>
            <w:r>
              <w:rPr>
                <w:rStyle w:val="54"/>
                <w:color w:val="auto"/>
                <w:sz w:val="24"/>
                <w:szCs w:val="24"/>
                <w:highlight w:val="none"/>
                <w:lang w:bidi="ar"/>
              </w:rPr>
              <w:t>12</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风扇故障预警：风扇故障停止工作时，应发出声光告警，在风扇转速不正常时，可以提前预警。</w:t>
            </w:r>
            <w:r>
              <w:rPr>
                <w:rStyle w:val="54"/>
                <w:color w:val="auto"/>
                <w:sz w:val="24"/>
                <w:szCs w:val="24"/>
                <w:highlight w:val="none"/>
                <w:lang w:bidi="ar"/>
              </w:rPr>
              <w:br w:type="textWrapping"/>
            </w:r>
            <w:r>
              <w:rPr>
                <w:rStyle w:val="54"/>
                <w:color w:val="auto"/>
                <w:sz w:val="24"/>
                <w:szCs w:val="24"/>
                <w:highlight w:val="none"/>
                <w:lang w:bidi="ar"/>
              </w:rPr>
              <w:t>13</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UPS应具有定期对电池组进行自动浮充、均充转换的功能，电池组自动温度补偿及电池组放电记录功能。</w:t>
            </w:r>
            <w:r>
              <w:rPr>
                <w:rStyle w:val="54"/>
                <w:color w:val="auto"/>
                <w:sz w:val="24"/>
                <w:szCs w:val="24"/>
                <w:highlight w:val="none"/>
                <w:lang w:bidi="ar"/>
              </w:rPr>
              <w:br w:type="textWrapping"/>
            </w:r>
            <w:r>
              <w:rPr>
                <w:rStyle w:val="54"/>
                <w:color w:val="auto"/>
                <w:sz w:val="24"/>
                <w:szCs w:val="24"/>
                <w:highlight w:val="none"/>
                <w:lang w:bidi="ar"/>
              </w:rPr>
              <w:t>14</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UPS系统耐雷电流等级和技术要求，交流输入端满足5kA防雷和6kV防浪涌要求。</w:t>
            </w:r>
            <w:r>
              <w:rPr>
                <w:rStyle w:val="54"/>
                <w:color w:val="auto"/>
                <w:sz w:val="24"/>
                <w:szCs w:val="24"/>
                <w:highlight w:val="none"/>
                <w:lang w:bidi="ar"/>
              </w:rPr>
              <w:br w:type="textWrapping"/>
            </w:r>
            <w:r>
              <w:rPr>
                <w:rStyle w:val="54"/>
                <w:color w:val="auto"/>
                <w:sz w:val="24"/>
                <w:szCs w:val="24"/>
                <w:highlight w:val="none"/>
                <w:lang w:bidi="ar"/>
              </w:rPr>
              <w:t>15</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工作温度范围：0℃～+40℃，能长期满载正常工作，功率因数不降额；储存温度：-40℃～+70℃</w:t>
            </w:r>
            <w:r>
              <w:rPr>
                <w:rStyle w:val="54"/>
                <w:color w:val="auto"/>
                <w:sz w:val="24"/>
                <w:szCs w:val="24"/>
                <w:highlight w:val="none"/>
                <w:lang w:bidi="ar"/>
              </w:rPr>
              <w:br w:type="textWrapping"/>
            </w:r>
            <w:r>
              <w:rPr>
                <w:rStyle w:val="54"/>
                <w:color w:val="auto"/>
                <w:sz w:val="24"/>
                <w:szCs w:val="24"/>
                <w:highlight w:val="none"/>
                <w:lang w:bidi="ar"/>
              </w:rPr>
              <w:t>16</w:t>
            </w:r>
            <w:r>
              <w:rPr>
                <w:rStyle w:val="54"/>
                <w:rFonts w:hint="eastAsia" w:eastAsia="宋体"/>
                <w:color w:val="auto"/>
                <w:sz w:val="24"/>
                <w:szCs w:val="24"/>
                <w:highlight w:val="none"/>
                <w:lang w:val="en-US" w:eastAsia="zh-CN" w:bidi="ar"/>
              </w:rPr>
              <w:t>.</w:t>
            </w:r>
            <w:r>
              <w:rPr>
                <w:rStyle w:val="54"/>
                <w:color w:val="auto"/>
                <w:sz w:val="24"/>
                <w:szCs w:val="24"/>
                <w:highlight w:val="none"/>
                <w:lang w:bidi="ar"/>
              </w:rPr>
              <w:t xml:space="preserve">UPS在正常使用环境条件下，平均无故障间隔时间MTBF应不小于15万小时(不含蓄电池)。UPS设备有效的使用年限应不少于15年。电解电容电容的有效使用年限应不小于5年。  </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蓄电池</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12V容量100AH，蓄电池浮充设计寿命（年）：6-8年 ；采用先进技术，使用先进的自动气密检测机生产，自主技术生产的极板，具有优越的导电，抗腐蚀能力。配合特殊的双面涂板技术，具有更强的耐久能力。</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节</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120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电池箱</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32节柜，组装结构，单套可放置32节12V100AH蓄电池，内含电池连接线缆及直流空开。</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电池箱</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8节柜，组装结构，单套可放置8节12V100AH蓄电池，内含电池连接线缆及直流空开。</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配电箱</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根据现场定制配电箱，内含空开漏保等。</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连接线缆</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含 yjv4×6+1（国标），RVV 3*2.5（国标）</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批</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机柜PDU</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32A总输入、8位国标10A，带微断开关，左右侧安装</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6位五孔插排</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优质国产</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一键报警系统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紧急报警柱</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采用嵌入式Linux操作系统,高性能嵌入式SOC处理器，系统运行稳定可靠；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前置环形红色背光灯机械按键，环形红色背光灯能定时闪烁，报警按钮处具有“紧急报警”明显标示说明，呼叫接通后的通话过程中按键的红色环形背光灯闪烁频率应加快，指示为当前处于通话状态；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设备支持双网口链路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支持EHOME协议接入，支持GB/T28181协议接入；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设备支持2路音频输入和2路音频输出；音频输入和音频输出关系可自由配置，内部含高灵敏度麦克风，拾音距离应达到10米，语音清晰，内置30W扬声器；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设备支持将防拆报警、防区报警等报警信息通过网线传送到管理中心，并形成日志文件；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支持呼叫转移功能：设备呼叫中心管理机时，可通过呼叫转移功能将呼叫信息转移到其他中心管理机上；</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支持同时进行多方实时对讲通话，多台前端设备与多台中心管理机实时多方通话；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支持将音视频同步存储到设备SD卡中，当在双向对讲通话时录像存储为双向通过混音的音视频复合流；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设备前置200万CMOS高清摄像头</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支持红外补光，在光照强度0.1Lx时，红外补光距离应不小于10米；支持日夜模式自动切换：通过ICR红外滤片实现自动切换，实现真正的日夜模式监控；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彩色图像：图像分辨力≥280TVL，亮度鉴别等级≥8级；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支持中心管理机控制前端设备警灯打开和关闭功能；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支持语音播报、分组广播功能；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支持外界噪音侦测报警；外界噪音≥60DB（可设置），内置振动探测器接口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支持本地钥匙开锁；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支持采集MAC地址、虚拟信息功能；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支持系统校时功能；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支持看门狗功能；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支持网络远程在线升级功能；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集成8口交换机；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防护等级：IP65；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工作环境:温度-40℃～70℃,湿度小于93%环境下稳定工作</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紧急报警盒</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采用嵌入式Linux操作系统,高性能嵌入式SOC处理器，系统运行稳定可靠；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前置环形红色背光灯机械按键，环形红色背光灯能定时闪烁，报警按钮处具有“紧急报警”明显标示说明，呼叫接通后的通话过程中按键的红色环形背光灯闪烁频率应加快，指示为当前处于通话状态；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设备支持双网口链路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支持EHOME协议接入，支持GB/T28181协议接入；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设备支持2路音频输入和2路音频输出；音频输入和音频输出关系可自由配置，内部含高灵敏度麦克风，拾音距离应达到10米，语音清晰，内置3W扬声器；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设备支持将防拆报警、防区报警等报警信息通过网线传送到管理中心，并形成日志文件；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支持呼叫转移功能：设备呼叫中心管理机的时候，应可通过呼叫转移功能将呼叫信息转移到其他中心管理机上；</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支持同时进行多方实时对讲通话，多台前端设备与多台中心管理机实时多方通话；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支持将音视频同步存储到设备SD卡中，当在双向对讲通话时录像存储为双向通过混音的音视频复合流；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设备前置200万CMOS高清摄像头</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支持红外补光，在光照强度0.1Lx时，红外补光距离应不小于10米；支持日夜模式自动切换：通过ICR红外滤片实现自动切换，实现真正的日夜模式监控；彩色图像：图像分辨力≥280TVL，亮度鉴别等级≥8级；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支持中心管理机控制前端设备警灯打开和关闭功能；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支持语音播报、分组广播功能；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支持外界噪音侦测报警；外界噪音≥60DB（可设置），内置振动探测器接口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支持系统校时功能；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支持看门狗功能；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支持网络远程在线升级功能；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工作环境:温度-40℃～70℃,湿度小于93%环境下稳定工作</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9</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云镜系统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AR鹰眼</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具备AR视频标签添加，修改，删除和标准等系列管理功能，支持全景通道添加最多1000个标签，细节通道添加最多500个标签；标签类型包括：**站视频标签，建筑物视频标签，卡口视频标签，普通视频标签等（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2.具备AR视频标签联动功能，并可对高-高，高-低，低-高三种标签的位置的视频图像，进行切换预览。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4.自带镜头，另配6个图像采集模块，可输出1路主视频图像和6路辅视频图像。可将辅视频图像进行无缝拼接，拼接后的辅视频图像：水平视场角为270°，垂直视场角为80°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5.主视频图像：2560×1440@25fps，辅视频图像：8160×2400@30fps，其中主视频图像分辨力不小于1600线。</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6.摄像机全景镜头光圈均不小于F1.0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7.摄像机内置除湿器，可对样机内部进行除湿，除去玻璃罩上的水状附着物。</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8.内置不少于3个GPU芯片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备镜头需具备良好的防刮性能，应采用蓝宝石单晶透光片，在使用淬硬的钢针以不小于10牛的作用力，不小于20毫米每秒的速度划痕，钢针移动距离不小于15厘米的情况下，设备透光片无明显划痕且不被刺透。（以公安部型式检测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10.主视频支持不小于40倍光学变倍，支持检测当前镜头指向方向与地平面夹角，并可根据夹角变化自动调整倍率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11.★支持镜头前盖玻璃加热功能（以公安部型式检测报告为准）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12.垂直视场角102°。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13.彩色：0.0003lux；黑白：0.0001lux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以公安部型式检测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15.电源具有较强适应性，电源电压在DC36V±50%范围内变化时，摄像机可以正常工作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16.红外灯开启时，样机可根据被摄物的距离自动调节红外灯功率密度。红外夜视距离：可识别距离样机800m外人体轮廓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17.当通过IE浏览器手动点击或框选预览画面中的人脸时，设备能通过PTZ转动将人脸置于画面中心，并对人脸进行抓拍。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19.支持撞击报警功能，当样机外壳受到外力撞击时，可给出语音报警提示。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20.支持参数配置调用功能，全景通道、细节通道可分别配置10套前端设备参数，并且可通过调用预置点对前端设备进行切换。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22.支持偏色矫正功能，可通过手动或自动的方式对样机视频采集模块进行偏色矫正。</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AR鹰眼支架立杆</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与AR鹰眼配套.立杆含，基础长壁装/铂晶灰/铝合金/</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AR实景地图应用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提供高低点视频预览，云台控制、多画面轮巡，标签同步回放，标签管理、标签分层、数据可视化展示等功能。</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智能机柜系统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应急风扇</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带温控功能，机柜顶部应为冷通道及热通道分别配置应急风扇，前门应急风扇设定温度为≥27度启动，≤28度停止；后门应急风扇设定温度为≥37启动，≤38度停止工作。电压为 AC 220V。</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服务器机柜</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1、冷热通道全密闭机柜，柜体外观尺寸：600宽*1400深*2000高，标准黑色细沙纹，前单开玻璃门，后双开钣金门，两侧标配毛刷保护器，防止机柜内部冷气流失，节能环保。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2、机柜顶部标配应急风扇功能，在市电断电时能够保证机柜内通风散热。</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3、机柜内具有照明和氛围灯功能，灯带可实现红、绿、蓝可变色，正常时为蓝色，冷通道高温时变成红色，用于冷通道高温预警。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4、承重要求：静态承重≥1800KG；满足8、9烈度抗震性能要求；提供产品测试报告与抗震检验报告。</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5、机柜要求不低于框架结构，采用高强度的优质冷轧钢板，主体骨架采用≥2.0mm厚材料，其它≥1.2mm厚材料；机柜承重层板材料采用≥1.5mm厚材料。</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6、冷热通道内配置磁吸式、带LED显示的温湿度感应器，可灵活调整位置或扩容，支持首尾设备串联。</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7、采用红外光电烟雾传感器，具有防尘、防虫、抗外界干扰等功能，带金属屏蔽罩，抗射频干扰。</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机柜侧板</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适用于1400深42U机柜,两段式含保温棉</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并柜件</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机柜与机柜之间冷通道并件</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理线立柱</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机柜后端左右安装，尺寸100*2000mm，具有固定PDU及走线功能</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机柜底部承重封板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底板前后带走线孔，走线孔位可根据需求任意调节，承重达180KG</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盲板</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1U塑料封板，黑色，卡扣式，快卸式安装</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服务器托盘</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承重能力不低于80KG</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机柜顶部桥架</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适用于600MM宽的机柜，用于强弱电布线</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导轨</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配套600mm宽服务器机柜，可以用来放置UPS、配电单元、机架式空调等设备</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MDC冷通道LED照明</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机柜内采用LED照明，采用T5 4W灯管支架套件，节能环保，卡扣安装，更换方便简易，由各门行程开关来控制开关</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氛围灯</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 通道正常运行显示蓝色光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当通道有高温报警，烟感报警等告警消防信号时，红色灯亮，蓝色灯熄灭                                                         3.机房门打开时显示白色灯光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4.12VDC三色灯带 ，嵌入式安装、机柜前门安装</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7</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PDU</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12位16A万用孔PDU，铝合金材质，不带线</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配电模块</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配电与UPS采用一体式，后续可扩展，采用施耐德开关，带智能电量仪、电源指示灯；总开关100A/3P*1;UPS输入63A/3P*1，UPS输出63A/2P*1，UPS旁路开关63A/4P*1，空调开关32A/1P*1，UPS输出支路开关32A/1P*7，市电输出支路开关32A/1P*7，C级防雷器及防雷保护开关</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温湿度传感器</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带LCD显示屏，温度精度不低于±0.5℃，湿度精度不低于±5%，温湿度与环控主机连接后，温湿度能自动配置IP地址，无须人工配置</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机柜IO管理模块</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PSCC-Y</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漏水监测定位漏水检测绳</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漏水控制器要求必须内置于环控主机，带一个点式漏水检测片</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UPS监测</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UPS串口与环控主机直联，无需另加采集器即可监测UPS，提高设备稳定性，环控主机需自带2个RS232接口</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空调监测</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空调485接口与环控主机直联，无需另加采集器即可监测空调，提高设备稳定性，在触摸显示屏上或手机APP上能够准确显示空调数据且能在环控软件界面上远程控制空调的开关机</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烟感</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灵敏度：符合UL217号标准，测试标准：0.65~1.52%FT，工作环境：-5℃~50℃；10~95%。蜂鸣器强度：10英尺处为85分贝</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氛围灯控制</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 通道正常运行显示蓝色光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当通道有高温报警，烟感报警等告警消防信号时，红色灯亮，蓝色灯熄灭                                                         3.机房门打开时显示白色灯光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4.氛围灯控制器须内置于环控主机内</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环境监控主机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嵌入式环控主机1U，可监控门磁、供配电、照明、UPS、精密空调、有害气体、消防控制器、烟雾、漏水、红外、防雷、震动/倾斜、空气开关跳闸等                                                                 采用ARM架构, 全中文B/S设计，内嵌入Linux操作系统，无需另外安装服务器和软件；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内置漏水检测线路，设备只需外加漏水检测绳或传感单元即可；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支持2路RS232接口，2路RS485带隔离接口，1路10/100M以太网接口；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1U/19寸标准机箱，前后可换向安装，结构紧凑,适合各种机柜、机箱；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宽电压输入范围：AC100V～240V；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主机内置电池，主电源断电自动切换到备用电源；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采用硬件看门狗电路，永不宕机；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支持分布式监控设备扩展接入；                                       简单易用的设置软件；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设计前置接口，接线方便；                                            工业级标准设计，稳定可靠，可在-20℃～70℃环境下7×24h正常工作景图</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4G短信、电话真人语音报警模块</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内置于环控主机，配置4G模块，支持短信、电话语音报警，解决没有2G/3G网络信号弊端</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触摸显示屏</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10.1寸触摸显示屏，安卓一体机，带1个网络接口，4个USB接口</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基础设备</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六类室内网线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UTPCAT6，六类非屏蔽双绞线符合中华人民共和国行业标准YD/T( 1019-2000)。结构:单股裸铜线，聚乙烯( HDPE)绝缘，两根绝缘导体对绞，聚氯乙烯、阻燃PVC或低烟无卤</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导体:实芯铜导体，直径0.57mm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线对:四对，色谱为:蓝/蓝白、橙/橙白、绿/绿白、棕/棕白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缆芯:四芯绞合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护套: PVC或低烟无卤外径6.2mm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特性阻抗: 2500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带宽:2 250MHz。</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直流电阻: 9.382.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包装:彩箱包装1件/小盒2小盒/箱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重量: 14KG/盒28KG/箱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检测报告:含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护奏颜色:兰色\灰色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最大安装拉力: 100N</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箱</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160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电源线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RVV3*1.5（无氧铜）                </w:t>
            </w:r>
          </w:p>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1、RVV执行标准GB/T5023.5-2008</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2、额定电压为2271EC52 (300/300V) 2271EC53 (300/500V)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3、聚氯乙烯护套</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、聚氯乙烯绝缘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5、导体为多芯退火裸铜绞合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6、正常工作温度不超过70C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芯数:3芯</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电源线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RVV2*1.0（无氧铜）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1.RVV执行标准GB/T5023.5-2008</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2.额定电压为2271EC52 (300/300V) 2271EC53 (300/500V)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3.聚氯乙烯护套</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4.聚氯乙烯绝缘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5.导体为多芯退火裸铜绞合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6.正常工作温度不超过70C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7.芯数:2芯</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优质国产国标PVC</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PVC25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优质国产国标PA阻燃软管</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PA AD 28.5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单模室内光纤</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12芯层绞式系列光缆，也称GYTS/GYTA光缆符合中华人民共和国行业标准YD/T901- 97，产品达到国内先进水平金属加强构件松套层绞填充式钢  聚乙烯粘结护套通信用室外光缆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技术特点:低损耗低色散结构紧凑良好的综合机械性能。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应用范围:适用于长途通信和局间通信。也可用于本地网用户线的光通信室外馈线和配线。</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敖设方式:架空管道地埋。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实用温度范围:-40C~ +60C.</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室内配9u墙柜</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国产优质</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ISC平台授权</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1.视频监控接入权限。▲2.承诺与中国美术学院现有大安防平台无缝对接，与学校原有人脸库对接并完善建设人脸库并与象山校区原有平台进行整合。3.对接过程中产生的对接费由供应商承担</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625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校园大数据对接及开发</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Style w:val="52"/>
                <w:color w:val="auto"/>
                <w:sz w:val="24"/>
                <w:szCs w:val="24"/>
                <w:highlight w:val="none"/>
                <w:lang w:bidi="ar"/>
              </w:rPr>
              <w:t>★1.人脸库系统</w:t>
            </w:r>
            <w:r>
              <w:rPr>
                <w:rStyle w:val="52"/>
                <w:color w:val="auto"/>
                <w:sz w:val="24"/>
                <w:szCs w:val="24"/>
                <w:highlight w:val="none"/>
                <w:lang w:bidi="ar"/>
              </w:rPr>
              <w:br w:type="textWrapping"/>
            </w:r>
            <w:r>
              <w:rPr>
                <w:rStyle w:val="52"/>
                <w:color w:val="auto"/>
                <w:sz w:val="24"/>
                <w:szCs w:val="24"/>
                <w:highlight w:val="none"/>
                <w:lang w:bidi="ar"/>
              </w:rPr>
              <w:t>构建应用于全校的人脸库平台，统一进行人脸库管理和人脸设备的管理，便于数据的收集、分析、应用和隐私管控。</w:t>
            </w:r>
            <w:r>
              <w:rPr>
                <w:rStyle w:val="52"/>
                <w:color w:val="auto"/>
                <w:sz w:val="24"/>
                <w:szCs w:val="24"/>
                <w:highlight w:val="none"/>
                <w:lang w:bidi="ar"/>
              </w:rPr>
              <w:br w:type="textWrapping"/>
            </w:r>
            <w:r>
              <w:rPr>
                <w:rStyle w:val="52"/>
                <w:color w:val="auto"/>
                <w:sz w:val="24"/>
                <w:szCs w:val="24"/>
                <w:highlight w:val="none"/>
                <w:lang w:bidi="ar"/>
              </w:rPr>
              <w:t>根据电子通行证的人员数据，结合学校数据中心已经整合的照片数据，进行照片质量检测，开发完善移动照片采集通道，对于照片不合格的可能造成无法识别比对的，用户通过移动采集照片后与人脸信息库进行关联建库；形成全校人员的统一人脸信息库。</w:t>
            </w:r>
            <w:r>
              <w:rPr>
                <w:rStyle w:val="52"/>
                <w:color w:val="auto"/>
                <w:sz w:val="24"/>
                <w:szCs w:val="24"/>
                <w:highlight w:val="none"/>
                <w:lang w:bidi="ar"/>
              </w:rPr>
              <w:br w:type="textWrapping"/>
            </w:r>
            <w:r>
              <w:rPr>
                <w:rStyle w:val="52"/>
                <w:color w:val="auto"/>
                <w:sz w:val="24"/>
                <w:szCs w:val="24"/>
                <w:highlight w:val="none"/>
                <w:lang w:bidi="ar"/>
              </w:rPr>
              <w:t>移动人脸采集，基于学校企业微信平台开发人员移动人脸采集平台，通过自拍或上传手机文件，上传照片数据，经后端自动检测合格后，用户提交照片，经审核后，照片进入人脸信息库。</w:t>
            </w:r>
            <w:r>
              <w:rPr>
                <w:rStyle w:val="52"/>
                <w:color w:val="auto"/>
                <w:sz w:val="24"/>
                <w:szCs w:val="24"/>
                <w:highlight w:val="none"/>
                <w:lang w:bidi="ar"/>
              </w:rPr>
              <w:br w:type="textWrapping"/>
            </w:r>
            <w:r>
              <w:rPr>
                <w:rStyle w:val="52"/>
                <w:color w:val="auto"/>
                <w:sz w:val="24"/>
                <w:szCs w:val="24"/>
                <w:highlight w:val="none"/>
                <w:lang w:bidi="ar"/>
              </w:rPr>
              <w:t>2.访客预约子系统</w:t>
            </w:r>
            <w:r>
              <w:rPr>
                <w:rStyle w:val="52"/>
                <w:color w:val="auto"/>
                <w:sz w:val="24"/>
                <w:szCs w:val="24"/>
                <w:highlight w:val="none"/>
                <w:lang w:bidi="ar"/>
              </w:rPr>
              <w:br w:type="textWrapping"/>
            </w:r>
            <w:r>
              <w:rPr>
                <w:rStyle w:val="52"/>
                <w:color w:val="auto"/>
                <w:sz w:val="24"/>
                <w:szCs w:val="24"/>
                <w:highlight w:val="none"/>
                <w:lang w:bidi="ar"/>
              </w:rPr>
              <w:t>访客子系统主要用于学校访客的信息登记、权限管理与到访信息记录。访客来访，需要对访客信息做登记处理，为访客指定接待人员、授予访客门禁、闸机、出入口的通行权限、对访客在来访时效和来访期间的情况进行记录，并提供访客预约等功能。主要是为了对来访访客的信息做统一的管理，以便后期做统计或查询操作。</w:t>
            </w:r>
            <w:r>
              <w:rPr>
                <w:rStyle w:val="52"/>
                <w:color w:val="auto"/>
                <w:sz w:val="24"/>
                <w:szCs w:val="24"/>
                <w:highlight w:val="none"/>
                <w:lang w:bidi="ar"/>
              </w:rPr>
              <w:br w:type="textWrapping"/>
            </w:r>
            <w:r>
              <w:rPr>
                <w:rStyle w:val="52"/>
                <w:color w:val="auto"/>
                <w:sz w:val="24"/>
                <w:szCs w:val="24"/>
                <w:highlight w:val="none"/>
                <w:lang w:bidi="ar"/>
              </w:rPr>
              <w:t>访客子系统基于通行码与人脸识别技术，将传统访客系统的人工管理模式转变为自动管理模式，降低人工成本，真正做到智能化、人性化。</w:t>
            </w:r>
            <w:r>
              <w:rPr>
                <w:rStyle w:val="52"/>
                <w:color w:val="auto"/>
                <w:sz w:val="24"/>
                <w:szCs w:val="24"/>
                <w:highlight w:val="none"/>
                <w:lang w:bidi="ar"/>
              </w:rPr>
              <w:br w:type="textWrapping"/>
            </w:r>
            <w:r>
              <w:rPr>
                <w:rStyle w:val="52"/>
                <w:color w:val="auto"/>
                <w:sz w:val="24"/>
                <w:szCs w:val="24"/>
                <w:highlight w:val="none"/>
                <w:lang w:bidi="ar"/>
              </w:rPr>
              <w:t>(1) 访客预约</w:t>
            </w:r>
            <w:r>
              <w:rPr>
                <w:rStyle w:val="52"/>
                <w:color w:val="auto"/>
                <w:sz w:val="24"/>
                <w:szCs w:val="24"/>
                <w:highlight w:val="none"/>
                <w:lang w:bidi="ar"/>
              </w:rPr>
              <w:br w:type="textWrapping"/>
            </w:r>
            <w:r>
              <w:rPr>
                <w:rStyle w:val="52"/>
                <w:color w:val="auto"/>
                <w:sz w:val="24"/>
                <w:szCs w:val="24"/>
                <w:highlight w:val="none"/>
                <w:lang w:bidi="ar"/>
              </w:rPr>
              <w:t>在企业微信上由被访者发起访客登记，录入访客姓名、访客手机、到访时间、随行人员数量、随行车辆后，通过短信通知访客完善访客详细的信息。</w:t>
            </w:r>
            <w:r>
              <w:rPr>
                <w:rStyle w:val="52"/>
                <w:color w:val="auto"/>
                <w:sz w:val="24"/>
                <w:szCs w:val="24"/>
                <w:highlight w:val="none"/>
                <w:lang w:bidi="ar"/>
              </w:rPr>
              <w:br w:type="textWrapping"/>
            </w:r>
            <w:r>
              <w:rPr>
                <w:rStyle w:val="52"/>
                <w:color w:val="auto"/>
                <w:sz w:val="24"/>
                <w:szCs w:val="24"/>
                <w:highlight w:val="none"/>
                <w:lang w:bidi="ar"/>
              </w:rPr>
              <w:t>(2) 访客登记</w:t>
            </w:r>
            <w:r>
              <w:rPr>
                <w:rStyle w:val="52"/>
                <w:color w:val="auto"/>
                <w:sz w:val="24"/>
                <w:szCs w:val="24"/>
                <w:highlight w:val="none"/>
                <w:lang w:bidi="ar"/>
              </w:rPr>
              <w:br w:type="textWrapping"/>
            </w:r>
            <w:r>
              <w:rPr>
                <w:rStyle w:val="52"/>
                <w:color w:val="auto"/>
                <w:sz w:val="24"/>
                <w:szCs w:val="24"/>
                <w:highlight w:val="none"/>
                <w:lang w:bidi="ar"/>
              </w:rPr>
              <w:t xml:space="preserve">    访客收到短信后，访客点开短信中的链接，完善访客个人信息，包括随行人员信息、随行车辆信息，同时发送短信给随行人员完善自己的个人信息。</w:t>
            </w:r>
            <w:r>
              <w:rPr>
                <w:rStyle w:val="52"/>
                <w:color w:val="auto"/>
                <w:sz w:val="24"/>
                <w:szCs w:val="24"/>
                <w:highlight w:val="none"/>
                <w:lang w:bidi="ar"/>
              </w:rPr>
              <w:br w:type="textWrapping"/>
            </w:r>
            <w:r>
              <w:rPr>
                <w:rStyle w:val="52"/>
                <w:color w:val="auto"/>
                <w:sz w:val="24"/>
                <w:szCs w:val="24"/>
                <w:highlight w:val="none"/>
                <w:lang w:bidi="ar"/>
              </w:rPr>
              <w:t>(3) 入校审核</w:t>
            </w:r>
            <w:r>
              <w:rPr>
                <w:rStyle w:val="52"/>
                <w:color w:val="auto"/>
                <w:sz w:val="24"/>
                <w:szCs w:val="24"/>
                <w:highlight w:val="none"/>
                <w:lang w:bidi="ar"/>
              </w:rPr>
              <w:br w:type="textWrapping"/>
            </w:r>
            <w:r>
              <w:rPr>
                <w:rStyle w:val="52"/>
                <w:color w:val="auto"/>
                <w:sz w:val="24"/>
                <w:szCs w:val="24"/>
                <w:highlight w:val="none"/>
                <w:lang w:bidi="ar"/>
              </w:rPr>
              <w:t>访客完善信息后，提交学校审核，系统自动获取健康码后，送学校相关部门审核。</w:t>
            </w:r>
            <w:r>
              <w:rPr>
                <w:rStyle w:val="52"/>
                <w:color w:val="auto"/>
                <w:sz w:val="24"/>
                <w:szCs w:val="24"/>
                <w:highlight w:val="none"/>
                <w:lang w:bidi="ar"/>
              </w:rPr>
              <w:br w:type="textWrapping"/>
            </w:r>
            <w:r>
              <w:rPr>
                <w:rStyle w:val="52"/>
                <w:color w:val="auto"/>
                <w:sz w:val="24"/>
                <w:szCs w:val="24"/>
                <w:highlight w:val="none"/>
                <w:lang w:bidi="ar"/>
              </w:rPr>
              <w:t>(4) 访客电子通行证</w:t>
            </w:r>
            <w:r>
              <w:rPr>
                <w:rStyle w:val="52"/>
                <w:color w:val="auto"/>
                <w:sz w:val="24"/>
                <w:szCs w:val="24"/>
                <w:highlight w:val="none"/>
                <w:lang w:bidi="ar"/>
              </w:rPr>
              <w:br w:type="textWrapping"/>
            </w:r>
            <w:r>
              <w:rPr>
                <w:rStyle w:val="52"/>
                <w:color w:val="auto"/>
                <w:sz w:val="24"/>
                <w:szCs w:val="24"/>
                <w:highlight w:val="none"/>
                <w:lang w:bidi="ar"/>
              </w:rPr>
              <w:t>学校审核通过后，系统自动发送短信，告知访客和随行人员，根据短信中发送的链接，点开查看自己的访客通行证，访客凭电子通行证，到校访问，访客人脸数据自动下发到闸机，车辆数据自动下发到道闸，允许单次通告或时间段内自由通行。</w:t>
            </w:r>
            <w:r>
              <w:rPr>
                <w:rStyle w:val="52"/>
                <w:color w:val="auto"/>
                <w:sz w:val="24"/>
                <w:szCs w:val="24"/>
                <w:highlight w:val="none"/>
                <w:lang w:bidi="ar"/>
              </w:rPr>
              <w:br w:type="textWrapping"/>
            </w:r>
            <w:r>
              <w:rPr>
                <w:rStyle w:val="52"/>
                <w:color w:val="auto"/>
                <w:sz w:val="24"/>
                <w:szCs w:val="24"/>
                <w:highlight w:val="none"/>
                <w:lang w:bidi="ar"/>
              </w:rPr>
              <w:t>★3.数据推送</w:t>
            </w:r>
            <w:r>
              <w:rPr>
                <w:rStyle w:val="52"/>
                <w:color w:val="auto"/>
                <w:sz w:val="24"/>
                <w:szCs w:val="24"/>
                <w:highlight w:val="none"/>
                <w:lang w:bidi="ar"/>
              </w:rPr>
              <w:br w:type="textWrapping"/>
            </w:r>
            <w:r>
              <w:rPr>
                <w:rStyle w:val="52"/>
                <w:color w:val="auto"/>
                <w:sz w:val="24"/>
                <w:szCs w:val="24"/>
                <w:highlight w:val="none"/>
                <w:lang w:bidi="ar"/>
              </w:rPr>
              <w:t xml:space="preserve"> (1)人员同步</w:t>
            </w:r>
            <w:r>
              <w:rPr>
                <w:rStyle w:val="52"/>
                <w:color w:val="auto"/>
                <w:sz w:val="24"/>
                <w:szCs w:val="24"/>
                <w:highlight w:val="none"/>
                <w:lang w:bidi="ar"/>
              </w:rPr>
              <w:br w:type="textWrapping"/>
            </w:r>
            <w:r>
              <w:rPr>
                <w:rStyle w:val="52"/>
                <w:color w:val="auto"/>
                <w:sz w:val="24"/>
                <w:szCs w:val="24"/>
                <w:highlight w:val="none"/>
                <w:lang w:bidi="ar"/>
              </w:rPr>
              <w:t>将数据中心中的人员数据通过API接口同步至人脸设备平台，数据中心的人员数据发生变动后，定时同步给至人脸设备平台，保证数据中心人员数据与人脸设备平台的人员一致性,访客在有效期内也需同步。</w:t>
            </w:r>
            <w:r>
              <w:rPr>
                <w:rStyle w:val="52"/>
                <w:color w:val="auto"/>
                <w:sz w:val="24"/>
                <w:szCs w:val="24"/>
                <w:highlight w:val="none"/>
                <w:lang w:bidi="ar"/>
              </w:rPr>
              <w:br w:type="textWrapping"/>
            </w:r>
            <w:r>
              <w:rPr>
                <w:rStyle w:val="52"/>
                <w:color w:val="auto"/>
                <w:sz w:val="24"/>
                <w:szCs w:val="24"/>
                <w:highlight w:val="none"/>
                <w:lang w:bidi="ar"/>
              </w:rPr>
              <w:t xml:space="preserve"> (2)人脸同步</w:t>
            </w:r>
            <w:r>
              <w:rPr>
                <w:rStyle w:val="52"/>
                <w:color w:val="auto"/>
                <w:sz w:val="24"/>
                <w:szCs w:val="24"/>
                <w:highlight w:val="none"/>
                <w:lang w:bidi="ar"/>
              </w:rPr>
              <w:br w:type="textWrapping"/>
            </w:r>
            <w:r>
              <w:rPr>
                <w:rStyle w:val="52"/>
                <w:color w:val="auto"/>
                <w:sz w:val="24"/>
                <w:szCs w:val="24"/>
                <w:highlight w:val="none"/>
                <w:lang w:bidi="ar"/>
              </w:rPr>
              <w:t>移动端人脸采集提交时按人脸评分接口进行人脸的匹对验证如果满足设定的人脸评分阈值则允许提交,审核通过后人脸进入人脸库,当人脸库的照片发生变化后，通过API接口将人脸定时同步至人脸设备平台(如旷世),并根据返回的结果标识人脸是否已经上传,用报表按部门进行分析,分析人脸采集状态,人脸平台的上传状况.</w:t>
            </w:r>
            <w:r>
              <w:rPr>
                <w:rStyle w:val="52"/>
                <w:color w:val="auto"/>
                <w:sz w:val="24"/>
                <w:szCs w:val="24"/>
                <w:highlight w:val="none"/>
                <w:lang w:bidi="ar"/>
              </w:rPr>
              <w:br w:type="textWrapping"/>
            </w:r>
            <w:r>
              <w:rPr>
                <w:rStyle w:val="52"/>
                <w:color w:val="auto"/>
                <w:sz w:val="24"/>
                <w:szCs w:val="24"/>
                <w:highlight w:val="none"/>
                <w:lang w:bidi="ar"/>
              </w:rPr>
              <w:t>★4.车辆及交通管理</w:t>
            </w:r>
            <w:r>
              <w:rPr>
                <w:rStyle w:val="52"/>
                <w:color w:val="auto"/>
                <w:sz w:val="24"/>
                <w:szCs w:val="24"/>
                <w:highlight w:val="none"/>
                <w:lang w:bidi="ar"/>
              </w:rPr>
              <w:br w:type="textWrapping"/>
            </w:r>
            <w:r>
              <w:rPr>
                <w:rStyle w:val="52"/>
                <w:color w:val="auto"/>
                <w:sz w:val="24"/>
                <w:szCs w:val="24"/>
                <w:highlight w:val="none"/>
                <w:lang w:bidi="ar"/>
              </w:rPr>
              <w:t xml:space="preserve">  实现与测速设备对接，对过往车辆进行实时监控，所需费用有投标人承担。校内交通事故查询。建立违规车辆黑名单。支持黑名单管理，并对车辆超速、违章次数设置，超过次数，自动进入黑名单。支持系统基本信息库进行交互，识别车主信息。支持机动车与非机动车分开管理。对接校内的车辆道闸以及车辆信息库，对机动车、非机动车以及车辆进出信息进行管理。对接校门口的车辆道闸，获取车辆进出的记录。</w:t>
            </w:r>
            <w:r>
              <w:rPr>
                <w:rStyle w:val="52"/>
                <w:color w:val="auto"/>
                <w:sz w:val="24"/>
                <w:szCs w:val="24"/>
                <w:highlight w:val="none"/>
                <w:lang w:bidi="ar"/>
              </w:rPr>
              <w:br w:type="textWrapping"/>
            </w:r>
            <w:r>
              <w:rPr>
                <w:rStyle w:val="52"/>
                <w:color w:val="auto"/>
                <w:sz w:val="24"/>
                <w:szCs w:val="24"/>
                <w:highlight w:val="none"/>
                <w:lang w:bidi="ar"/>
              </w:rPr>
              <w:t xml:space="preserve">  支持校内师生拍照上报违章</w:t>
            </w:r>
            <w:r>
              <w:rPr>
                <w:rStyle w:val="52"/>
                <w:color w:val="auto"/>
                <w:sz w:val="24"/>
                <w:szCs w:val="24"/>
                <w:highlight w:val="none"/>
                <w:lang w:bidi="ar"/>
              </w:rPr>
              <w:br w:type="textWrapping"/>
            </w:r>
            <w:r>
              <w:rPr>
                <w:rStyle w:val="52"/>
                <w:color w:val="auto"/>
                <w:sz w:val="24"/>
                <w:szCs w:val="24"/>
                <w:highlight w:val="none"/>
                <w:lang w:bidi="ar"/>
              </w:rPr>
              <w:t>5.扫码设备门禁对接</w:t>
            </w:r>
            <w:r>
              <w:rPr>
                <w:rStyle w:val="52"/>
                <w:color w:val="auto"/>
                <w:sz w:val="24"/>
                <w:szCs w:val="24"/>
                <w:highlight w:val="none"/>
                <w:lang w:bidi="ar"/>
              </w:rPr>
              <w:br w:type="textWrapping"/>
            </w:r>
            <w:r>
              <w:rPr>
                <w:rStyle w:val="52"/>
                <w:color w:val="auto"/>
                <w:sz w:val="24"/>
                <w:szCs w:val="24"/>
                <w:highlight w:val="none"/>
                <w:lang w:bidi="ar"/>
              </w:rPr>
              <w:t xml:space="preserve">   门禁、校园通行证、访客通行证、扫码设备进行对接,实现通行证或者一卡通在扫码设备进行识别获后可按按权限开启是否可以进行开门,并记录信息至人员轨迹中。</w:t>
            </w:r>
            <w:r>
              <w:rPr>
                <w:rStyle w:val="52"/>
                <w:color w:val="auto"/>
                <w:sz w:val="24"/>
                <w:szCs w:val="24"/>
                <w:highlight w:val="none"/>
                <w:lang w:bidi="ar"/>
              </w:rPr>
              <w:br w:type="textWrapping"/>
            </w:r>
            <w:r>
              <w:rPr>
                <w:rStyle w:val="52"/>
                <w:color w:val="auto"/>
                <w:sz w:val="24"/>
                <w:szCs w:val="24"/>
                <w:highlight w:val="none"/>
                <w:lang w:bidi="ar"/>
              </w:rPr>
              <w:t>6.人员轨迹</w:t>
            </w:r>
            <w:r>
              <w:rPr>
                <w:rStyle w:val="52"/>
                <w:color w:val="auto"/>
                <w:sz w:val="24"/>
                <w:szCs w:val="24"/>
                <w:highlight w:val="none"/>
                <w:lang w:bidi="ar"/>
              </w:rPr>
              <w:br w:type="textWrapping"/>
            </w:r>
            <w:r>
              <w:rPr>
                <w:rStyle w:val="52"/>
                <w:color w:val="auto"/>
                <w:sz w:val="24"/>
                <w:szCs w:val="24"/>
                <w:highlight w:val="none"/>
                <w:lang w:bidi="ar"/>
              </w:rPr>
              <w:t xml:space="preserve">  人脸识别、扫码、通行证、访客通行证操作过程中产生的识别数据都可对应到每个人员，可以统一记录当前人员在校园内出现的地点，用于大数据分析</w:t>
            </w:r>
            <w:r>
              <w:rPr>
                <w:rStyle w:val="52"/>
                <w:color w:val="auto"/>
                <w:sz w:val="24"/>
                <w:szCs w:val="24"/>
                <w:highlight w:val="none"/>
                <w:lang w:bidi="ar"/>
              </w:rPr>
              <w:br w:type="textWrapping"/>
            </w:r>
            <w:r>
              <w:rPr>
                <w:rStyle w:val="52"/>
                <w:color w:val="auto"/>
                <w:sz w:val="24"/>
                <w:szCs w:val="24"/>
                <w:highlight w:val="none"/>
                <w:lang w:bidi="ar"/>
              </w:rPr>
              <w:t xml:space="preserve">7.设备管理 </w:t>
            </w:r>
            <w:r>
              <w:rPr>
                <w:rStyle w:val="52"/>
                <w:color w:val="auto"/>
                <w:sz w:val="24"/>
                <w:szCs w:val="24"/>
                <w:highlight w:val="none"/>
                <w:lang w:bidi="ar"/>
              </w:rPr>
              <w:br w:type="textWrapping"/>
            </w:r>
            <w:r>
              <w:rPr>
                <w:rStyle w:val="52"/>
                <w:color w:val="auto"/>
                <w:sz w:val="24"/>
                <w:szCs w:val="24"/>
                <w:highlight w:val="none"/>
                <w:lang w:bidi="ar"/>
              </w:rPr>
              <w:t xml:space="preserve">  统一管理学校内部各种设备,如人脸设备、扫码设备等，发布API接口根据设备进行业务的管理，业务可关联不同的设备，并可标识设备的进出，当设备识别产生记录至平台，平台会根据统一识别记录生成业务分析，如人脸签到，在校状态识别。 </w:t>
            </w:r>
            <w:r>
              <w:rPr>
                <w:rStyle w:val="52"/>
                <w:color w:val="auto"/>
                <w:sz w:val="24"/>
                <w:szCs w:val="24"/>
                <w:highlight w:val="none"/>
                <w:lang w:bidi="ar"/>
              </w:rPr>
              <w:br w:type="textWrapping"/>
            </w:r>
            <w:r>
              <w:rPr>
                <w:rStyle w:val="52"/>
                <w:color w:val="auto"/>
                <w:sz w:val="24"/>
                <w:szCs w:val="24"/>
                <w:highlight w:val="none"/>
                <w:lang w:bidi="ar"/>
              </w:rPr>
              <w:t>▲8、可视化分析</w:t>
            </w:r>
            <w:r>
              <w:rPr>
                <w:rStyle w:val="52"/>
                <w:color w:val="auto"/>
                <w:sz w:val="24"/>
                <w:szCs w:val="24"/>
                <w:highlight w:val="none"/>
                <w:lang w:bidi="ar"/>
              </w:rPr>
              <w:br w:type="textWrapping"/>
            </w:r>
            <w:r>
              <w:rPr>
                <w:rStyle w:val="52"/>
                <w:color w:val="auto"/>
                <w:sz w:val="24"/>
                <w:szCs w:val="24"/>
                <w:highlight w:val="none"/>
                <w:lang w:bidi="ar"/>
              </w:rPr>
              <w:t>（1）系统需支持数据可视化，按需求定制数据大屏，数据实时更新。</w:t>
            </w:r>
            <w:r>
              <w:rPr>
                <w:rStyle w:val="52"/>
                <w:color w:val="auto"/>
                <w:sz w:val="24"/>
                <w:szCs w:val="24"/>
                <w:highlight w:val="none"/>
                <w:lang w:bidi="ar"/>
              </w:rPr>
              <w:br w:type="textWrapping"/>
            </w:r>
            <w:r>
              <w:rPr>
                <w:rStyle w:val="52"/>
                <w:color w:val="auto"/>
                <w:sz w:val="24"/>
                <w:szCs w:val="24"/>
                <w:highlight w:val="none"/>
                <w:lang w:bidi="ar"/>
              </w:rPr>
              <w:t>（2）实时提供人员、车辆等感知轨迹图，分析校内校外人员在校状态，设备运维情况，人员比对结果等。</w:t>
            </w:r>
            <w:r>
              <w:rPr>
                <w:rStyle w:val="52"/>
                <w:color w:val="auto"/>
                <w:sz w:val="24"/>
                <w:szCs w:val="24"/>
                <w:highlight w:val="none"/>
                <w:lang w:bidi="ar"/>
              </w:rPr>
              <w:br w:type="textWrapping"/>
            </w:r>
            <w:r>
              <w:rPr>
                <w:rStyle w:val="52"/>
                <w:color w:val="auto"/>
                <w:sz w:val="24"/>
                <w:szCs w:val="24"/>
                <w:highlight w:val="none"/>
                <w:lang w:bidi="ar"/>
              </w:rPr>
              <w:t>（3）根据人员分类，精准识别黑名单、陌生人进校动态，并实时预警，人员周界入侵，森林防火预警，河面落水检测或邻水分析等预警可推送至相关管理人。</w:t>
            </w:r>
            <w:r>
              <w:rPr>
                <w:rStyle w:val="52"/>
                <w:color w:val="auto"/>
                <w:sz w:val="24"/>
                <w:szCs w:val="24"/>
                <w:highlight w:val="none"/>
                <w:lang w:bidi="ar"/>
              </w:rPr>
              <w:br w:type="textWrapping"/>
            </w:r>
            <w:r>
              <w:rPr>
                <w:rStyle w:val="52"/>
                <w:color w:val="auto"/>
                <w:sz w:val="24"/>
                <w:szCs w:val="24"/>
                <w:highlight w:val="none"/>
                <w:lang w:bidi="ar"/>
              </w:rPr>
              <w:t>（4）系统需支持所有轨迹可通过同一个页面查询，系统使用权限统一管理。</w:t>
            </w:r>
            <w:r>
              <w:rPr>
                <w:rStyle w:val="52"/>
                <w:color w:val="auto"/>
                <w:sz w:val="24"/>
                <w:szCs w:val="24"/>
                <w:highlight w:val="none"/>
                <w:lang w:bidi="ar"/>
              </w:rPr>
              <w:br w:type="textWrapping"/>
            </w:r>
            <w:r>
              <w:rPr>
                <w:rStyle w:val="52"/>
                <w:color w:val="auto"/>
                <w:sz w:val="24"/>
                <w:szCs w:val="24"/>
                <w:highlight w:val="none"/>
                <w:lang w:bidi="ar"/>
              </w:rPr>
              <w:t>（5）按需定制移动端业务。例如：移动端人员库比对、车牌查询、实时视频查看等</w:t>
            </w:r>
            <w:r>
              <w:rPr>
                <w:rStyle w:val="52"/>
                <w:color w:val="auto"/>
                <w:sz w:val="24"/>
                <w:szCs w:val="24"/>
                <w:highlight w:val="none"/>
                <w:lang w:bidi="ar"/>
              </w:rPr>
              <w:br w:type="textWrapping"/>
            </w:r>
            <w:r>
              <w:rPr>
                <w:rStyle w:val="52"/>
                <w:color w:val="auto"/>
                <w:sz w:val="24"/>
                <w:szCs w:val="24"/>
                <w:highlight w:val="none"/>
                <w:lang w:bidi="ar"/>
              </w:rPr>
              <w:t>★</w:t>
            </w:r>
            <w:r>
              <w:rPr>
                <w:rStyle w:val="53"/>
                <w:color w:val="auto"/>
                <w:sz w:val="24"/>
                <w:szCs w:val="24"/>
                <w:highlight w:val="none"/>
                <w:lang w:bidi="ar"/>
              </w:rPr>
              <w:t>9、数据对接 （对接过程中产生的对接费由供应商承担）</w:t>
            </w:r>
            <w:r>
              <w:rPr>
                <w:rStyle w:val="52"/>
                <w:color w:val="auto"/>
                <w:sz w:val="24"/>
                <w:szCs w:val="24"/>
                <w:highlight w:val="none"/>
                <w:lang w:bidi="ar"/>
              </w:rPr>
              <w:t xml:space="preserve">                                      </w:t>
            </w:r>
            <w:r>
              <w:rPr>
                <w:rStyle w:val="52"/>
                <w:color w:val="auto"/>
                <w:sz w:val="24"/>
                <w:szCs w:val="24"/>
                <w:highlight w:val="none"/>
                <w:lang w:bidi="ar"/>
              </w:rPr>
              <w:br w:type="textWrapping"/>
            </w:r>
            <w:r>
              <w:rPr>
                <w:rStyle w:val="52"/>
                <w:color w:val="auto"/>
                <w:sz w:val="24"/>
                <w:szCs w:val="24"/>
                <w:highlight w:val="none"/>
                <w:lang w:bidi="ar"/>
              </w:rPr>
              <w:t>（1）系统需支持扫码，刷脸，刷校园卡，实现卡、码、脸三合一。</w:t>
            </w:r>
            <w:r>
              <w:rPr>
                <w:rStyle w:val="52"/>
                <w:color w:val="auto"/>
                <w:sz w:val="24"/>
                <w:szCs w:val="24"/>
                <w:highlight w:val="none"/>
                <w:lang w:bidi="ar"/>
              </w:rPr>
              <w:br w:type="textWrapping"/>
            </w:r>
            <w:r>
              <w:rPr>
                <w:rStyle w:val="52"/>
                <w:color w:val="auto"/>
                <w:sz w:val="24"/>
                <w:szCs w:val="24"/>
                <w:highlight w:val="none"/>
                <w:lang w:bidi="ar"/>
              </w:rPr>
              <w:t>（2）平台统一管理项目中所有人脸识别设备的门禁权限和人脸数据。</w:t>
            </w:r>
            <w:r>
              <w:rPr>
                <w:rStyle w:val="52"/>
                <w:color w:val="auto"/>
                <w:sz w:val="24"/>
                <w:szCs w:val="24"/>
                <w:highlight w:val="none"/>
                <w:lang w:bidi="ar"/>
              </w:rPr>
              <w:br w:type="textWrapping"/>
            </w:r>
            <w:r>
              <w:rPr>
                <w:rStyle w:val="52"/>
                <w:color w:val="auto"/>
                <w:sz w:val="24"/>
                <w:szCs w:val="24"/>
                <w:highlight w:val="none"/>
                <w:lang w:bidi="ar"/>
              </w:rPr>
              <w:t>（3）实现与学校大数据平台的人员数据无缝对接，当教职工、学生异动后，及时变更宿舍门禁权限。</w:t>
            </w:r>
            <w:r>
              <w:rPr>
                <w:rStyle w:val="52"/>
                <w:color w:val="auto"/>
                <w:sz w:val="24"/>
                <w:szCs w:val="24"/>
                <w:highlight w:val="none"/>
                <w:lang w:bidi="ar"/>
              </w:rPr>
              <w:br w:type="textWrapping"/>
            </w:r>
            <w:r>
              <w:rPr>
                <w:rStyle w:val="52"/>
                <w:color w:val="auto"/>
                <w:sz w:val="24"/>
                <w:szCs w:val="24"/>
                <w:highlight w:val="none"/>
                <w:lang w:bidi="ar"/>
              </w:rPr>
              <w:t>（4）实时对接人脸门禁设备的识别数据，完成系统相关统计分析。</w:t>
            </w:r>
            <w:r>
              <w:rPr>
                <w:rStyle w:val="52"/>
                <w:color w:val="auto"/>
                <w:sz w:val="24"/>
                <w:szCs w:val="24"/>
                <w:highlight w:val="none"/>
                <w:lang w:bidi="ar"/>
              </w:rPr>
              <w:br w:type="textWrapping"/>
            </w:r>
            <w:r>
              <w:rPr>
                <w:rStyle w:val="52"/>
                <w:color w:val="auto"/>
                <w:sz w:val="24"/>
                <w:szCs w:val="24"/>
                <w:highlight w:val="none"/>
                <w:lang w:bidi="ar"/>
              </w:rPr>
              <w:t>（5）完成与学校大数据平台的对接，提供人员进出记录。</w:t>
            </w:r>
            <w:r>
              <w:rPr>
                <w:rStyle w:val="52"/>
                <w:color w:val="auto"/>
                <w:sz w:val="24"/>
                <w:szCs w:val="24"/>
                <w:highlight w:val="none"/>
                <w:lang w:bidi="ar"/>
              </w:rPr>
              <w:br w:type="textWrapping"/>
            </w:r>
            <w:r>
              <w:rPr>
                <w:rStyle w:val="52"/>
                <w:color w:val="auto"/>
                <w:sz w:val="24"/>
                <w:szCs w:val="24"/>
                <w:highlight w:val="none"/>
                <w:lang w:bidi="ar"/>
              </w:rPr>
              <w:t>（6）需要与学校统一身份认证对接，移动人脸采集等。</w:t>
            </w:r>
            <w:r>
              <w:rPr>
                <w:rStyle w:val="52"/>
                <w:color w:val="auto"/>
                <w:sz w:val="24"/>
                <w:szCs w:val="24"/>
                <w:highlight w:val="none"/>
                <w:lang w:bidi="ar"/>
              </w:rPr>
              <w:br w:type="textWrapping"/>
            </w:r>
            <w:r>
              <w:rPr>
                <w:rStyle w:val="52"/>
                <w:color w:val="auto"/>
                <w:sz w:val="24"/>
                <w:szCs w:val="24"/>
                <w:highlight w:val="none"/>
                <w:lang w:bidi="ar"/>
              </w:rPr>
              <w:t>（7）需要与学校一卡通系统对接，一卡通系统的卡片无需另外注册可直接在闸机上刷卡使用。</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驻场服务</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质保期内提供驻场服务，驻场项目工程师不少于 2 个</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立杆(含基础)</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定制方型140*2米，定制方型外挑，壁厚不小于6mm，黑色防锈喷柒（定制国美特色）</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机房机柜底座</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600*1200*300mm，拼装结构</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7</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机房机柜之间电缆</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ZR-YJV3*6mm2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80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机房空调排水</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现场制作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机房空调外机底座</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现场制作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机房空调外机水泥基础</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现场制作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氧气\乙炔\氟利昂\保温管\弯头\室内外连接电缆等</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现场制作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3"/>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辅助材料</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ascii="宋体" w:hAnsi="宋体" w:cs="宋体"/>
                <w:color w:val="auto"/>
                <w:highlight w:val="none"/>
              </w:rPr>
            </w:pPr>
            <w:r>
              <w:rPr>
                <w:rFonts w:hint="eastAsia" w:ascii="宋体" w:hAnsi="宋体" w:cs="宋体"/>
                <w:color w:val="auto"/>
                <w:kern w:val="0"/>
                <w:highlight w:val="none"/>
                <w:lang w:bidi="ar"/>
              </w:rPr>
              <w:t>包含项目所需的辅助材料及设备安装调试所产生的人工费用</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4590" w:type="pct"/>
            <w:gridSpan w:val="4"/>
            <w:tcBorders>
              <w:top w:val="nil"/>
              <w:left w:val="nil"/>
              <w:bottom w:val="nil"/>
              <w:right w:val="nil"/>
            </w:tcBorders>
            <w:shd w:val="clear" w:color="auto" w:fill="FF0000"/>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中国美术学院潘天寿纪念馆招标清单</w:t>
            </w:r>
          </w:p>
        </w:tc>
        <w:tc>
          <w:tcPr>
            <w:tcW w:w="409" w:type="pct"/>
            <w:tcBorders>
              <w:top w:val="nil"/>
              <w:left w:val="nil"/>
              <w:bottom w:val="nil"/>
              <w:right w:val="nil"/>
            </w:tcBorders>
            <w:shd w:val="clear" w:color="auto" w:fill="FF0000"/>
            <w:noWrap w:val="0"/>
            <w:vAlign w:val="center"/>
          </w:tcPr>
          <w:p>
            <w:pPr>
              <w:ind w:firstLine="0" w:firstLineChars="0"/>
              <w:jc w:val="center"/>
              <w:rPr>
                <w:rFonts w:hint="eastAsia" w:ascii="宋体" w:hAnsi="宋体" w:cs="宋体"/>
                <w:b/>
                <w:bCs/>
                <w:color w:val="auto"/>
                <w:highlight w:val="none"/>
              </w:rPr>
            </w:pPr>
          </w:p>
        </w:tc>
      </w:tr>
      <w:tr>
        <w:tblPrEx>
          <w:tblCellMar>
            <w:top w:w="0" w:type="dxa"/>
            <w:left w:w="108" w:type="dxa"/>
            <w:bottom w:w="0" w:type="dxa"/>
            <w:right w:w="108" w:type="dxa"/>
          </w:tblCellMar>
        </w:tblPrEx>
        <w:tc>
          <w:tcPr>
            <w:tcW w:w="267" w:type="pct"/>
            <w:tcBorders>
              <w:top w:val="nil"/>
              <w:left w:val="nil"/>
              <w:bottom w:val="nil"/>
              <w:right w:val="nil"/>
            </w:tcBorders>
            <w:shd w:val="clear" w:color="auto" w:fill="ACB9CA"/>
            <w:noWrap w:val="0"/>
            <w:vAlign w:val="center"/>
          </w:tcPr>
          <w:p>
            <w:pPr>
              <w:ind w:firstLine="0" w:firstLineChars="0"/>
              <w:jc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前端系统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星光智能网络摄像机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180"/>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1.具有400万像素CMOS传感器。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内置GPU芯片。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3.具有不小于1/1.8"靶面尺寸。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4.内置2个麦克风、1个扬声器。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 支持混音录像功能，在音视频混合录像中，左右声道可录入从2路MIC IN输入的音频或2路从LINE IN输入的音频。</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6.最低照度彩色：0.005lx，黑白:0.0005lx，灰度等级不小于11级。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7.红外补光距离不小于50米。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8.需支持三码流技术，可同时输出三路码流，主码流最高2560x1440@25fps，子码流704x576@25fps，第三码流最高1920x1080@25fps。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9.清晰度不小于1600TVL。</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 需具备智能分析抗干扰功能，当智能分析行为类型为区域入侵、越界入侵、进入区域、离开区域时，报警检测目标设置为人体或车辆时，在设定的检测范围内出现光线明暗变化、篮球滚动、狗行走、树摇晃等情况时，不会触发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 可通过扫描预览界面上生成的二维码获取资料。</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12.支持H.264、H.265、MJPEG视频编码格式，且具有HighProfile编码能力。</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13.需支持IP67防护等级。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14.具有1个DC12V电源输出接口。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15.需同时支持DC12V/AC24V/POE供电。</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16.具有3个报警输入接口、2个报警输出接口。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17.需支持IK10防暴等级。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 具有低温低气压适应性，可在不高于-40℃和气压50kPa环境下正常工作。</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星光智能网络摄像机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 具有不小于1/1.8"靶面尺寸。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 内置1个麦克风，支持双向语音对讲功能。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 最大支持分辨率2560*1440、帧率在1fps~30fps可调。</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 支持区域入侵侦测、越界侦测、进入区域侦测、离开区域侦测，每种智能周界事件可设置4个警戒区域；并独立布撤防，布撤防时间可单独设置（7*24h），联动方式单独设置。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 正常工作条件下，工作4h后，可触及零部件的温度不应超过该部件的允许温升值。</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 具有低温低气压适应性，可在不高于-45℃和气压70kPa环境下正常工作。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7.最低照度彩色：0.0002 lx，黑白:0.0001 lx。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8.同一场景下相同图像质量下设备在H.264或H.265编码方式时，开启智能编码功能和不开启智能编码相比，码流节约80%。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9.水平视场角不小于107°，垂直视场角不小于56°。</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FP拾音器系列</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 xml:space="preserve">模拟拾音器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采用高灵敏度高保真麦克风，全向拾音、声音清晰、抗干扰能力强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内置输出级驱动电路，可直接驱动耳机等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适合近距离拾音，最佳拾音范围在3米之内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自带拾音距离调节旋钮，可根据现场需要调节音量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适用于柜台，收银，谈话桌，会议录音等场所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拾音头内置雷击保护、电源极性反转保护和电源保护模块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创新电路设计，内容清晰，音效高保真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支持吸顶安装、桌面安装和壁装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支持音量调节功能，与主机级联后可通过后台软件切换通道并调节音量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支持集中供电、摄像机供电、直流电源供电，无需专用电源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麦克风: 一个高灵敏度全指向驻极体麦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动态范围: 0 dB~90 dB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最大承受音压: 120 dBSPL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拾音范围: 0 m~5 m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灵敏度: -32 dB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输出信号幅度: 2.5 Vpp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信噪比: 90 dB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频率响应: 20 Hz~20 kHz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音频传输距离: ≥500 m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接口类型: LINE OUT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输出阻抗: 600Ω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电源电压: DC12V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保护电路: 雷击保护、电源极性反转保护、静电防护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工作温度: -10℃～50℃（室内）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安装方式: 吸顶装，壁装，桌面装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材质: 塑料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功耗: 0.1 W MAX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降噪调节: 数字降噪，自适应调节（和主机搭配使用时支持）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音量调节: 支持软件调节（与主拾音器级联时可用）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指向特性: 全指向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采样率: 8khz、16khz、32khz可选，默认16khz</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双光谱筒型摄像机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Style w:val="52"/>
                <w:color w:val="auto"/>
                <w:sz w:val="24"/>
                <w:szCs w:val="24"/>
                <w:highlight w:val="none"/>
                <w:lang w:bidi="ar"/>
              </w:rPr>
              <w:t>1.支持1路音频输入，1路音频输出</w:t>
            </w:r>
            <w:r>
              <w:rPr>
                <w:rStyle w:val="52"/>
                <w:color w:val="auto"/>
                <w:sz w:val="24"/>
                <w:szCs w:val="24"/>
                <w:highlight w:val="none"/>
                <w:lang w:bidi="ar"/>
              </w:rPr>
              <w:br w:type="textWrapping"/>
            </w:r>
            <w:r>
              <w:rPr>
                <w:rStyle w:val="52"/>
                <w:color w:val="auto"/>
                <w:sz w:val="24"/>
                <w:szCs w:val="24"/>
                <w:highlight w:val="none"/>
                <w:lang w:bidi="ar"/>
              </w:rPr>
              <w:t>2.支持2路报警输入，2路报警输出</w:t>
            </w:r>
            <w:r>
              <w:rPr>
                <w:rStyle w:val="52"/>
                <w:color w:val="auto"/>
                <w:sz w:val="24"/>
                <w:szCs w:val="24"/>
                <w:highlight w:val="none"/>
                <w:lang w:bidi="ar"/>
              </w:rPr>
              <w:br w:type="textWrapping"/>
            </w:r>
            <w:r>
              <w:rPr>
                <w:rStyle w:val="52"/>
                <w:color w:val="auto"/>
                <w:sz w:val="24"/>
                <w:szCs w:val="24"/>
                <w:highlight w:val="none"/>
                <w:lang w:bidi="ar"/>
              </w:rPr>
              <w:t>3.外壳防护等级：IP67</w:t>
            </w:r>
            <w:r>
              <w:rPr>
                <w:rStyle w:val="52"/>
                <w:color w:val="auto"/>
                <w:sz w:val="24"/>
                <w:szCs w:val="24"/>
                <w:highlight w:val="none"/>
                <w:lang w:bidi="ar"/>
              </w:rPr>
              <w:br w:type="textWrapping"/>
            </w:r>
            <w:r>
              <w:rPr>
                <w:rStyle w:val="52"/>
                <w:color w:val="auto"/>
                <w:sz w:val="24"/>
                <w:szCs w:val="24"/>
                <w:highlight w:val="none"/>
                <w:lang w:bidi="ar"/>
              </w:rPr>
              <w:t>4.电源电压在DC12V±20%范围内变化时，能正常工作</w:t>
            </w:r>
            <w:r>
              <w:rPr>
                <w:rStyle w:val="52"/>
                <w:color w:val="auto"/>
                <w:sz w:val="24"/>
                <w:szCs w:val="24"/>
                <w:highlight w:val="none"/>
                <w:lang w:bidi="ar"/>
              </w:rPr>
              <w:br w:type="textWrapping"/>
            </w:r>
            <w:r>
              <w:rPr>
                <w:rStyle w:val="52"/>
                <w:color w:val="auto"/>
                <w:sz w:val="24"/>
                <w:szCs w:val="24"/>
                <w:highlight w:val="none"/>
                <w:lang w:bidi="ar"/>
              </w:rPr>
              <w:t>5.支持SD卡热拔插，最大支持512GBSD卡</w:t>
            </w:r>
            <w:r>
              <w:rPr>
                <w:rStyle w:val="52"/>
                <w:color w:val="auto"/>
                <w:sz w:val="24"/>
                <w:szCs w:val="24"/>
                <w:highlight w:val="none"/>
                <w:lang w:bidi="ar"/>
              </w:rPr>
              <w:br w:type="textWrapping"/>
            </w:r>
            <w:r>
              <w:rPr>
                <w:rStyle w:val="52"/>
                <w:color w:val="auto"/>
                <w:sz w:val="24"/>
                <w:szCs w:val="24"/>
                <w:highlight w:val="none"/>
                <w:lang w:bidi="ar"/>
              </w:rPr>
              <w:t>6.具有双向语音对讲和单向语音广播功能</w:t>
            </w:r>
            <w:r>
              <w:rPr>
                <w:rStyle w:val="52"/>
                <w:color w:val="auto"/>
                <w:sz w:val="24"/>
                <w:szCs w:val="24"/>
                <w:highlight w:val="none"/>
                <w:lang w:bidi="ar"/>
              </w:rPr>
              <w:br w:type="textWrapping"/>
            </w:r>
            <w:r>
              <w:rPr>
                <w:rStyle w:val="52"/>
                <w:color w:val="auto"/>
                <w:sz w:val="24"/>
                <w:szCs w:val="24"/>
                <w:highlight w:val="none"/>
                <w:lang w:bidi="ar"/>
              </w:rPr>
              <w:t>7.最低可用照度，0.01lx（彩色）；0.001lx（黑白）</w:t>
            </w:r>
            <w:r>
              <w:rPr>
                <w:rStyle w:val="52"/>
                <w:color w:val="auto"/>
                <w:sz w:val="24"/>
                <w:szCs w:val="24"/>
                <w:highlight w:val="none"/>
                <w:lang w:bidi="ar"/>
              </w:rPr>
              <w:br w:type="textWrapping"/>
            </w:r>
            <w:r>
              <w:rPr>
                <w:rStyle w:val="52"/>
                <w:color w:val="auto"/>
                <w:sz w:val="24"/>
                <w:szCs w:val="24"/>
                <w:highlight w:val="none"/>
                <w:lang w:bidi="ar"/>
              </w:rPr>
              <w:t>8.设备支持在-50℃-80℃范围内正常工作</w:t>
            </w:r>
            <w:r>
              <w:rPr>
                <w:rStyle w:val="52"/>
                <w:color w:val="auto"/>
                <w:sz w:val="24"/>
                <w:szCs w:val="24"/>
                <w:highlight w:val="none"/>
                <w:lang w:bidi="ar"/>
              </w:rPr>
              <w:br w:type="textWrapping"/>
            </w:r>
            <w:r>
              <w:rPr>
                <w:rStyle w:val="52"/>
                <w:color w:val="auto"/>
                <w:sz w:val="24"/>
                <w:szCs w:val="24"/>
                <w:highlight w:val="none"/>
                <w:lang w:bidi="ar"/>
              </w:rPr>
              <w:t>9.热成像图像尺寸（1920×1080、1280*720、704*576、640*512、384*288、352*288、320*240）</w:t>
            </w:r>
            <w:r>
              <w:rPr>
                <w:rStyle w:val="52"/>
                <w:color w:val="auto"/>
                <w:sz w:val="24"/>
                <w:szCs w:val="24"/>
                <w:highlight w:val="none"/>
                <w:lang w:bidi="ar"/>
              </w:rPr>
              <w:br w:type="textWrapping"/>
            </w:r>
            <w:r>
              <w:rPr>
                <w:rStyle w:val="52"/>
                <w:color w:val="auto"/>
                <w:sz w:val="24"/>
                <w:szCs w:val="24"/>
                <w:highlight w:val="none"/>
                <w:lang w:bidi="ar"/>
              </w:rPr>
              <w:t>10.能进行黑白名单设置控制访问的IP地址和MAC地址</w:t>
            </w:r>
            <w:r>
              <w:rPr>
                <w:rStyle w:val="52"/>
                <w:color w:val="auto"/>
                <w:sz w:val="24"/>
                <w:szCs w:val="24"/>
                <w:highlight w:val="none"/>
                <w:lang w:bidi="ar"/>
              </w:rPr>
              <w:br w:type="textWrapping"/>
            </w:r>
            <w:r>
              <w:rPr>
                <w:rStyle w:val="52"/>
                <w:color w:val="auto"/>
                <w:sz w:val="24"/>
                <w:szCs w:val="24"/>
                <w:highlight w:val="none"/>
                <w:lang w:bidi="ar"/>
              </w:rPr>
              <w:t>11.CPU、GPU占用超过预设值或内存可用容量低于预设值时,可通过客户端软件或IE浏览器给出报警信息</w:t>
            </w:r>
            <w:r>
              <w:rPr>
                <w:rStyle w:val="52"/>
                <w:color w:val="auto"/>
                <w:sz w:val="24"/>
                <w:szCs w:val="24"/>
                <w:highlight w:val="none"/>
                <w:lang w:bidi="ar"/>
              </w:rPr>
              <w:br w:type="textWrapping"/>
            </w:r>
            <w:r>
              <w:rPr>
                <w:rStyle w:val="52"/>
                <w:color w:val="auto"/>
                <w:sz w:val="24"/>
                <w:szCs w:val="24"/>
                <w:highlight w:val="none"/>
                <w:lang w:bidi="ar"/>
              </w:rPr>
              <w:t>12.在IE浏览器下，具有数字降噪设置</w:t>
            </w:r>
            <w:r>
              <w:rPr>
                <w:rStyle w:val="52"/>
                <w:color w:val="auto"/>
                <w:sz w:val="24"/>
                <w:szCs w:val="24"/>
                <w:highlight w:val="none"/>
                <w:lang w:bidi="ar"/>
              </w:rPr>
              <w:br w:type="textWrapping"/>
            </w:r>
            <w:r>
              <w:rPr>
                <w:rStyle w:val="52"/>
                <w:color w:val="auto"/>
                <w:sz w:val="24"/>
                <w:szCs w:val="24"/>
                <w:highlight w:val="none"/>
                <w:lang w:bidi="ar"/>
              </w:rPr>
              <w:t>13.具有支持图像细节增强功能、强光抑制</w:t>
            </w:r>
            <w:r>
              <w:rPr>
                <w:rStyle w:val="52"/>
                <w:color w:val="auto"/>
                <w:sz w:val="24"/>
                <w:szCs w:val="24"/>
                <w:highlight w:val="none"/>
                <w:lang w:bidi="ar"/>
              </w:rPr>
              <w:br w:type="textWrapping"/>
            </w:r>
            <w:r>
              <w:rPr>
                <w:rStyle w:val="52"/>
                <w:color w:val="auto"/>
                <w:sz w:val="24"/>
                <w:szCs w:val="24"/>
                <w:highlight w:val="none"/>
                <w:lang w:bidi="ar"/>
              </w:rPr>
              <w:t>14.热成像视频图像支持白热、黑热、融合1、彩虹、融合2、铁红1、铁红2、深褐色、色彩1、色彩2、冰火、雨、红热、绿热、深蓝15种模式</w:t>
            </w:r>
            <w:r>
              <w:rPr>
                <w:rStyle w:val="52"/>
                <w:color w:val="auto"/>
                <w:sz w:val="24"/>
                <w:szCs w:val="24"/>
                <w:highlight w:val="none"/>
                <w:lang w:bidi="ar"/>
              </w:rPr>
              <w:br w:type="textWrapping"/>
            </w:r>
            <w:r>
              <w:rPr>
                <w:rStyle w:val="52"/>
                <w:color w:val="auto"/>
                <w:sz w:val="24"/>
                <w:szCs w:val="24"/>
                <w:highlight w:val="none"/>
                <w:lang w:bidi="ar"/>
              </w:rPr>
              <w:t>15.在IE浏览器下，具有SVC设置选项</w:t>
            </w:r>
            <w:r>
              <w:rPr>
                <w:rStyle w:val="52"/>
                <w:color w:val="auto"/>
                <w:sz w:val="24"/>
                <w:szCs w:val="24"/>
                <w:highlight w:val="none"/>
                <w:lang w:bidi="ar"/>
              </w:rPr>
              <w:br w:type="textWrapping"/>
            </w:r>
            <w:r>
              <w:rPr>
                <w:rStyle w:val="52"/>
                <w:color w:val="auto"/>
                <w:sz w:val="24"/>
                <w:szCs w:val="24"/>
                <w:highlight w:val="none"/>
                <w:lang w:bidi="ar"/>
              </w:rPr>
              <w:t>16.可通过IE浏览器在热成像画面中设置点、线段、区域测温规则，最多可设置35个点，35个区域和11条线</w:t>
            </w:r>
            <w:r>
              <w:rPr>
                <w:rStyle w:val="52"/>
                <w:color w:val="auto"/>
                <w:sz w:val="24"/>
                <w:szCs w:val="24"/>
                <w:highlight w:val="none"/>
                <w:lang w:bidi="ar"/>
              </w:rPr>
              <w:br w:type="textWrapping"/>
            </w:r>
            <w:r>
              <w:rPr>
                <w:rStyle w:val="52"/>
                <w:color w:val="auto"/>
                <w:sz w:val="24"/>
                <w:szCs w:val="24"/>
                <w:highlight w:val="none"/>
                <w:lang w:bidi="ar"/>
              </w:rPr>
              <w:t>17.点测温、线测温、区域测温中存在高于或者低于报警或预报警温度时，可在客户端显示不同的报警颜色进行报警提示，联动报警输出并发送邮件，联动录像及联动抓拍</w:t>
            </w:r>
            <w:r>
              <w:rPr>
                <w:rStyle w:val="52"/>
                <w:color w:val="auto"/>
                <w:sz w:val="24"/>
                <w:szCs w:val="24"/>
                <w:highlight w:val="none"/>
                <w:lang w:bidi="ar"/>
              </w:rPr>
              <w:br w:type="textWrapping"/>
            </w:r>
            <w:r>
              <w:rPr>
                <w:rStyle w:val="52"/>
                <w:color w:val="auto"/>
                <w:sz w:val="24"/>
                <w:szCs w:val="24"/>
                <w:highlight w:val="none"/>
                <w:lang w:bidi="ar"/>
              </w:rPr>
              <w:t>18.可对热成像视频图像监视画面上最高探测温度和最低探测温度的目标进行跟踪和标注</w:t>
            </w:r>
            <w:r>
              <w:rPr>
                <w:rStyle w:val="52"/>
                <w:color w:val="auto"/>
                <w:sz w:val="24"/>
                <w:szCs w:val="24"/>
                <w:highlight w:val="none"/>
                <w:lang w:bidi="ar"/>
              </w:rPr>
              <w:br w:type="textWrapping"/>
            </w:r>
            <w:r>
              <w:rPr>
                <w:rStyle w:val="52"/>
                <w:color w:val="auto"/>
                <w:sz w:val="24"/>
                <w:szCs w:val="24"/>
                <w:highlight w:val="none"/>
                <w:lang w:bidi="ar"/>
              </w:rPr>
              <w:t>19.可通过IE浏览器设置温度信息的字体大小、及点、线、区域的颜色</w:t>
            </w:r>
            <w:r>
              <w:rPr>
                <w:rStyle w:val="52"/>
                <w:color w:val="auto"/>
                <w:sz w:val="24"/>
                <w:szCs w:val="24"/>
                <w:highlight w:val="none"/>
                <w:lang w:bidi="ar"/>
              </w:rPr>
              <w:br w:type="textWrapping"/>
            </w:r>
            <w:r>
              <w:rPr>
                <w:rStyle w:val="52"/>
                <w:color w:val="auto"/>
                <w:sz w:val="24"/>
                <w:szCs w:val="24"/>
                <w:highlight w:val="none"/>
                <w:lang w:bidi="ar"/>
              </w:rPr>
              <w:t>20.★可通过移动终端app对视频图像进行预览和回放操作，并对测温规则，智能行为分析规则，高温点信息进行显示；可对智能行为分析检测、测温超过阈值，高温点检测所产生的的报警进行显示</w:t>
            </w:r>
            <w:r>
              <w:rPr>
                <w:rFonts w:hint="eastAsia" w:ascii="宋体" w:hAnsi="宋体" w:cs="宋体"/>
                <w:color w:val="auto"/>
                <w:kern w:val="0"/>
                <w:highlight w:val="none"/>
                <w:lang w:bidi="ar"/>
              </w:rPr>
              <w:t>（以公安部型式检测报告为准）</w:t>
            </w:r>
            <w:r>
              <w:rPr>
                <w:rStyle w:val="52"/>
                <w:color w:val="auto"/>
                <w:sz w:val="24"/>
                <w:szCs w:val="24"/>
                <w:highlight w:val="none"/>
                <w:lang w:bidi="ar"/>
              </w:rPr>
              <w:br w:type="textWrapping"/>
            </w:r>
            <w:r>
              <w:rPr>
                <w:rStyle w:val="52"/>
                <w:color w:val="auto"/>
                <w:sz w:val="24"/>
                <w:szCs w:val="24"/>
                <w:highlight w:val="none"/>
                <w:lang w:bidi="ar"/>
              </w:rPr>
              <w:t>21.★支持声音联动报警功能。可对智能行为、温度超过阈值、出现高温点等行为进行检测并报警，报警声音可设置，同时支持自定义</w:t>
            </w:r>
            <w:r>
              <w:rPr>
                <w:rStyle w:val="52"/>
                <w:color w:val="auto"/>
                <w:sz w:val="24"/>
                <w:szCs w:val="24"/>
                <w:highlight w:val="none"/>
                <w:lang w:bidi="ar"/>
              </w:rPr>
              <w:br w:type="textWrapping"/>
            </w:r>
            <w:r>
              <w:rPr>
                <w:rStyle w:val="52"/>
                <w:color w:val="auto"/>
                <w:sz w:val="24"/>
                <w:szCs w:val="24"/>
                <w:highlight w:val="none"/>
                <w:lang w:bidi="ar"/>
              </w:rPr>
              <w:t>22.★支持灯光联动报警功能。可对智能行为、温度超过阈值、出现高温点等行为进行检测并报警，报警灯光可设置，同时支持自定义</w:t>
            </w:r>
            <w:r>
              <w:rPr>
                <w:rStyle w:val="52"/>
                <w:color w:val="auto"/>
                <w:sz w:val="24"/>
                <w:szCs w:val="24"/>
                <w:highlight w:val="none"/>
                <w:lang w:bidi="ar"/>
              </w:rPr>
              <w:br w:type="textWrapping"/>
            </w:r>
            <w:r>
              <w:rPr>
                <w:rStyle w:val="52"/>
                <w:color w:val="auto"/>
                <w:sz w:val="24"/>
                <w:szCs w:val="24"/>
                <w:highlight w:val="none"/>
                <w:lang w:bidi="ar"/>
              </w:rPr>
              <w:t>23.噪声等效温差(NETD)在15mk及以下</w:t>
            </w:r>
            <w:r>
              <w:rPr>
                <w:rStyle w:val="52"/>
                <w:color w:val="auto"/>
                <w:sz w:val="24"/>
                <w:szCs w:val="24"/>
                <w:highlight w:val="none"/>
                <w:lang w:bidi="ar"/>
              </w:rPr>
              <w:br w:type="textWrapping"/>
            </w:r>
            <w:r>
              <w:rPr>
                <w:rStyle w:val="52"/>
                <w:color w:val="auto"/>
                <w:sz w:val="24"/>
                <w:szCs w:val="24"/>
                <w:highlight w:val="none"/>
                <w:lang w:bidi="ar"/>
              </w:rPr>
              <w:t>24.最小可分辨温差≤200mk</w:t>
            </w:r>
            <w:r>
              <w:rPr>
                <w:rStyle w:val="52"/>
                <w:color w:val="auto"/>
                <w:sz w:val="24"/>
                <w:szCs w:val="24"/>
                <w:highlight w:val="none"/>
                <w:lang w:bidi="ar"/>
              </w:rPr>
              <w:br w:type="textWrapping"/>
            </w:r>
            <w:r>
              <w:rPr>
                <w:rStyle w:val="53"/>
                <w:color w:val="auto"/>
                <w:sz w:val="24"/>
                <w:szCs w:val="24"/>
                <w:highlight w:val="none"/>
                <w:lang w:bidi="ar"/>
              </w:rPr>
              <w:t>25.具备热成像监控设备系统软件自主知识产权，提供软件著作权证书</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热成像摄像机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【热成像感温火灾探测器】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热成像：分辨率160×120；焦距：3mm，视场角：50°×37.2°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可见光：分辨率分辨率2688×1520；焦距：4mm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测温精度：±8℃或者读数的±8%（取最大值）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测温范围：-20℃--150℃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支持AGC4.0、DDE、3DNR</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支持双光融合图像模式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支持双通道行为分析：区域入侵侦测、越界侦测、进入区域侦测、离开区域侦测功能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支持火焰检测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支持温度异常（温升异常，高温异常）检测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支持联动声光报警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支持联动火灾报警主机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支持白热，黑热，铁红等15种伪彩模式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400万星光级1/2.7英寸高性能CMOS；最高分辨率可达2688×1520@ 25 fps,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支持低码率、低延时、ROI感兴趣区域增强编码、SVC自适应编码技术,支持smart265编码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支持smart IR，防止夜间红外过曝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ICR红外滤片式自动切换,实现真正的日夜监控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支持日夜两套参数独立配置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支持Micro SD/SDHC/SDXC卡(128G)本地存储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支持3D数字降噪, 支持120dB超宽动态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支持POE供电，含适配器，默认标配DC 12V电源适配器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支持100M/1000M自适应网口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支持IP66等级防水防尘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支持1路报警输入/输出，1路音频输入/输出，1路RS-485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支持报警时联动报警图片和报警录像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支持GB28181接入,支持萤石云平台接入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支持NAS、Email、FTP、NTP服务器测试、支持HTTPS等安全认证，支持创建证书</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kern w:val="0"/>
                <w:highlight w:val="none"/>
                <w:lang w:bidi="ar"/>
              </w:rPr>
              <w:t>核心交换机板卡</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24端口千兆以太网光口(SFP,LC)+12端口千兆以太网电口复用(RJ45)+4端口万兆以太网光口(SFP+,LC)</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24POE口交换机</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轻网管提供24个百兆电口，2个千兆光电复用口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支持IEEE 802.3、IEEE 802.3u、IEEE 802.3x、 IEEE802.3ab、IEEE802.3z 标准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支持iVMS-4200客户端管理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支持云管APP管理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支持安防网络拓扑管理、QoS、链路聚合、端口管理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支持远程升级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支持最远250 m传输</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支持红口保障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百兆网络接入，千兆上行设计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线速转发</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存储转发交换方式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坚固式高强度金属外壳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无风扇设计，高可靠性</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光模块单模1000M</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光模块-eSFP-GE-单模模块(1310nm,10km,LC)</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光模块单模10G</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SFP+-10G-单模模块(1310nm,10km,LC)</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周界报警系统</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总线报警主机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总线式网络报警主机（支持新国标GB12663-2019）；</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8个板载有线防区，可扩展至256个（其中64个可以为无线防区）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4个板载触发器输出，可扩展至256个</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支持8个无线485模块（DS-PM-RSWR），每个模块可以连接8个无线探测器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支持8000条报警事件记录，2000条操作日志和1500条管理记录，支持远程搜索查询事件日志</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支持定时布撤防（日常计划、优先计划）</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支持CID 报告，支持话机复用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支持防区报警、系统状态事件联动输出，发生/恢复事件和时间可灵活配置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支持32个LCD键盘包括1个全局键盘和31个子系统键盘，键盘总线总长度不得大于1.2km（Φ1.5mm）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支持外置蓄电池，蓄电池电压实时监测，主辅电源可自动切换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支持远程升级,远程导入导出配置参数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支持两条总线，总线无极性，支持手牵手总线拓扑，每条可达2400m（RVV2*1.5mm2）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短信报警：配合CMK-4G模块系列支持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电话报警：配合CMK-4G模块系列支持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电话数量：配合CMK-4G模块系列支持4个电话号码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配置方式：键盘编程和4200配置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协议：SDK、NAL2300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用户：网络用户32个，包括管理员、操作员、安装员，制造商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功耗：≤60W（负载供电≤40W）</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电源：AC220V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工作温度：–10℃～+55℃；工作湿度：10％--90％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安装方式：壁挂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总线扩展模块</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总线网络报警主机八防区扩展模块/8个扩展防区数/31最大级联数/2.7mA</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有线室内双鉴探测器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采用微处理器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支持自动脉冲计数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吸顶安装，全方位360°探测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采用红外+多普勒(效应)+能量分析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全范围自动温度补偿,超强抗误报能力</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动态阀值调节技术，有效的清除干扰因素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检测范围：直径12米（高度3.6米）</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▲要求提供CCC认证</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有线紧急按钮</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紧急按钮面板式（适合86底盒）钥匙复位, 无钉孔,86*86*32mm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有线玻璃破碎探测器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 xml:space="preserve">有线玻璃破碎探测器；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探测方式：声波探测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探测距离：10m；探测角度：120°；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玻璃类型：浮法;平面;钢化;夹丝;层压含铅;双层；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玻璃厚度：2.4 mm 至 6.4 mm；玻璃尺寸：0.4 m × 0.4 m 至 3 m × 3 m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玻破灵敏度：旋钮可调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智能算法：支持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防拆保护：开盖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报警输出：常闭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指示灯：红色 (玻璃破碎)，绿色(玻璃敲击)，蓝色（报警）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标称功耗：25mA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设备供电：9-16 VDC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标称电压：12V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工作温度：-10°C 至 55°C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储存温度：-20°C 至 60°C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工作湿度：10% 至 90%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安装方式：壁装;顶装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使用场景：室内使用</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有线振动探测器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能检测敲击时产生的振动信号，敲击能量可调（80mg—500mg）</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能检测设备位移及摇摆信号,X Y Z三个方向移动均可发生报警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能检测温度增量变化信号(30s内，温度增加6℃)</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电压低于7.3V报警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振动探测范围:介质直径2m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工作环境:-30ºC～+70ºC ，0%～95%相对湿度,无冷凝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▲要求提供CCC证书</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控制键盘</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支持80x25mm大屏显示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支持LED显示系统实时状态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支持LCD显示自定义防区名称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支持上下翻页查看事件信息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支持背壳双面防拆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支持刷卡布撤防，但刷卡不支持消警功能，卡片数量由主机限制，目前网络主机最大可添加32张卡片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支持连接遥控器进行远程布撤防，键盘最多所能支持的无线遥控器数量由主机决定，最多支持32个遥控器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支持双向遥控器，遥控器LED显示操作结果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可针对单防区进行布撤防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通过操作命令，在键盘上可显示GPRS信号强度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支持在线编程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支持防区状态实时显示</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主机蓄电池</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 xml:space="preserve">充电后备电池（12V7AH，报警主机专用），标准电压 12V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额定容量 7.0Ah </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警灯警号</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警号（红白色）；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报警音量: 105dB at 30cm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防护等级：IP54，室外防水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内置水平仪，便于辅助安装</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支持关闭报警声音输出，实现声光报警模式和光闪模式切换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工作湿度：10％～90％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工作温度：-20℃～＋60℃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功耗：静态功耗: 0.96W</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报警功耗：2.7W</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电源：DC 8~16V 0.22A Max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外壳材质：PC+ABS</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紧急报警盒</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采用嵌入式Linux操作系统,高性能嵌入式SOC处理器，系统运行稳定可靠；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前置环形红色背光灯机械按键，环形红色背光灯能定时闪烁，报警按钮处具有“紧急报警”明显标示说明，呼叫接通后的通话过程中按键的红色环形背光灯闪烁频率应加快，指示为当前处于通话状态；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设备支持双网口链路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支持EHOME协议接入，支持GB/T28181协议接入；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设备支持2路音频输入和2路音频输出；音频输入和音频输出关系可自由配置，内部含高灵敏度麦克风，拾音距离应达到10米，语音清晰，内置3W扬声器；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设备支持将防拆报警、防区报警等报警信息通过网线传送到管理中心，并形成日志文件；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支持呼叫转移功能：设备呼叫中心管理机的时候，应可通过呼叫转移功能将呼叫信息转移到其他中心管理机上；</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支持同时进行多方实时对讲通话，多台前端设备与多台中心管理机实时多方通话；</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支持将音视频同步存储到设备SD卡中，当在双向对讲通话时录像存储为双向通过混音的音视频复合流；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设备前置200万CMOS高清摄像头</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支持红外补光，在光照强度0.1Lx时，红外补光距离应不小于10米；支持日夜模式自动切换：通过ICR红外滤片实现自动切换，实现真正的日夜模式监控；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彩色图像：图像分辨力≥280TVL，亮度鉴别等级≥8级；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支持中心管理机控制前端设备警灯打开和关闭功能；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支持语音播报、分组广播功能；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支持外界噪音侦测报警；外界噪音≥60DB（可设置），内置振动探测器接口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支持系统校时功能；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支持看门狗功能；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支持网络远程在线升级功能；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工作环境:温度-40℃～70℃,湿度小于93%环境下稳定工作</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脉冲主机包</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主机技术参数：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包含：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4线制双防区脉冲主机:1台/避雷器:2个/室外声光报警器:2个/涂塑主机防雨箱:1个</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前端杆件相关</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4/6线通用中间杆； 材质：软性玻璃纤维；6线，口径10mm，杆长850mm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根</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前端杆件相关</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4线中间杆附件包；  含中间杆帽子（口径10）1个、中间杆绝缘子4个、中间杆底座（热镀锌）1个</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前端杆件相关</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4线承力杆经济型杆附件包；  含4个终端杆绝缘子（套管型）；1个终端杆帽子（32口径）；1个承力杆底座（热镀锌）</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前端杆件相关</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4线终端杆经济型附件包；含终端杆绝缘子（套管型）4只；终端杆帽子（32口径）1个；终端杆底座（热镀锌）1套；收紧器4个；线线连接器8个</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前端杆件相关</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4线经济型通用杆850；  经济型通用终端、承力杆；  4线终端杆，直径32mm,2.0mm 厚，高度：850mm；材质：铝合金管；表面处理：表面氧化；表面颜色：本色</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前端其他组件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20#合金线，优良导电率，抗氧化、耐腐蚀,去火功能，多股，每100米一欧姆阻值，400m一盘</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盘</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前端其他组件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20#合金线，优良导电率，抗氧化、耐腐蚀,去火功能，多股，每100米一欧姆阻值，100m一盘。</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盘</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前端其他组件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高压绝缘导线；合金线为内芯/高压绝缘层抗脉冲电压&gt;10KV/考虑现场可能有出入口、或围墙不连续处，100米/盘</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盘</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前端其他组件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警示牌；尺寸：100*200MM/采用稀土发光材料制造/在阴雨天气同样可吸光/双面印刷/夜光显示/每10米挂一块</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接地桩</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 xml:space="preserve">电子围栏接地桩；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可用于将电子围栏主机和避雷器的接地；角钢，厚度2mm，长1.5米</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根</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常用测温</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人脸测温一体机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10 英寸 LCD 触摸显示屏，2.5D钢化玻璃显示屏面板，屏幕支持多点触控操作，流明度不低于350cd/㎡；分辨率不小于600×1024，防破坏能力满足IK04的要求，设备的结构后壳防破坏能力应满足IK07的要求。</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设备应采用嵌入式Linux系统；采用双目宽动态相机，最大分辨率：1920×1080，应适应强光、逆光、暗光环境条件的人脸识识别。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设备本地人脸库存储容量50000张，本地卡存储容量50000张，本地出入记录存储容量100000条。</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设备具有丰富的硬件接口，应不少于以下硬件接口及能力：LAN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以公安部型式检测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应支持人脸、二维码、密码识读和人证比对功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远程开门、室内机及管理机远程开门）；设备支持普通卡、来宾卡、胁迫卡、超级卡、残疾人卡、巡更卡、黑名单卡等多种类型用户权限设置；支持按时间分时段管控门禁权限，支持 255组时段计划管理，支持 1024 个假日计划管理；支持常开、常闭时段管理；支持反潜回（防尾随）功能。（以公安部型式检测报告为准）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设备支持多种人脸注册方式：设备本地人脸注册；本地U盘导入人员信息； 远程中心下发人脸；通过APP采集人脸并注册下发。</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设备支持局域网、互联网环境的网络通信；支持选择无线网络通信传输方式；支持云平台通信，实现视频、对讲及权限管控功能；支持被 4 个客户端软件同时实时监听，在线状态下实时上传比对记录。</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设备支持与平台或客户端、室内机、管理机、手机 APP 对讲功能；支持扩展电话网关功能；设备支持管理中心远程视频预览功能； 支持接入NVR设备，实现视频监控录像 。</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设备支持中心下发黑名单信息；支持本地黑名单信息比对；支持本地黑名单事件报警功能，报警信息能上传至平台；最大支持50000 个人脸黑名单比对。</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设备支持不开启白光补光灯实现人脸识别；支持软硬件低功耗管理模式，设备运行功耗低于 6w。</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设备具备以下报警功能：（当连续若干次在目标信息识读设备或管理/控制部分上实施错误操作时；当未使用授权的钥匙而强行通过出入口时；未经正常操作而使出入口开启时；出入口开启时间超过设定值时；设备被拆除时；胁迫码；黑名单）；设备具有 2 路入侵探测接口，能联动报警输出；设备支持未授权人员刷人脸时，设备能支持抓拍图片并实时上报平台预警。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  适用温度范围：-40℃至80℃、2h；恒温湿热+40℃±2℃、RH93%、48h。 </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指纹门禁一体机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支持读取Mifare卡卡号、Mifare卡内容、CPU卡卡号； 电容式指纹模块，1万枚指纹容量； 10万张卡和30万记录存储； 上行TCP/IP、wifi组网； 输入接口：门铃按键*1、防拆*1、开门按钮*1、门磁*1、报警输入*2； 输出接口：电锁输出*1、报警（门铃）输出*1； 工作电压：DC 12V； 工作电流：1A(max)； 使用环境：室内使用，不防水；</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人脸考勤机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1.设备外观：采用7英寸IPS触摸显示屏，200万像素双目摄像头，面部识别距离0.3-2m，支持照片视频防假；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2.设备容量：支持50000张人脸白名单，1：N人脸比对时间＜0.2S/人，支持50000张卡片，50000条事件记录;</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3.认证方式：刷卡、人脸、密码、刷卡或人脸、刷卡+人脸、超级密码/胁迫密码等；屏下刷卡设计，可读取Mifare卡（IC卡）、CPU卡号及内容、身份证序列号；</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4.通讯方式：上行通讯为有线网络；支持外接RS485或Wiegand副读卡器；支持标准韦根34/26；</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5.视频对讲：支持与云眸、4200客户端、主副室内分机、管理机的视频对讲功能；支持远程视频预览功能，可以通过RTSP协议输出视频码流，编码格式H.264；</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6.输入接口：LAN*1、RS485*1、wiegand * 1、USB*1、门磁*1、报警输入*2、防拆*1、开门按钮*1；</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7.输出接口：电锁*1个，报警输出*1个；</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8.工作电压： DC 12V/2A，不自带电源；</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9.使用环境：室内使用，不防水；</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10.安装方式：标配壁挂安装挂板，支持86底盒安装；</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11.工作温度：-10~50℃。</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巡更棒</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1.外壳结构：超强合金外壳，全方位硅胶内胆包裹，内六角螺栓固定，接缝处防水密封圈。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2.大容量存储：可存储巡检记录60000条，每天读卡300次，可以储存6个多月的数据，不会因为巡更故障出现数据丢失。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3.通讯座通讯模式，无需安装驱动，即插即用，下载数据速度超快，直接充电，方便实用。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4.读卡提示：读卡后屏幕显示巡检点编号，正常读卡完成后，有声音和灯光提示。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5.容量：16MB</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数据通讯座</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功能:与计算机通过USB通讯，起稳定快速传输和转换数据的功能.</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巡更点</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由工程塑料封装存储芯片，具有防水.防震.防撬，安装简便、耐用、自带夜光功能、提示标帖等功能。可埋入墙体内隐蔽安装，内置不可修改的ID码。 ID卡序列号具有唯一性。巡更、夜光、标识三合一功能，注：直径5厘米的是自带夜光的</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软件</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软件为全中文显示，有良好的人机界面，功能完善，能够为管理者提供充足的数据，以便于全方面的统计和考核。运用于XP、win7、win8以上版本</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常用中心设备</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Style w:val="55"/>
                <w:rFonts w:ascii="宋体" w:hAnsi="宋体" w:eastAsia="宋体" w:cs="宋体"/>
                <w:color w:val="auto"/>
                <w:sz w:val="24"/>
                <w:szCs w:val="24"/>
                <w:highlight w:val="none"/>
                <w:lang w:bidi="ar"/>
              </w:rPr>
              <w:t>LCD拼接屏</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
              </w:numPr>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LCD显示单元为：55“超窄边液晶屏；物理分辨率达到1920×1080，响应时间≤8ms。</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2.LCD显示单元物理拼缝≤1.8mm，亮度达到900cd/㎡，对比度达到1400:1，图像显示清晰度≥950TVL，亮度鉴别等级为11级。提供公安部检测报告复印件。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3.LCD显示单元具备VGA×1，HDMI×1，DVI×1，CVBS×1视频输入接口，RJ232，USB接口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4.LCD显示单元需提供CCC、CE、FCC、海外RoHS检测报告。</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5.液晶显示单元校正后，色坐标误差≤±0.001，亮度误差≤±10nit,0-255灰阶中32灰阶以上，每阶之间色温误差≤±500K。</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6.液晶显示单元支持以像素点为单位进行Mura矫正，能够消除屏幕局部亮暗不均现象，屏幕所有像素点亮度均一性达到80%。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7.采用图像显示灰度等级提升技术，使8bit液晶屏实现10bit的显示效果，灰度等级从256级增加到1024级，画面层次丰富、色彩逼真。</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8.防浪涌抗干扰: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    1).交流电源输入/输出端口：线对地抗脉冲干扰达到±2KV，线对线抗脉冲干扰达到±1KV；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 xml:space="preserve">    2).视频输入/输出端口（BNC/SDI）：线对地抗脉冲干扰达到±2KV。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9.拼接屏具有十级灰阶色度、亮度校正的功能，使各灰阶整墙一致性达到80%。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10.拼接屏具有检测并匹配与输入信源相同的颜色空间的功能，使显示画面不丢失暗阶、亮阶细节。</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11.拼接屏具有R、G、B、C、M、Y、FLESH、Y-G、C-G、F、F-R、F-LIP、F-Y-HAIR、F-MEAT、F-DARK这15色独立调节功能，使画面颜色显示更加准确。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12.拼接屏具有屏幕边缘渐进修正功能，修正屏间边缘颜色过渡不均匀。</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13.为保护环境要求，液晶拼接屏需满足中国电器电子产品有害物质限制使用的要求，并提供中国质量认证中心产品认证证书</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14.液晶显示单元的风扇具备良好的散热效果，风扇散热性能≥60%。</w:t>
            </w:r>
          </w:p>
          <w:p>
            <w:pPr>
              <w:widowControl/>
              <w:numPr>
                <w:ilvl w:val="0"/>
                <w:numId w:val="17"/>
              </w:numPr>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液晶显示单元客户端具备能力集收集、设备工作状态展示功能。</w:t>
            </w:r>
          </w:p>
          <w:p>
            <w:pPr>
              <w:widowControl/>
              <w:numPr>
                <w:ilvl w:val="0"/>
                <w:numId w:val="17"/>
              </w:numPr>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★液晶显示单元连续运行24小时，液晶表面中心温度≤50℃，边缘测试点与中心温差≤10℃。（提供封面具有CMA、ilac-MRA、CNAS标志的权威检测机构的检测报告复印件）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17.LCD显示单元可在海拔最高45000ft高度，-40到50℃环境中存储72.5小时。（提供封面具有CMA、ilac-MRA、CNAS标志的权威检测机构的检测报告复印件）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19.用户可以选择显示默认开机LOGO、定制开机LOGO、不显示LOGO。用户可以任意定制LOGO而无需升级软件,而且具有LOGO拼接技术，可设置15*15，具有自然拼接模式；能实现开机LOGO拼接及开机高清底图拼接。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20.LCD显示单元支持自动镜像功能，可以实现显示内容（视频、文本等）镜像、OSD菜单的自定义0-360°旋转。</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21.LCD显示单元采用超宽视角液晶屏，视角可达178°。屏幕漏光度小于等于0.006cd/㎡，可抵抗太阳光等强光干扰,照度在95KLux能正常工作。</w:t>
            </w:r>
          </w:p>
          <w:p>
            <w:pPr>
              <w:widowControl/>
              <w:numPr>
                <w:ilvl w:val="0"/>
                <w:numId w:val="18"/>
              </w:numPr>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LCD显示单元内置黑白精显模式，可将彩色信号转换成黑白灰度模式并提高图像细节辨认能力。</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23.液晶单元具备倍增畅显功能,可将输入的25/30 帧图像转成50/60 帧输出,使图像更加流畅</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24.LCD显示单元采用2mm金属结构件，3m辐射范围值在47db以内，保证操作人员处于安全值，能做外部设备3V/m的电磁干扰下稳定运行。</w:t>
            </w:r>
          </w:p>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25.投标产品符合CQC31-452629-2016《计算机显示器节能认证规则》技术要求，可提供中国节能产品认证证书（CQC）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26.LCD显示单元支持U盘点播，内置MPEG、JPEG和RealMedia解码器，支持点播U盘、移动硬盘中的视频、图片、音频或文本资源。视频：支持TS、3g2、avi、mkv、mov、mp4、mpg、tp等文件。音频：支持mp3、wma、m4a、wav、aac等文件。图片：支持jpg、bmp、png等文件。文本：支持txt文件。</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27.★LCD显示单元具备智能光感护眼功能,液晶单元可自动识别环境光强弱,根据环境光变化调节屏幕亮度，需提供国家知识产权局颁发的大屏拼接墙光线感应装置专利证书。</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高清解码器</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高清视音频解码器，采用Linux操作系统，运行稳定可靠</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输入接口：1路HDMI, 1路DVI</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输出接口：4路HDMI，2路BNC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输出分辨率：</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HDMI：4K: 3840 × 2160@30 Hz(仅奇数口), 1080p: 1920 × 1080@50/60 Hz, WSXGA: 1680×1050/60Hz, UXGA: 1600 × 1200@60 Hz (仅奇数口), 720p: 1280 × 720@50 Hz/60 Hz, SXGA: 1280 × 1024@60 Hz, XGA: 1024 × 768@60 Hz</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BNC：支持PAL、NTSC制式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编码格式：支持H.265、H.264、MPEG4、MJPEG等主流的编码格式；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封装格式：支持PS、RTP、TS、ES等主流的封装格式；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音频解码：支持G.722、G.711A、G.726、G.711U、MPEG2-L2、AAC音频格式的解码；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解码能力：支持4路1200W，或8路800W，或12路500W，或20路300W，或32路1080P及以下分辨率同时实时解码；</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画面分割：支持1、2、4、6、8、9、10、12、16画面分割显示。(基线16路，最大支持定制到32画面)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接口参数：</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网口：1个 RJ45  10M/100M/1000Mbps 自适应以太网接口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1个光口 100base-FX/1000base-X</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支持光电自适应</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串行接口：1个RS-232接口（RJ45）, 1个RS-485/RS232复用接口（RJ45）</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音频输出接口：4个3.5mm接口独立音频输出</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块</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48盘位存储主机</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1.单设备应配置≥64位多核处理器，≥4GB内存，内存支持扩展到≥32GB，需配置冗余金牌电源，支持双系统（其中电源仅以照片证明即可）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2.单设备应标配≥2个千兆网口，可增扩≥2个万兆口或≥2个光纤接口或增配≥4个HDMI接口或≥2个SAS3.0接口</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3.应支持FCSAN、IPSAN、NAS存储功能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4.可接入2T/3T/4T/6T/8TSATA磁盘，支持磁盘交错启动和漫游，并支持在线热插拔；</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5.可接入硬盘≥48块，支持SATA和SAS混插，并支持≥12级扩展柜级联扩展；</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6.应能提供RAID0、1、3、5、6、10、50，60、JBOD模式，支持全局、局部等多种热备选择，支持坏盘自动重构；</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7.设备可对视音频、图片、智能数据（智能行为分析录像）流进行混合直存，无须存储服务器和图片服务器的参与，平台服务器宕机时，存储业务正常</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8.应能接入并存储1880Mbps视频图像，同时转发1880Mbps的视频图像；同时回放512Mbps的视频图像；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9.支持不低于600MBps图片并发输入，同时不低于600MBps图片并发输出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10.当RAID中某块工作正常的硬盘被误拔出后，60分钟内插回，该硬盘能恢复到原RAID中，系统自动恢复工作，而且会对拔掉的硬盘进行增量数据恢复</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11.在RAID内丢失2块（含）以上硬盘但至少有1块正常磁盘时，无需等待丢失盘恢复，保留的硬盘中的数据可正常读出，且新数据可正常写入</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12.支持接入单前端设备不超出30路码流冗余存储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13.根据数据对象的重要性（例如：系统信息、配置信息、报警录像、普通录像等）、访问频率等属性按照预先设定的分层存储区域可进行自动分层存储并可实现快速访问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14.设备在不增加任何外围服务器硬件的情况下可由存储设备直接进行虚拟化系统部署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15.设备应能预录报警触发前1-40分钟的视频录像。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16.可接入MPEG4、H.264、H.265、Smart265、SVAC编码格式的前端设备并存储录像文件,可将大华、宇视、海康等厂商SDK封装格式的视频流转成标准（MPEG4、H.264、H.265、SVAC、4K等编码格式）PS流（ProgramStream）输出。</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17.可在视频画面上绘制区域或界线，检索指定范围内的报警录像；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18.★可输入车牌号码可查证出相关图片和视频；可按照报警事件进行检索。</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19.★可通过客户端将交通卡口数据（包括车标、车道、车速范围、车牌及车身颜色），行为分析的图片及数据（包括进入警戒线、进入警戒区、物品遗留、人脸检测）进行检索、查看、下载图片及进行录像</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20.★网络中断后重新恢复，设备可续存断网期间存储在前端设备中的录像文件，并可通过IE浏览器设置自动回传和手动回传。支持256路4M的录像回传。（公安部检验报告证明）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21.当录像视频流发生丢失5s以上可在日志中记录报警信息。</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22.★设备可将接入的鱼眼摄像机、双目摄像机、全景自拼接摄像机（鹰眼摄像机）、深眸智能摄像机、热成像相机的图像以多画面分割方式显示；（公安部检验报告证明）</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23.提供多设备同步升级功能，可以通过一键式操作对整个局域网内的所有设备同步升级。</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24.设备可同时支持视频、图片、智能流和文件直写存储。</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25.支持多路文件采用非NAS方式直接上传存储，且速度可设置。</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26.具有ONVIF、PSIA、TCP/IP、UDP、SIP、RTSP、RTP、RTCP、iSCSI、CIFS(SMB)、NFS、FTP、HTTP、AFP、RSYNC、SNMP、IPV4、IPV6设置选项，支持IP组播</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27.通过客户端软件添加及删除手机号，启用短信网关报警功能后，可向添加的手机号码发送电源异常、系统卡容量不足、存储空间异常、自动修复失败、私有卷IO异常、无可用逻辑卷等报警信息，报警种类可设。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28.可对指定的录像段或指定事件的1个或多个前端的不同时间段的录像段添加标签，并自动备份到存档卷中，使之不会被覆盖删除。</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29.可根据事件名称查询所有相关联的不同前端或时间的录像段并进行回放和下载。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30.可通过IE浏览器对一台、多台样机或扩展柜中的磁盘进行定位，使对应的磁盘指示灯闪烁，闪烁的时长可设。</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企业级8T硬盘</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8T,7200RPM,3.5寸,SATA，供货时需抽样送第三方检测机构，出具检测报告</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48</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定制操作台</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宋体" w:hAnsi="宋体" w:cs="宋体"/>
                <w:color w:val="auto"/>
                <w:highlight w:val="none"/>
              </w:rPr>
            </w:pPr>
            <w:r>
              <w:rPr>
                <w:rFonts w:hint="eastAsia" w:ascii="宋体" w:hAnsi="宋体" w:cs="宋体"/>
                <w:color w:val="auto"/>
                <w:kern w:val="0"/>
                <w:highlight w:val="none"/>
                <w:lang w:bidi="ar"/>
              </w:rPr>
              <w:t>根据现场空间大小及设备放置需求合理定制1-2工位操作台</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台</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4732" w:type="pct"/>
            <w:gridSpan w:val="4"/>
            <w:tcBorders>
              <w:top w:val="single" w:color="000000" w:sz="4" w:space="0"/>
              <w:left w:val="single" w:color="000000" w:sz="4" w:space="0"/>
              <w:bottom w:val="single" w:color="000000" w:sz="4" w:space="0"/>
              <w:right w:val="single" w:color="000000" w:sz="4" w:space="0"/>
            </w:tcBorders>
            <w:shd w:val="clear" w:color="auto" w:fill="ACB9CA"/>
            <w:noWrap w:val="0"/>
            <w:vAlign w:val="center"/>
          </w:tcPr>
          <w:p>
            <w:pPr>
              <w:widowControl/>
              <w:ind w:firstLine="0" w:firstLineChars="0"/>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基础设备</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六类室内网线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UTPCAT6，六类非屏蔽双绞线符合中华人民共和国行业标准YD/T( 1019-2000)。结构:单股裸铜线，聚乙烯( HDPE)绝缘，两根绝缘导体对绞，聚氯乙烯、阻燃PVC或低烟无卤</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导体:实芯铜导体，直径0.57mm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线对:四对，色谱为:蓝/蓝白、橙/橙白、绿/绿白、棕/棕白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缆芯:四芯绞合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护套: PVC或低烟无卤外径6.2mm</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特性阻抗: 2500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带宽:2 250MHz。</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直流电阻: 9.382.</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包装:彩箱包装1件/小盒2小盒/箱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重量: 14KG/盒28KG/箱</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检测报告:含</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护奏颜色:兰色\灰色</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最大安装拉力: 100N</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箱</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电源线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RVV3*1.5（无氧铜）                </w:t>
            </w:r>
          </w:p>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1.RVV执行标准GB/T5023.5-2008</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2.额定电压为2271EC52 (300/300V) 2271EC53 (300/500V)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3.聚氯乙烯护套</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4.聚氯乙烯绝缘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5.导体为多芯退火裸铜绞合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6.正常工作温度不超过70C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7.芯数:3芯</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电源线</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RVV2*1.0（无氧铜）</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1.RVV执行标准GB/T5023.5-2008</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2.额定电压为2271EC52 (300/300V) 2271EC53 (300/500V)</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3、聚氯乙烯护套</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4.聚氯乙烯绝缘</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5.导体为多芯退火裸铜绞合</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6.正常工作温度不超过70C</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芯数:2芯</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优质国产国标PVC</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PVC25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优质国产国标PA阻燃软管</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PA AD 28.5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单模室内光纤</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12芯层绞式系列光缆，也称GYTS/GYTA光缆符合中华人民共和国行业标准YD/T901- 97，产品达到国内先进水平金属加强构件松套层绞填充式钢  聚乙烯粘结护套通信用室外光缆</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技术特点:低损耗低色散结构紧凑良好的综合机械性能。</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应用范围:适用于长途通信和局间通信。也可用于本地网用户线的光通信室外馈线和配线。</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敖设方式:架空管道地埋。</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实用温度范围:-40C~ +60C.</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米</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1500</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点位接入License</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1.视频监控接入权限▲2.承诺与中国美术学院现有大安防平台无缝对接，与学校原有人脸库对接并完善建设人脸库；</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45</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周界立杆</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定制方型140*2米，定制方型外挑，壁厚不小于6mm，黑色防锈喷柒（定制国美特色）</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机柜PDU</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国产优质</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r>
      <w:tr>
        <w:tblPrEx>
          <w:tblCellMar>
            <w:top w:w="0" w:type="dxa"/>
            <w:left w:w="108" w:type="dxa"/>
            <w:bottom w:w="0" w:type="dxa"/>
            <w:right w:w="108" w:type="dxa"/>
          </w:tblCellMar>
        </w:tblPrEx>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ind w:left="425" w:leftChars="0" w:hanging="425" w:firstLineChars="0"/>
              <w:jc w:val="center"/>
              <w:textAlignment w:val="center"/>
              <w:rPr>
                <w:rFonts w:hint="eastAsia" w:ascii="宋体" w:hAnsi="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辅助材料</w:t>
            </w:r>
          </w:p>
        </w:tc>
        <w:tc>
          <w:tcPr>
            <w:tcW w:w="3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包含项目所需的辅助材料及设备安装调试所产生的人工费用</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r>
    </w:tbl>
    <w:p>
      <w:pPr>
        <w:ind w:firstLine="0" w:firstLineChars="0"/>
        <w:rPr>
          <w:rFonts w:hint="eastAsia"/>
          <w:color w:val="auto"/>
          <w:highlight w:val="none"/>
        </w:rPr>
      </w:pPr>
    </w:p>
    <w:p>
      <w:pPr>
        <w:ind w:firstLine="482"/>
        <w:rPr>
          <w:rFonts w:hint="eastAsia"/>
          <w:color w:val="auto"/>
          <w:highlight w:val="none"/>
        </w:rPr>
      </w:pPr>
      <w:r>
        <w:rPr>
          <w:rFonts w:hint="eastAsia" w:ascii="宋体" w:hAnsi="宋体" w:cs="宋体"/>
          <w:b/>
          <w:color w:val="auto"/>
          <w:highlight w:val="none"/>
        </w:rPr>
        <w:t>注：</w:t>
      </w:r>
      <w:r>
        <w:rPr>
          <w:rFonts w:hint="eastAsia"/>
          <w:b/>
          <w:bCs/>
          <w:color w:val="auto"/>
          <w:highlight w:val="none"/>
        </w:rPr>
        <w:t>本项目核心产品为摄像机。多个投标人提供的核心产品品牌均相同的，按一家供应商计算。</w:t>
      </w:r>
    </w:p>
    <w:p>
      <w:pPr>
        <w:pStyle w:val="6"/>
        <w:ind w:firstLine="482"/>
        <w:rPr>
          <w:rFonts w:hint="eastAsia"/>
          <w:color w:val="auto"/>
          <w:highlight w:val="none"/>
        </w:rPr>
      </w:pPr>
      <w:r>
        <w:rPr>
          <w:rFonts w:hint="eastAsia"/>
          <w:color w:val="auto"/>
          <w:highlight w:val="none"/>
        </w:rPr>
        <w:t>（三）质保期及交货期</w:t>
      </w:r>
    </w:p>
    <w:p>
      <w:pPr>
        <w:ind w:firstLine="480"/>
        <w:rPr>
          <w:rFonts w:hint="eastAsia" w:ascii="宋体" w:hAnsi="宋体" w:cs="宋体"/>
          <w:bCs/>
          <w:color w:val="auto"/>
          <w:highlight w:val="none"/>
          <w:lang w:val="en-AU"/>
        </w:rPr>
      </w:pPr>
      <w:r>
        <w:rPr>
          <w:rFonts w:hint="eastAsia" w:ascii="宋体" w:hAnsi="宋体" w:cs="宋体"/>
          <w:bCs/>
          <w:color w:val="auto"/>
          <w:highlight w:val="none"/>
        </w:rPr>
        <w:t>1.</w:t>
      </w:r>
      <w:r>
        <w:rPr>
          <w:rFonts w:hint="eastAsia" w:ascii="宋体" w:hAnsi="宋体" w:cs="宋体"/>
          <w:bCs/>
          <w:color w:val="auto"/>
          <w:highlight w:val="none"/>
          <w:lang w:val="en-AU"/>
        </w:rPr>
        <w:t>质保期：安装调试甲方校级验收合格后不少于</w:t>
      </w:r>
      <w:r>
        <w:rPr>
          <w:rFonts w:hint="eastAsia" w:ascii="宋体" w:hAnsi="宋体" w:cs="宋体"/>
          <w:bCs/>
          <w:color w:val="auto"/>
          <w:highlight w:val="none"/>
        </w:rPr>
        <w:t>2</w:t>
      </w:r>
      <w:r>
        <w:rPr>
          <w:rFonts w:hint="eastAsia" w:ascii="宋体" w:hAnsi="宋体" w:cs="宋体"/>
          <w:bCs/>
          <w:color w:val="auto"/>
          <w:highlight w:val="none"/>
          <w:lang w:val="en-AU"/>
        </w:rPr>
        <w:t>年；</w:t>
      </w:r>
    </w:p>
    <w:p>
      <w:pPr>
        <w:ind w:firstLine="480"/>
        <w:rPr>
          <w:rFonts w:hint="eastAsia" w:ascii="宋体" w:hAnsi="宋体" w:cs="宋体"/>
          <w:bCs/>
          <w:color w:val="auto"/>
          <w:highlight w:val="none"/>
          <w:lang w:val="en-AU"/>
        </w:rPr>
      </w:pPr>
      <w:r>
        <w:rPr>
          <w:rFonts w:hint="eastAsia" w:ascii="宋体" w:hAnsi="宋体" w:cs="宋体"/>
          <w:bCs/>
          <w:color w:val="auto"/>
          <w:highlight w:val="none"/>
        </w:rPr>
        <w:t>2.</w:t>
      </w:r>
      <w:r>
        <w:rPr>
          <w:rFonts w:hint="eastAsia" w:ascii="宋体" w:hAnsi="宋体" w:cs="宋体"/>
          <w:bCs/>
          <w:color w:val="auto"/>
          <w:highlight w:val="none"/>
          <w:lang w:val="en-AU"/>
        </w:rPr>
        <w:t>质保期过后，厂商终身维护，并提供成本价零配件、免收人工差旅费；现场安装调试、并安排现场技术培训，终身提供技术服务、技术支持。设备出现问题2小时内提供解决方案，12小时内进驻现场。</w:t>
      </w:r>
    </w:p>
    <w:p>
      <w:pPr>
        <w:ind w:firstLine="480"/>
        <w:rPr>
          <w:rFonts w:hint="eastAsia" w:ascii="宋体" w:hAnsi="宋体" w:cs="宋体"/>
          <w:bCs/>
          <w:color w:val="auto"/>
          <w:highlight w:val="none"/>
          <w:lang w:val="en-AU"/>
        </w:rPr>
      </w:pPr>
      <w:r>
        <w:rPr>
          <w:rFonts w:hint="eastAsia" w:ascii="宋体" w:hAnsi="宋体" w:cs="宋体"/>
          <w:bCs/>
          <w:color w:val="auto"/>
          <w:highlight w:val="none"/>
        </w:rPr>
        <w:t>3.</w:t>
      </w:r>
      <w:r>
        <w:rPr>
          <w:rFonts w:hint="eastAsia" w:ascii="宋体" w:hAnsi="宋体" w:cs="宋体"/>
          <w:bCs/>
          <w:color w:val="auto"/>
          <w:highlight w:val="none"/>
          <w:lang w:val="en-AU"/>
        </w:rPr>
        <w:t>交货期：</w:t>
      </w:r>
      <w:r>
        <w:rPr>
          <w:rFonts w:hint="eastAsia" w:ascii="宋体" w:hAnsi="宋体" w:cs="宋体"/>
          <w:color w:val="auto"/>
          <w:highlight w:val="none"/>
        </w:rPr>
        <w:t>合同签订后，30天内供货、安装、调试完毕并投入使用。</w:t>
      </w:r>
    </w:p>
    <w:p>
      <w:pPr>
        <w:ind w:firstLine="482"/>
        <w:rPr>
          <w:rFonts w:hint="eastAsia" w:ascii="宋体" w:hAnsi="宋体"/>
          <w:b/>
          <w:color w:val="auto"/>
          <w:highlight w:val="none"/>
        </w:rPr>
      </w:pPr>
      <w:r>
        <w:rPr>
          <w:rFonts w:hint="eastAsia" w:ascii="宋体" w:hAnsi="宋体"/>
          <w:b/>
          <w:color w:val="auto"/>
          <w:highlight w:val="none"/>
        </w:rPr>
        <w:t>备注：招标文件中如有特定品牌的名称或型号，是为了表明招标人需求产品的规格大小及产品档次，投标人可选用同档次及以上档次的品牌产品，但必须满足安装场所及使用功能的要求。</w:t>
      </w:r>
    </w:p>
    <w:p>
      <w:pPr>
        <w:pStyle w:val="5"/>
        <w:ind w:firstLine="562"/>
        <w:rPr>
          <w:rFonts w:hint="eastAsia" w:ascii="宋体" w:hAnsi="宋体" w:cs="宋体"/>
          <w:color w:val="auto"/>
          <w:highlight w:val="none"/>
          <w:lang w:val="en-AU"/>
        </w:rPr>
      </w:pPr>
      <w:bookmarkStart w:id="82" w:name="_Toc29400"/>
      <w:r>
        <w:rPr>
          <w:rFonts w:hint="eastAsia" w:ascii="宋体" w:hAnsi="宋体" w:cs="宋体"/>
          <w:color w:val="auto"/>
          <w:highlight w:val="none"/>
        </w:rPr>
        <w:t>三、采购设备的其他要求</w:t>
      </w:r>
      <w:bookmarkEnd w:id="82"/>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1.所有设备必须是全新的，未曾使用过的。</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2.投标人提供设备的专用工具及其清单。</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3.投标人提供的检测设备须符合国家有关设备制造标准。</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4.投标人应在投标文件详细说明所提供货物的技术规格和参数以及主要部件产地。</w:t>
      </w:r>
    </w:p>
    <w:p>
      <w:pPr>
        <w:ind w:firstLine="480"/>
        <w:rPr>
          <w:rFonts w:hint="eastAsia"/>
          <w:color w:val="auto"/>
          <w:highlight w:val="none"/>
        </w:rPr>
      </w:pPr>
      <w:bookmarkStart w:id="83" w:name="_Toc248212762"/>
      <w:bookmarkStart w:id="84" w:name="_Toc26204"/>
      <w:bookmarkStart w:id="85" w:name="_Toc26166"/>
      <w:bookmarkStart w:id="86" w:name="_Toc248227214"/>
      <w:bookmarkStart w:id="87" w:name="_Toc422319075"/>
      <w:bookmarkStart w:id="88" w:name="_Toc132888836"/>
      <w:bookmarkStart w:id="89" w:name="_Toc248228530"/>
      <w:bookmarkStart w:id="90" w:name="_Toc268268767"/>
      <w:bookmarkStart w:id="91" w:name="_Toc248058832"/>
      <w:bookmarkStart w:id="92" w:name="_Toc248212205"/>
      <w:bookmarkStart w:id="93" w:name="_Toc248215395"/>
    </w:p>
    <w:p>
      <w:pPr>
        <w:pStyle w:val="5"/>
        <w:ind w:firstLine="562"/>
        <w:rPr>
          <w:rFonts w:hint="eastAsia" w:ascii="宋体" w:hAnsi="宋体" w:cs="宋体"/>
          <w:color w:val="auto"/>
          <w:highlight w:val="none"/>
        </w:rPr>
      </w:pPr>
      <w:r>
        <w:rPr>
          <w:rFonts w:hint="eastAsia" w:ascii="宋体" w:hAnsi="宋体" w:cs="宋体"/>
          <w:color w:val="auto"/>
          <w:highlight w:val="none"/>
        </w:rPr>
        <w:t>四、技术文件</w:t>
      </w:r>
      <w:bookmarkEnd w:id="83"/>
      <w:bookmarkEnd w:id="84"/>
      <w:bookmarkEnd w:id="85"/>
      <w:bookmarkEnd w:id="86"/>
      <w:bookmarkEnd w:id="87"/>
      <w:bookmarkEnd w:id="88"/>
      <w:bookmarkEnd w:id="89"/>
      <w:bookmarkEnd w:id="90"/>
      <w:bookmarkEnd w:id="91"/>
      <w:bookmarkEnd w:id="92"/>
      <w:bookmarkEnd w:id="93"/>
    </w:p>
    <w:p>
      <w:pPr>
        <w:adjustRightInd w:val="0"/>
        <w:snapToGrid w:val="0"/>
        <w:ind w:firstLine="480"/>
        <w:rPr>
          <w:rFonts w:hint="eastAsia" w:ascii="宋体" w:hAnsi="宋体" w:cs="宋体"/>
          <w:color w:val="auto"/>
          <w:highlight w:val="none"/>
        </w:rPr>
      </w:pPr>
      <w:bookmarkStart w:id="94" w:name="_Toc21589"/>
      <w:bookmarkStart w:id="95" w:name="_Toc132888837"/>
      <w:bookmarkStart w:id="96" w:name="_Toc32733"/>
      <w:bookmarkStart w:id="97" w:name="_Toc248228531"/>
      <w:bookmarkStart w:id="98" w:name="_Toc248212763"/>
      <w:bookmarkStart w:id="99" w:name="_Toc268268768"/>
      <w:bookmarkStart w:id="100" w:name="_Toc248215396"/>
      <w:bookmarkStart w:id="101" w:name="_Toc248212206"/>
      <w:bookmarkStart w:id="102" w:name="_Toc248058833"/>
      <w:bookmarkStart w:id="103" w:name="_Toc248227215"/>
      <w:bookmarkStart w:id="104" w:name="_Toc422319076"/>
      <w:r>
        <w:rPr>
          <w:rFonts w:hint="eastAsia" w:ascii="宋体" w:hAnsi="宋体" w:cs="宋体"/>
          <w:color w:val="auto"/>
          <w:highlight w:val="none"/>
        </w:rPr>
        <w:t>投标人应提供下列技术文件：</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1.投标人在投标时必须提供设备样本及有关技术说明（所有参数均采用公制单位）。</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2.投标人在投标文件中必须提供主要部件生产厂家情况及有关样本、技术说明。</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3.投标人认为有必要提供的其它技术资料及文件。</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4.投标人提供详细的试验报告。</w:t>
      </w:r>
    </w:p>
    <w:p>
      <w:pPr>
        <w:pStyle w:val="5"/>
        <w:ind w:firstLine="562"/>
        <w:rPr>
          <w:rFonts w:hint="eastAsia" w:ascii="宋体" w:hAnsi="宋体" w:cs="宋体"/>
          <w:color w:val="auto"/>
          <w:highlight w:val="none"/>
        </w:rPr>
      </w:pPr>
      <w:r>
        <w:rPr>
          <w:rFonts w:hint="eastAsia" w:ascii="宋体" w:hAnsi="宋体" w:cs="宋体"/>
          <w:color w:val="auto"/>
          <w:highlight w:val="none"/>
        </w:rPr>
        <w:t>五、技术服务</w:t>
      </w:r>
      <w:bookmarkEnd w:id="94"/>
      <w:bookmarkEnd w:id="95"/>
      <w:bookmarkEnd w:id="96"/>
      <w:bookmarkEnd w:id="97"/>
      <w:bookmarkEnd w:id="98"/>
      <w:bookmarkEnd w:id="99"/>
      <w:bookmarkEnd w:id="100"/>
      <w:bookmarkEnd w:id="101"/>
      <w:bookmarkEnd w:id="102"/>
      <w:bookmarkEnd w:id="103"/>
      <w:bookmarkEnd w:id="104"/>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1.设备的安装、调试由投标人负责，但用户需配合投标人进行该项内容。</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（1）投标人应确保设备运行可靠、维护方便。</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（2）投标人负责组织专业技术人员进行设备安装调试。</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（4）设备交货的同时，投标人应向采购人提供以下列明的中文（或带有中文摘要的英文）技术资料，其费用应包括在报价总价内。</w:t>
      </w:r>
    </w:p>
    <w:p>
      <w:pPr>
        <w:adjustRightInd w:val="0"/>
        <w:snapToGrid w:val="0"/>
        <w:ind w:firstLine="616" w:firstLineChars="257"/>
        <w:rPr>
          <w:rFonts w:hint="eastAsia" w:ascii="宋体" w:hAnsi="宋体" w:cs="宋体"/>
          <w:color w:val="auto"/>
          <w:highlight w:val="none"/>
        </w:rPr>
      </w:pPr>
      <w:r>
        <w:rPr>
          <w:rFonts w:hint="eastAsia" w:ascii="宋体" w:hAnsi="宋体" w:cs="宋体"/>
          <w:color w:val="auto"/>
          <w:highlight w:val="none"/>
        </w:rPr>
        <w:t>（a）产品技术说明书；</w:t>
      </w:r>
    </w:p>
    <w:p>
      <w:pPr>
        <w:adjustRightInd w:val="0"/>
        <w:snapToGrid w:val="0"/>
        <w:ind w:firstLine="616" w:firstLineChars="257"/>
        <w:rPr>
          <w:rFonts w:hint="eastAsia" w:ascii="宋体" w:hAnsi="宋体" w:cs="宋体"/>
          <w:color w:val="auto"/>
          <w:highlight w:val="none"/>
        </w:rPr>
      </w:pPr>
      <w:r>
        <w:rPr>
          <w:rFonts w:hint="eastAsia" w:ascii="宋体" w:hAnsi="宋体" w:cs="宋体"/>
          <w:color w:val="auto"/>
          <w:highlight w:val="none"/>
        </w:rPr>
        <w:t>（b）用户手册；</w:t>
      </w:r>
    </w:p>
    <w:p>
      <w:pPr>
        <w:adjustRightInd w:val="0"/>
        <w:snapToGrid w:val="0"/>
        <w:ind w:firstLine="616" w:firstLineChars="257"/>
        <w:rPr>
          <w:rFonts w:hint="eastAsia" w:ascii="宋体" w:hAnsi="宋体" w:cs="宋体"/>
          <w:color w:val="auto"/>
          <w:highlight w:val="none"/>
        </w:rPr>
      </w:pPr>
      <w:r>
        <w:rPr>
          <w:rFonts w:hint="eastAsia" w:ascii="宋体" w:hAnsi="宋体" w:cs="宋体"/>
          <w:color w:val="auto"/>
          <w:highlight w:val="none"/>
        </w:rPr>
        <w:t>（c）出厂明细表（装箱单）；</w:t>
      </w:r>
    </w:p>
    <w:p>
      <w:pPr>
        <w:adjustRightInd w:val="0"/>
        <w:snapToGrid w:val="0"/>
        <w:ind w:firstLine="616" w:firstLineChars="257"/>
        <w:rPr>
          <w:rFonts w:hint="eastAsia" w:ascii="宋体" w:hAnsi="宋体" w:cs="宋体"/>
          <w:color w:val="auto"/>
          <w:highlight w:val="none"/>
        </w:rPr>
      </w:pPr>
      <w:r>
        <w:rPr>
          <w:rFonts w:hint="eastAsia" w:ascii="宋体" w:hAnsi="宋体" w:cs="宋体"/>
          <w:color w:val="auto"/>
          <w:highlight w:val="none"/>
        </w:rPr>
        <w:t>（d）出厂检验报告和合格书；</w:t>
      </w:r>
    </w:p>
    <w:p>
      <w:pPr>
        <w:adjustRightInd w:val="0"/>
        <w:snapToGrid w:val="0"/>
        <w:ind w:firstLine="616" w:firstLineChars="257"/>
        <w:rPr>
          <w:rFonts w:hint="eastAsia" w:ascii="宋体" w:hAnsi="宋体" w:cs="宋体"/>
          <w:color w:val="auto"/>
          <w:highlight w:val="none"/>
        </w:rPr>
      </w:pPr>
      <w:r>
        <w:rPr>
          <w:rFonts w:hint="eastAsia" w:ascii="宋体" w:hAnsi="宋体" w:cs="宋体"/>
          <w:color w:val="auto"/>
          <w:highlight w:val="none"/>
        </w:rPr>
        <w:t>（e）其他相关技术资料。</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（5）投标人向用户提供安装和维修所需特殊专用的工具、随机备件及清单和中文说明书，其费用包括在谈判价格内。</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（6）如因投标人责任而造成的安装延期，产生的费用由投标人负担。</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（7）验收不合格的货物，采购人可以要求中标（成交）方无条件免费更换或退货，并赔偿由此造成的采购人的损失。</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2.投标人应为采购人或最终用户技术人员进行有关设备维护、操作、保养等方面培训，直至能独立操作。</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3.售后服务要求：</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（1）免费保修期：</w:t>
      </w:r>
      <w:r>
        <w:rPr>
          <w:rFonts w:hint="eastAsia" w:ascii="宋体" w:hAnsi="宋体" w:cs="宋体"/>
          <w:bCs/>
          <w:color w:val="auto"/>
          <w:highlight w:val="none"/>
          <w:lang w:val="en-AU"/>
        </w:rPr>
        <w:t>安装调试甲方校级验收合格后不少于</w:t>
      </w:r>
      <w:r>
        <w:rPr>
          <w:rFonts w:hint="eastAsia" w:ascii="宋体" w:hAnsi="宋体" w:cs="宋体"/>
          <w:bCs/>
          <w:color w:val="auto"/>
          <w:highlight w:val="none"/>
        </w:rPr>
        <w:t>2</w:t>
      </w:r>
      <w:r>
        <w:rPr>
          <w:rFonts w:hint="eastAsia" w:ascii="宋体" w:hAnsi="宋体" w:cs="宋体"/>
          <w:bCs/>
          <w:color w:val="auto"/>
          <w:highlight w:val="none"/>
          <w:lang w:val="en-AU"/>
        </w:rPr>
        <w:t>年；</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（2）质保期后的服务要求</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质保期结束后，投标人对设备履行终身技术支持、维修、零配件供应服务，投标人在投标文件技术商务文件中必须明确说明服务承诺。</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4.质量保证</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（1）投标人应按采购文件规定的货物性能、技术要求、质量标准向采购人提供未经使用的全新产品。</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（2）在保证期内因货物本身的质量问题发生故障，投标人应负责免费修理和更换零部件。对达不到技术要求者，根据实际情况，经双方协商，可按以下办法处理：</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（a）更换：由投标人承担所发生的全部费用；</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（b）贬值处理：由双方合议定价；</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（c）退货处理：投标人应退还采购人支付的货物款，同时应承担该货物的直接费用（运输、保险、检验、货款利息及银行手续费等）。</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（3）如质保期外的使用过程中发生质量问题，投标人在接到采购人通知后48小时内到达采购人现场。</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（4）在免费质保期内，投标人应对货物出现的质量及安全问题负责处理解决。</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5.软件升级投标人必须承诺提供终生免费的软件升级服务。</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6.培训：供应商应安排技术负责人对采购人相关使用人员进行现场免费技术培训，直至采购人的使用人员熟练操作。</w:t>
      </w:r>
    </w:p>
    <w:p>
      <w:pPr>
        <w:pStyle w:val="5"/>
        <w:ind w:firstLine="562"/>
        <w:rPr>
          <w:rFonts w:hint="eastAsia" w:ascii="宋体" w:hAnsi="宋体" w:cs="宋体"/>
          <w:color w:val="auto"/>
          <w:highlight w:val="none"/>
        </w:rPr>
      </w:pPr>
      <w:bookmarkStart w:id="105" w:name="_Toc248058834"/>
      <w:bookmarkStart w:id="106" w:name="_Toc248212207"/>
      <w:bookmarkStart w:id="107" w:name="_Toc25838"/>
      <w:bookmarkStart w:id="108" w:name="_Toc248227216"/>
      <w:bookmarkStart w:id="109" w:name="_Toc268268769"/>
      <w:bookmarkStart w:id="110" w:name="_Toc422319077"/>
      <w:bookmarkStart w:id="111" w:name="_Toc132888838"/>
      <w:bookmarkStart w:id="112" w:name="_Toc248215397"/>
      <w:bookmarkStart w:id="113" w:name="_Toc248228532"/>
      <w:bookmarkStart w:id="114" w:name="_Toc248212764"/>
      <w:bookmarkStart w:id="115" w:name="_Toc5939"/>
      <w:r>
        <w:rPr>
          <w:rFonts w:hint="eastAsia" w:ascii="宋体" w:hAnsi="宋体" w:cs="宋体"/>
          <w:color w:val="auto"/>
          <w:highlight w:val="none"/>
        </w:rPr>
        <w:t>六、验收</w:t>
      </w:r>
      <w:bookmarkEnd w:id="105"/>
      <w:bookmarkEnd w:id="106"/>
      <w:bookmarkEnd w:id="107"/>
      <w:bookmarkEnd w:id="108"/>
      <w:bookmarkEnd w:id="109"/>
      <w:bookmarkEnd w:id="110"/>
      <w:bookmarkEnd w:id="111"/>
      <w:bookmarkEnd w:id="112"/>
      <w:bookmarkEnd w:id="113"/>
      <w:bookmarkEnd w:id="114"/>
      <w:bookmarkEnd w:id="115"/>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1.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2.设备满足合同中规定的各项技术规格、指标和性能要求，符合厂家提供的正式技术文件的说明。</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3.采购人应在货到指定地点安装调试完毕之日起5个工作日内组织验收完毕。验收时投标人应在现场。所有调试及验收测试已进行完毕，并形成书面报告。</w:t>
      </w:r>
    </w:p>
    <w:p>
      <w:pPr>
        <w:pStyle w:val="5"/>
        <w:ind w:firstLine="562"/>
        <w:rPr>
          <w:rFonts w:hint="eastAsia" w:ascii="宋体" w:hAnsi="宋体" w:cs="宋体"/>
          <w:color w:val="auto"/>
          <w:highlight w:val="none"/>
        </w:rPr>
      </w:pPr>
      <w:bookmarkStart w:id="116" w:name="_Toc248215399"/>
      <w:bookmarkStart w:id="117" w:name="_Toc422319078"/>
      <w:bookmarkStart w:id="118" w:name="_Toc248227218"/>
      <w:bookmarkStart w:id="119" w:name="_Toc248212209"/>
      <w:bookmarkStart w:id="120" w:name="_Toc248212766"/>
      <w:bookmarkStart w:id="121" w:name="_Toc132888840"/>
      <w:bookmarkStart w:id="122" w:name="_Toc248058836"/>
      <w:bookmarkStart w:id="123" w:name="_Toc10563"/>
      <w:bookmarkStart w:id="124" w:name="_Toc268268770"/>
      <w:bookmarkStart w:id="125" w:name="_Toc20868"/>
      <w:bookmarkStart w:id="126" w:name="_Toc248228534"/>
      <w:r>
        <w:rPr>
          <w:rFonts w:hint="eastAsia" w:ascii="宋体" w:hAnsi="宋体" w:cs="宋体"/>
          <w:color w:val="auto"/>
          <w:highlight w:val="none"/>
        </w:rPr>
        <w:t>七、采购的其它要求</w:t>
      </w:r>
      <w:bookmarkEnd w:id="116"/>
      <w:bookmarkEnd w:id="117"/>
      <w:bookmarkEnd w:id="118"/>
      <w:bookmarkEnd w:id="119"/>
      <w:bookmarkEnd w:id="120"/>
      <w:bookmarkEnd w:id="121"/>
      <w:bookmarkEnd w:id="122"/>
      <w:bookmarkEnd w:id="123"/>
      <w:bookmarkEnd w:id="124"/>
      <w:bookmarkEnd w:id="125"/>
      <w:bookmarkEnd w:id="126"/>
    </w:p>
    <w:p>
      <w:pPr>
        <w:ind w:firstLine="480"/>
        <w:rPr>
          <w:rFonts w:hint="eastAsia" w:ascii="宋体" w:hAnsi="宋体" w:cs="宋体"/>
          <w:color w:val="auto"/>
          <w:highlight w:val="none"/>
        </w:rPr>
      </w:pPr>
      <w:r>
        <w:rPr>
          <w:rFonts w:hint="eastAsia" w:ascii="宋体" w:hAnsi="宋体" w:cs="宋体"/>
          <w:color w:val="auto"/>
          <w:highlight w:val="none"/>
        </w:rPr>
        <w:t>投标人应在投标文件中对采购文件技术规范的要求逐条加以说明，并在偏离表中体现出来。</w:t>
      </w:r>
    </w:p>
    <w:p>
      <w:pPr>
        <w:pStyle w:val="5"/>
        <w:ind w:firstLine="562"/>
        <w:rPr>
          <w:rFonts w:hint="eastAsia" w:ascii="宋体" w:hAnsi="宋体" w:cs="宋体"/>
          <w:color w:val="auto"/>
          <w:highlight w:val="none"/>
        </w:rPr>
      </w:pPr>
      <w:bookmarkStart w:id="127" w:name="_Toc23045"/>
      <w:bookmarkStart w:id="128" w:name="_Toc248212210"/>
      <w:bookmarkStart w:id="129" w:name="_Toc132888841"/>
      <w:bookmarkStart w:id="130" w:name="_Toc422319079"/>
      <w:bookmarkStart w:id="131" w:name="_Toc268268771"/>
      <w:bookmarkStart w:id="132" w:name="_Toc248227219"/>
      <w:bookmarkStart w:id="133" w:name="_Toc248058837"/>
      <w:bookmarkStart w:id="134" w:name="_Toc248212767"/>
      <w:bookmarkStart w:id="135" w:name="_Toc10455"/>
      <w:bookmarkStart w:id="136" w:name="_Toc248228535"/>
      <w:bookmarkStart w:id="137" w:name="_Toc248215400"/>
      <w:r>
        <w:rPr>
          <w:rFonts w:hint="eastAsia" w:ascii="宋体" w:hAnsi="宋体" w:cs="宋体"/>
          <w:color w:val="auto"/>
          <w:highlight w:val="none"/>
        </w:rPr>
        <w:t>八</w:t>
      </w:r>
      <w:bookmarkEnd w:id="127"/>
      <w:bookmarkEnd w:id="128"/>
      <w:bookmarkEnd w:id="129"/>
      <w:bookmarkEnd w:id="130"/>
      <w:bookmarkEnd w:id="131"/>
      <w:bookmarkEnd w:id="132"/>
      <w:bookmarkEnd w:id="133"/>
      <w:bookmarkEnd w:id="134"/>
      <w:bookmarkEnd w:id="135"/>
      <w:bookmarkEnd w:id="136"/>
      <w:bookmarkEnd w:id="137"/>
      <w:bookmarkStart w:id="138" w:name="_Toc15742"/>
      <w:r>
        <w:rPr>
          <w:rFonts w:hint="eastAsia" w:ascii="宋体" w:hAnsi="宋体" w:cs="宋体"/>
          <w:color w:val="auto"/>
          <w:highlight w:val="none"/>
        </w:rPr>
        <w:t>、其他说明</w:t>
      </w:r>
      <w:bookmarkEnd w:id="138"/>
    </w:p>
    <w:p>
      <w:pPr>
        <w:ind w:firstLine="480"/>
        <w:rPr>
          <w:rFonts w:hint="eastAsia" w:ascii="宋体" w:hAnsi="宋体" w:cs="宋体"/>
          <w:color w:val="auto"/>
          <w:highlight w:val="none"/>
        </w:rPr>
      </w:pPr>
      <w:r>
        <w:rPr>
          <w:rFonts w:hint="eastAsia" w:ascii="宋体" w:hAnsi="宋体" w:cs="宋体"/>
          <w:color w:val="auto"/>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pPr>
        <w:ind w:firstLine="480"/>
        <w:rPr>
          <w:rFonts w:hint="eastAsia" w:ascii="宋体" w:hAnsi="宋体"/>
          <w:color w:val="auto"/>
          <w:highlight w:val="none"/>
        </w:rPr>
      </w:pPr>
      <w:r>
        <w:rPr>
          <w:rFonts w:hint="eastAsia" w:ascii="宋体" w:hAnsi="宋体" w:cs="宋体"/>
          <w:color w:val="auto"/>
          <w:highlight w:val="none"/>
        </w:rPr>
        <w:t>2.中标人不得以任何形式将本项目转包或分包给其他单位，否则采购人有权终止合同，所发生的一切损失均由中标人承担。</w:t>
      </w:r>
    </w:p>
    <w:p>
      <w:pPr>
        <w:pStyle w:val="5"/>
        <w:ind w:firstLine="562"/>
        <w:rPr>
          <w:rFonts w:hint="eastAsia" w:ascii="宋体" w:hAnsi="宋体" w:cs="宋体"/>
          <w:color w:val="auto"/>
          <w:highlight w:val="none"/>
        </w:rPr>
      </w:pPr>
      <w:r>
        <w:rPr>
          <w:rFonts w:hint="eastAsia" w:ascii="宋体" w:hAnsi="宋体" w:cs="宋体"/>
          <w:color w:val="auto"/>
          <w:highlight w:val="none"/>
        </w:rPr>
        <w:t>九、根据本项目的特点，投标文件中提供：</w:t>
      </w:r>
    </w:p>
    <w:p>
      <w:pPr>
        <w:ind w:firstLine="480"/>
        <w:rPr>
          <w:rFonts w:hint="eastAsia" w:ascii="宋体" w:hAnsi="宋体"/>
          <w:color w:val="auto"/>
          <w:highlight w:val="none"/>
        </w:rPr>
      </w:pPr>
      <w:r>
        <w:rPr>
          <w:rFonts w:hint="eastAsia" w:ascii="宋体" w:hAnsi="宋体"/>
          <w:color w:val="auto"/>
          <w:highlight w:val="none"/>
        </w:rPr>
        <w:t>1.所提供产品的</w:t>
      </w:r>
      <w:r>
        <w:rPr>
          <w:rFonts w:hint="eastAsia" w:ascii="宋体" w:hAnsi="宋体" w:cs="宋体"/>
          <w:bCs/>
          <w:snapToGrid w:val="0"/>
          <w:color w:val="auto"/>
          <w:kern w:val="0"/>
          <w:highlight w:val="none"/>
        </w:rPr>
        <w:t>技术规格书、所投设备的品牌、型号规格、主要技术性能、特点、操作说明和质量水平的详细描述</w:t>
      </w:r>
      <w:r>
        <w:rPr>
          <w:rFonts w:hint="eastAsia" w:ascii="宋体" w:hAnsi="宋体"/>
          <w:color w:val="auto"/>
          <w:highlight w:val="none"/>
        </w:rPr>
        <w:t>；</w:t>
      </w:r>
    </w:p>
    <w:p>
      <w:pPr>
        <w:ind w:firstLine="480"/>
        <w:rPr>
          <w:rFonts w:hint="eastAsia" w:ascii="宋体" w:hAnsi="宋体"/>
          <w:color w:val="auto"/>
          <w:highlight w:val="none"/>
        </w:rPr>
      </w:pPr>
      <w:r>
        <w:rPr>
          <w:rFonts w:hint="eastAsia" w:ascii="宋体" w:hAnsi="宋体"/>
          <w:color w:val="auto"/>
          <w:highlight w:val="none"/>
        </w:rPr>
        <w:t>2.本项目的具体实施方案：包括技术实施方案、供货方案、服务方案、质量控制（安装调试技术保障措施）、人员培训计划、进度控制（物资进场安排、进度计划）等；</w:t>
      </w:r>
    </w:p>
    <w:p>
      <w:pPr>
        <w:ind w:firstLine="480"/>
        <w:rPr>
          <w:rFonts w:hint="eastAsia" w:ascii="宋体" w:hAnsi="宋体"/>
          <w:color w:val="auto"/>
          <w:highlight w:val="none"/>
        </w:rPr>
      </w:pPr>
      <w:r>
        <w:rPr>
          <w:rFonts w:hint="eastAsia" w:ascii="宋体" w:hAnsi="宋体"/>
          <w:color w:val="auto"/>
          <w:highlight w:val="none"/>
        </w:rPr>
        <w:t>3.本项目专业技术人员配备情况；</w:t>
      </w:r>
    </w:p>
    <w:p>
      <w:pPr>
        <w:ind w:firstLine="480"/>
        <w:rPr>
          <w:rFonts w:hint="eastAsia" w:ascii="宋体" w:hAnsi="宋体"/>
          <w:color w:val="auto"/>
          <w:highlight w:val="none"/>
        </w:rPr>
      </w:pPr>
      <w:r>
        <w:rPr>
          <w:rFonts w:hint="eastAsia" w:ascii="宋体" w:hAnsi="宋体"/>
          <w:color w:val="auto"/>
          <w:highlight w:val="none"/>
        </w:rPr>
        <w:t>4.质保期、质保期满后备品备件及人工维修费用的价格承诺；</w:t>
      </w:r>
    </w:p>
    <w:p>
      <w:pPr>
        <w:ind w:firstLine="480"/>
        <w:rPr>
          <w:rFonts w:hint="eastAsia" w:ascii="宋体" w:hAnsi="宋体"/>
          <w:color w:val="auto"/>
          <w:highlight w:val="none"/>
        </w:rPr>
      </w:pPr>
      <w:r>
        <w:rPr>
          <w:rFonts w:hint="eastAsia" w:ascii="宋体" w:hAnsi="宋体"/>
          <w:color w:val="auto"/>
          <w:highlight w:val="none"/>
        </w:rPr>
        <w:t>5.技术支持、培训及售后服务等；</w:t>
      </w:r>
    </w:p>
    <w:p>
      <w:pPr>
        <w:ind w:firstLine="480"/>
        <w:rPr>
          <w:rFonts w:hint="eastAsia" w:ascii="宋体" w:hAnsi="宋体"/>
          <w:color w:val="auto"/>
          <w:highlight w:val="none"/>
        </w:rPr>
      </w:pPr>
      <w:r>
        <w:rPr>
          <w:rFonts w:hint="eastAsia" w:ascii="宋体" w:hAnsi="宋体"/>
          <w:color w:val="auto"/>
          <w:highlight w:val="none"/>
        </w:rPr>
        <w:t>6.招标文件及评分办法规定的其他要求。</w:t>
      </w:r>
    </w:p>
    <w:p>
      <w:pPr>
        <w:ind w:firstLine="480"/>
        <w:rPr>
          <w:rFonts w:hint="eastAsia" w:ascii="宋体" w:hAnsi="宋体" w:cs="宋体"/>
          <w:color w:val="auto"/>
          <w:highlight w:val="none"/>
        </w:rPr>
      </w:pPr>
    </w:p>
    <w:p>
      <w:pPr>
        <w:ind w:firstLine="482"/>
        <w:rPr>
          <w:rFonts w:hint="eastAsia" w:ascii="宋体" w:hAnsi="宋体" w:cs="宋体"/>
          <w:b/>
          <w:bCs/>
          <w:color w:val="auto"/>
          <w:highlight w:val="none"/>
        </w:rPr>
      </w:pPr>
      <w:r>
        <w:rPr>
          <w:rFonts w:hint="eastAsia" w:ascii="宋体" w:hAnsi="宋体" w:cs="宋体"/>
          <w:b/>
          <w:bCs/>
          <w:color w:val="auto"/>
          <w:highlight w:val="none"/>
        </w:rPr>
        <w:t>本章未尽内容按“第</w:t>
      </w:r>
      <w:r>
        <w:rPr>
          <w:rFonts w:hint="eastAsia" w:ascii="宋体" w:hAnsi="宋体" w:cs="宋体"/>
          <w:b/>
          <w:bCs/>
          <w:color w:val="auto"/>
          <w:highlight w:val="none"/>
          <w:lang w:eastAsia="zh-CN"/>
        </w:rPr>
        <w:t>四</w:t>
      </w:r>
      <w:r>
        <w:rPr>
          <w:rFonts w:hint="eastAsia" w:ascii="宋体" w:hAnsi="宋体" w:cs="宋体"/>
          <w:b/>
          <w:bCs/>
          <w:color w:val="auto"/>
          <w:highlight w:val="none"/>
        </w:rPr>
        <w:t>章  合同主要条款”。</w:t>
      </w:r>
    </w:p>
    <w:p>
      <w:pPr>
        <w:adjustRightInd w:val="0"/>
        <w:ind w:firstLine="482"/>
        <w:rPr>
          <w:rFonts w:hint="eastAsia" w:ascii="宋体" w:hAnsi="宋体" w:cs="宋体"/>
          <w:b/>
          <w:color w:val="auto"/>
          <w:highlight w:val="none"/>
        </w:rPr>
      </w:pPr>
    </w:p>
    <w:p>
      <w:pPr>
        <w:adjustRightInd w:val="0"/>
        <w:ind w:firstLine="480"/>
        <w:rPr>
          <w:rFonts w:hint="eastAsia" w:ascii="宋体" w:hAnsi="宋体" w:cs="宋体"/>
          <w:color w:val="auto"/>
          <w:highlight w:val="none"/>
        </w:rPr>
      </w:pPr>
      <w:r>
        <w:rPr>
          <w:rFonts w:hint="eastAsia" w:ascii="宋体" w:hAnsi="宋体" w:cs="宋体"/>
          <w:color w:val="auto"/>
          <w:highlight w:val="none"/>
        </w:rPr>
        <w:br w:type="page"/>
      </w:r>
    </w:p>
    <w:p>
      <w:pPr>
        <w:pStyle w:val="4"/>
        <w:numPr>
          <w:ilvl w:val="0"/>
          <w:numId w:val="2"/>
        </w:numPr>
        <w:ind w:firstLine="0" w:firstLineChars="0"/>
        <w:rPr>
          <w:rFonts w:hint="eastAsia" w:ascii="宋体" w:hAnsi="宋体" w:cs="宋体"/>
          <w:color w:val="auto"/>
          <w:highlight w:val="none"/>
        </w:rPr>
      </w:pPr>
      <w:bookmarkStart w:id="139" w:name="_Toc3949"/>
      <w:r>
        <w:rPr>
          <w:rFonts w:hint="eastAsia" w:ascii="宋体" w:hAnsi="宋体" w:cs="宋体"/>
          <w:color w:val="auto"/>
          <w:highlight w:val="none"/>
        </w:rPr>
        <w:t>合同主要条款</w:t>
      </w:r>
      <w:bookmarkEnd w:id="139"/>
    </w:p>
    <w:p>
      <w:pPr>
        <w:snapToGrid w:val="0"/>
        <w:ind w:firstLine="0" w:firstLineChars="0"/>
        <w:rPr>
          <w:rFonts w:hint="eastAsia" w:ascii="宋体" w:hAnsi="宋体" w:cs="宋体"/>
          <w:b/>
          <w:color w:val="auto"/>
          <w:kern w:val="0"/>
          <w:highlight w:val="none"/>
        </w:rPr>
      </w:pPr>
      <w:r>
        <w:rPr>
          <w:rFonts w:hint="eastAsia" w:ascii="宋体" w:hAnsi="宋体" w:cs="宋体"/>
          <w:b/>
          <w:color w:val="auto"/>
          <w:kern w:val="0"/>
          <w:highlight w:val="none"/>
        </w:rPr>
        <w:t>（备注：采购文件中仅提供合同主要条款，最终合同以双方签章的书面文本为准。）</w:t>
      </w:r>
    </w:p>
    <w:p>
      <w:pPr>
        <w:snapToGrid w:val="0"/>
        <w:spacing w:before="120" w:after="120" w:line="288" w:lineRule="auto"/>
        <w:ind w:firstLine="458"/>
        <w:jc w:val="center"/>
        <w:rPr>
          <w:rFonts w:hint="eastAsia" w:ascii="宋体" w:hAnsi="宋体" w:cs="宋体"/>
          <w:b/>
          <w:color w:val="auto"/>
          <w:spacing w:val="-6"/>
          <w:highlight w:val="none"/>
        </w:rPr>
      </w:pPr>
      <w:r>
        <w:rPr>
          <w:rFonts w:hint="eastAsia" w:ascii="宋体" w:hAnsi="宋体" w:cs="宋体"/>
          <w:b/>
          <w:color w:val="auto"/>
          <w:spacing w:val="-6"/>
          <w:highlight w:val="none"/>
          <w:lang w:bidi="ar"/>
        </w:rPr>
        <w:t>中国美术学院XXX项目合同</w:t>
      </w:r>
    </w:p>
    <w:p>
      <w:pPr>
        <w:snapToGrid w:val="0"/>
        <w:spacing w:before="120" w:after="120" w:line="288" w:lineRule="auto"/>
        <w:ind w:firstLine="458"/>
        <w:jc w:val="center"/>
        <w:rPr>
          <w:rFonts w:hint="eastAsia" w:ascii="宋体" w:hAnsi="宋体" w:cs="宋体"/>
          <w:b/>
          <w:color w:val="auto"/>
          <w:spacing w:val="-6"/>
          <w:highlight w:val="none"/>
        </w:rPr>
      </w:pPr>
      <w:r>
        <w:rPr>
          <w:rFonts w:hint="eastAsia" w:ascii="宋体" w:hAnsi="宋体" w:cs="宋体"/>
          <w:b/>
          <w:color w:val="auto"/>
          <w:spacing w:val="-6"/>
          <w:highlight w:val="none"/>
          <w:lang w:bidi="ar"/>
        </w:rPr>
        <w:t>（国产合同）</w:t>
      </w:r>
    </w:p>
    <w:p>
      <w:pPr>
        <w:ind w:firstLine="480"/>
        <w:rPr>
          <w:rFonts w:hint="eastAsia" w:ascii="宋体" w:hAnsi="宋体" w:cs="宋体"/>
          <w:color w:val="auto"/>
          <w:highlight w:val="none"/>
        </w:rPr>
      </w:pPr>
      <w:r>
        <w:rPr>
          <w:rFonts w:hint="eastAsia" w:ascii="宋体" w:hAnsi="宋体" w:cs="宋体"/>
          <w:color w:val="auto"/>
          <w:highlight w:val="none"/>
          <w:lang w:bidi="ar"/>
        </w:rPr>
        <w:t xml:space="preserve">采购编号：                                       合同编号：             </w:t>
      </w:r>
    </w:p>
    <w:p>
      <w:pPr>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确认书号： </w:t>
      </w:r>
    </w:p>
    <w:p>
      <w:pPr>
        <w:ind w:firstLine="480"/>
        <w:rPr>
          <w:rFonts w:hint="eastAsia" w:ascii="宋体" w:hAnsi="宋体" w:cs="宋体"/>
          <w:color w:val="auto"/>
          <w:highlight w:val="none"/>
        </w:rPr>
      </w:pPr>
      <w:r>
        <w:rPr>
          <w:rFonts w:hint="eastAsia" w:ascii="宋体" w:hAnsi="宋体" w:cs="宋体"/>
          <w:color w:val="auto"/>
          <w:highlight w:val="none"/>
          <w:lang w:bidi="ar"/>
        </w:rPr>
        <w:t>甲方：中国美术学院</w:t>
      </w:r>
    </w:p>
    <w:p>
      <w:pPr>
        <w:ind w:firstLine="480"/>
        <w:rPr>
          <w:rFonts w:hint="eastAsia" w:ascii="宋体" w:hAnsi="宋体" w:cs="宋体"/>
          <w:color w:val="auto"/>
          <w:spacing w:val="-6"/>
          <w:highlight w:val="none"/>
        </w:rPr>
      </w:pPr>
      <w:r>
        <w:rPr>
          <w:rFonts w:hint="eastAsia" w:ascii="宋体" w:hAnsi="宋体" w:cs="宋体"/>
          <w:color w:val="auto"/>
          <w:highlight w:val="none"/>
          <w:lang w:bidi="ar"/>
        </w:rPr>
        <w:t>乙方：</w:t>
      </w:r>
    </w:p>
    <w:p>
      <w:pPr>
        <w:ind w:firstLine="480"/>
        <w:rPr>
          <w:rFonts w:hint="eastAsia" w:ascii="宋体" w:hAnsi="宋体" w:cs="宋体"/>
          <w:color w:val="auto"/>
          <w:highlight w:val="none"/>
        </w:rPr>
      </w:pPr>
      <w:r>
        <w:rPr>
          <w:rFonts w:hint="eastAsia" w:ascii="宋体" w:hAnsi="宋体" w:cs="宋体"/>
          <w:color w:val="auto"/>
          <w:highlight w:val="none"/>
          <w:lang w:bidi="ar"/>
        </w:rPr>
        <w:t>采购代理机构：浙江省国际技术设备招标有限公司</w:t>
      </w:r>
    </w:p>
    <w:p>
      <w:pPr>
        <w:ind w:firstLine="480"/>
        <w:rPr>
          <w:rFonts w:hint="eastAsia" w:ascii="宋体" w:hAnsi="宋体" w:cs="宋体"/>
          <w:color w:val="auto"/>
          <w:highlight w:val="none"/>
        </w:rPr>
      </w:pPr>
      <w:r>
        <w:rPr>
          <w:rFonts w:hint="eastAsia" w:ascii="宋体" w:hAnsi="宋体" w:cs="宋体"/>
          <w:color w:val="auto"/>
          <w:highlight w:val="none"/>
          <w:lang w:bidi="ar"/>
        </w:rPr>
        <w:t>签约时间、地点：2021年  月  日，中国美术学院</w:t>
      </w:r>
    </w:p>
    <w:p>
      <w:pPr>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浙江省国际技术设备招标有限公司受中国美术学院委托公开招标中国美术学院XXXX，经过招标，确定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为供货单位。经协商双方就本采购事项达成以下条款：</w:t>
      </w:r>
    </w:p>
    <w:p>
      <w:pPr>
        <w:ind w:firstLine="482"/>
        <w:rPr>
          <w:rFonts w:hint="eastAsia"/>
          <w:b/>
          <w:bCs/>
          <w:color w:val="auto"/>
          <w:highlight w:val="none"/>
        </w:rPr>
      </w:pPr>
      <w:r>
        <w:rPr>
          <w:rFonts w:hint="eastAsia"/>
          <w:b/>
          <w:bCs/>
          <w:color w:val="auto"/>
          <w:highlight w:val="none"/>
        </w:rPr>
        <w:t>第一条：采购产品内容及合同价格</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68"/>
        <w:gridCol w:w="1941"/>
        <w:gridCol w:w="477"/>
        <w:gridCol w:w="1049"/>
        <w:gridCol w:w="855"/>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序号</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设备名称</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型号和规格</w:t>
            </w:r>
          </w:p>
        </w:tc>
        <w:tc>
          <w:tcPr>
            <w:tcW w:w="4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数量</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品牌及厂家</w:t>
            </w: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产地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人民币</w:t>
            </w:r>
          </w:p>
          <w:p>
            <w:pPr>
              <w:ind w:firstLine="0" w:firstLineChars="0"/>
              <w:jc w:val="center"/>
              <w:rPr>
                <w:rFonts w:hint="eastAsia"/>
                <w:color w:val="auto"/>
                <w:highlight w:val="none"/>
              </w:rPr>
            </w:pPr>
            <w:r>
              <w:rPr>
                <w:rFonts w:hint="eastAsia"/>
                <w:color w:val="auto"/>
                <w:highlight w:val="none"/>
              </w:rPr>
              <w:t>单价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1</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2</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3</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7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4</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4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8"/>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auto"/>
                <w:highlight w:val="none"/>
              </w:rPr>
            </w:pPr>
            <w:r>
              <w:rPr>
                <w:rFonts w:hint="eastAsia"/>
                <w:color w:val="auto"/>
                <w:highlight w:val="none"/>
              </w:rPr>
              <w:t>合计：人民币           元整（￥          ）</w:t>
            </w:r>
          </w:p>
        </w:tc>
      </w:tr>
    </w:tbl>
    <w:p>
      <w:pPr>
        <w:ind w:firstLine="480"/>
        <w:rPr>
          <w:rFonts w:hint="eastAsia"/>
          <w:color w:val="auto"/>
          <w:highlight w:val="none"/>
        </w:rPr>
      </w:pPr>
      <w:r>
        <w:rPr>
          <w:rFonts w:hint="eastAsia"/>
          <w:color w:val="auto"/>
          <w:highlight w:val="none"/>
        </w:rPr>
        <w:t>注：1.详细配置清单详见投标文件和承诺表。</w:t>
      </w:r>
    </w:p>
    <w:p>
      <w:pPr>
        <w:ind w:firstLine="480"/>
        <w:rPr>
          <w:rFonts w:hint="eastAsia"/>
          <w:color w:val="auto"/>
          <w:highlight w:val="none"/>
        </w:rPr>
      </w:pPr>
      <w:r>
        <w:rPr>
          <w:rFonts w:hint="eastAsia"/>
          <w:color w:val="auto"/>
          <w:highlight w:val="none"/>
        </w:rPr>
        <w:t>2.以上合同总价包括将货物运抵中国美术学院校区指定地点的运费及安装调试等一切费用。</w:t>
      </w:r>
    </w:p>
    <w:p>
      <w:pPr>
        <w:ind w:firstLine="482"/>
        <w:rPr>
          <w:rFonts w:hint="eastAsia"/>
          <w:b/>
          <w:bCs/>
          <w:color w:val="auto"/>
          <w:highlight w:val="none"/>
        </w:rPr>
      </w:pPr>
      <w:r>
        <w:rPr>
          <w:rFonts w:hint="eastAsia"/>
          <w:b/>
          <w:bCs/>
          <w:color w:val="auto"/>
          <w:highlight w:val="none"/>
        </w:rPr>
        <w:t>第二条：质量保证及售后服务</w:t>
      </w:r>
    </w:p>
    <w:p>
      <w:pPr>
        <w:ind w:firstLine="480"/>
        <w:rPr>
          <w:rFonts w:hint="eastAsia"/>
          <w:color w:val="auto"/>
          <w:highlight w:val="none"/>
        </w:rPr>
      </w:pPr>
      <w:r>
        <w:rPr>
          <w:rFonts w:hint="eastAsia"/>
          <w:color w:val="auto"/>
          <w:highlight w:val="none"/>
        </w:rPr>
        <w:t>1.乙方应按公开招标文件规定的货物性能、技术要求、质量标准向甲方提供未经使用的全新产品，符合国家法律规定和技术规格、质量标准的出厂原装合格产品。</w:t>
      </w:r>
    </w:p>
    <w:p>
      <w:pPr>
        <w:ind w:firstLine="480"/>
        <w:rPr>
          <w:rFonts w:hint="eastAsia"/>
          <w:color w:val="auto"/>
          <w:highlight w:val="none"/>
        </w:rPr>
      </w:pPr>
      <w:r>
        <w:rPr>
          <w:rFonts w:hint="eastAsia"/>
          <w:color w:val="auto"/>
          <w:highlight w:val="none"/>
        </w:rPr>
        <w:t>2.乙方提供的货物在质保期内因货物本身的质量问题发生故障，乙方应负责免费更换。对达不到技术要求者，根据实际情况，经双方协商，可按以下办法处理：</w:t>
      </w:r>
    </w:p>
    <w:p>
      <w:pPr>
        <w:ind w:firstLine="480"/>
        <w:rPr>
          <w:rFonts w:hint="eastAsia"/>
          <w:color w:val="auto"/>
          <w:highlight w:val="none"/>
        </w:rPr>
      </w:pPr>
      <w:r>
        <w:rPr>
          <w:rFonts w:hint="eastAsia"/>
          <w:color w:val="auto"/>
          <w:highlight w:val="none"/>
        </w:rPr>
        <w:t>⑴更换：由乙方承担所发生的全部费用。</w:t>
      </w:r>
    </w:p>
    <w:p>
      <w:pPr>
        <w:ind w:firstLine="480"/>
        <w:rPr>
          <w:rFonts w:hint="eastAsia"/>
          <w:color w:val="auto"/>
          <w:highlight w:val="none"/>
        </w:rPr>
      </w:pPr>
      <w:r>
        <w:rPr>
          <w:rFonts w:hint="eastAsia"/>
          <w:color w:val="auto"/>
          <w:highlight w:val="none"/>
        </w:rPr>
        <w:t>⑵贬值处理：由甲乙双方合议定价。</w:t>
      </w:r>
    </w:p>
    <w:p>
      <w:pPr>
        <w:ind w:firstLine="480"/>
        <w:rPr>
          <w:rFonts w:hint="eastAsia"/>
          <w:color w:val="auto"/>
          <w:highlight w:val="none"/>
        </w:rPr>
      </w:pPr>
      <w:r>
        <w:rPr>
          <w:rFonts w:hint="eastAsia"/>
          <w:color w:val="auto"/>
          <w:highlight w:val="none"/>
        </w:rPr>
        <w:t>⑶退货处理：乙方应退还甲方支付的合同款，同时应承担该货物的直接费用（运输、保险、检验、货款利息及银行手续费等）。</w:t>
      </w:r>
    </w:p>
    <w:p>
      <w:pPr>
        <w:ind w:firstLine="480"/>
        <w:rPr>
          <w:rFonts w:hint="eastAsia"/>
          <w:color w:val="auto"/>
          <w:highlight w:val="none"/>
        </w:rPr>
      </w:pPr>
      <w:r>
        <w:rPr>
          <w:rFonts w:hint="eastAsia"/>
          <w:color w:val="auto"/>
          <w:highlight w:val="none"/>
        </w:rPr>
        <w:t>3.在质保期内，乙方应对货物出现的质量及安全问题负责处理解决并承担一切费用。人为破坏因素、自然因素等不可抗拒因素除外。</w:t>
      </w:r>
    </w:p>
    <w:p>
      <w:pPr>
        <w:ind w:firstLine="480"/>
        <w:rPr>
          <w:rFonts w:hint="eastAsia"/>
          <w:color w:val="auto"/>
          <w:highlight w:val="none"/>
        </w:rPr>
      </w:pPr>
      <w:r>
        <w:rPr>
          <w:rFonts w:hint="eastAsia"/>
          <w:color w:val="auto"/>
          <w:highlight w:val="none"/>
        </w:rPr>
        <w:t>4.上述的货物中原厂售后质量保证期为</w:t>
      </w:r>
      <w:bookmarkStart w:id="140" w:name="_GoBack"/>
      <w:bookmarkEnd w:id="140"/>
      <w:r>
        <w:rPr>
          <w:rFonts w:hint="eastAsia"/>
          <w:color w:val="auto"/>
          <w:highlight w:val="none"/>
          <w:u w:val="single"/>
        </w:rPr>
        <w:t xml:space="preserve">    </w:t>
      </w:r>
      <w:r>
        <w:rPr>
          <w:rFonts w:hint="eastAsia"/>
          <w:color w:val="auto"/>
          <w:highlight w:val="none"/>
        </w:rPr>
        <w:t>年，从交货验收合格后开始计算，在质保期内，当设备或软件遭到损坏或出现故障时，要在甲方报修之时起24小时内做出响应，并在72小时内到达现场，开展维修维护工作，视情况双方协商设备恢复正常运行时限。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其余保修条款详见投标文件和承诺表。</w:t>
      </w:r>
    </w:p>
    <w:p>
      <w:pPr>
        <w:ind w:firstLine="482"/>
        <w:rPr>
          <w:rFonts w:hint="eastAsia"/>
          <w:b/>
          <w:bCs/>
          <w:color w:val="auto"/>
          <w:highlight w:val="none"/>
        </w:rPr>
      </w:pPr>
      <w:r>
        <w:rPr>
          <w:rFonts w:hint="eastAsia"/>
          <w:b/>
          <w:bCs/>
          <w:color w:val="auto"/>
          <w:highlight w:val="none"/>
        </w:rPr>
        <w:t>第三条：技术资料</w:t>
      </w:r>
    </w:p>
    <w:p>
      <w:pPr>
        <w:ind w:firstLine="480"/>
        <w:rPr>
          <w:rFonts w:hint="eastAsia"/>
          <w:color w:val="auto"/>
          <w:highlight w:val="none"/>
        </w:rPr>
      </w:pPr>
      <w:r>
        <w:rPr>
          <w:rFonts w:hint="eastAsia"/>
          <w:color w:val="auto"/>
          <w:highlight w:val="none"/>
        </w:rPr>
        <w:t>1. 乙方应按公开招标文件规定的时间向甲方提供使用货物的有关技术资料。</w:t>
      </w:r>
    </w:p>
    <w:p>
      <w:pPr>
        <w:ind w:firstLine="482"/>
        <w:rPr>
          <w:rFonts w:hint="eastAsia"/>
          <w:b/>
          <w:bCs/>
          <w:color w:val="auto"/>
          <w:highlight w:val="none"/>
        </w:rPr>
      </w:pPr>
      <w:r>
        <w:rPr>
          <w:rFonts w:hint="eastAsia"/>
          <w:b/>
          <w:bCs/>
          <w:color w:val="auto"/>
          <w:highlight w:val="none"/>
        </w:rPr>
        <w:t>第四条：交货时间、地点</w:t>
      </w:r>
    </w:p>
    <w:p>
      <w:pPr>
        <w:ind w:firstLine="482"/>
        <w:rPr>
          <w:rFonts w:hint="eastAsia"/>
          <w:b/>
          <w:bCs/>
          <w:color w:val="auto"/>
          <w:highlight w:val="none"/>
        </w:rPr>
      </w:pPr>
    </w:p>
    <w:p>
      <w:pPr>
        <w:pStyle w:val="2"/>
        <w:ind w:firstLine="344"/>
        <w:rPr>
          <w:rFonts w:hint="eastAsia"/>
          <w:color w:val="auto"/>
          <w:highlight w:val="none"/>
        </w:rPr>
      </w:pPr>
    </w:p>
    <w:p>
      <w:pPr>
        <w:ind w:firstLine="482"/>
        <w:rPr>
          <w:rFonts w:hint="eastAsia"/>
          <w:b/>
          <w:bCs/>
          <w:color w:val="auto"/>
          <w:highlight w:val="none"/>
        </w:rPr>
      </w:pPr>
      <w:r>
        <w:rPr>
          <w:rFonts w:hint="eastAsia"/>
          <w:b/>
          <w:bCs/>
          <w:color w:val="auto"/>
          <w:highlight w:val="none"/>
        </w:rPr>
        <w:t>第五条：培训、安装调试与验收</w:t>
      </w:r>
    </w:p>
    <w:p>
      <w:pPr>
        <w:ind w:firstLine="480"/>
        <w:rPr>
          <w:rFonts w:hint="eastAsia"/>
          <w:color w:val="auto"/>
          <w:highlight w:val="none"/>
        </w:rPr>
      </w:pPr>
      <w:r>
        <w:rPr>
          <w:rFonts w:hint="eastAsia"/>
          <w:color w:val="auto"/>
          <w:highlight w:val="none"/>
        </w:rPr>
        <w:t>1.培训：</w:t>
      </w:r>
    </w:p>
    <w:p>
      <w:pPr>
        <w:ind w:firstLine="480"/>
        <w:rPr>
          <w:rFonts w:hint="eastAsia"/>
          <w:color w:val="auto"/>
          <w:highlight w:val="none"/>
        </w:rPr>
      </w:pPr>
      <w:r>
        <w:rPr>
          <w:rFonts w:hint="eastAsia"/>
          <w:color w:val="auto"/>
          <w:highlight w:val="none"/>
        </w:rPr>
        <w:t>1.1 技术培训乙方应免费提供每个用户单位2人次培训（达到熟练操作），免费向用户提供设备安装、调试以及软件技术培训。</w:t>
      </w:r>
    </w:p>
    <w:p>
      <w:pPr>
        <w:ind w:firstLine="480"/>
        <w:rPr>
          <w:rFonts w:hint="eastAsia"/>
          <w:color w:val="auto"/>
          <w:highlight w:val="none"/>
        </w:rPr>
      </w:pPr>
      <w:r>
        <w:rPr>
          <w:rFonts w:hint="eastAsia"/>
          <w:color w:val="auto"/>
          <w:highlight w:val="none"/>
        </w:rPr>
        <w:t>1.2乙方须为技术管理进行详细培训。</w:t>
      </w:r>
    </w:p>
    <w:p>
      <w:pPr>
        <w:ind w:firstLine="480"/>
        <w:rPr>
          <w:rFonts w:hint="eastAsia"/>
          <w:color w:val="auto"/>
          <w:highlight w:val="none"/>
        </w:rPr>
      </w:pPr>
      <w:r>
        <w:rPr>
          <w:rFonts w:hint="eastAsia"/>
          <w:color w:val="auto"/>
          <w:highlight w:val="none"/>
        </w:rPr>
        <w:t>1.3技术培训内容包括：设备工作原理、使用方法、日常维护及一般常见故障的诊断及排除等。并在培训时免费提供完整的培训资料，其中包括使用说明、工作原理、技术图纸、注意事项、安装调试。</w:t>
      </w:r>
    </w:p>
    <w:p>
      <w:pPr>
        <w:ind w:firstLine="480"/>
        <w:rPr>
          <w:rFonts w:hint="eastAsia"/>
          <w:color w:val="auto"/>
          <w:highlight w:val="none"/>
        </w:rPr>
      </w:pPr>
      <w:r>
        <w:rPr>
          <w:rFonts w:hint="eastAsia"/>
          <w:color w:val="auto"/>
          <w:highlight w:val="none"/>
        </w:rPr>
        <w:t>2.安装调试 ：</w:t>
      </w:r>
    </w:p>
    <w:p>
      <w:pPr>
        <w:ind w:firstLine="480"/>
        <w:rPr>
          <w:rFonts w:hint="eastAsia"/>
          <w:color w:val="auto"/>
          <w:highlight w:val="none"/>
        </w:rPr>
      </w:pPr>
      <w:r>
        <w:rPr>
          <w:rFonts w:hint="eastAsia"/>
          <w:color w:val="auto"/>
          <w:highlight w:val="none"/>
        </w:rPr>
        <w:t>2.1 安装地点：甲方指定地点。</w:t>
      </w:r>
    </w:p>
    <w:p>
      <w:pPr>
        <w:ind w:firstLine="480"/>
        <w:rPr>
          <w:color w:val="auto"/>
          <w:highlight w:val="none"/>
        </w:rPr>
      </w:pPr>
      <w:r>
        <w:rPr>
          <w:rFonts w:hint="eastAsia"/>
          <w:color w:val="auto"/>
          <w:highlight w:val="none"/>
        </w:rPr>
        <w:t xml:space="preserve">2.2 安装完成时间： 。  </w:t>
      </w:r>
    </w:p>
    <w:p>
      <w:pPr>
        <w:ind w:firstLine="480"/>
        <w:rPr>
          <w:rFonts w:hint="eastAsia"/>
          <w:color w:val="auto"/>
          <w:highlight w:val="none"/>
        </w:rPr>
      </w:pPr>
      <w:r>
        <w:rPr>
          <w:rFonts w:hint="eastAsia"/>
          <w:color w:val="auto"/>
          <w:highlight w:val="none"/>
        </w:rPr>
        <w:t>2.4 乙方免费提供合同货物的安装服务。</w:t>
      </w:r>
    </w:p>
    <w:p>
      <w:pPr>
        <w:ind w:firstLine="480"/>
        <w:rPr>
          <w:rFonts w:hint="eastAsia"/>
          <w:color w:val="auto"/>
          <w:highlight w:val="none"/>
        </w:rPr>
      </w:pPr>
      <w:r>
        <w:rPr>
          <w:rFonts w:hint="eastAsia"/>
          <w:color w:val="auto"/>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pPr>
        <w:ind w:firstLine="482"/>
        <w:rPr>
          <w:rFonts w:hint="eastAsia"/>
          <w:b/>
          <w:bCs/>
          <w:color w:val="auto"/>
          <w:highlight w:val="none"/>
        </w:rPr>
      </w:pPr>
      <w:r>
        <w:rPr>
          <w:rFonts w:hint="eastAsia"/>
          <w:b/>
          <w:bCs/>
          <w:color w:val="auto"/>
          <w:highlight w:val="none"/>
        </w:rPr>
        <w:t>第六条：货款的支付</w:t>
      </w:r>
    </w:p>
    <w:p>
      <w:pPr>
        <w:ind w:firstLine="480"/>
        <w:rPr>
          <w:color w:val="auto"/>
          <w:highlight w:val="none"/>
        </w:rPr>
      </w:pPr>
      <w:r>
        <w:rPr>
          <w:rFonts w:hint="eastAsia"/>
          <w:color w:val="auto"/>
          <w:highlight w:val="none"/>
        </w:rPr>
        <w:t>1.履约保证金：乙方应在签订合同后向甲方缴纳</w:t>
      </w:r>
      <w:r>
        <w:rPr>
          <w:color w:val="auto"/>
          <w:highlight w:val="none"/>
        </w:rPr>
        <w:t>5%</w:t>
      </w:r>
      <w:r>
        <w:rPr>
          <w:rFonts w:hint="eastAsia"/>
          <w:color w:val="auto"/>
          <w:highlight w:val="none"/>
        </w:rPr>
        <w:t>的履约保证金，在合同规定的质保期内无质量问题和维护问题后退还（不计息）。</w:t>
      </w:r>
    </w:p>
    <w:p>
      <w:pPr>
        <w:ind w:left="240" w:leftChars="100" w:firstLine="240" w:firstLineChars="100"/>
        <w:rPr>
          <w:rFonts w:hint="eastAsia"/>
          <w:color w:val="auto"/>
          <w:highlight w:val="none"/>
        </w:rPr>
      </w:pPr>
      <w:r>
        <w:rPr>
          <w:rFonts w:hint="eastAsia"/>
          <w:color w:val="auto"/>
          <w:highlight w:val="none"/>
        </w:rPr>
        <w:t>2.付款方式：在收到乙方的履约保证金后支付合同金额30%的预付款，即人民币</w:t>
      </w:r>
      <w:r>
        <w:rPr>
          <w:rFonts w:hint="eastAsia"/>
          <w:color w:val="auto"/>
          <w:highlight w:val="none"/>
          <w:u w:val="single"/>
        </w:rPr>
        <w:t xml:space="preserve">       ，</w:t>
      </w:r>
      <w:r>
        <w:rPr>
          <w:rFonts w:hint="eastAsia"/>
          <w:color w:val="auto"/>
          <w:highlight w:val="none"/>
        </w:rPr>
        <w:t>在货物送达并且系统经乙方安装调试完毕，再经甲方验收合格后，由甲方向乙方支付剩余合同款项，即人民币</w:t>
      </w:r>
      <w:r>
        <w:rPr>
          <w:rFonts w:hint="eastAsia"/>
          <w:color w:val="auto"/>
          <w:highlight w:val="none"/>
          <w:u w:val="single"/>
        </w:rPr>
        <w:t xml:space="preserve">      </w:t>
      </w:r>
      <w:r>
        <w:rPr>
          <w:rFonts w:hint="eastAsia"/>
          <w:color w:val="auto"/>
          <w:highlight w:val="none"/>
        </w:rPr>
        <w:t>元整。</w:t>
      </w:r>
    </w:p>
    <w:p>
      <w:pPr>
        <w:ind w:firstLine="482"/>
        <w:rPr>
          <w:rFonts w:hint="eastAsia"/>
          <w:b/>
          <w:bCs/>
          <w:color w:val="auto"/>
          <w:highlight w:val="none"/>
        </w:rPr>
      </w:pPr>
      <w:r>
        <w:rPr>
          <w:rFonts w:hint="eastAsia"/>
          <w:b/>
          <w:bCs/>
          <w:color w:val="auto"/>
          <w:highlight w:val="none"/>
        </w:rPr>
        <w:t>第七条：违约责任</w:t>
      </w:r>
    </w:p>
    <w:p>
      <w:pPr>
        <w:ind w:firstLine="480"/>
        <w:rPr>
          <w:rFonts w:hint="eastAsia"/>
          <w:color w:val="auto"/>
          <w:highlight w:val="none"/>
        </w:rPr>
      </w:pPr>
      <w:r>
        <w:rPr>
          <w:rFonts w:hint="eastAsia"/>
          <w:color w:val="auto"/>
          <w:highlight w:val="none"/>
        </w:rPr>
        <w:t>1．乙方逾期履行合同的，自逾期之日起，向甲方每周偿付合同总价千分之五的滞纳金。</w:t>
      </w:r>
    </w:p>
    <w:p>
      <w:pPr>
        <w:ind w:firstLine="480"/>
        <w:rPr>
          <w:rFonts w:hint="eastAsia"/>
          <w:color w:val="auto"/>
          <w:highlight w:val="none"/>
        </w:rPr>
      </w:pPr>
      <w:r>
        <w:rPr>
          <w:rFonts w:hint="eastAsia"/>
          <w:color w:val="auto"/>
          <w:highlight w:val="none"/>
        </w:rPr>
        <w:t>2．甲方逾期支付货款的，自逾期之日起，向乙方每周偿付未付价款千分之五的滞纳金。</w:t>
      </w:r>
    </w:p>
    <w:p>
      <w:pPr>
        <w:ind w:firstLine="480"/>
        <w:rPr>
          <w:rFonts w:hint="eastAsia"/>
          <w:color w:val="auto"/>
          <w:highlight w:val="none"/>
        </w:rPr>
      </w:pPr>
      <w:r>
        <w:rPr>
          <w:rFonts w:hint="eastAsia"/>
          <w:color w:val="auto"/>
          <w:highlight w:val="none"/>
        </w:rPr>
        <w:t>3．如验收不能达到质量功能（性能）标准，应及时处理直至验收合格，所需费用由乙方承担。</w:t>
      </w:r>
    </w:p>
    <w:p>
      <w:pPr>
        <w:ind w:firstLine="480"/>
        <w:rPr>
          <w:rFonts w:hint="eastAsia"/>
          <w:color w:val="auto"/>
          <w:highlight w:val="none"/>
        </w:rPr>
      </w:pPr>
      <w:r>
        <w:rPr>
          <w:rFonts w:hint="eastAsia"/>
          <w:color w:val="auto"/>
          <w:highlight w:val="none"/>
        </w:rPr>
        <w:t>4、如甲方未能按合同规定向乙方付款，在乙方书面通知</w:t>
      </w:r>
      <w:r>
        <w:rPr>
          <w:color w:val="auto"/>
          <w:highlight w:val="none"/>
        </w:rPr>
        <w:t>30</w:t>
      </w:r>
      <w:r>
        <w:rPr>
          <w:rFonts w:hint="eastAsia"/>
          <w:color w:val="auto"/>
          <w:highlight w:val="none"/>
        </w:rPr>
        <w:t>天内仍不付款，乙方有权终止履行合同并要求甲方支付已完成的未付工程量价款。</w:t>
      </w:r>
    </w:p>
    <w:p>
      <w:pPr>
        <w:ind w:firstLine="482"/>
        <w:rPr>
          <w:rFonts w:hint="eastAsia"/>
          <w:b/>
          <w:bCs/>
          <w:color w:val="auto"/>
          <w:highlight w:val="none"/>
        </w:rPr>
      </w:pPr>
      <w:r>
        <w:rPr>
          <w:rFonts w:hint="eastAsia"/>
          <w:b/>
          <w:bCs/>
          <w:color w:val="auto"/>
          <w:highlight w:val="none"/>
        </w:rPr>
        <w:t>第八条：不可抗力事件处理</w:t>
      </w:r>
    </w:p>
    <w:p>
      <w:pPr>
        <w:ind w:firstLine="480"/>
        <w:rPr>
          <w:rFonts w:hint="eastAsia"/>
          <w:color w:val="auto"/>
          <w:highlight w:val="none"/>
        </w:rPr>
      </w:pPr>
      <w:r>
        <w:rPr>
          <w:rFonts w:hint="eastAsia"/>
          <w:color w:val="auto"/>
          <w:highlight w:val="none"/>
        </w:rPr>
        <w:t>1. 在合同有效期内，任何一方因不可抗力事件导致不能履行合同，则合同履行期可延长，其延长期与不可抗力影响期相同。</w:t>
      </w:r>
    </w:p>
    <w:p>
      <w:pPr>
        <w:ind w:firstLine="480"/>
        <w:rPr>
          <w:rFonts w:hint="eastAsia"/>
          <w:color w:val="auto"/>
          <w:highlight w:val="none"/>
        </w:rPr>
      </w:pPr>
      <w:r>
        <w:rPr>
          <w:rFonts w:hint="eastAsia"/>
          <w:color w:val="auto"/>
          <w:highlight w:val="none"/>
        </w:rPr>
        <w:t>2. 不可抗力事件延续120天以上，双方应通过友好协商，确定是否继续履行合同。</w:t>
      </w:r>
    </w:p>
    <w:p>
      <w:pPr>
        <w:ind w:firstLine="482"/>
        <w:rPr>
          <w:rFonts w:hint="eastAsia"/>
          <w:b/>
          <w:bCs/>
          <w:color w:val="auto"/>
          <w:highlight w:val="none"/>
        </w:rPr>
      </w:pPr>
      <w:r>
        <w:rPr>
          <w:rFonts w:hint="eastAsia"/>
          <w:b/>
          <w:bCs/>
          <w:color w:val="auto"/>
          <w:highlight w:val="none"/>
        </w:rPr>
        <w:t>第九条：争议解决</w:t>
      </w:r>
    </w:p>
    <w:p>
      <w:pPr>
        <w:ind w:firstLine="480"/>
        <w:rPr>
          <w:rFonts w:hint="eastAsia"/>
          <w:color w:val="auto"/>
          <w:highlight w:val="none"/>
        </w:rPr>
      </w:pPr>
      <w:r>
        <w:rPr>
          <w:rFonts w:hint="eastAsia"/>
          <w:color w:val="auto"/>
          <w:highlight w:val="none"/>
        </w:rPr>
        <w:t>本合同未尽事宜由三方协商解决，如协商不成，三方同意将本合同引起的争议提交杭州仲裁委员会仲裁解决，仲裁为终局。</w:t>
      </w:r>
    </w:p>
    <w:p>
      <w:pPr>
        <w:ind w:firstLine="482"/>
        <w:rPr>
          <w:rFonts w:hint="eastAsia"/>
          <w:b/>
          <w:bCs/>
          <w:color w:val="auto"/>
          <w:highlight w:val="none"/>
        </w:rPr>
      </w:pPr>
      <w:r>
        <w:rPr>
          <w:rFonts w:hint="eastAsia"/>
          <w:b/>
          <w:bCs/>
          <w:color w:val="auto"/>
          <w:highlight w:val="none"/>
        </w:rPr>
        <w:t>第十条：合同生效</w:t>
      </w:r>
    </w:p>
    <w:p>
      <w:pPr>
        <w:ind w:firstLine="480"/>
        <w:rPr>
          <w:rFonts w:hint="eastAsia"/>
          <w:color w:val="auto"/>
          <w:highlight w:val="none"/>
        </w:rPr>
      </w:pPr>
      <w:r>
        <w:rPr>
          <w:rFonts w:hint="eastAsia"/>
          <w:color w:val="auto"/>
          <w:highlight w:val="none"/>
        </w:rPr>
        <w:t>1. 合同经双方法定代表人或授权代表签字并加盖单位公章后生效。</w:t>
      </w:r>
    </w:p>
    <w:p>
      <w:pPr>
        <w:ind w:firstLine="480"/>
        <w:rPr>
          <w:rFonts w:hint="eastAsia"/>
          <w:color w:val="auto"/>
          <w:highlight w:val="none"/>
        </w:rPr>
      </w:pPr>
      <w:r>
        <w:rPr>
          <w:rFonts w:hint="eastAsia"/>
          <w:color w:val="auto"/>
          <w:highlight w:val="none"/>
        </w:rPr>
        <w:t>2. 合同执行中涉及采购资金和采购内容修改或补充的，须经财政部门审批，并签书面补充协议报政府采购监督管理部门备案，方可作为主合同不可分割的一部分。</w:t>
      </w:r>
    </w:p>
    <w:p>
      <w:pPr>
        <w:ind w:firstLine="480"/>
        <w:rPr>
          <w:rFonts w:hint="eastAsia"/>
          <w:color w:val="auto"/>
          <w:highlight w:val="none"/>
        </w:rPr>
      </w:pPr>
      <w:r>
        <w:rPr>
          <w:rFonts w:hint="eastAsia"/>
          <w:color w:val="auto"/>
          <w:highlight w:val="none"/>
        </w:rPr>
        <w:t>3. 本合同未尽事宜，遵照《民法典》有关条文执行。</w:t>
      </w:r>
    </w:p>
    <w:p>
      <w:pPr>
        <w:ind w:firstLine="480"/>
        <w:rPr>
          <w:rFonts w:hint="eastAsia"/>
          <w:color w:val="auto"/>
          <w:highlight w:val="none"/>
        </w:rPr>
      </w:pPr>
      <w:r>
        <w:rPr>
          <w:rFonts w:hint="eastAsia"/>
          <w:color w:val="auto"/>
          <w:highlight w:val="none"/>
        </w:rPr>
        <w:t>4. 本合同一式  份，甲方执 份，乙方执  份，采购代理机构执贰份，经三方签字、盖公章后生效。</w:t>
      </w:r>
    </w:p>
    <w:p>
      <w:pPr>
        <w:ind w:firstLine="480"/>
        <w:rPr>
          <w:rFonts w:hint="eastAsia"/>
          <w:color w:val="auto"/>
          <w:highlight w:val="none"/>
        </w:rPr>
      </w:pPr>
      <w:r>
        <w:rPr>
          <w:rFonts w:hint="eastAsia"/>
          <w:color w:val="auto"/>
          <w:highlight w:val="none"/>
        </w:rPr>
        <w:t>5.相关招标文件、投标文件、询标承诺等与本合同具有同等法律效力。</w:t>
      </w:r>
    </w:p>
    <w:p>
      <w:pPr>
        <w:ind w:firstLine="562"/>
        <w:jc w:val="center"/>
        <w:rPr>
          <w:rFonts w:hint="eastAsia" w:ascii="宋体" w:hAnsi="宋体" w:cs="宋体"/>
          <w:b/>
          <w:color w:val="auto"/>
          <w:spacing w:val="20"/>
          <w:highlight w:val="none"/>
        </w:rPr>
      </w:pPr>
    </w:p>
    <w:p>
      <w:pPr>
        <w:ind w:firstLine="482"/>
        <w:rPr>
          <w:rFonts w:hint="eastAsia" w:ascii="宋体" w:hAnsi="宋体" w:cs="宋体"/>
          <w:bCs/>
          <w:color w:val="auto"/>
          <w:kern w:val="1"/>
          <w:highlight w:val="none"/>
        </w:rPr>
      </w:pPr>
      <w:r>
        <w:rPr>
          <w:rFonts w:hint="eastAsia" w:ascii="宋体" w:hAnsi="宋体" w:cs="宋体"/>
          <w:b/>
          <w:color w:val="auto"/>
          <w:kern w:val="1"/>
          <w:highlight w:val="none"/>
          <w:lang w:bidi="ar"/>
        </w:rPr>
        <w:t>甲方（盖章）</w:t>
      </w:r>
      <w:r>
        <w:rPr>
          <w:rFonts w:hint="eastAsia" w:ascii="宋体" w:hAnsi="宋体" w:cs="宋体"/>
          <w:bCs/>
          <w:color w:val="auto"/>
          <w:kern w:val="1"/>
          <w:highlight w:val="none"/>
          <w:lang w:bidi="ar"/>
        </w:rPr>
        <w:t xml:space="preserve">：中国美术学院                  </w:t>
      </w:r>
      <w:r>
        <w:rPr>
          <w:rFonts w:hint="eastAsia" w:ascii="宋体" w:hAnsi="宋体" w:cs="宋体"/>
          <w:b/>
          <w:color w:val="auto"/>
          <w:kern w:val="1"/>
          <w:highlight w:val="none"/>
          <w:lang w:bidi="ar"/>
        </w:rPr>
        <w:t>乙方（盖章）</w:t>
      </w:r>
      <w:r>
        <w:rPr>
          <w:rFonts w:hint="eastAsia" w:ascii="宋体" w:hAnsi="宋体" w:cs="宋体"/>
          <w:bCs/>
          <w:color w:val="auto"/>
          <w:kern w:val="1"/>
          <w:highlight w:val="none"/>
          <w:lang w:bidi="ar"/>
        </w:rPr>
        <w:t>：</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法定代表人或受委托人：                     法定代表人或受委托人：</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（签字）                                     （签字）</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地址：杭州市南山路218号                   地址：</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邮编：                                     邮编：</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电话：                                     电话：</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 xml:space="preserve">户名：中国美术学院                         户名： </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开户银行：工行湖滨支行                     开户银行：</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账号：1202024409014432078                  账号：</w:t>
      </w:r>
    </w:p>
    <w:p>
      <w:pPr>
        <w:ind w:left="5760" w:leftChars="200" w:hanging="5280" w:hangingChars="2200"/>
        <w:rPr>
          <w:rFonts w:hint="eastAsia" w:ascii="宋体" w:hAnsi="宋体" w:cs="宋体"/>
          <w:bCs/>
          <w:color w:val="auto"/>
          <w:kern w:val="1"/>
          <w:highlight w:val="none"/>
        </w:rPr>
      </w:pPr>
      <w:r>
        <w:rPr>
          <w:rFonts w:hint="eastAsia" w:ascii="宋体" w:hAnsi="宋体" w:cs="宋体"/>
          <w:bCs/>
          <w:color w:val="auto"/>
          <w:kern w:val="1"/>
          <w:highlight w:val="none"/>
          <w:lang w:bidi="ar"/>
        </w:rPr>
        <w:t>纳税人识别号（统一社会信用代码）：          纳税人识别号（统一社会信用代码）：</w:t>
      </w:r>
    </w:p>
    <w:p>
      <w:pPr>
        <w:ind w:firstLine="480"/>
        <w:rPr>
          <w:rFonts w:hint="eastAsia" w:ascii="宋体" w:hAnsi="宋体" w:cs="宋体"/>
          <w:bCs/>
          <w:color w:val="auto"/>
          <w:kern w:val="1"/>
          <w:highlight w:val="none"/>
        </w:rPr>
      </w:pPr>
      <w:r>
        <w:rPr>
          <w:rFonts w:hint="eastAsia" w:ascii="宋体" w:hAnsi="宋体" w:cs="宋体"/>
          <w:bCs/>
          <w:color w:val="auto"/>
          <w:kern w:val="1"/>
          <w:highlight w:val="none"/>
          <w:lang w:bidi="ar"/>
        </w:rPr>
        <w:t>（注：所有发票需开“增值税专用发票”）</w:t>
      </w:r>
    </w:p>
    <w:p>
      <w:pPr>
        <w:ind w:firstLine="482"/>
        <w:rPr>
          <w:rFonts w:hint="eastAsia" w:ascii="宋体" w:hAnsi="宋体" w:cs="宋体"/>
          <w:b/>
          <w:color w:val="auto"/>
          <w:kern w:val="1"/>
          <w:highlight w:val="none"/>
        </w:rPr>
      </w:pPr>
    </w:p>
    <w:p>
      <w:pPr>
        <w:ind w:firstLine="482"/>
        <w:rPr>
          <w:rFonts w:hint="eastAsia" w:ascii="宋体" w:hAnsi="宋体" w:cs="宋体"/>
          <w:color w:val="auto"/>
          <w:kern w:val="1"/>
          <w:highlight w:val="none"/>
        </w:rPr>
      </w:pPr>
      <w:r>
        <w:rPr>
          <w:rFonts w:hint="eastAsia" w:ascii="宋体" w:hAnsi="宋体" w:cs="宋体"/>
          <w:b/>
          <w:color w:val="auto"/>
          <w:kern w:val="1"/>
          <w:highlight w:val="none"/>
          <w:lang w:bidi="ar"/>
        </w:rPr>
        <w:t>采购代理机构：浙江省国际技术设备招标有限公司</w:t>
      </w:r>
    </w:p>
    <w:p>
      <w:pPr>
        <w:ind w:firstLine="480"/>
        <w:rPr>
          <w:rFonts w:hint="eastAsia" w:ascii="宋体" w:hAnsi="宋体" w:cs="宋体"/>
          <w:color w:val="auto"/>
          <w:kern w:val="1"/>
          <w:highlight w:val="none"/>
          <w:lang w:bidi="ar"/>
        </w:rPr>
      </w:pPr>
      <w:r>
        <w:rPr>
          <w:rFonts w:hint="eastAsia" w:ascii="宋体" w:hAnsi="宋体" w:cs="宋体"/>
          <w:color w:val="auto"/>
          <w:kern w:val="1"/>
          <w:highlight w:val="none"/>
          <w:lang w:bidi="ar"/>
        </w:rPr>
        <w:t>地址：</w:t>
      </w:r>
      <w:r>
        <w:rPr>
          <w:rFonts w:hint="eastAsia" w:ascii="宋体" w:hAnsi="宋体" w:cs="宋体"/>
          <w:color w:val="auto"/>
          <w:highlight w:val="none"/>
        </w:rPr>
        <w:t>杭州市凤起路334号同方财富大厦14层</w:t>
      </w:r>
      <w:r>
        <w:rPr>
          <w:rFonts w:hint="eastAsia" w:ascii="宋体" w:hAnsi="宋体" w:cs="宋体"/>
          <w:color w:val="auto"/>
          <w:kern w:val="1"/>
          <w:highlight w:val="none"/>
          <w:lang w:bidi="ar"/>
        </w:rPr>
        <w:t xml:space="preserve">               </w:t>
      </w:r>
    </w:p>
    <w:p>
      <w:pPr>
        <w:ind w:firstLine="480"/>
        <w:rPr>
          <w:rFonts w:hint="eastAsia" w:ascii="宋体" w:hAnsi="宋体" w:cs="宋体"/>
          <w:color w:val="auto"/>
          <w:kern w:val="1"/>
          <w:highlight w:val="none"/>
        </w:rPr>
      </w:pPr>
      <w:r>
        <w:rPr>
          <w:rFonts w:hint="eastAsia" w:ascii="宋体" w:hAnsi="宋体" w:cs="宋体"/>
          <w:color w:val="auto"/>
          <w:kern w:val="1"/>
          <w:highlight w:val="none"/>
          <w:lang w:bidi="ar"/>
        </w:rPr>
        <w:t>授权代表：</w:t>
      </w:r>
    </w:p>
    <w:p>
      <w:pPr>
        <w:ind w:firstLine="480"/>
        <w:rPr>
          <w:rFonts w:hint="eastAsia" w:ascii="宋体" w:hAnsi="宋体" w:cs="宋体"/>
          <w:color w:val="auto"/>
          <w:kern w:val="1"/>
          <w:highlight w:val="none"/>
          <w:lang w:bidi="ar"/>
        </w:rPr>
      </w:pPr>
      <w:r>
        <w:rPr>
          <w:rFonts w:hint="eastAsia" w:ascii="宋体" w:hAnsi="宋体" w:cs="宋体"/>
          <w:color w:val="auto"/>
          <w:kern w:val="1"/>
          <w:highlight w:val="none"/>
          <w:lang w:bidi="ar"/>
        </w:rPr>
        <w:t>鉴证时间：</w:t>
      </w:r>
    </w:p>
    <w:p>
      <w:pPr>
        <w:pStyle w:val="2"/>
        <w:ind w:firstLine="344"/>
        <w:rPr>
          <w:rFonts w:hint="eastAsia"/>
          <w:color w:val="auto"/>
          <w:highlight w:val="none"/>
        </w:rPr>
      </w:pPr>
    </w:p>
    <w:p>
      <w:pPr>
        <w:snapToGrid w:val="0"/>
        <w:ind w:firstLine="480"/>
        <w:rPr>
          <w:rFonts w:hint="eastAsia" w:ascii="宋体" w:hAnsi="宋体" w:cs="宋体"/>
          <w:color w:val="auto"/>
          <w:highlight w:val="none"/>
        </w:rPr>
      </w:pPr>
      <w:r>
        <w:rPr>
          <w:rFonts w:hint="eastAsia" w:ascii="宋体" w:hAnsi="宋体" w:cs="宋体"/>
          <w:color w:val="auto"/>
          <w:highlight w:val="none"/>
          <w:lang w:bidi="ar"/>
        </w:rPr>
        <w:t>注：各投标人应对招标文件《合同条款》中的条款全部响应，如有偏离需在商务条款偏离表中注明。</w:t>
      </w:r>
    </w:p>
    <w:p>
      <w:pPr>
        <w:spacing w:line="288" w:lineRule="auto"/>
        <w:ind w:firstLine="480"/>
        <w:jc w:val="right"/>
        <w:rPr>
          <w:rFonts w:hint="eastAsia" w:ascii="宋体" w:hAnsi="宋体" w:cs="宋体"/>
          <w:color w:val="auto"/>
          <w:highlight w:val="none"/>
        </w:rPr>
      </w:pPr>
      <w:r>
        <w:rPr>
          <w:rFonts w:hint="eastAsia" w:ascii="宋体" w:hAnsi="宋体" w:cs="宋体"/>
          <w:color w:val="auto"/>
          <w:highlight w:val="none"/>
        </w:rPr>
        <w:br w:type="page"/>
      </w:r>
    </w:p>
    <w:p>
      <w:pPr>
        <w:adjustRightInd w:val="0"/>
        <w:snapToGrid w:val="0"/>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廉洁协议书</w:t>
      </w:r>
    </w:p>
    <w:p>
      <w:pPr>
        <w:adjustRightInd w:val="0"/>
        <w:snapToGrid w:val="0"/>
        <w:ind w:firstLine="480"/>
        <w:rPr>
          <w:rFonts w:hint="eastAsia" w:ascii="宋体" w:hAnsi="宋体" w:cs="宋体"/>
          <w:color w:val="auto"/>
          <w:szCs w:val="21"/>
          <w:highlight w:val="none"/>
        </w:rPr>
      </w:pPr>
    </w:p>
    <w:p>
      <w:pPr>
        <w:adjustRightInd w:val="0"/>
        <w:snapToGrid w:val="0"/>
        <w:ind w:firstLine="482"/>
        <w:rPr>
          <w:rFonts w:hint="eastAsia" w:ascii="宋体" w:hAnsi="宋体" w:cs="宋体"/>
          <w:b/>
          <w:color w:val="auto"/>
          <w:highlight w:val="none"/>
        </w:rPr>
      </w:pPr>
      <w:r>
        <w:rPr>
          <w:rFonts w:hint="eastAsia" w:ascii="宋体" w:hAnsi="宋体" w:cs="宋体"/>
          <w:b/>
          <w:color w:val="auto"/>
          <w:highlight w:val="none"/>
        </w:rPr>
        <w:t>甲方：中国美术学院</w:t>
      </w:r>
    </w:p>
    <w:p>
      <w:pPr>
        <w:adjustRightInd w:val="0"/>
        <w:snapToGrid w:val="0"/>
        <w:ind w:firstLine="482"/>
        <w:rPr>
          <w:rFonts w:hint="eastAsia" w:ascii="宋体" w:hAnsi="宋体" w:cs="宋体"/>
          <w:b/>
          <w:color w:val="auto"/>
          <w:highlight w:val="none"/>
        </w:rPr>
      </w:pPr>
      <w:r>
        <w:rPr>
          <w:rFonts w:hint="eastAsia" w:ascii="宋体" w:hAnsi="宋体" w:cs="宋体"/>
          <w:b/>
          <w:color w:val="auto"/>
          <w:highlight w:val="none"/>
        </w:rPr>
        <w:t xml:space="preserve">乙方： </w:t>
      </w:r>
    </w:p>
    <w:p>
      <w:pPr>
        <w:adjustRightInd w:val="0"/>
        <w:snapToGrid w:val="0"/>
        <w:ind w:firstLine="480"/>
        <w:rPr>
          <w:rFonts w:hint="eastAsia" w:ascii="宋体" w:hAnsi="宋体" w:cs="宋体"/>
          <w:color w:val="auto"/>
          <w:kern w:val="0"/>
          <w:highlight w:val="none"/>
        </w:rPr>
      </w:pPr>
      <w:r>
        <w:rPr>
          <w:rFonts w:hint="eastAsia" w:ascii="宋体" w:hAnsi="宋体" w:cs="宋体"/>
          <w:color w:val="auto"/>
          <w:highlight w:val="none"/>
        </w:rPr>
        <w:t>项目名称：</w:t>
      </w:r>
      <w:r>
        <w:rPr>
          <w:rFonts w:hint="eastAsia" w:ascii="宋体" w:hAnsi="宋体" w:cs="宋体"/>
          <w:color w:val="auto"/>
          <w:kern w:val="0"/>
          <w:highlight w:val="none"/>
        </w:rPr>
        <w:t xml:space="preserve"> </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为了保持廉政自律的工作作风，防止各种不正当行为的发生，根据国家和省市有关廉政建设的各项规定，结合项目的特点，订立本协议如下：</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一、甲乙双方应当自觉遵守关于廉政建设的各项规定。</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二、甲方及其工作人员不得以任何形式向乙方索要和收受回扣等好处费。</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三、甲方工作人员应当保持与乙方的正常业务交往，不得接受乙方的现金、有价证券和贵重物品，不得在乙方报销任何应有个人支付的费用。</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四、甲方工作人员不得参加可能对公正执行公务有影响的宴请和娱乐活动。</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五、甲方工作人员不得要求接受乙方为其住房装修、婚丧嫁娶、家属和子女的工作安排以及出国等提供方便。</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六、甲方工作人员不得向乙方介绍家属或者亲友从事与甲方项目有关的经济活动。</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七、乙方应当通过正常途径开展业务工作，不得为获取某些不正当利益而向甲方工作人员赠送礼金、有价证券和贵重物品等。</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八、乙方不得为谋取私利擅自与甲方工作人员进行私下商谈或者达成默契。</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九、乙方不得以洽谈业务、签订经济合同为借口，邀请甲方工作人员外出旅游和进入高档娱乐性场所。</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十、乙方不得为甲方和个人购置或者提供通讯工具、家电、高档办公用品等物品。</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十三、严格执行中纪委下发的中纪发【2007】7号《中共中央纪委关于严格禁止利用职务上的便利谋取不正当利益的若干规定》。</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十四、本廉政协议作为合同的附件，与合同具有同等法律效力，经协议双方签署后立即生效。</w:t>
      </w: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十五、本协议一式两份，甲、乙双方各执一份。</w:t>
      </w:r>
    </w:p>
    <w:p>
      <w:pPr>
        <w:adjustRightInd w:val="0"/>
        <w:snapToGrid w:val="0"/>
        <w:ind w:firstLine="480"/>
        <w:rPr>
          <w:rFonts w:hint="eastAsia" w:ascii="宋体" w:hAnsi="宋体" w:cs="宋体"/>
          <w:color w:val="auto"/>
          <w:highlight w:val="none"/>
        </w:rPr>
      </w:pP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甲方（公章）：                                     乙方（公章）：</w:t>
      </w:r>
    </w:p>
    <w:p>
      <w:pPr>
        <w:adjustRightInd w:val="0"/>
        <w:snapToGrid w:val="0"/>
        <w:ind w:firstLine="480"/>
        <w:rPr>
          <w:rFonts w:hint="eastAsia" w:ascii="宋体" w:hAnsi="宋体" w:cs="宋体"/>
          <w:color w:val="auto"/>
          <w:highlight w:val="none"/>
        </w:rPr>
      </w:pP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法定代表人：                                      法定代表人：</w:t>
      </w:r>
    </w:p>
    <w:p>
      <w:pPr>
        <w:adjustRightInd w:val="0"/>
        <w:snapToGrid w:val="0"/>
        <w:ind w:firstLine="480"/>
        <w:rPr>
          <w:rFonts w:hint="eastAsia" w:ascii="宋体" w:hAnsi="宋体" w:cs="宋体"/>
          <w:color w:val="auto"/>
          <w:highlight w:val="none"/>
        </w:rPr>
      </w:pPr>
    </w:p>
    <w:p>
      <w:pPr>
        <w:adjustRightInd w:val="0"/>
        <w:snapToGrid w:val="0"/>
        <w:ind w:firstLine="480"/>
        <w:rPr>
          <w:rFonts w:hint="eastAsia" w:ascii="宋体" w:hAnsi="宋体" w:cs="宋体"/>
          <w:color w:val="auto"/>
          <w:highlight w:val="none"/>
        </w:rPr>
      </w:pPr>
      <w:r>
        <w:rPr>
          <w:rFonts w:hint="eastAsia" w:ascii="宋体" w:hAnsi="宋体" w:cs="宋体"/>
          <w:color w:val="auto"/>
          <w:highlight w:val="none"/>
        </w:rPr>
        <w:t>或委托代理人：                                    或委托代理人：</w:t>
      </w:r>
    </w:p>
    <w:p>
      <w:pPr>
        <w:adjustRightInd w:val="0"/>
        <w:snapToGrid w:val="0"/>
        <w:ind w:firstLine="480"/>
        <w:rPr>
          <w:rFonts w:hint="eastAsia" w:ascii="宋体" w:hAnsi="宋体" w:cs="宋体"/>
          <w:color w:val="auto"/>
          <w:highlight w:val="none"/>
        </w:rPr>
      </w:pPr>
    </w:p>
    <w:p>
      <w:pPr>
        <w:adjustRightInd w:val="0"/>
        <w:snapToGrid w:val="0"/>
        <w:ind w:firstLine="1080" w:firstLineChars="450"/>
        <w:rPr>
          <w:rFonts w:hint="eastAsia" w:ascii="宋体" w:hAnsi="宋体" w:cs="宋体"/>
          <w:color w:val="auto"/>
          <w:highlight w:val="none"/>
        </w:rPr>
      </w:pPr>
      <w:r>
        <w:rPr>
          <w:rFonts w:hint="eastAsia" w:ascii="宋体" w:hAnsi="宋体" w:cs="宋体"/>
          <w:color w:val="auto"/>
          <w:highlight w:val="none"/>
        </w:rPr>
        <w:t>年    月   日                           年    月   日</w:t>
      </w:r>
    </w:p>
    <w:p>
      <w:pPr>
        <w:pStyle w:val="12"/>
        <w:rPr>
          <w:rFonts w:hint="eastAsia" w:ascii="宋体" w:hAnsi="宋体" w:eastAsia="宋体" w:cs="宋体"/>
          <w:b/>
          <w:color w:val="auto"/>
          <w:highlight w:val="none"/>
        </w:rPr>
      </w:pPr>
    </w:p>
    <w:p>
      <w:pPr>
        <w:pStyle w:val="13"/>
        <w:rPr>
          <w:rFonts w:hint="eastAsia" w:ascii="宋体" w:hAnsi="宋体" w:cs="宋体"/>
          <w:color w:val="auto"/>
          <w:highlight w:val="none"/>
        </w:rPr>
      </w:pPr>
    </w:p>
    <w:p>
      <w:pPr>
        <w:widowControl/>
        <w:ind w:firstLine="480"/>
        <w:jc w:val="left"/>
        <w:rPr>
          <w:rFonts w:hint="eastAsia" w:ascii="宋体" w:hAnsi="宋体" w:cs="宋体"/>
          <w:color w:val="auto"/>
          <w:highlight w:val="none"/>
        </w:rPr>
      </w:pPr>
    </w:p>
    <w:p>
      <w:pPr>
        <w:pStyle w:val="4"/>
        <w:numPr>
          <w:ilvl w:val="0"/>
          <w:numId w:val="2"/>
        </w:numPr>
        <w:ind w:firstLine="0" w:firstLineChars="0"/>
        <w:rPr>
          <w:rFonts w:hint="eastAsia" w:ascii="宋体" w:hAnsi="宋体" w:cs="宋体"/>
          <w:color w:val="auto"/>
          <w:highlight w:val="none"/>
        </w:rPr>
      </w:pPr>
      <w:r>
        <w:rPr>
          <w:rFonts w:hint="eastAsia" w:ascii="宋体" w:hAnsi="宋体" w:cs="宋体"/>
          <w:color w:val="auto"/>
          <w:highlight w:val="none"/>
        </w:rPr>
        <w:br w:type="page"/>
      </w:r>
      <w:bookmarkStart w:id="141" w:name="_Toc24285"/>
      <w:r>
        <w:rPr>
          <w:rFonts w:hint="eastAsia" w:ascii="宋体" w:hAnsi="宋体" w:cs="宋体"/>
          <w:color w:val="auto"/>
          <w:highlight w:val="none"/>
        </w:rPr>
        <w:t>投标文件格式</w:t>
      </w:r>
      <w:bookmarkEnd w:id="141"/>
    </w:p>
    <w:p>
      <w:pPr>
        <w:pStyle w:val="6"/>
        <w:ind w:firstLine="482"/>
        <w:rPr>
          <w:rFonts w:hint="eastAsia" w:ascii="宋体" w:hAnsi="宋体" w:cs="宋体"/>
          <w:color w:val="auto"/>
          <w:highlight w:val="none"/>
        </w:rPr>
      </w:pPr>
      <w:bookmarkStart w:id="142" w:name="_Toc22037"/>
      <w:r>
        <w:rPr>
          <w:rFonts w:hint="eastAsia" w:ascii="宋体" w:hAnsi="宋体" w:cs="宋体"/>
          <w:color w:val="auto"/>
          <w:highlight w:val="none"/>
        </w:rPr>
        <w:t>1. 电子备份投标文件的外包装封面格式</w:t>
      </w:r>
      <w:bookmarkEnd w:id="142"/>
    </w:p>
    <w:p>
      <w:pPr>
        <w:snapToGrid w:val="0"/>
        <w:spacing w:before="120" w:beforeLines="50" w:after="50"/>
        <w:ind w:firstLine="480"/>
        <w:rPr>
          <w:rFonts w:hint="eastAsia" w:ascii="宋体" w:hAnsi="宋体" w:cs="宋体"/>
          <w:bCs/>
          <w:color w:val="auto"/>
          <w:szCs w:val="20"/>
          <w:highlight w:val="none"/>
        </w:rPr>
      </w:pPr>
    </w:p>
    <w:p>
      <w:pPr>
        <w:snapToGrid w:val="0"/>
        <w:spacing w:before="120" w:beforeLines="50" w:after="50"/>
        <w:ind w:firstLine="1044"/>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电子备份投标文件</w:t>
      </w:r>
    </w:p>
    <w:p>
      <w:pPr>
        <w:snapToGrid w:val="0"/>
        <w:spacing w:before="120" w:beforeLines="50" w:after="50"/>
        <w:ind w:firstLine="480"/>
        <w:rPr>
          <w:rFonts w:hint="eastAsia" w:ascii="宋体" w:hAnsi="宋体" w:cs="宋体"/>
          <w:bCs/>
          <w:color w:val="auto"/>
          <w:szCs w:val="20"/>
          <w:highlight w:val="none"/>
        </w:rPr>
      </w:pPr>
    </w:p>
    <w:p>
      <w:pPr>
        <w:snapToGrid w:val="0"/>
        <w:spacing w:before="120" w:beforeLines="50" w:after="50"/>
        <w:ind w:firstLine="1246" w:firstLineChars="445"/>
        <w:rPr>
          <w:rFonts w:hint="eastAsia" w:ascii="宋体" w:hAnsi="宋体" w:cs="宋体"/>
          <w:bCs/>
          <w:color w:val="auto"/>
          <w:sz w:val="28"/>
          <w:szCs w:val="28"/>
          <w:highlight w:val="none"/>
        </w:rPr>
      </w:pPr>
      <w:r>
        <w:rPr>
          <w:rFonts w:hint="eastAsia" w:ascii="宋体" w:hAnsi="宋体" w:cs="宋体"/>
          <w:bCs/>
          <w:color w:val="auto"/>
          <w:sz w:val="28"/>
          <w:szCs w:val="28"/>
          <w:highlight w:val="none"/>
        </w:rPr>
        <w:t>采购人：中国美术学院</w:t>
      </w:r>
    </w:p>
    <w:p>
      <w:pPr>
        <w:snapToGrid w:val="0"/>
        <w:spacing w:before="120" w:beforeLines="50" w:after="50"/>
        <w:ind w:firstLine="1246" w:firstLineChars="445"/>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 安防系统技防提升（一期）</w:t>
      </w:r>
    </w:p>
    <w:p>
      <w:pPr>
        <w:snapToGrid w:val="0"/>
        <w:spacing w:before="120" w:beforeLines="50" w:after="50"/>
        <w:ind w:firstLine="56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项目编号：0625-22217027</w:t>
      </w:r>
    </w:p>
    <w:p>
      <w:pPr>
        <w:snapToGrid w:val="0"/>
        <w:spacing w:before="120" w:beforeLines="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投标人名称：（盖章）</w:t>
      </w:r>
    </w:p>
    <w:p>
      <w:pPr>
        <w:pStyle w:val="8"/>
        <w:snapToGrid w:val="0"/>
        <w:spacing w:before="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投标人地址：</w:t>
      </w:r>
    </w:p>
    <w:p>
      <w:pPr>
        <w:pStyle w:val="8"/>
        <w:snapToGrid w:val="0"/>
        <w:spacing w:before="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在  年  月  日  时  分之前不得启封</w:t>
      </w:r>
    </w:p>
    <w:p>
      <w:pPr>
        <w:pStyle w:val="8"/>
        <w:snapToGrid w:val="0"/>
        <w:spacing w:before="50" w:after="50"/>
        <w:ind w:firstLine="1164" w:firstLineChars="416"/>
        <w:rPr>
          <w:rFonts w:hint="eastAsia" w:ascii="宋体" w:hAnsi="宋体" w:cs="宋体"/>
          <w:color w:val="auto"/>
          <w:sz w:val="28"/>
          <w:szCs w:val="28"/>
          <w:highlight w:val="none"/>
        </w:rPr>
      </w:pPr>
    </w:p>
    <w:p>
      <w:pPr>
        <w:snapToGrid w:val="0"/>
        <w:spacing w:before="120" w:beforeLines="50" w:after="50"/>
        <w:ind w:firstLine="560"/>
        <w:rPr>
          <w:rFonts w:hint="eastAsia" w:ascii="宋体" w:hAnsi="宋体" w:eastAsia="宋体" w:cs="宋体"/>
          <w:color w:val="auto"/>
          <w:szCs w:val="20"/>
          <w:highlight w:val="none"/>
          <w:lang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2022年02月16日</w:t>
      </w:r>
    </w:p>
    <w:p>
      <w:pPr>
        <w:pStyle w:val="6"/>
        <w:ind w:firstLine="482"/>
        <w:rPr>
          <w:rFonts w:hint="eastAsia" w:ascii="宋体" w:hAnsi="宋体" w:cs="宋体"/>
          <w:b w:val="0"/>
          <w:color w:val="auto"/>
          <w:szCs w:val="20"/>
          <w:highlight w:val="none"/>
        </w:rPr>
      </w:pPr>
      <w:r>
        <w:rPr>
          <w:rFonts w:hint="eastAsia" w:ascii="宋体" w:hAnsi="宋体" w:cs="宋体"/>
          <w:color w:val="auto"/>
          <w:szCs w:val="20"/>
          <w:highlight w:val="none"/>
        </w:rPr>
        <w:br w:type="page"/>
      </w:r>
      <w:bookmarkStart w:id="143" w:name="_Toc26920"/>
      <w:r>
        <w:rPr>
          <w:rFonts w:hint="eastAsia" w:ascii="宋体" w:hAnsi="宋体" w:cs="宋体"/>
          <w:bCs/>
          <w:color w:val="auto"/>
          <w:highlight w:val="none"/>
        </w:rPr>
        <w:t>2. 资格证明/商务技术/报价文件封面格式</w:t>
      </w:r>
      <w:bookmarkEnd w:id="143"/>
      <w:r>
        <w:rPr>
          <w:rFonts w:hint="eastAsia" w:ascii="宋体" w:hAnsi="宋体" w:cs="宋体"/>
          <w:bCs/>
          <w:color w:val="auto"/>
          <w:highlight w:val="none"/>
        </w:rPr>
        <w:t xml:space="preserve"> </w:t>
      </w:r>
    </w:p>
    <w:p>
      <w:pPr>
        <w:snapToGrid w:val="0"/>
        <w:spacing w:before="120" w:beforeLines="50" w:after="50"/>
        <w:ind w:firstLine="480"/>
        <w:rPr>
          <w:rFonts w:hint="eastAsia" w:ascii="宋体" w:hAnsi="宋体" w:cs="宋体"/>
          <w:b/>
          <w:bCs/>
          <w:color w:val="auto"/>
          <w:sz w:val="32"/>
          <w:szCs w:val="20"/>
          <w:highlight w:val="none"/>
        </w:rPr>
      </w:pPr>
      <w:r>
        <w:rPr>
          <w:rFonts w:hint="eastAsia" w:ascii="宋体" w:hAnsi="宋体" w:cs="宋体"/>
          <w:color w:val="auto"/>
          <w:highlight w:val="none"/>
        </w:rPr>
        <w:t xml:space="preserve">                                                    </w:t>
      </w:r>
    </w:p>
    <w:p>
      <w:pPr>
        <w:snapToGrid w:val="0"/>
        <w:spacing w:before="120" w:beforeLines="50" w:after="50"/>
        <w:ind w:firstLine="480"/>
        <w:jc w:val="center"/>
        <w:rPr>
          <w:rFonts w:hint="eastAsia" w:ascii="宋体" w:hAnsi="宋体" w:cs="宋体"/>
          <w:bCs/>
          <w:color w:val="auto"/>
          <w:szCs w:val="20"/>
          <w:highlight w:val="none"/>
        </w:rPr>
      </w:pPr>
    </w:p>
    <w:p>
      <w:pPr>
        <w:snapToGrid w:val="0"/>
        <w:spacing w:before="120" w:beforeLines="50" w:after="50"/>
        <w:ind w:firstLine="1044"/>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资格证明/商务技术/报价文件</w:t>
      </w:r>
    </w:p>
    <w:p>
      <w:pPr>
        <w:snapToGrid w:val="0"/>
        <w:spacing w:before="120" w:beforeLines="50" w:after="50"/>
        <w:ind w:firstLine="480"/>
        <w:rPr>
          <w:rFonts w:hint="eastAsia" w:ascii="宋体" w:hAnsi="宋体" w:cs="宋体"/>
          <w:bCs/>
          <w:color w:val="auto"/>
          <w:szCs w:val="20"/>
          <w:highlight w:val="none"/>
        </w:rPr>
      </w:pPr>
    </w:p>
    <w:p>
      <w:pPr>
        <w:snapToGrid w:val="0"/>
        <w:spacing w:before="120" w:beforeLines="50" w:after="50"/>
        <w:ind w:firstLine="1246" w:firstLineChars="445"/>
        <w:rPr>
          <w:rFonts w:hint="eastAsia" w:ascii="宋体" w:hAnsi="宋体" w:cs="宋体"/>
          <w:bCs/>
          <w:color w:val="auto"/>
          <w:sz w:val="28"/>
          <w:szCs w:val="28"/>
          <w:highlight w:val="none"/>
        </w:rPr>
      </w:pPr>
      <w:r>
        <w:rPr>
          <w:rFonts w:hint="eastAsia" w:ascii="宋体" w:hAnsi="宋体" w:cs="宋体"/>
          <w:bCs/>
          <w:color w:val="auto"/>
          <w:sz w:val="28"/>
          <w:szCs w:val="28"/>
          <w:highlight w:val="none"/>
        </w:rPr>
        <w:t>采购人：中国美术学院</w:t>
      </w:r>
    </w:p>
    <w:p>
      <w:pPr>
        <w:snapToGrid w:val="0"/>
        <w:spacing w:before="120" w:beforeLines="50" w:after="50"/>
        <w:ind w:firstLine="1246" w:firstLineChars="445"/>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 安防系统技防提升（一期）</w:t>
      </w:r>
    </w:p>
    <w:p>
      <w:pPr>
        <w:snapToGrid w:val="0"/>
        <w:spacing w:before="120" w:beforeLines="50" w:after="50"/>
        <w:ind w:firstLine="56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项目编号： 0625-22217027</w:t>
      </w:r>
    </w:p>
    <w:p>
      <w:pPr>
        <w:snapToGrid w:val="0"/>
        <w:spacing w:before="120" w:beforeLines="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p>
    <w:p>
      <w:pPr>
        <w:pStyle w:val="8"/>
        <w:snapToGrid w:val="0"/>
        <w:spacing w:before="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投标人名称：（盖章）</w:t>
      </w:r>
    </w:p>
    <w:p>
      <w:pPr>
        <w:pStyle w:val="8"/>
        <w:snapToGrid w:val="0"/>
        <w:spacing w:before="50" w:after="50"/>
        <w:ind w:firstLine="1260" w:firstLineChars="450"/>
        <w:rPr>
          <w:rFonts w:hint="eastAsia" w:ascii="宋体" w:hAnsi="宋体" w:cs="宋体"/>
          <w:bCs/>
          <w:color w:val="auto"/>
          <w:sz w:val="28"/>
          <w:szCs w:val="28"/>
          <w:highlight w:val="none"/>
        </w:rPr>
      </w:pPr>
      <w:r>
        <w:rPr>
          <w:rFonts w:hint="eastAsia" w:ascii="宋体" w:hAnsi="宋体" w:cs="宋体"/>
          <w:bCs/>
          <w:color w:val="auto"/>
          <w:sz w:val="28"/>
          <w:szCs w:val="28"/>
          <w:highlight w:val="none"/>
        </w:rPr>
        <w:t>投标人地址：</w:t>
      </w:r>
    </w:p>
    <w:p>
      <w:pPr>
        <w:snapToGrid w:val="0"/>
        <w:spacing w:before="120" w:beforeLines="50" w:after="50"/>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napToGrid w:val="0"/>
        <w:spacing w:before="120" w:beforeLines="50" w:after="50"/>
        <w:ind w:firstLine="560"/>
        <w:jc w:val="center"/>
        <w:rPr>
          <w:rFonts w:hint="eastAsia" w:ascii="宋体" w:hAnsi="宋体" w:cs="宋体"/>
          <w:color w:val="auto"/>
          <w:szCs w:val="20"/>
          <w:highlight w:val="none"/>
        </w:rPr>
      </w:pPr>
      <w:r>
        <w:rPr>
          <w:rFonts w:hint="eastAsia" w:ascii="宋体" w:hAnsi="宋体" w:cs="宋体"/>
          <w:color w:val="auto"/>
          <w:sz w:val="28"/>
          <w:szCs w:val="28"/>
          <w:highlight w:val="none"/>
        </w:rPr>
        <w:t>年  月  日</w:t>
      </w:r>
    </w:p>
    <w:p>
      <w:pPr>
        <w:pStyle w:val="6"/>
        <w:ind w:firstLine="482"/>
        <w:rPr>
          <w:rFonts w:hint="eastAsia" w:ascii="宋体" w:hAnsi="宋体" w:cs="宋体"/>
          <w:b w:val="0"/>
          <w:color w:val="auto"/>
          <w:highlight w:val="none"/>
        </w:rPr>
      </w:pPr>
      <w:r>
        <w:rPr>
          <w:rFonts w:hint="eastAsia" w:ascii="宋体" w:hAnsi="宋体" w:cs="宋体"/>
          <w:color w:val="auto"/>
          <w:highlight w:val="none"/>
        </w:rPr>
        <w:br w:type="page"/>
      </w:r>
      <w:bookmarkStart w:id="144" w:name="_Toc5269"/>
      <w:r>
        <w:rPr>
          <w:rFonts w:hint="eastAsia" w:ascii="宋体" w:hAnsi="宋体" w:cs="宋体"/>
          <w:bCs/>
          <w:color w:val="auto"/>
          <w:highlight w:val="none"/>
        </w:rPr>
        <w:t>3.资格证明文件目录</w:t>
      </w:r>
      <w:bookmarkEnd w:id="144"/>
    </w:p>
    <w:p>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（1）投标人资格承诺函</w:t>
      </w:r>
    </w:p>
    <w:p>
      <w:pPr>
        <w:widowControl/>
        <w:ind w:firstLine="480"/>
        <w:jc w:val="left"/>
        <w:rPr>
          <w:rFonts w:ascii="宋体" w:hAnsi="宋体" w:cs="宋体"/>
          <w:color w:val="auto"/>
          <w:kern w:val="0"/>
          <w:highlight w:val="none"/>
        </w:rPr>
      </w:pPr>
      <w:r>
        <w:rPr>
          <w:rFonts w:hint="eastAsia" w:ascii="宋体" w:hAnsi="宋体" w:cs="宋体"/>
          <w:color w:val="auto"/>
          <w:kern w:val="0"/>
          <w:highlight w:val="none"/>
        </w:rPr>
        <w:t>（2）法人或者其他组织的营业执照等证明文件，自然人的身份证明；以联合体形式参与投标的，提供联合体协议书；</w:t>
      </w:r>
    </w:p>
    <w:p>
      <w:pPr>
        <w:widowControl/>
        <w:ind w:firstLine="480"/>
        <w:jc w:val="left"/>
        <w:rPr>
          <w:rFonts w:hint="eastAsia" w:ascii="宋体" w:hAnsi="宋体" w:cs="宋体"/>
          <w:color w:val="auto"/>
          <w:kern w:val="0"/>
          <w:highlight w:val="none"/>
        </w:rPr>
      </w:pPr>
      <w:r>
        <w:rPr>
          <w:rFonts w:hint="eastAsia" w:ascii="宋体" w:hAnsi="宋体" w:cs="宋体"/>
          <w:color w:val="auto"/>
          <w:highlight w:val="none"/>
        </w:rPr>
        <w:t>（3）安装单位具有有效内的电子与智能化工程专业承包贰级及以上资质和有效的安全生产许可证。</w:t>
      </w:r>
    </w:p>
    <w:p>
      <w:pPr>
        <w:pStyle w:val="6"/>
        <w:ind w:firstLine="482"/>
        <w:rPr>
          <w:rFonts w:hint="eastAsia" w:ascii="宋体" w:hAnsi="宋体" w:cs="宋体"/>
          <w:b w:val="0"/>
          <w:color w:val="auto"/>
          <w:highlight w:val="none"/>
        </w:rPr>
      </w:pPr>
      <w:r>
        <w:rPr>
          <w:rFonts w:hint="eastAsia" w:ascii="宋体" w:hAnsi="宋体" w:cs="宋体"/>
          <w:color w:val="auto"/>
          <w:kern w:val="0"/>
          <w:highlight w:val="none"/>
        </w:rPr>
        <w:br w:type="page"/>
      </w:r>
      <w:bookmarkStart w:id="145" w:name="_Toc398"/>
      <w:r>
        <w:rPr>
          <w:rStyle w:val="36"/>
          <w:rFonts w:hint="eastAsia" w:ascii="宋体" w:hAnsi="宋体" w:cs="宋体"/>
          <w:b/>
          <w:bCs/>
          <w:color w:val="auto"/>
          <w:highlight w:val="none"/>
        </w:rPr>
        <w:t>4.投标人资格承诺函</w:t>
      </w:r>
      <w:bookmarkEnd w:id="145"/>
    </w:p>
    <w:p>
      <w:pPr>
        <w:snapToGrid w:val="0"/>
        <w:spacing w:before="120" w:beforeLines="50" w:after="50"/>
        <w:ind w:firstLine="482"/>
        <w:jc w:val="center"/>
        <w:rPr>
          <w:rFonts w:hint="eastAsia" w:ascii="宋体" w:hAnsi="宋体" w:cs="宋体"/>
          <w:color w:val="auto"/>
          <w:highlight w:val="none"/>
        </w:rPr>
      </w:pPr>
      <w:r>
        <w:rPr>
          <w:rStyle w:val="36"/>
          <w:rFonts w:hint="eastAsia" w:ascii="宋体" w:hAnsi="宋体" w:cs="宋体"/>
          <w:bCs/>
          <w:color w:val="auto"/>
          <w:highlight w:val="none"/>
        </w:rPr>
        <w:t>投标人</w:t>
      </w:r>
      <w:r>
        <w:rPr>
          <w:rFonts w:hint="eastAsia" w:ascii="宋体" w:hAnsi="宋体" w:cs="宋体"/>
          <w:b/>
          <w:color w:val="auto"/>
          <w:highlight w:val="none"/>
        </w:rPr>
        <w:t>资格承诺函</w:t>
      </w:r>
    </w:p>
    <w:p>
      <w:pPr>
        <w:snapToGrid w:val="0"/>
        <w:spacing w:before="120" w:beforeLines="50" w:after="50"/>
        <w:ind w:firstLine="480"/>
        <w:rPr>
          <w:rFonts w:hint="eastAsia" w:ascii="宋体" w:hAnsi="宋体" w:cs="宋体"/>
          <w:color w:val="auto"/>
          <w:highlight w:val="none"/>
        </w:rPr>
      </w:pPr>
    </w:p>
    <w:p>
      <w:pPr>
        <w:snapToGrid w:val="0"/>
        <w:spacing w:before="120" w:beforeLines="50" w:after="50"/>
        <w:ind w:firstLine="480"/>
        <w:rPr>
          <w:rFonts w:hint="eastAsia" w:ascii="宋体" w:hAnsi="宋体" w:cs="宋体"/>
          <w:color w:val="auto"/>
          <w:szCs w:val="20"/>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napToGrid w:val="0"/>
        <w:spacing w:before="120" w:beforeLines="50" w:after="50"/>
        <w:ind w:firstLine="720" w:firstLineChars="300"/>
        <w:rPr>
          <w:rFonts w:hint="eastAsia" w:ascii="宋体" w:hAnsi="宋体" w:cs="宋体"/>
          <w:color w:val="auto"/>
          <w:szCs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（投标人名称）符合参加本次政府采购活动的资格条件并承诺如下。</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一、满足《中华人民共和国政府采购法》第二十二条规定</w:t>
      </w:r>
    </w:p>
    <w:p>
      <w:pPr>
        <w:snapToGrid w:val="0"/>
        <w:spacing w:before="120" w:beforeLines="50" w:after="50"/>
        <w:ind w:firstLine="480"/>
        <w:rPr>
          <w:rFonts w:hint="eastAsia" w:ascii="宋体" w:hAnsi="宋体" w:cs="宋体"/>
          <w:color w:val="auto"/>
          <w:kern w:val="0"/>
          <w:highlight w:val="none"/>
        </w:rPr>
      </w:pPr>
      <w:r>
        <w:rPr>
          <w:rFonts w:hint="eastAsia" w:ascii="宋体" w:hAnsi="宋体" w:cs="宋体"/>
          <w:color w:val="auto"/>
          <w:kern w:val="0"/>
          <w:highlight w:val="none"/>
        </w:rPr>
        <w:t>1、具有独立承担民事责任的能力；</w:t>
      </w:r>
      <w:r>
        <w:rPr>
          <w:rFonts w:hint="eastAsia" w:ascii="宋体" w:hAnsi="宋体" w:cs="宋体"/>
          <w:color w:val="auto"/>
          <w:kern w:val="0"/>
          <w:highlight w:val="none"/>
        </w:rPr>
        <w:br w:type="textWrapping"/>
      </w:r>
      <w:r>
        <w:rPr>
          <w:rFonts w:hint="eastAsia" w:ascii="宋体" w:hAnsi="宋体" w:cs="宋体"/>
          <w:color w:val="auto"/>
          <w:kern w:val="0"/>
          <w:highlight w:val="none"/>
        </w:rPr>
        <w:t>  2、具有良好的商业信誉和健全的财务会计制度；</w:t>
      </w:r>
      <w:r>
        <w:rPr>
          <w:rFonts w:hint="eastAsia" w:ascii="宋体" w:hAnsi="宋体" w:cs="宋体"/>
          <w:color w:val="auto"/>
          <w:kern w:val="0"/>
          <w:highlight w:val="none"/>
        </w:rPr>
        <w:br w:type="textWrapping"/>
      </w:r>
      <w:r>
        <w:rPr>
          <w:rFonts w:hint="eastAsia" w:ascii="宋体" w:hAnsi="宋体" w:cs="宋体"/>
          <w:color w:val="auto"/>
          <w:kern w:val="0"/>
          <w:highlight w:val="none"/>
        </w:rPr>
        <w:t>  3、具有履行合同所必需的设备和专业技术能力；</w:t>
      </w:r>
      <w:r>
        <w:rPr>
          <w:rFonts w:hint="eastAsia" w:ascii="宋体" w:hAnsi="宋体" w:cs="宋体"/>
          <w:color w:val="auto"/>
          <w:kern w:val="0"/>
          <w:highlight w:val="none"/>
        </w:rPr>
        <w:br w:type="textWrapping"/>
      </w:r>
      <w:r>
        <w:rPr>
          <w:rFonts w:hint="eastAsia" w:ascii="宋体" w:hAnsi="宋体" w:cs="宋体"/>
          <w:color w:val="auto"/>
          <w:kern w:val="0"/>
          <w:highlight w:val="none"/>
        </w:rPr>
        <w:t>  4、有依法缴纳税收和社会保障资金的良好记录；</w:t>
      </w:r>
      <w:r>
        <w:rPr>
          <w:rFonts w:hint="eastAsia" w:ascii="宋体" w:hAnsi="宋体" w:cs="宋体"/>
          <w:color w:val="auto"/>
          <w:kern w:val="0"/>
          <w:highlight w:val="none"/>
        </w:rPr>
        <w:br w:type="textWrapping"/>
      </w:r>
      <w:r>
        <w:rPr>
          <w:rFonts w:hint="eastAsia" w:ascii="宋体" w:hAnsi="宋体" w:cs="宋体"/>
          <w:color w:val="auto"/>
          <w:kern w:val="0"/>
          <w:highlight w:val="none"/>
        </w:rPr>
        <w:t>  5、参加政府采购活动前三年内，在经营活动中没有重大违法记录；</w:t>
      </w:r>
    </w:p>
    <w:p>
      <w:pPr>
        <w:snapToGrid w:val="0"/>
        <w:spacing w:before="120" w:beforeLines="50" w:after="50"/>
        <w:ind w:firstLine="480"/>
        <w:rPr>
          <w:rFonts w:hint="eastAsia" w:ascii="宋体" w:hAnsi="宋体" w:cs="宋体"/>
          <w:color w:val="auto"/>
          <w:kern w:val="0"/>
          <w:highlight w:val="none"/>
        </w:rPr>
      </w:pPr>
      <w:r>
        <w:rPr>
          <w:rFonts w:hint="eastAsia" w:ascii="宋体" w:hAnsi="宋体" w:cs="宋体"/>
          <w:color w:val="auto"/>
          <w:kern w:val="0"/>
          <w:highlight w:val="none"/>
        </w:rPr>
        <w:t>二、未被“信用中国”（www.creditchina.gov.cn)、中国政府采购网（www.ccgp.gov.cn）列入失信被执行人、重大税收违法案件当事人名单、政府采购严重违法失信行为记录名单。</w:t>
      </w:r>
    </w:p>
    <w:p>
      <w:pPr>
        <w:snapToGrid w:val="0"/>
        <w:spacing w:before="120" w:beforeLines="50" w:after="50"/>
        <w:ind w:firstLine="480"/>
        <w:rPr>
          <w:rFonts w:hint="eastAsia" w:ascii="宋体" w:hAnsi="宋体" w:cs="宋体"/>
          <w:i/>
          <w:color w:val="auto"/>
          <w:kern w:val="0"/>
          <w:highlight w:val="none"/>
        </w:rPr>
      </w:pPr>
      <w:r>
        <w:rPr>
          <w:rFonts w:hint="eastAsia" w:ascii="宋体" w:hAnsi="宋体" w:cs="宋体"/>
          <w:i/>
          <w:color w:val="auto"/>
          <w:kern w:val="0"/>
          <w:highlight w:val="none"/>
        </w:rPr>
        <w:t>三、满足落实政府采购政策需满足的资格要求：无</w:t>
      </w:r>
    </w:p>
    <w:p>
      <w:pPr>
        <w:snapToGrid w:val="0"/>
        <w:spacing w:before="120" w:beforeLines="50" w:after="50"/>
        <w:ind w:firstLine="480"/>
        <w:rPr>
          <w:rFonts w:hint="eastAsia" w:ascii="宋体" w:hAnsi="宋体" w:cs="宋体"/>
          <w:i/>
          <w:color w:val="auto"/>
          <w:kern w:val="0"/>
          <w:highlight w:val="none"/>
        </w:rPr>
      </w:pPr>
    </w:p>
    <w:p>
      <w:pPr>
        <w:snapToGrid w:val="0"/>
        <w:spacing w:before="120" w:beforeLines="50" w:after="50"/>
        <w:ind w:firstLine="480"/>
        <w:rPr>
          <w:rFonts w:hint="eastAsia" w:ascii="宋体" w:hAnsi="宋体" w:cs="宋体"/>
          <w:i/>
          <w:color w:val="auto"/>
          <w:kern w:val="0"/>
          <w:highlight w:val="none"/>
        </w:rPr>
      </w:pPr>
      <w:r>
        <w:rPr>
          <w:rFonts w:hint="eastAsia" w:ascii="宋体" w:hAnsi="宋体" w:cs="宋体"/>
          <w:i/>
          <w:color w:val="auto"/>
          <w:kern w:val="0"/>
          <w:highlight w:val="none"/>
        </w:rPr>
        <w:t>四、满足本项目的特定资格要求：</w:t>
      </w:r>
    </w:p>
    <w:p>
      <w:pPr>
        <w:snapToGrid w:val="0"/>
        <w:spacing w:before="120" w:beforeLines="50" w:after="50"/>
        <w:ind w:firstLine="480"/>
        <w:rPr>
          <w:rFonts w:hint="eastAsia" w:ascii="宋体" w:hAnsi="宋体" w:cs="宋体"/>
          <w:i/>
          <w:color w:val="auto"/>
          <w:kern w:val="0"/>
          <w:highlight w:val="none"/>
        </w:rPr>
      </w:pPr>
      <w:r>
        <w:rPr>
          <w:rFonts w:hint="eastAsia" w:ascii="宋体" w:hAnsi="宋体" w:cs="宋体"/>
          <w:i/>
          <w:color w:val="auto"/>
          <w:kern w:val="0"/>
          <w:highlight w:val="none"/>
        </w:rPr>
        <w:t>安装单位具有有效内的电子与智能化工程专业承包贰级及以上资质和有效的安全生产许可证。</w:t>
      </w:r>
    </w:p>
    <w:p>
      <w:pPr>
        <w:snapToGrid w:val="0"/>
        <w:spacing w:before="120" w:beforeLines="50" w:after="50"/>
        <w:ind w:firstLine="480"/>
        <w:rPr>
          <w:rFonts w:hint="eastAsia" w:ascii="宋体" w:hAnsi="宋体" w:cs="宋体"/>
          <w:color w:val="auto"/>
          <w:kern w:val="0"/>
          <w:highlight w:val="none"/>
        </w:rPr>
      </w:pPr>
      <w:r>
        <w:rPr>
          <w:rFonts w:hint="eastAsia" w:ascii="宋体" w:hAnsi="宋体" w:cs="宋体"/>
          <w:color w:val="auto"/>
          <w:highlight w:val="none"/>
        </w:rPr>
        <w:t>……</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本单位对上述承诺内容的真实性负责。如有虚假，将依法承担相应责任。</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widowControl/>
        <w:ind w:firstLine="480"/>
        <w:jc w:val="left"/>
        <w:rPr>
          <w:rFonts w:hint="eastAsia" w:ascii="宋体" w:hAnsi="宋体" w:cs="宋体"/>
          <w:color w:val="auto"/>
          <w:kern w:val="0"/>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（盖章）        </w:t>
      </w:r>
      <w:r>
        <w:rPr>
          <w:rFonts w:hint="eastAsia" w:ascii="宋体" w:hAnsi="宋体" w:cs="宋体"/>
          <w:color w:val="auto"/>
          <w:highlight w:val="none"/>
        </w:rPr>
        <w:t xml:space="preserve">                      年    月    日</w:t>
      </w:r>
    </w:p>
    <w:p>
      <w:pPr>
        <w:pStyle w:val="6"/>
        <w:ind w:firstLine="482"/>
        <w:rPr>
          <w:rFonts w:hint="eastAsia" w:ascii="宋体" w:hAnsi="宋体" w:cs="宋体"/>
          <w:bCs/>
          <w:color w:val="auto"/>
          <w:highlight w:val="none"/>
        </w:rPr>
      </w:pPr>
      <w:bookmarkStart w:id="146" w:name="_Toc21844"/>
      <w:r>
        <w:rPr>
          <w:rFonts w:hint="eastAsia" w:ascii="宋体" w:hAnsi="宋体" w:cs="宋体"/>
          <w:bCs/>
          <w:color w:val="auto"/>
          <w:highlight w:val="none"/>
        </w:rPr>
        <w:br w:type="page"/>
      </w:r>
      <w:r>
        <w:rPr>
          <w:rFonts w:hint="eastAsia" w:ascii="宋体" w:hAnsi="宋体" w:cs="宋体"/>
          <w:bCs/>
          <w:color w:val="auto"/>
          <w:highlight w:val="none"/>
        </w:rPr>
        <w:t>5.商务技术文件目录</w:t>
      </w:r>
      <w:bookmarkEnd w:id="146"/>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详见投标人须知章节。</w:t>
      </w:r>
      <w:bookmarkStart w:id="147" w:name="_Toc4252"/>
    </w:p>
    <w:p>
      <w:pPr>
        <w:pStyle w:val="6"/>
        <w:ind w:firstLine="480"/>
        <w:rPr>
          <w:rFonts w:hint="eastAsia" w:ascii="宋体" w:hAnsi="宋体" w:cs="宋体"/>
          <w:b w:val="0"/>
          <w:color w:val="auto"/>
          <w:szCs w:val="20"/>
          <w:highlight w:val="none"/>
        </w:rPr>
      </w:pPr>
      <w:r>
        <w:rPr>
          <w:rFonts w:hint="eastAsia" w:ascii="宋体" w:hAnsi="宋体" w:cs="宋体"/>
          <w:b w:val="0"/>
          <w:bCs/>
          <w:color w:val="auto"/>
          <w:highlight w:val="none"/>
        </w:rPr>
        <w:br w:type="page"/>
      </w:r>
      <w:r>
        <w:rPr>
          <w:rFonts w:hint="eastAsia" w:ascii="宋体" w:hAnsi="宋体" w:cs="宋体"/>
          <w:color w:val="auto"/>
          <w:highlight w:val="none"/>
        </w:rPr>
        <w:t>6.</w:t>
      </w:r>
      <w:bookmarkEnd w:id="147"/>
      <w:r>
        <w:rPr>
          <w:rFonts w:hint="eastAsia" w:ascii="宋体" w:hAnsi="宋体" w:cs="宋体"/>
          <w:color w:val="auto"/>
          <w:highlight w:val="none"/>
        </w:rPr>
        <w:t>投标声明函格式</w:t>
      </w:r>
    </w:p>
    <w:p>
      <w:pPr>
        <w:snapToGrid w:val="0"/>
        <w:spacing w:before="120" w:beforeLines="50" w:after="50"/>
        <w:ind w:firstLine="482"/>
        <w:jc w:val="center"/>
        <w:rPr>
          <w:rFonts w:hint="eastAsia" w:ascii="宋体" w:hAnsi="宋体" w:cs="宋体"/>
          <w:b/>
          <w:color w:val="auto"/>
          <w:highlight w:val="none"/>
        </w:rPr>
      </w:pPr>
      <w:r>
        <w:rPr>
          <w:rFonts w:hint="eastAsia" w:ascii="宋体" w:hAnsi="宋体" w:cs="宋体"/>
          <w:b/>
          <w:color w:val="auto"/>
          <w:highlight w:val="none"/>
        </w:rPr>
        <w:t>投标声明</w:t>
      </w:r>
      <w:r>
        <w:rPr>
          <w:rFonts w:hint="eastAsia" w:ascii="宋体" w:hAnsi="宋体" w:cs="宋体"/>
          <w:b/>
          <w:color w:val="auto"/>
          <w:kern w:val="0"/>
          <w:highlight w:val="none"/>
        </w:rPr>
        <w:t>函</w:t>
      </w:r>
    </w:p>
    <w:p>
      <w:pPr>
        <w:snapToGrid w:val="0"/>
        <w:spacing w:before="120" w:beforeLines="50" w:after="50"/>
        <w:ind w:firstLine="480"/>
        <w:rPr>
          <w:rFonts w:hint="eastAsia" w:ascii="宋体" w:hAnsi="宋体" w:cs="宋体"/>
          <w:color w:val="auto"/>
          <w:szCs w:val="20"/>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napToGrid w:val="0"/>
        <w:spacing w:before="120" w:beforeLines="50" w:after="50"/>
        <w:ind w:firstLine="720" w:firstLineChars="300"/>
        <w:rPr>
          <w:rFonts w:hint="eastAsia" w:ascii="宋体" w:hAnsi="宋体" w:cs="宋体"/>
          <w:color w:val="auto"/>
          <w:szCs w:val="20"/>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napToGrid w:val="0"/>
        <w:spacing w:before="120" w:beforeLines="50" w:after="50"/>
        <w:ind w:firstLine="480"/>
        <w:rPr>
          <w:rFonts w:hint="eastAsia" w:ascii="宋体" w:hAnsi="宋体" w:cs="宋体"/>
          <w:color w:val="auto"/>
          <w:kern w:val="0"/>
          <w:highlight w:val="none"/>
        </w:rPr>
      </w:pPr>
      <w:r>
        <w:rPr>
          <w:rFonts w:hint="eastAsia" w:ascii="宋体" w:hAnsi="宋体" w:cs="宋体"/>
          <w:color w:val="auto"/>
          <w:highlight w:val="none"/>
        </w:rPr>
        <w:t xml:space="preserve">我 </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w:t>
      </w:r>
      <w:r>
        <w:rPr>
          <w:rFonts w:hint="eastAsia" w:ascii="宋体" w:hAnsi="宋体" w:cs="宋体"/>
          <w:color w:val="auto"/>
          <w:kern w:val="0"/>
          <w:highlight w:val="none"/>
        </w:rPr>
        <w:t xml:space="preserve">我方愿意参加贵方组织的 </w:t>
      </w:r>
      <w:r>
        <w:rPr>
          <w:rFonts w:hint="eastAsia" w:ascii="宋体" w:hAnsi="宋体" w:cs="宋体"/>
          <w:color w:val="auto"/>
          <w:highlight w:val="none"/>
          <w:u w:val="single"/>
        </w:rPr>
        <w:t xml:space="preserve">                    </w:t>
      </w:r>
      <w:r>
        <w:rPr>
          <w:rFonts w:hint="eastAsia" w:ascii="宋体" w:hAnsi="宋体" w:cs="宋体"/>
          <w:color w:val="auto"/>
          <w:kern w:val="0"/>
          <w:highlight w:val="none"/>
        </w:rPr>
        <w:t>项目的投标，为便于贵方公正、择优地确定中标人及其投标产品和服务，我方就参加本次投标有关事项郑重声明如下：</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 xml:space="preserve">1.本投标有效期自开标日起 </w:t>
      </w:r>
      <w:r>
        <w:rPr>
          <w:rFonts w:hint="eastAsia" w:ascii="宋体" w:hAnsi="宋体" w:cs="宋体"/>
          <w:color w:val="auto"/>
          <w:highlight w:val="none"/>
          <w:u w:val="single"/>
        </w:rPr>
        <w:t xml:space="preserve"> 90  </w:t>
      </w:r>
      <w:r>
        <w:rPr>
          <w:rFonts w:hint="eastAsia" w:ascii="宋体" w:hAnsi="宋体" w:cs="宋体"/>
          <w:color w:val="auto"/>
          <w:kern w:val="0"/>
          <w:highlight w:val="none"/>
        </w:rPr>
        <w:t>日。</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2.我方向贵方提交的所有投标文件、资料都是准确的和真实的。</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3. 我方参加本采购项目的整体设计、规范编制或者项目管理、监理、检测等服务情况：</w:t>
      </w:r>
      <w:r>
        <w:rPr>
          <w:rFonts w:hint="eastAsia" w:ascii="宋体" w:hAnsi="宋体" w:cs="宋体"/>
          <w:color w:val="auto"/>
          <w:kern w:val="0"/>
          <w:highlight w:val="none"/>
          <w:u w:val="single"/>
        </w:rPr>
        <w:t>　　　　　　　　　　　　　　　　　　　　　　　　　　　</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 xml:space="preserve">4.我方单位负责人同时为下列单位的负责人： </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u w:val="single"/>
        </w:rPr>
        <w:t>　　　　　　　　　　　　　　　　　　　　　　　　　　　</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u w:val="single"/>
        </w:rPr>
        <w:t>　　　　　　　　　　　　　　　　　　　　　　　　　　　</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5.我方直接控股的单位、由我方管理的单位，没有同时参加本合同项下的投标。</w:t>
      </w: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6.我方委托授权人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（姓名）为我单位的正式在职职工，以我方的名义参加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项目的投标活动，</w:t>
      </w:r>
    </w:p>
    <w:p>
      <w:pPr>
        <w:snapToGrid w:val="0"/>
        <w:ind w:firstLine="480"/>
        <w:rPr>
          <w:rFonts w:hint="eastAsia" w:ascii="宋体" w:hAnsi="宋体" w:cs="宋体"/>
          <w:color w:val="auto"/>
          <w:kern w:val="0"/>
          <w:highlight w:val="none"/>
        </w:rPr>
      </w:pPr>
    </w:p>
    <w:p>
      <w:pPr>
        <w:snapToGrid w:val="0"/>
        <w:ind w:firstLine="480"/>
        <w:rPr>
          <w:rFonts w:hint="eastAsia" w:ascii="宋体" w:hAnsi="宋体" w:cs="宋体"/>
          <w:color w:val="auto"/>
          <w:kern w:val="0"/>
          <w:highlight w:val="none"/>
        </w:rPr>
      </w:pPr>
    </w:p>
    <w:p>
      <w:pPr>
        <w:snapToGrid w:val="0"/>
        <w:ind w:firstLine="480"/>
        <w:rPr>
          <w:rFonts w:hint="eastAsia" w:ascii="宋体" w:hAnsi="宋体" w:cs="宋体"/>
          <w:color w:val="auto"/>
          <w:kern w:val="0"/>
          <w:highlight w:val="none"/>
        </w:rPr>
      </w:pPr>
      <w:r>
        <w:rPr>
          <w:rFonts w:hint="eastAsia" w:ascii="宋体" w:hAnsi="宋体" w:cs="宋体"/>
          <w:color w:val="auto"/>
          <w:kern w:val="0"/>
          <w:highlight w:val="none"/>
        </w:rPr>
        <w:t>本单位对上述承诺内容的真实性负责。如有虚假，将依法承担相应责任。</w:t>
      </w:r>
    </w:p>
    <w:p>
      <w:pPr>
        <w:snapToGrid w:val="0"/>
        <w:ind w:firstLine="480"/>
        <w:rPr>
          <w:rFonts w:hint="eastAsia" w:ascii="宋体" w:hAnsi="宋体" w:cs="宋体"/>
          <w:color w:val="auto"/>
          <w:kern w:val="0"/>
          <w:highlight w:val="none"/>
        </w:rPr>
      </w:pP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bookmarkStart w:id="148" w:name="_Toc26341"/>
      <w:r>
        <w:rPr>
          <w:rFonts w:hint="eastAsia" w:ascii="宋体" w:hAnsi="宋体" w:cs="宋体"/>
          <w:color w:val="auto"/>
          <w:highlight w:val="none"/>
        </w:rPr>
        <w:t>投标人：</w:t>
      </w:r>
      <w:r>
        <w:rPr>
          <w:rFonts w:hint="eastAsia" w:ascii="宋体" w:hAnsi="宋体" w:cs="宋体"/>
          <w:color w:val="auto"/>
          <w:highlight w:val="none"/>
          <w:u w:val="single"/>
        </w:rPr>
        <w:t xml:space="preserve">       （盖章）        </w:t>
      </w:r>
      <w:r>
        <w:rPr>
          <w:rFonts w:hint="eastAsia" w:ascii="宋体" w:hAnsi="宋体" w:cs="宋体"/>
          <w:color w:val="auto"/>
          <w:highlight w:val="none"/>
        </w:rPr>
        <w:t xml:space="preserve">                年    月    日</w:t>
      </w:r>
      <w:bookmarkEnd w:id="148"/>
    </w:p>
    <w:p>
      <w:pPr>
        <w:pStyle w:val="6"/>
        <w:ind w:firstLine="482"/>
        <w:rPr>
          <w:rFonts w:hint="eastAsia" w:ascii="宋体" w:hAnsi="宋体" w:cs="宋体"/>
          <w:color w:val="auto"/>
          <w:szCs w:val="20"/>
          <w:highlight w:val="none"/>
        </w:rPr>
      </w:pPr>
      <w:r>
        <w:rPr>
          <w:rFonts w:hint="eastAsia" w:ascii="宋体" w:hAnsi="宋体" w:cs="宋体"/>
          <w:color w:val="auto"/>
          <w:highlight w:val="none"/>
        </w:rPr>
        <w:br w:type="page"/>
      </w:r>
      <w:r>
        <w:rPr>
          <w:rFonts w:hint="eastAsia" w:ascii="宋体" w:hAnsi="宋体" w:cs="宋体"/>
          <w:color w:val="auto"/>
          <w:highlight w:val="none"/>
        </w:rPr>
        <w:t>7.法定代表人授权委托书格式：</w:t>
      </w:r>
    </w:p>
    <w:p>
      <w:pPr>
        <w:ind w:firstLine="482"/>
        <w:jc w:val="center"/>
        <w:rPr>
          <w:rFonts w:hint="eastAsia" w:ascii="宋体" w:hAnsi="宋体" w:cs="宋体"/>
          <w:b/>
          <w:bCs/>
          <w:color w:val="auto"/>
          <w:highlight w:val="none"/>
        </w:rPr>
      </w:pPr>
      <w:bookmarkStart w:id="149" w:name="_Toc2007"/>
      <w:r>
        <w:rPr>
          <w:rFonts w:hint="eastAsia" w:ascii="宋体" w:hAnsi="宋体" w:cs="宋体"/>
          <w:b/>
          <w:bCs/>
          <w:color w:val="auto"/>
          <w:highlight w:val="none"/>
        </w:rPr>
        <w:t>法定代表人授权委托书</w:t>
      </w:r>
      <w:bookmarkEnd w:id="149"/>
    </w:p>
    <w:p>
      <w:pPr>
        <w:snapToGrid w:val="0"/>
        <w:spacing w:before="120" w:beforeLines="50" w:after="50"/>
        <w:ind w:firstLine="482"/>
        <w:rPr>
          <w:rFonts w:hint="eastAsia" w:ascii="宋体" w:hAnsi="宋体" w:cs="宋体"/>
          <w:b/>
          <w:bCs/>
          <w:color w:val="auto"/>
          <w:szCs w:val="20"/>
          <w:highlight w:val="none"/>
        </w:rPr>
      </w:pPr>
      <w:r>
        <w:rPr>
          <w:rFonts w:hint="eastAsia" w:ascii="宋体" w:hAnsi="宋体" w:cs="宋体"/>
          <w:b/>
          <w:bCs/>
          <w:color w:val="auto"/>
          <w:highlight w:val="none"/>
        </w:rPr>
        <w:t>致：</w:t>
      </w:r>
      <w:r>
        <w:rPr>
          <w:rFonts w:hint="eastAsia" w:ascii="宋体" w:hAnsi="宋体" w:cs="宋体"/>
          <w:color w:val="auto"/>
          <w:highlight w:val="none"/>
          <w:u w:val="single"/>
        </w:rPr>
        <w:t xml:space="preserve">                </w:t>
      </w:r>
      <w:r>
        <w:rPr>
          <w:rFonts w:hint="eastAsia" w:ascii="宋体" w:hAnsi="宋体" w:cs="宋体"/>
          <w:b/>
          <w:color w:val="auto"/>
          <w:highlight w:val="none"/>
        </w:rPr>
        <w:t>（代理机构名称）</w:t>
      </w:r>
      <w:r>
        <w:rPr>
          <w:rFonts w:hint="eastAsia" w:ascii="宋体" w:hAnsi="宋体" w:cs="宋体"/>
          <w:b/>
          <w:bCs/>
          <w:color w:val="auto"/>
          <w:highlight w:val="none"/>
        </w:rPr>
        <w:t xml:space="preserve"> </w:t>
      </w:r>
      <w:r>
        <w:rPr>
          <w:rFonts w:hint="eastAsia" w:ascii="宋体" w:hAnsi="宋体" w:cs="宋体"/>
          <w:b/>
          <w:color w:val="auto"/>
          <w:highlight w:val="none"/>
        </w:rPr>
        <w:t>：</w:t>
      </w:r>
    </w:p>
    <w:p>
      <w:pPr>
        <w:snapToGrid w:val="0"/>
        <w:spacing w:before="120" w:beforeLines="50" w:after="50"/>
        <w:ind w:firstLine="720" w:firstLineChars="300"/>
        <w:rPr>
          <w:rFonts w:hint="eastAsia" w:ascii="宋体" w:hAnsi="宋体" w:cs="宋体"/>
          <w:color w:val="auto"/>
          <w:highlight w:val="none"/>
        </w:rPr>
      </w:pP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 xml:space="preserve">我 </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（姓名）以我方的名义参加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项目的投标活动，并代表我方全权办理针对上述项目的投标、开标、评标、签约等具体事务和签署相关文件。</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 xml:space="preserve">    我方对被授权人的签名事项负全部责任。</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被授权人无转委托权，特此委托。</w:t>
      </w:r>
    </w:p>
    <w:p>
      <w:pPr>
        <w:snapToGrid w:val="0"/>
        <w:spacing w:before="120" w:beforeLines="50" w:after="50"/>
        <w:ind w:firstLine="480"/>
        <w:rPr>
          <w:rFonts w:hint="eastAsia" w:ascii="宋体" w:hAnsi="宋体" w:cs="宋体"/>
          <w:color w:val="auto"/>
          <w:highlight w:val="none"/>
        </w:rPr>
      </w:pP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被授权人：</w:t>
      </w:r>
      <w:r>
        <w:rPr>
          <w:rFonts w:hint="eastAsia" w:ascii="宋体" w:hAnsi="宋体" w:cs="宋体"/>
          <w:color w:val="auto"/>
          <w:highlight w:val="none"/>
          <w:u w:val="single"/>
        </w:rPr>
        <w:t xml:space="preserve">  （签字或盖章）    </w:t>
      </w: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（签字或盖章）   </w:t>
      </w:r>
      <w:r>
        <w:rPr>
          <w:rFonts w:hint="eastAsia" w:ascii="宋体" w:hAnsi="宋体" w:cs="宋体"/>
          <w:color w:val="auto"/>
          <w:highlight w:val="none"/>
        </w:rPr>
        <w:t xml:space="preserve"> </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（附被授权人身份证正反双面复印件）</w:t>
      </w:r>
    </w:p>
    <w:p>
      <w:pPr>
        <w:snapToGrid w:val="0"/>
        <w:spacing w:before="120" w:beforeLines="50" w:after="50"/>
        <w:ind w:firstLine="480"/>
        <w:rPr>
          <w:rFonts w:hint="eastAsia" w:ascii="宋体" w:hAnsi="宋体" w:cs="宋体"/>
          <w:color w:val="auto"/>
          <w:highlight w:val="none"/>
        </w:rPr>
      </w:pPr>
      <w:r>
        <w:rPr>
          <w:rFonts w:hint="eastAsia" w:ascii="宋体" w:hAnsi="宋体" w:cs="宋体"/>
          <w:color w:val="auto"/>
          <w:highlight w:val="none"/>
        </w:rPr>
        <w:t xml:space="preserve">                                     投标人：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（盖章）       </w:t>
      </w:r>
    </w:p>
    <w:p>
      <w:pPr>
        <w:ind w:firstLine="480"/>
        <w:rPr>
          <w:rFonts w:hint="eastAsia" w:ascii="宋体" w:hAnsi="宋体" w:cs="宋体"/>
          <w:color w:val="auto"/>
          <w:highlight w:val="none"/>
        </w:rPr>
      </w:pPr>
      <w:r>
        <w:rPr>
          <w:rFonts w:hint="eastAsia" w:ascii="宋体" w:hAnsi="宋体" w:cs="宋体"/>
          <w:color w:val="auto"/>
          <w:highlight w:val="none"/>
        </w:rPr>
        <w:t xml:space="preserve">                                        </w:t>
      </w:r>
      <w:bookmarkStart w:id="150" w:name="_Toc17678"/>
      <w:r>
        <w:rPr>
          <w:rFonts w:hint="eastAsia" w:ascii="宋体" w:hAnsi="宋体" w:cs="宋体"/>
          <w:color w:val="auto"/>
          <w:highlight w:val="none"/>
        </w:rPr>
        <w:t>年    月    日</w:t>
      </w:r>
      <w:bookmarkEnd w:id="150"/>
    </w:p>
    <w:p>
      <w:pPr>
        <w:snapToGrid w:val="0"/>
        <w:spacing w:before="120" w:beforeLines="50" w:after="50"/>
        <w:ind w:firstLine="480"/>
        <w:jc w:val="center"/>
        <w:rPr>
          <w:rFonts w:hint="eastAsia" w:ascii="宋体" w:hAnsi="宋体" w:cs="宋体"/>
          <w:color w:val="auto"/>
          <w:highlight w:val="none"/>
        </w:rPr>
        <w:sectPr>
          <w:footerReference r:id="rId11" w:type="default"/>
          <w:pgSz w:w="11906" w:h="16838"/>
          <w:pgMar w:top="1417" w:right="1797" w:bottom="1417" w:left="1797" w:header="851" w:footer="851" w:gutter="0"/>
          <w:cols w:space="720" w:num="1"/>
          <w:docGrid w:linePitch="312" w:charSpace="0"/>
        </w:sectPr>
      </w:pPr>
    </w:p>
    <w:p>
      <w:pPr>
        <w:pStyle w:val="6"/>
        <w:numPr>
          <w:ilvl w:val="0"/>
          <w:numId w:val="19"/>
        </w:numPr>
        <w:ind w:firstLine="482"/>
        <w:rPr>
          <w:rFonts w:hint="eastAsia" w:ascii="宋体" w:hAnsi="宋体" w:cs="宋体"/>
          <w:color w:val="auto"/>
          <w:highlight w:val="none"/>
        </w:rPr>
      </w:pPr>
      <w:r>
        <w:rPr>
          <w:rFonts w:hint="eastAsia" w:ascii="宋体" w:hAnsi="宋体" w:cs="宋体"/>
          <w:color w:val="auto"/>
          <w:highlight w:val="none"/>
        </w:rPr>
        <w:t>中小企业声明函</w:t>
      </w:r>
    </w:p>
    <w:p>
      <w:pPr>
        <w:ind w:firstLine="482"/>
        <w:jc w:val="center"/>
        <w:rPr>
          <w:rFonts w:hint="eastAsia" w:ascii="宋体" w:hAnsi="宋体" w:cs="宋体"/>
          <w:b/>
          <w:bCs/>
          <w:color w:val="auto"/>
          <w:highlight w:val="none"/>
        </w:rPr>
      </w:pPr>
      <w:r>
        <w:rPr>
          <w:rFonts w:hint="eastAsia" w:ascii="宋体" w:hAnsi="宋体" w:cs="宋体"/>
          <w:b/>
          <w:bCs/>
          <w:color w:val="auto"/>
          <w:highlight w:val="none"/>
        </w:rPr>
        <w:t>中小企业声明函（货物）</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kern w:val="0"/>
          <w:highlight w:val="none"/>
        </w:rPr>
        <w:t>本公司郑重声明，根据《政府采购促进中小企业发展管理办法》（财库﹝2020﹞46号）的规定，本公司参加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（单位名称）的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（项目名称）采购活动，提供的货物</w:t>
      </w:r>
      <w:r>
        <w:rPr>
          <w:rFonts w:hint="eastAsia" w:ascii="宋体" w:hAnsi="宋体" w:cs="宋体"/>
          <w:b/>
          <w:bCs/>
          <w:color w:val="auto"/>
          <w:kern w:val="0"/>
          <w:highlight w:val="none"/>
        </w:rPr>
        <w:t>全部</w:t>
      </w:r>
      <w:r>
        <w:rPr>
          <w:rFonts w:hint="eastAsia" w:ascii="宋体" w:hAnsi="宋体" w:cs="宋体"/>
          <w:color w:val="auto"/>
          <w:kern w:val="0"/>
          <w:highlight w:val="none"/>
        </w:rPr>
        <w:t>由符合政策要求的中小企业</w:t>
      </w:r>
      <w:r>
        <w:rPr>
          <w:rFonts w:hint="eastAsia" w:ascii="宋体" w:hAnsi="宋体" w:cs="宋体"/>
          <w:b/>
          <w:bCs/>
          <w:color w:val="auto"/>
          <w:kern w:val="0"/>
          <w:highlight w:val="none"/>
        </w:rPr>
        <w:t>制造</w:t>
      </w:r>
      <w:r>
        <w:rPr>
          <w:rFonts w:hint="eastAsia" w:ascii="宋体" w:hAnsi="宋体" w:cs="宋体"/>
          <w:color w:val="auto"/>
          <w:kern w:val="0"/>
          <w:highlight w:val="none"/>
        </w:rPr>
        <w:t>。相关企业的具体情况如下：</w:t>
      </w:r>
    </w:p>
    <w:p>
      <w:pPr>
        <w:pStyle w:val="12"/>
        <w:numPr>
          <w:ilvl w:val="0"/>
          <w:numId w:val="20"/>
        </w:num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（货物名称）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4"/>
          <w:rFonts w:hint="eastAsia" w:ascii="宋体" w:hAnsi="宋体" w:eastAsia="宋体" w:cs="宋体"/>
          <w:color w:val="auto"/>
          <w:highlight w:val="none"/>
        </w:rPr>
        <w:footnoteReference w:id="0"/>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 中型企业、小型企业、微型企业）</w:t>
      </w:r>
      <w:r>
        <w:rPr>
          <w:rFonts w:hint="eastAsia" w:ascii="宋体" w:hAnsi="宋体" w:eastAsia="宋体" w:cs="宋体"/>
          <w:color w:val="auto"/>
          <w:highlight w:val="none"/>
        </w:rPr>
        <w:t xml:space="preserve">； </w:t>
      </w:r>
    </w:p>
    <w:p>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（货物名称）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4"/>
          <w:rFonts w:hint="eastAsia" w:ascii="宋体" w:hAnsi="宋体" w:eastAsia="宋体" w:cs="宋体"/>
          <w:color w:val="auto"/>
          <w:highlight w:val="none"/>
        </w:rPr>
        <w:footnoteReference w:id="1"/>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 中型企业、小型企业、微型企业）</w:t>
      </w:r>
      <w:r>
        <w:rPr>
          <w:rFonts w:hint="eastAsia" w:ascii="宋体" w:hAnsi="宋体" w:eastAsia="宋体" w:cs="宋体"/>
          <w:color w:val="auto"/>
          <w:highlight w:val="none"/>
        </w:rPr>
        <w:t xml:space="preserve">； </w:t>
      </w:r>
    </w:p>
    <w:p>
      <w:pPr>
        <w:pStyle w:val="45"/>
        <w:spacing w:line="360" w:lineRule="auto"/>
        <w:ind w:left="64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2"/>
        <w:ind w:firstLine="720" w:firstLineChars="300"/>
        <w:rPr>
          <w:rFonts w:hint="eastAsia" w:eastAsia="宋体"/>
          <w:color w:val="auto"/>
          <w:highlight w:val="none"/>
        </w:rPr>
      </w:pPr>
      <w:r>
        <w:rPr>
          <w:rFonts w:hint="eastAsia" w:ascii="宋体" w:hAnsi="宋体" w:eastAsia="宋体" w:cs="宋体"/>
          <w:color w:val="auto"/>
          <w:highlight w:val="none"/>
        </w:rPr>
        <w:t>……</w:t>
      </w:r>
    </w:p>
    <w:p>
      <w:pPr>
        <w:pStyle w:val="44"/>
        <w:spacing w:line="360" w:lineRule="auto"/>
        <w:ind w:right="157" w:firstLine="642"/>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4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46"/>
        <w:spacing w:line="360" w:lineRule="auto"/>
        <w:rPr>
          <w:rFonts w:hint="eastAsia" w:ascii="宋体" w:hAnsi="宋体" w:eastAsia="宋体" w:cs="宋体"/>
          <w:color w:val="auto"/>
          <w:highlight w:val="none"/>
        </w:rPr>
      </w:pPr>
    </w:p>
    <w:p>
      <w:pPr>
        <w:pStyle w:val="4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企业名称（盖章）：                           日期：</w:t>
      </w:r>
    </w:p>
    <w:p>
      <w:pPr>
        <w:pStyle w:val="12"/>
        <w:rPr>
          <w:rFonts w:hint="eastAsia" w:ascii="宋体" w:hAnsi="宋体" w:eastAsia="宋体" w:cs="宋体"/>
          <w:color w:val="auto"/>
          <w:highlight w:val="none"/>
        </w:rPr>
      </w:pPr>
    </w:p>
    <w:p>
      <w:pPr>
        <w:pStyle w:val="13"/>
        <w:rPr>
          <w:rFonts w:hint="eastAsia" w:ascii="宋体" w:hAnsi="宋体" w:cs="宋体"/>
          <w:color w:val="auto"/>
          <w:highlight w:val="none"/>
        </w:rPr>
      </w:pPr>
    </w:p>
    <w:p>
      <w:pPr>
        <w:ind w:firstLine="480"/>
        <w:rPr>
          <w:rFonts w:hint="eastAsia" w:ascii="宋体" w:hAnsi="宋体" w:cs="宋体"/>
          <w:color w:val="auto"/>
          <w:highlight w:val="none"/>
        </w:rPr>
      </w:pPr>
    </w:p>
    <w:p>
      <w:pPr>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注：对应的中小企业划分标准所属行业是：工业。（从业人员1000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pPr>
        <w:pStyle w:val="12"/>
        <w:rPr>
          <w:rFonts w:hint="eastAsia" w:ascii="宋体" w:hAnsi="宋体" w:eastAsia="宋体" w:cs="宋体"/>
          <w:color w:val="auto"/>
          <w:highlight w:val="none"/>
        </w:rPr>
      </w:pPr>
    </w:p>
    <w:p>
      <w:pPr>
        <w:pStyle w:val="6"/>
        <w:ind w:firstLine="482"/>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9. 残疾人福利性单位声明函</w:t>
      </w:r>
    </w:p>
    <w:p>
      <w:pPr>
        <w:spacing w:line="588" w:lineRule="exact"/>
        <w:ind w:firstLine="506"/>
        <w:jc w:val="center"/>
        <w:rPr>
          <w:rFonts w:hint="eastAsia" w:ascii="宋体" w:hAnsi="宋体" w:cs="宋体"/>
          <w:b/>
          <w:color w:val="auto"/>
          <w:spacing w:val="6"/>
          <w:highlight w:val="none"/>
        </w:rPr>
      </w:pPr>
      <w:r>
        <w:rPr>
          <w:rFonts w:hint="eastAsia" w:ascii="宋体" w:hAnsi="宋体" w:cs="宋体"/>
          <w:b/>
          <w:color w:val="auto"/>
          <w:spacing w:val="6"/>
          <w:highlight w:val="none"/>
        </w:rPr>
        <w:t>残疾人福利性单位声明函</w:t>
      </w:r>
    </w:p>
    <w:p>
      <w:pPr>
        <w:spacing w:line="588" w:lineRule="exact"/>
        <w:ind w:firstLine="626"/>
        <w:rPr>
          <w:rFonts w:hint="eastAsia" w:ascii="宋体" w:hAnsi="宋体" w:cs="宋体"/>
          <w:b/>
          <w:color w:val="auto"/>
          <w:spacing w:val="6"/>
          <w:sz w:val="30"/>
          <w:szCs w:val="30"/>
          <w:highlight w:val="none"/>
        </w:rPr>
      </w:pPr>
    </w:p>
    <w:p>
      <w:pPr>
        <w:spacing w:line="588" w:lineRule="exact"/>
        <w:ind w:firstLine="504"/>
        <w:rPr>
          <w:rFonts w:hint="eastAsia"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504"/>
        <w:rPr>
          <w:rFonts w:hint="eastAsia" w:ascii="宋体" w:hAnsi="宋体" w:cs="宋体"/>
          <w:color w:val="auto"/>
          <w:spacing w:val="6"/>
          <w:highlight w:val="none"/>
        </w:rPr>
      </w:pPr>
    </w:p>
    <w:p>
      <w:pPr>
        <w:spacing w:line="588" w:lineRule="exact"/>
        <w:ind w:firstLine="504"/>
        <w:rPr>
          <w:rFonts w:hint="eastAsia" w:ascii="宋体" w:hAnsi="宋体" w:cs="宋体"/>
          <w:color w:val="auto"/>
          <w:spacing w:val="6"/>
          <w:highlight w:val="none"/>
        </w:rPr>
      </w:pPr>
    </w:p>
    <w:p>
      <w:pPr>
        <w:ind w:firstLine="560"/>
        <w:rPr>
          <w:rFonts w:hint="eastAsia" w:ascii="宋体" w:hAnsi="宋体" w:cs="宋体"/>
          <w:color w:val="auto"/>
          <w:spacing w:val="20"/>
          <w:highlight w:val="none"/>
        </w:rPr>
      </w:pPr>
    </w:p>
    <w:p>
      <w:pPr>
        <w:ind w:firstLine="560"/>
        <w:rPr>
          <w:rFonts w:hint="eastAsia" w:ascii="宋体" w:hAnsi="宋体" w:cs="宋体"/>
          <w:color w:val="auto"/>
          <w:spacing w:val="20"/>
          <w:highlight w:val="none"/>
          <w:u w:val="single"/>
        </w:rPr>
      </w:pPr>
      <w:r>
        <w:rPr>
          <w:rFonts w:hint="eastAsia" w:ascii="宋体" w:hAnsi="宋体" w:cs="宋体"/>
          <w:color w:val="auto"/>
          <w:spacing w:val="20"/>
          <w:highlight w:val="none"/>
        </w:rPr>
        <w:t>投标人：</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pStyle w:val="6"/>
        <w:ind w:firstLine="562"/>
        <w:rPr>
          <w:rFonts w:hint="eastAsia" w:ascii="宋体" w:hAnsi="宋体" w:cs="宋体"/>
          <w:color w:val="auto"/>
          <w:szCs w:val="20"/>
          <w:highlight w:val="none"/>
        </w:rPr>
      </w:pPr>
      <w:r>
        <w:rPr>
          <w:rFonts w:hint="eastAsia" w:ascii="宋体" w:hAnsi="宋体" w:cs="宋体"/>
          <w:color w:val="auto"/>
          <w:spacing w:val="20"/>
          <w:highlight w:val="none"/>
          <w:u w:val="single"/>
        </w:rPr>
        <w:br w:type="page"/>
      </w:r>
      <w:r>
        <w:rPr>
          <w:rFonts w:hint="eastAsia" w:ascii="宋体" w:hAnsi="宋体" w:cs="宋体"/>
          <w:color w:val="auto"/>
          <w:highlight w:val="none"/>
        </w:rPr>
        <w:t>10.商务响应表格式</w:t>
      </w:r>
    </w:p>
    <w:p>
      <w:pPr>
        <w:ind w:firstLine="482"/>
        <w:jc w:val="center"/>
        <w:rPr>
          <w:rFonts w:hint="eastAsia" w:ascii="宋体" w:hAnsi="宋体" w:cs="宋体"/>
          <w:b/>
          <w:bCs/>
          <w:color w:val="auto"/>
          <w:highlight w:val="none"/>
        </w:rPr>
      </w:pPr>
      <w:bookmarkStart w:id="151" w:name="_Toc26507"/>
      <w:r>
        <w:rPr>
          <w:rFonts w:hint="eastAsia" w:ascii="宋体" w:hAnsi="宋体" w:cs="宋体"/>
          <w:b/>
          <w:bCs/>
          <w:color w:val="auto"/>
          <w:highlight w:val="none"/>
        </w:rPr>
        <w:t>商务响应表</w:t>
      </w:r>
      <w:bookmarkEnd w:id="151"/>
    </w:p>
    <w:p>
      <w:pPr>
        <w:snapToGrid w:val="0"/>
        <w:spacing w:before="50"/>
        <w:ind w:firstLine="480"/>
        <w:jc w:val="left"/>
        <w:rPr>
          <w:rFonts w:hint="eastAsia"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8"/>
        <w:gridCol w:w="2701"/>
        <w:gridCol w:w="1259"/>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项目</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招标文件要求</w:t>
            </w: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是否响应</w:t>
            </w: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质保期</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售后技术服务要求</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交货时间及地点</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0" w:firstLineChars="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付款条件</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备品备件及耗材等要求</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7"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r>
              <w:rPr>
                <w:rFonts w:hint="eastAsia" w:ascii="宋体" w:hAnsi="宋体"/>
                <w:color w:val="auto"/>
                <w:highlight w:val="none"/>
              </w:rPr>
              <w:t>…</w:t>
            </w:r>
          </w:p>
        </w:tc>
        <w:tc>
          <w:tcPr>
            <w:tcW w:w="1583"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0" w:firstLineChars="0"/>
              <w:rPr>
                <w:rFonts w:ascii="宋体" w:hAnsi="宋体"/>
                <w:color w:val="auto"/>
                <w:szCs w:val="20"/>
                <w:highlight w:val="none"/>
              </w:rPr>
            </w:pPr>
          </w:p>
        </w:tc>
      </w:tr>
    </w:tbl>
    <w:p>
      <w:pPr>
        <w:ind w:firstLine="0" w:firstLineChars="0"/>
        <w:rPr>
          <w:rFonts w:hint="eastAsia"/>
          <w:color w:val="auto"/>
          <w:highlight w:val="none"/>
        </w:rPr>
      </w:pPr>
    </w:p>
    <w:p>
      <w:pPr>
        <w:ind w:firstLine="458"/>
        <w:rPr>
          <w:rFonts w:hint="eastAsia" w:ascii="宋体" w:hAnsi="宋体" w:cs="宋体"/>
          <w:b/>
          <w:bCs/>
          <w:color w:val="auto"/>
          <w:spacing w:val="-6"/>
          <w:highlight w:val="none"/>
        </w:rPr>
      </w:pPr>
      <w:r>
        <w:rPr>
          <w:rFonts w:hint="eastAsia" w:ascii="宋体" w:hAnsi="宋体" w:cs="宋体"/>
          <w:b/>
          <w:bCs/>
          <w:color w:val="auto"/>
          <w:spacing w:val="-6"/>
          <w:highlight w:val="none"/>
        </w:rPr>
        <w:t>说明：</w:t>
      </w:r>
    </w:p>
    <w:p>
      <w:pPr>
        <w:pStyle w:val="10"/>
        <w:spacing w:before="0" w:after="0"/>
        <w:ind w:firstLine="482"/>
        <w:rPr>
          <w:rFonts w:hint="eastAsia" w:ascii="宋体" w:eastAsia="宋体" w:cs="宋体"/>
          <w:color w:val="auto"/>
          <w:highlight w:val="none"/>
        </w:rPr>
      </w:pPr>
      <w:r>
        <w:rPr>
          <w:rFonts w:hint="eastAsia" w:ascii="宋体" w:eastAsia="宋体" w:cs="宋体"/>
          <w:color w:val="auto"/>
          <w:szCs w:val="24"/>
          <w:highlight w:val="none"/>
        </w:rPr>
        <w:t>投标人须如实填写商务响应表，在“偏离情况”栏注明“正偏离”、“负偏离”或“无偏离”。如不填写，则视作完全满足招标文件要求。</w:t>
      </w:r>
    </w:p>
    <w:p>
      <w:pPr>
        <w:snapToGrid w:val="0"/>
        <w:spacing w:before="120" w:beforeLines="50"/>
        <w:ind w:firstLine="480"/>
        <w:rPr>
          <w:rFonts w:hint="eastAsia" w:ascii="宋体" w:hAnsi="宋体" w:cs="宋体"/>
          <w:color w:val="auto"/>
          <w:szCs w:val="20"/>
          <w:highlight w:val="none"/>
        </w:rPr>
      </w:pPr>
    </w:p>
    <w:p>
      <w:pPr>
        <w:snapToGrid w:val="0"/>
        <w:spacing w:before="50" w:after="50"/>
        <w:ind w:firstLine="560"/>
        <w:rPr>
          <w:rFonts w:hint="eastAsia" w:ascii="宋体" w:hAnsi="宋体" w:cs="宋体"/>
          <w:color w:val="auto"/>
          <w:spacing w:val="20"/>
          <w:szCs w:val="20"/>
          <w:highlight w:val="none"/>
          <w:u w:val="single"/>
        </w:rPr>
      </w:pPr>
    </w:p>
    <w:p>
      <w:pPr>
        <w:snapToGrid w:val="0"/>
        <w:spacing w:before="50" w:after="50"/>
        <w:ind w:firstLine="560"/>
        <w:rPr>
          <w:rFonts w:hint="eastAsia" w:ascii="宋体" w:hAnsi="宋体" w:cs="宋体"/>
          <w:color w:val="auto"/>
          <w:szCs w:val="20"/>
          <w:highlight w:val="none"/>
        </w:rPr>
      </w:pPr>
      <w:r>
        <w:rPr>
          <w:rFonts w:hint="eastAsia" w:ascii="宋体" w:hAnsi="宋体" w:cs="宋体"/>
          <w:color w:val="auto"/>
          <w:spacing w:val="20"/>
          <w:highlight w:val="none"/>
        </w:rPr>
        <w:t>投标人名称：</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snapToGrid w:val="0"/>
        <w:spacing w:before="50" w:after="120" w:afterLines="50"/>
        <w:ind w:firstLine="640"/>
        <w:jc w:val="left"/>
        <w:rPr>
          <w:rFonts w:hint="eastAsia" w:ascii="宋体" w:hAnsi="宋体" w:cs="宋体"/>
          <w:color w:val="auto"/>
          <w:sz w:val="32"/>
          <w:szCs w:val="20"/>
          <w:highlight w:val="none"/>
        </w:rPr>
      </w:pPr>
    </w:p>
    <w:p>
      <w:pPr>
        <w:pStyle w:val="15"/>
        <w:snapToGrid w:val="0"/>
        <w:spacing w:before="120" w:after="120" w:line="360" w:lineRule="auto"/>
        <w:ind w:firstLine="480"/>
        <w:rPr>
          <w:rFonts w:hint="eastAsia" w:hAnsi="宋体" w:cs="宋体"/>
          <w:color w:val="auto"/>
          <w:highlight w:val="none"/>
        </w:rPr>
      </w:pPr>
    </w:p>
    <w:p>
      <w:pPr>
        <w:pStyle w:val="15"/>
        <w:snapToGrid w:val="0"/>
        <w:spacing w:before="120" w:after="120" w:line="360" w:lineRule="auto"/>
        <w:ind w:firstLine="480"/>
        <w:rPr>
          <w:rFonts w:hint="eastAsia" w:hAnsi="宋体" w:cs="宋体"/>
          <w:color w:val="auto"/>
          <w:highlight w:val="none"/>
        </w:rPr>
      </w:pPr>
    </w:p>
    <w:p>
      <w:pPr>
        <w:pStyle w:val="6"/>
        <w:ind w:firstLine="602"/>
        <w:rPr>
          <w:rFonts w:hint="eastAsia" w:ascii="宋体" w:hAnsi="宋体" w:cs="宋体"/>
          <w:color w:val="auto"/>
          <w:szCs w:val="20"/>
          <w:highlight w:val="none"/>
        </w:rPr>
      </w:pPr>
      <w:r>
        <w:rPr>
          <w:rFonts w:hint="eastAsia" w:ascii="宋体" w:hAnsi="宋体" w:cs="宋体"/>
          <w:color w:val="auto"/>
          <w:sz w:val="30"/>
          <w:highlight w:val="none"/>
        </w:rPr>
        <w:br w:type="page"/>
      </w:r>
      <w:r>
        <w:rPr>
          <w:rFonts w:hint="eastAsia" w:ascii="宋体" w:hAnsi="宋体" w:cs="宋体"/>
          <w:color w:val="auto"/>
          <w:highlight w:val="none"/>
        </w:rPr>
        <w:t>11.技术响应表格式</w:t>
      </w:r>
    </w:p>
    <w:p>
      <w:pPr>
        <w:ind w:firstLine="482"/>
        <w:jc w:val="center"/>
        <w:rPr>
          <w:rFonts w:hint="eastAsia" w:ascii="宋体" w:hAnsi="宋体" w:cs="宋体"/>
          <w:b/>
          <w:bCs/>
          <w:color w:val="auto"/>
          <w:highlight w:val="none"/>
        </w:rPr>
      </w:pPr>
      <w:bookmarkStart w:id="152" w:name="_Toc32607"/>
      <w:r>
        <w:rPr>
          <w:rFonts w:hint="eastAsia" w:ascii="宋体" w:hAnsi="宋体" w:cs="宋体"/>
          <w:b/>
          <w:bCs/>
          <w:color w:val="auto"/>
          <w:highlight w:val="none"/>
        </w:rPr>
        <w:t>技术响应表</w:t>
      </w:r>
      <w:bookmarkEnd w:id="152"/>
    </w:p>
    <w:p>
      <w:pPr>
        <w:snapToGrid w:val="0"/>
        <w:spacing w:before="50" w:after="120" w:afterLines="50"/>
        <w:ind w:firstLine="480"/>
        <w:jc w:val="left"/>
        <w:rPr>
          <w:rFonts w:hint="eastAsia" w:ascii="宋体" w:hAnsi="宋体" w:cs="宋体"/>
          <w:color w:val="auto"/>
          <w:szCs w:val="20"/>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2529"/>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highlight w:val="none"/>
              </w:rPr>
            </w:pPr>
            <w:r>
              <w:rPr>
                <w:rFonts w:hint="eastAsia"/>
                <w:color w:val="auto"/>
                <w:highlight w:val="none"/>
              </w:rPr>
              <w:t>序号</w:t>
            </w: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color w:val="auto"/>
                <w:highlight w:val="none"/>
              </w:rPr>
            </w:pPr>
            <w:r>
              <w:rPr>
                <w:color w:val="auto"/>
                <w:highlight w:val="none"/>
              </w:rPr>
              <w:t>招标文件要求</w:t>
            </w: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color w:val="auto"/>
                <w:highlight w:val="none"/>
              </w:rPr>
            </w:pPr>
            <w:r>
              <w:rPr>
                <w:color w:val="auto"/>
                <w:highlight w:val="none"/>
              </w:rPr>
              <w:t>投标文件响应</w:t>
            </w: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color w:val="auto"/>
                <w:highlight w:val="none"/>
              </w:rPr>
            </w:pPr>
            <w:r>
              <w:rPr>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480"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2321"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480" w:type="pct"/>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295" w:beforeLines="0" w:after="295" w:afterLines="0" w:line="240" w:lineRule="auto"/>
              <w:ind w:firstLine="0" w:firstLineChars="0"/>
              <w:outlineLvl w:val="0"/>
              <w:rPr>
                <w:rFonts w:hAnsi="宋体"/>
                <w:color w:val="auto"/>
                <w:kern w:val="2"/>
                <w:highlight w:val="none"/>
              </w:rPr>
            </w:pPr>
          </w:p>
        </w:tc>
        <w:tc>
          <w:tcPr>
            <w:tcW w:w="1482" w:type="pct"/>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295" w:beforeLines="0" w:after="295" w:afterLines="0" w:line="240" w:lineRule="auto"/>
              <w:ind w:firstLine="0" w:firstLineChars="0"/>
              <w:outlineLvl w:val="0"/>
              <w:rPr>
                <w:rFonts w:hAnsi="宋体"/>
                <w:color w:val="auto"/>
                <w:kern w:val="2"/>
                <w:highlight w:val="none"/>
              </w:rPr>
            </w:pPr>
            <w:bookmarkStart w:id="153" w:name="_Toc21297"/>
            <w:r>
              <w:rPr>
                <w:rFonts w:hAnsi="宋体"/>
                <w:color w:val="auto"/>
                <w:kern w:val="2"/>
                <w:szCs w:val="21"/>
                <w:highlight w:val="none"/>
              </w:rPr>
              <w:t>...</w:t>
            </w:r>
            <w:bookmarkEnd w:id="153"/>
          </w:p>
        </w:tc>
        <w:tc>
          <w:tcPr>
            <w:tcW w:w="2321" w:type="pct"/>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295" w:beforeLines="0" w:after="295" w:afterLines="0" w:line="240" w:lineRule="auto"/>
              <w:ind w:firstLine="0" w:firstLineChars="0"/>
              <w:outlineLvl w:val="0"/>
              <w:rPr>
                <w:rFonts w:hAnsi="宋体"/>
                <w:color w:val="auto"/>
                <w:kern w:val="2"/>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295" w:beforeLines="0" w:after="295" w:afterLines="0" w:line="240" w:lineRule="auto"/>
              <w:ind w:firstLine="0" w:firstLineChars="0"/>
              <w:outlineLvl w:val="0"/>
              <w:rPr>
                <w:rFonts w:hAnsi="宋体"/>
                <w:color w:val="auto"/>
                <w:kern w:val="2"/>
                <w:highlight w:val="none"/>
              </w:rPr>
            </w:pPr>
          </w:p>
        </w:tc>
      </w:tr>
    </w:tbl>
    <w:p>
      <w:pPr>
        <w:ind w:firstLine="458"/>
        <w:rPr>
          <w:rFonts w:hint="eastAsia" w:ascii="宋体" w:hAnsi="宋体" w:cs="宋体"/>
          <w:b/>
          <w:bCs/>
          <w:color w:val="auto"/>
          <w:spacing w:val="-6"/>
          <w:highlight w:val="none"/>
        </w:rPr>
      </w:pPr>
    </w:p>
    <w:p>
      <w:pPr>
        <w:ind w:firstLine="458"/>
        <w:rPr>
          <w:rFonts w:hint="eastAsia" w:ascii="宋体" w:hAnsi="宋体" w:cs="宋体"/>
          <w:b/>
          <w:bCs/>
          <w:color w:val="auto"/>
          <w:spacing w:val="-6"/>
          <w:highlight w:val="none"/>
        </w:rPr>
      </w:pPr>
      <w:r>
        <w:rPr>
          <w:rFonts w:hint="eastAsia" w:ascii="宋体" w:hAnsi="宋体" w:cs="宋体"/>
          <w:b/>
          <w:bCs/>
          <w:color w:val="auto"/>
          <w:spacing w:val="-6"/>
          <w:highlight w:val="none"/>
        </w:rPr>
        <w:t>说明：</w:t>
      </w:r>
    </w:p>
    <w:p>
      <w:pPr>
        <w:pStyle w:val="10"/>
        <w:spacing w:before="0" w:after="0"/>
        <w:ind w:firstLine="482"/>
        <w:rPr>
          <w:rFonts w:hint="eastAsia" w:ascii="宋体" w:eastAsia="宋体" w:cs="宋体"/>
          <w:color w:val="auto"/>
          <w:spacing w:val="20"/>
          <w:highlight w:val="none"/>
        </w:rPr>
      </w:pPr>
      <w:r>
        <w:rPr>
          <w:rFonts w:hint="eastAsia" w:ascii="宋体" w:eastAsia="宋体" w:cs="宋体"/>
          <w:color w:val="auto"/>
          <w:szCs w:val="24"/>
          <w:highlight w:val="none"/>
        </w:rPr>
        <w:t>投标人须如实填写商务响应表，在“偏离情况”栏注明“正偏离”、“负偏离”或“无偏离”。如不填写，则视作完全满足招标文件要求。</w:t>
      </w:r>
    </w:p>
    <w:p>
      <w:pPr>
        <w:snapToGrid w:val="0"/>
        <w:spacing w:before="50" w:after="50"/>
        <w:ind w:firstLine="560"/>
        <w:rPr>
          <w:rFonts w:hint="eastAsia" w:ascii="宋体" w:hAnsi="宋体" w:cs="宋体"/>
          <w:color w:val="auto"/>
          <w:spacing w:val="20"/>
          <w:szCs w:val="20"/>
          <w:highlight w:val="none"/>
          <w:u w:val="single"/>
        </w:rPr>
      </w:pPr>
    </w:p>
    <w:p>
      <w:pPr>
        <w:snapToGrid w:val="0"/>
        <w:spacing w:before="50" w:after="50"/>
        <w:ind w:firstLine="560"/>
        <w:rPr>
          <w:rFonts w:hint="eastAsia" w:ascii="宋体" w:hAnsi="宋体" w:cs="宋体"/>
          <w:color w:val="auto"/>
          <w:spacing w:val="20"/>
          <w:highlight w:val="none"/>
          <w:u w:val="single"/>
        </w:rPr>
      </w:pPr>
      <w:r>
        <w:rPr>
          <w:rFonts w:hint="eastAsia" w:ascii="宋体" w:hAnsi="宋体" w:cs="宋体"/>
          <w:color w:val="auto"/>
          <w:spacing w:val="20"/>
          <w:highlight w:val="none"/>
        </w:rPr>
        <w:t>投标人：</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pStyle w:val="6"/>
        <w:ind w:firstLine="482"/>
        <w:rPr>
          <w:rFonts w:hint="eastAsia" w:ascii="宋体" w:hAnsi="宋体" w:cs="宋体"/>
          <w:color w:val="auto"/>
          <w:szCs w:val="20"/>
          <w:highlight w:val="none"/>
        </w:rPr>
      </w:pPr>
      <w:r>
        <w:rPr>
          <w:rFonts w:hint="eastAsia" w:ascii="宋体" w:hAnsi="宋体" w:cs="宋体"/>
          <w:color w:val="auto"/>
          <w:highlight w:val="none"/>
        </w:rPr>
        <w:br w:type="page"/>
      </w:r>
      <w:r>
        <w:rPr>
          <w:rFonts w:hint="eastAsia" w:ascii="宋体" w:hAnsi="宋体" w:cs="宋体"/>
          <w:color w:val="auto"/>
          <w:highlight w:val="none"/>
        </w:rPr>
        <w:t>12.设备配置清单格式</w:t>
      </w:r>
    </w:p>
    <w:p>
      <w:pPr>
        <w:tabs>
          <w:tab w:val="left" w:pos="1418"/>
        </w:tabs>
        <w:snapToGrid w:val="0"/>
        <w:spacing w:before="50" w:after="50"/>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设备配置清单格</w:t>
      </w:r>
    </w:p>
    <w:p>
      <w:pPr>
        <w:tabs>
          <w:tab w:val="left" w:pos="1418"/>
        </w:tabs>
        <w:snapToGrid w:val="0"/>
        <w:spacing w:before="50" w:after="50"/>
        <w:ind w:firstLine="480"/>
        <w:rPr>
          <w:rFonts w:hint="eastAsia" w:ascii="宋体" w:hAnsi="宋体" w:cs="宋体"/>
          <w:color w:val="auto"/>
          <w:szCs w:val="28"/>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p>
    <w:tbl>
      <w:tblPr>
        <w:tblStyle w:val="2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0"/>
        <w:gridCol w:w="1577"/>
        <w:gridCol w:w="786"/>
        <w:gridCol w:w="1202"/>
        <w:gridCol w:w="1332"/>
        <w:gridCol w:w="2092"/>
        <w:gridCol w:w="10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序号</w:t>
            </w: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设备名称</w:t>
            </w: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品牌</w:t>
            </w: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规格型号</w:t>
            </w: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单位及数量</w:t>
            </w: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性能及指标</w:t>
            </w: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r>
              <w:rPr>
                <w:rFonts w:hint="eastAsia" w:ascii="宋体" w:hAnsi="宋体" w:cs="宋体"/>
                <w:color w:val="auto"/>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p>
            <w:pPr>
              <w:snapToGrid w:val="0"/>
              <w:spacing w:before="50" w:after="50"/>
              <w:ind w:firstLine="0" w:firstLineChars="0"/>
              <w:jc w:val="center"/>
              <w:rPr>
                <w:rFonts w:hint="eastAsia" w:ascii="宋体" w:hAnsi="宋体" w:cs="宋体"/>
                <w:color w:val="auto"/>
                <w:szCs w:val="20"/>
                <w:highlight w:val="none"/>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594" w:type="pct"/>
            <w:tcBorders>
              <w:top w:val="single" w:color="auto" w:sz="4" w:space="0"/>
              <w:left w:val="single" w:color="auto" w:sz="4" w:space="0"/>
              <w:bottom w:val="nil"/>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firstLine="0" w:firstLineChars="0"/>
              <w:jc w:val="center"/>
              <w:rPr>
                <w:rFonts w:hint="eastAsia" w:ascii="宋体" w:hAnsi="宋体" w:cs="宋体"/>
                <w:color w:val="auto"/>
                <w:szCs w:val="20"/>
                <w:highlight w:val="none"/>
              </w:rPr>
            </w:pPr>
          </w:p>
        </w:tc>
        <w:tc>
          <w:tcPr>
            <w:tcW w:w="70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7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0" w:firstLineChars="0"/>
              <w:jc w:val="center"/>
              <w:rPr>
                <w:rFonts w:hint="eastAsia" w:ascii="宋体" w:hAnsi="宋体" w:cs="宋体"/>
                <w:color w:val="auto"/>
                <w:szCs w:val="20"/>
                <w:highlight w:val="none"/>
              </w:rPr>
            </w:pPr>
          </w:p>
        </w:tc>
      </w:tr>
    </w:tbl>
    <w:p>
      <w:pPr>
        <w:snapToGrid w:val="0"/>
        <w:spacing w:before="50" w:after="50"/>
        <w:ind w:firstLine="560"/>
        <w:rPr>
          <w:rFonts w:hint="eastAsia" w:ascii="宋体" w:hAnsi="宋体" w:cs="宋体"/>
          <w:color w:val="auto"/>
          <w:spacing w:val="20"/>
          <w:szCs w:val="20"/>
          <w:highlight w:val="none"/>
          <w:u w:val="single"/>
        </w:rPr>
      </w:pPr>
    </w:p>
    <w:p>
      <w:pPr>
        <w:snapToGrid w:val="0"/>
        <w:spacing w:before="50" w:after="50"/>
        <w:ind w:firstLine="560"/>
        <w:rPr>
          <w:rFonts w:hint="eastAsia" w:ascii="宋体" w:hAnsi="宋体" w:cs="宋体"/>
          <w:color w:val="auto"/>
          <w:szCs w:val="20"/>
          <w:highlight w:val="none"/>
        </w:rPr>
      </w:pPr>
      <w:r>
        <w:rPr>
          <w:rFonts w:hint="eastAsia" w:ascii="宋体" w:hAnsi="宋体" w:cs="宋体"/>
          <w:color w:val="auto"/>
          <w:spacing w:val="20"/>
          <w:highlight w:val="none"/>
        </w:rPr>
        <w:t>投标人：</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snapToGrid w:val="0"/>
        <w:spacing w:before="50" w:after="120" w:afterLines="50"/>
        <w:ind w:firstLine="480"/>
        <w:jc w:val="left"/>
        <w:rPr>
          <w:rFonts w:hint="eastAsia" w:ascii="宋体" w:hAnsi="宋体" w:cs="宋体"/>
          <w:color w:val="auto"/>
          <w:szCs w:val="20"/>
          <w:highlight w:val="none"/>
        </w:rPr>
      </w:pPr>
    </w:p>
    <w:p>
      <w:pPr>
        <w:snapToGrid w:val="0"/>
        <w:spacing w:before="50" w:after="120" w:afterLines="50"/>
        <w:ind w:firstLine="480"/>
        <w:jc w:val="left"/>
        <w:rPr>
          <w:rFonts w:hint="eastAsia" w:ascii="宋体" w:hAnsi="宋体" w:cs="宋体"/>
          <w:color w:val="auto"/>
          <w:szCs w:val="20"/>
          <w:highlight w:val="none"/>
        </w:rPr>
      </w:pPr>
    </w:p>
    <w:p>
      <w:pPr>
        <w:snapToGrid w:val="0"/>
        <w:spacing w:before="50" w:after="120" w:afterLines="50"/>
        <w:ind w:firstLine="480"/>
        <w:jc w:val="left"/>
        <w:rPr>
          <w:rFonts w:hint="eastAsia" w:ascii="宋体" w:hAnsi="宋体" w:cs="宋体"/>
          <w:color w:val="auto"/>
          <w:szCs w:val="20"/>
          <w:highlight w:val="none"/>
        </w:rPr>
      </w:pPr>
    </w:p>
    <w:p>
      <w:pPr>
        <w:snapToGrid w:val="0"/>
        <w:spacing w:before="50" w:after="120" w:afterLines="50"/>
        <w:ind w:firstLine="480"/>
        <w:jc w:val="left"/>
        <w:rPr>
          <w:rFonts w:hint="eastAsia" w:ascii="宋体" w:hAnsi="宋体" w:cs="宋体"/>
          <w:color w:val="auto"/>
          <w:szCs w:val="20"/>
          <w:highlight w:val="none"/>
        </w:rPr>
      </w:pPr>
    </w:p>
    <w:p>
      <w:pPr>
        <w:pStyle w:val="15"/>
        <w:snapToGrid w:val="0"/>
        <w:spacing w:beforeLines="0" w:afterLines="0" w:line="360" w:lineRule="auto"/>
        <w:ind w:firstLine="480"/>
        <w:rPr>
          <w:rFonts w:hint="eastAsia" w:hAnsi="宋体" w:cs="宋体"/>
          <w:color w:val="auto"/>
          <w:highlight w:val="none"/>
        </w:rPr>
      </w:pPr>
    </w:p>
    <w:p>
      <w:pPr>
        <w:pStyle w:val="6"/>
        <w:ind w:firstLine="482"/>
        <w:rPr>
          <w:rFonts w:hint="eastAsia" w:ascii="宋体" w:hAnsi="宋体" w:cs="宋体"/>
          <w:color w:val="auto"/>
          <w:szCs w:val="20"/>
          <w:highlight w:val="none"/>
        </w:rPr>
      </w:pPr>
      <w:r>
        <w:rPr>
          <w:rFonts w:hint="eastAsia" w:ascii="宋体" w:hAnsi="宋体" w:cs="宋体"/>
          <w:color w:val="auto"/>
          <w:highlight w:val="none"/>
        </w:rPr>
        <w:br w:type="page"/>
      </w:r>
      <w:r>
        <w:rPr>
          <w:rFonts w:hint="eastAsia" w:ascii="宋体" w:hAnsi="宋体" w:cs="宋体"/>
          <w:color w:val="auto"/>
          <w:highlight w:val="none"/>
        </w:rPr>
        <w:t>13.项目实施人员一览表格式</w:t>
      </w:r>
    </w:p>
    <w:p>
      <w:pPr>
        <w:snapToGrid w:val="0"/>
        <w:spacing w:before="120" w:beforeLines="50" w:after="50"/>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项目实施人员一览表</w:t>
      </w:r>
    </w:p>
    <w:p>
      <w:pPr>
        <w:snapToGrid w:val="0"/>
        <w:spacing w:before="120" w:beforeLines="50" w:after="50"/>
        <w:ind w:firstLine="480"/>
        <w:rPr>
          <w:rFonts w:hint="eastAsia" w:ascii="宋体" w:hAnsi="宋体" w:cs="宋体"/>
          <w:color w:val="auto"/>
          <w:szCs w:val="20"/>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p>
    <w:tbl>
      <w:tblPr>
        <w:tblStyle w:val="2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03"/>
        <w:gridCol w:w="1662"/>
        <w:gridCol w:w="1259"/>
        <w:gridCol w:w="1619"/>
        <w:gridCol w:w="1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highlight w:val="none"/>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highlight w:val="none"/>
              </w:rPr>
              <w:t>职务</w:t>
            </w:r>
          </w:p>
        </w:tc>
        <w:tc>
          <w:tcPr>
            <w:tcW w:w="97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highlight w:val="none"/>
              </w:rPr>
              <w:t>专业技术资格</w:t>
            </w:r>
          </w:p>
        </w:tc>
        <w:tc>
          <w:tcPr>
            <w:tcW w:w="7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highlight w:val="none"/>
              </w:rPr>
              <w:t>证书编号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highlight w:val="none"/>
              </w:rPr>
              <w:t>参加本单位工作时间</w:t>
            </w:r>
          </w:p>
        </w:tc>
        <w:tc>
          <w:tcPr>
            <w:tcW w:w="116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ind w:firstLine="0" w:firstLineChars="0"/>
              <w:jc w:val="center"/>
              <w:rPr>
                <w:rFonts w:hint="eastAsia" w:ascii="宋体" w:hAnsi="宋体" w:cs="宋体"/>
                <w:b/>
                <w:bCs/>
                <w:color w:val="auto"/>
                <w:szCs w:val="20"/>
                <w:highlight w:val="none"/>
              </w:rPr>
            </w:pPr>
            <w:r>
              <w:rPr>
                <w:rFonts w:hint="eastAsia" w:ascii="宋体" w:hAnsi="宋体" w:cs="宋体"/>
                <w:b/>
                <w:bCs/>
                <w:color w:val="auto"/>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beforeLines="50" w:after="50"/>
              <w:ind w:left="6000" w:firstLine="0" w:firstLineChars="0"/>
              <w:rPr>
                <w:rFonts w:hint="eastAsia" w:ascii="宋体" w:hAnsi="宋体" w:eastAsia="宋体" w:cs="宋体"/>
                <w:color w:val="auto"/>
                <w:sz w:val="24"/>
                <w:szCs w:val="24"/>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c>
          <w:tcPr>
            <w:tcW w:w="1160" w:type="pct"/>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ind w:firstLine="0" w:firstLineChars="0"/>
              <w:rPr>
                <w:rFonts w:hint="eastAsia" w:ascii="宋体" w:hAnsi="宋体" w:cs="宋体"/>
                <w:color w:val="auto"/>
                <w:szCs w:val="20"/>
                <w:highlight w:val="none"/>
              </w:rPr>
            </w:pPr>
          </w:p>
        </w:tc>
      </w:tr>
    </w:tbl>
    <w:p>
      <w:pPr>
        <w:snapToGrid w:val="0"/>
        <w:spacing w:before="50" w:after="120" w:afterLines="50"/>
        <w:ind w:firstLine="480"/>
        <w:jc w:val="left"/>
        <w:rPr>
          <w:rFonts w:hint="eastAsia" w:ascii="宋体" w:hAnsi="宋体" w:cs="宋体"/>
          <w:color w:val="auto"/>
          <w:szCs w:val="20"/>
          <w:highlight w:val="none"/>
        </w:rPr>
      </w:pPr>
      <w:r>
        <w:rPr>
          <w:rFonts w:hint="eastAsia" w:ascii="宋体" w:hAnsi="宋体" w:cs="宋体"/>
          <w:color w:val="auto"/>
          <w:highlight w:val="none"/>
        </w:rPr>
        <w:t>注：在填写时，如本表格不适合投标单位的实际情况，可根据本表格式自行划表填写。</w:t>
      </w:r>
    </w:p>
    <w:p>
      <w:pPr>
        <w:snapToGrid w:val="0"/>
        <w:spacing w:before="50" w:after="50"/>
        <w:ind w:firstLine="560"/>
        <w:rPr>
          <w:rFonts w:hint="eastAsia" w:ascii="宋体" w:hAnsi="宋体" w:cs="宋体"/>
          <w:color w:val="auto"/>
          <w:spacing w:val="20"/>
          <w:szCs w:val="20"/>
          <w:highlight w:val="none"/>
          <w:u w:val="single"/>
        </w:rPr>
      </w:pPr>
    </w:p>
    <w:p>
      <w:pPr>
        <w:snapToGrid w:val="0"/>
        <w:spacing w:before="50" w:after="120" w:afterLines="50"/>
        <w:ind w:firstLine="560"/>
        <w:jc w:val="left"/>
        <w:rPr>
          <w:rFonts w:hint="eastAsia" w:ascii="宋体" w:hAnsi="宋体" w:cs="宋体"/>
          <w:color w:val="auto"/>
          <w:spacing w:val="20"/>
          <w:highlight w:val="none"/>
          <w:u w:val="single"/>
        </w:rPr>
      </w:pPr>
      <w:r>
        <w:rPr>
          <w:rFonts w:hint="eastAsia" w:ascii="宋体" w:hAnsi="宋体" w:cs="宋体"/>
          <w:color w:val="auto"/>
          <w:spacing w:val="20"/>
          <w:highlight w:val="none"/>
        </w:rPr>
        <w:t>投标人：</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pStyle w:val="6"/>
        <w:ind w:firstLine="562"/>
        <w:rPr>
          <w:rFonts w:hint="eastAsia" w:ascii="宋体" w:hAnsi="宋体" w:cs="宋体"/>
          <w:color w:val="auto"/>
          <w:szCs w:val="20"/>
          <w:highlight w:val="none"/>
        </w:rPr>
      </w:pPr>
      <w:r>
        <w:rPr>
          <w:rFonts w:hint="eastAsia" w:ascii="宋体" w:hAnsi="宋体" w:cs="宋体"/>
          <w:color w:val="auto"/>
          <w:spacing w:val="20"/>
          <w:highlight w:val="none"/>
          <w:u w:val="single"/>
        </w:rPr>
        <w:br w:type="page"/>
      </w:r>
      <w:r>
        <w:rPr>
          <w:rFonts w:hint="eastAsia" w:ascii="宋体" w:hAnsi="宋体" w:cs="宋体"/>
          <w:color w:val="auto"/>
          <w:highlight w:val="none"/>
        </w:rPr>
        <w:t>14.选配件、专用耗材、售后服务优惠表格式</w:t>
      </w:r>
    </w:p>
    <w:p>
      <w:pPr>
        <w:tabs>
          <w:tab w:val="left" w:pos="315"/>
        </w:tabs>
        <w:snapToGrid w:val="0"/>
        <w:spacing w:before="50" w:after="50"/>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选配件、专用耗材、售后服务优惠表</w:t>
      </w:r>
    </w:p>
    <w:p>
      <w:pPr>
        <w:tabs>
          <w:tab w:val="left" w:pos="315"/>
        </w:tabs>
        <w:snapToGrid w:val="0"/>
        <w:spacing w:before="50" w:after="50"/>
        <w:ind w:firstLine="480"/>
        <w:rPr>
          <w:rFonts w:hint="eastAsia" w:ascii="宋体" w:hAnsi="宋体" w:cs="宋体"/>
          <w:color w:val="auto"/>
          <w:spacing w:val="20"/>
          <w:szCs w:val="20"/>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p>
    <w:tbl>
      <w:tblPr>
        <w:tblStyle w:val="2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705"/>
        <w:gridCol w:w="2601"/>
        <w:gridCol w:w="1385"/>
        <w:gridCol w:w="1385"/>
        <w:gridCol w:w="2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42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序号</w:t>
            </w:r>
          </w:p>
        </w:tc>
        <w:tc>
          <w:tcPr>
            <w:tcW w:w="1560" w:type="pct"/>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优惠内容</w:t>
            </w:r>
          </w:p>
        </w:tc>
        <w:tc>
          <w:tcPr>
            <w:tcW w:w="831" w:type="pct"/>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适用机型</w:t>
            </w:r>
          </w:p>
        </w:tc>
        <w:tc>
          <w:tcPr>
            <w:tcW w:w="831" w:type="pct"/>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单价</w:t>
            </w:r>
          </w:p>
        </w:tc>
        <w:tc>
          <w:tcPr>
            <w:tcW w:w="1352" w:type="pct"/>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1</w:t>
            </w:r>
          </w:p>
        </w:tc>
        <w:tc>
          <w:tcPr>
            <w:tcW w:w="1560" w:type="pct"/>
            <w:tcBorders>
              <w:top w:val="single" w:color="auto" w:sz="2"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2"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2"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 w:val="3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2</w:t>
            </w: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3</w:t>
            </w: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4</w:t>
            </w: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5</w:t>
            </w: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rPr>
              <w:t>6</w:t>
            </w: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560" w:type="pct"/>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423" w:type="pct"/>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560" w:type="pct"/>
            <w:tcBorders>
              <w:top w:val="single" w:color="auto" w:sz="6" w:space="0"/>
              <w:left w:val="single" w:color="auto" w:sz="2" w:space="0"/>
              <w:bottom w:val="single" w:color="auto" w:sz="2" w:space="0"/>
              <w:right w:val="single" w:color="auto" w:sz="4"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4" w:space="0"/>
              <w:bottom w:val="single" w:color="auto" w:sz="2" w:space="0"/>
              <w:right w:val="single" w:color="auto" w:sz="6"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831" w:type="pct"/>
            <w:tcBorders>
              <w:top w:val="single" w:color="auto" w:sz="6" w:space="0"/>
              <w:left w:val="single" w:color="auto" w:sz="6" w:space="0"/>
              <w:bottom w:val="single" w:color="auto" w:sz="2" w:space="0"/>
              <w:right w:val="single" w:color="auto" w:sz="6" w:space="0"/>
            </w:tcBorders>
            <w:noWrap/>
            <w:tcMar>
              <w:top w:w="15" w:type="dxa"/>
              <w:left w:w="15" w:type="dxa"/>
              <w:bottom w:w="0" w:type="dxa"/>
              <w:right w:w="15" w:type="dxa"/>
            </w:tcMar>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p>
        </w:tc>
        <w:tc>
          <w:tcPr>
            <w:tcW w:w="1352" w:type="pct"/>
            <w:tcBorders>
              <w:top w:val="single" w:color="auto" w:sz="6" w:space="0"/>
              <w:left w:val="single" w:color="auto" w:sz="6" w:space="0"/>
              <w:bottom w:val="single" w:color="auto" w:sz="2" w:space="0"/>
              <w:right w:val="single" w:color="auto" w:sz="2" w:space="0"/>
            </w:tcBorders>
            <w:noWrap w:val="0"/>
            <w:vAlign w:val="center"/>
          </w:tcPr>
          <w:p>
            <w:pPr>
              <w:pStyle w:val="15"/>
              <w:snapToGrid w:val="0"/>
              <w:spacing w:beforeLines="0" w:afterLines="0" w:line="360" w:lineRule="auto"/>
              <w:ind w:firstLine="0" w:firstLineChars="0"/>
              <w:jc w:val="center"/>
              <w:rPr>
                <w:rFonts w:hint="eastAsia" w:hAnsi="宋体" w:cs="宋体"/>
                <w:color w:val="auto"/>
                <w:kern w:val="2"/>
                <w:szCs w:val="21"/>
                <w:highlight w:val="none"/>
              </w:rPr>
            </w:pPr>
            <w:r>
              <w:rPr>
                <w:rFonts w:hint="eastAsia" w:hAnsi="宋体" w:cs="宋体"/>
                <w:color w:val="auto"/>
                <w:kern w:val="2"/>
                <w:szCs w:val="21"/>
                <w:highlight w:val="none"/>
                <w:u w:val="single"/>
              </w:rPr>
              <w:t xml:space="preserve">            </w:t>
            </w:r>
            <w:r>
              <w:rPr>
                <w:rFonts w:hint="eastAsia" w:hAnsi="宋体" w:cs="宋体"/>
                <w:color w:val="auto"/>
                <w:kern w:val="2"/>
                <w:sz w:val="32"/>
                <w:szCs w:val="21"/>
                <w:highlight w:val="none"/>
              </w:rPr>
              <w:t>%</w:t>
            </w:r>
          </w:p>
        </w:tc>
      </w:tr>
    </w:tbl>
    <w:p>
      <w:pPr>
        <w:snapToGrid w:val="0"/>
        <w:spacing w:before="50" w:after="50"/>
        <w:ind w:firstLine="560"/>
        <w:rPr>
          <w:rFonts w:hint="eastAsia" w:ascii="宋体" w:hAnsi="宋体" w:cs="宋体"/>
          <w:color w:val="auto"/>
          <w:spacing w:val="20"/>
          <w:szCs w:val="20"/>
          <w:highlight w:val="none"/>
          <w:u w:val="single"/>
        </w:rPr>
      </w:pPr>
    </w:p>
    <w:p>
      <w:pPr>
        <w:ind w:firstLine="560"/>
        <w:rPr>
          <w:rFonts w:hint="eastAsia" w:ascii="宋体" w:hAnsi="宋体" w:cs="宋体"/>
          <w:color w:val="auto"/>
          <w:highlight w:val="none"/>
        </w:rPr>
      </w:pPr>
      <w:r>
        <w:rPr>
          <w:rFonts w:hint="eastAsia" w:ascii="宋体" w:hAnsi="宋体"/>
          <w:color w:val="auto"/>
          <w:spacing w:val="20"/>
          <w:highlight w:val="none"/>
        </w:rPr>
        <w:t>投标人</w:t>
      </w:r>
      <w:r>
        <w:rPr>
          <w:rFonts w:hint="eastAsia" w:ascii="宋体" w:hAnsi="宋体" w:cs="宋体"/>
          <w:color w:val="auto"/>
          <w:spacing w:val="20"/>
          <w:highlight w:val="none"/>
        </w:rPr>
        <w:t>名称：</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ind w:firstLine="560"/>
        <w:rPr>
          <w:rFonts w:hint="eastAsia" w:ascii="宋体" w:hAnsi="宋体" w:cs="宋体"/>
          <w:color w:val="auto"/>
          <w:spacing w:val="20"/>
          <w:highlight w:val="none"/>
          <w:u w:val="single"/>
        </w:rPr>
      </w:pPr>
    </w:p>
    <w:p>
      <w:pPr>
        <w:pStyle w:val="12"/>
        <w:rPr>
          <w:rFonts w:hint="eastAsia" w:ascii="宋体" w:hAnsi="宋体" w:eastAsia="宋体" w:cs="宋体"/>
          <w:color w:val="auto"/>
          <w:spacing w:val="20"/>
          <w:highlight w:val="none"/>
          <w:u w:val="single"/>
        </w:rPr>
      </w:pPr>
    </w:p>
    <w:p>
      <w:pPr>
        <w:pStyle w:val="13"/>
        <w:rPr>
          <w:rFonts w:hint="eastAsia" w:ascii="宋体" w:hAnsi="宋体" w:cs="宋体"/>
          <w:color w:val="auto"/>
          <w:highlight w:val="none"/>
        </w:rPr>
      </w:pPr>
    </w:p>
    <w:p>
      <w:pPr>
        <w:pStyle w:val="6"/>
        <w:ind w:firstLine="562"/>
        <w:rPr>
          <w:rFonts w:hint="eastAsia" w:ascii="宋体" w:hAnsi="宋体" w:cs="宋体"/>
          <w:color w:val="auto"/>
          <w:szCs w:val="20"/>
          <w:highlight w:val="none"/>
        </w:rPr>
      </w:pPr>
      <w:r>
        <w:rPr>
          <w:rFonts w:hint="eastAsia" w:ascii="宋体" w:hAnsi="宋体" w:cs="宋体"/>
          <w:color w:val="auto"/>
          <w:spacing w:val="20"/>
          <w:highlight w:val="none"/>
          <w:u w:val="single"/>
        </w:rPr>
        <w:br w:type="page"/>
      </w:r>
      <w:r>
        <w:rPr>
          <w:rFonts w:hint="eastAsia" w:ascii="宋体" w:hAnsi="宋体" w:cs="宋体"/>
          <w:color w:val="auto"/>
          <w:highlight w:val="none"/>
        </w:rPr>
        <w:t>15.报价文件目录</w:t>
      </w:r>
    </w:p>
    <w:p>
      <w:pPr>
        <w:ind w:firstLine="480"/>
        <w:rPr>
          <w:rFonts w:hint="eastAsia" w:ascii="宋体" w:hAnsi="宋体" w:cs="宋体"/>
          <w:color w:val="auto"/>
          <w:highlight w:val="none"/>
        </w:rPr>
      </w:pPr>
      <w:r>
        <w:rPr>
          <w:rFonts w:hint="eastAsia" w:ascii="宋体" w:hAnsi="宋体" w:cs="宋体"/>
          <w:color w:val="auto"/>
          <w:highlight w:val="none"/>
        </w:rPr>
        <w:t>（1）投标函</w:t>
      </w:r>
    </w:p>
    <w:p>
      <w:pPr>
        <w:ind w:firstLine="480"/>
        <w:rPr>
          <w:rFonts w:hint="eastAsia" w:ascii="宋体" w:hAnsi="宋体" w:cs="宋体"/>
          <w:color w:val="auto"/>
          <w:highlight w:val="none"/>
        </w:rPr>
      </w:pPr>
      <w:r>
        <w:rPr>
          <w:rFonts w:hint="eastAsia" w:ascii="宋体" w:hAnsi="宋体" w:cs="宋体"/>
          <w:color w:val="auto"/>
          <w:highlight w:val="none"/>
        </w:rPr>
        <w:t>（2）开标一览表</w:t>
      </w:r>
    </w:p>
    <w:p>
      <w:pPr>
        <w:ind w:firstLine="480"/>
        <w:rPr>
          <w:rFonts w:hint="eastAsia" w:ascii="宋体" w:hAnsi="宋体" w:cs="宋体"/>
          <w:color w:val="auto"/>
          <w:highlight w:val="none"/>
        </w:rPr>
      </w:pPr>
      <w:r>
        <w:rPr>
          <w:rFonts w:hint="eastAsia" w:ascii="宋体" w:hAnsi="宋体" w:cs="宋体"/>
          <w:color w:val="auto"/>
          <w:highlight w:val="none"/>
        </w:rPr>
        <w:t>（3）投标报价明细表</w:t>
      </w:r>
    </w:p>
    <w:p>
      <w:pPr>
        <w:ind w:firstLine="480"/>
        <w:rPr>
          <w:rFonts w:hint="eastAsia" w:ascii="宋体" w:hAnsi="宋体" w:cs="宋体"/>
          <w:color w:val="auto"/>
          <w:highlight w:val="none"/>
        </w:rPr>
      </w:pPr>
      <w:r>
        <w:rPr>
          <w:rFonts w:hint="eastAsia" w:ascii="宋体" w:hAnsi="宋体" w:cs="宋体"/>
          <w:color w:val="auto"/>
          <w:highlight w:val="none"/>
        </w:rPr>
        <w:t>（4）投标人针对报价需要说明的其他文件和说明</w:t>
      </w:r>
    </w:p>
    <w:p>
      <w:pPr>
        <w:ind w:firstLine="480"/>
        <w:rPr>
          <w:rFonts w:hint="eastAsia" w:ascii="宋体" w:hAnsi="宋体" w:cs="宋体"/>
          <w:color w:val="auto"/>
          <w:highlight w:val="none"/>
        </w:rPr>
      </w:pPr>
      <w:r>
        <w:rPr>
          <w:rFonts w:hint="eastAsia" w:ascii="宋体" w:hAnsi="宋体" w:cs="宋体"/>
          <w:color w:val="auto"/>
          <w:highlight w:val="none"/>
        </w:rPr>
        <w:t>（5）代理服务费支付承诺书</w:t>
      </w:r>
    </w:p>
    <w:p>
      <w:pPr>
        <w:pStyle w:val="6"/>
        <w:ind w:firstLine="482"/>
        <w:rPr>
          <w:rFonts w:hint="eastAsia" w:ascii="宋体" w:hAnsi="宋体" w:cs="宋体"/>
          <w:color w:val="auto"/>
          <w:szCs w:val="20"/>
          <w:highlight w:val="none"/>
        </w:rPr>
      </w:pPr>
      <w:r>
        <w:rPr>
          <w:rFonts w:hint="eastAsia" w:ascii="宋体" w:hAnsi="宋体" w:cs="宋体"/>
          <w:color w:val="auto"/>
          <w:highlight w:val="none"/>
        </w:rPr>
        <w:br w:type="page"/>
      </w:r>
      <w:r>
        <w:rPr>
          <w:rFonts w:hint="eastAsia" w:ascii="宋体" w:hAnsi="宋体" w:cs="宋体"/>
          <w:color w:val="auto"/>
          <w:highlight w:val="none"/>
        </w:rPr>
        <w:t>16.投标函格式</w:t>
      </w:r>
    </w:p>
    <w:p>
      <w:pPr>
        <w:ind w:firstLine="482"/>
        <w:jc w:val="center"/>
        <w:rPr>
          <w:rFonts w:hint="eastAsia" w:ascii="宋体" w:hAnsi="宋体" w:cs="宋体"/>
          <w:color w:val="auto"/>
          <w:highlight w:val="none"/>
        </w:rPr>
      </w:pPr>
      <w:bookmarkStart w:id="154" w:name="_Toc6832"/>
      <w:r>
        <w:rPr>
          <w:rFonts w:hint="eastAsia" w:ascii="宋体" w:hAnsi="宋体" w:cs="宋体"/>
          <w:b/>
          <w:bCs/>
          <w:color w:val="auto"/>
          <w:highlight w:val="none"/>
        </w:rPr>
        <w:t>投 标 函</w:t>
      </w:r>
      <w:bookmarkEnd w:id="154"/>
    </w:p>
    <w:p>
      <w:pPr>
        <w:snapToGrid w:val="0"/>
        <w:ind w:firstLine="482"/>
        <w:rPr>
          <w:rFonts w:hint="eastAsia" w:ascii="宋体" w:hAnsi="宋体" w:cs="宋体"/>
          <w:b/>
          <w:color w:val="auto"/>
          <w:szCs w:val="20"/>
          <w:highlight w:val="none"/>
        </w:rPr>
      </w:pPr>
      <w:r>
        <w:rPr>
          <w:rFonts w:hint="eastAsia" w:ascii="宋体" w:hAnsi="宋体" w:cs="宋体"/>
          <w:b/>
          <w:color w:val="auto"/>
          <w:highlight w:val="none"/>
        </w:rPr>
        <w:t>致：</w:t>
      </w:r>
      <w:r>
        <w:rPr>
          <w:rFonts w:hint="eastAsia" w:ascii="宋体" w:hAnsi="宋体" w:cs="宋体"/>
          <w:color w:val="auto"/>
          <w:highlight w:val="none"/>
          <w:u w:val="single"/>
        </w:rPr>
        <w:t xml:space="preserve">                     </w:t>
      </w:r>
      <w:r>
        <w:rPr>
          <w:rFonts w:hint="eastAsia" w:ascii="宋体" w:hAnsi="宋体" w:cs="宋体"/>
          <w:b/>
          <w:color w:val="auto"/>
          <w:highlight w:val="none"/>
        </w:rPr>
        <w:t>（代理机构名称）：</w:t>
      </w:r>
    </w:p>
    <w:p>
      <w:pPr>
        <w:snapToGrid w:val="0"/>
        <w:ind w:firstLine="480"/>
        <w:rPr>
          <w:rFonts w:hint="eastAsia" w:ascii="宋体" w:hAnsi="宋体" w:cs="宋体"/>
          <w:color w:val="auto"/>
          <w:highlight w:val="none"/>
        </w:rPr>
      </w:pPr>
    </w:p>
    <w:p>
      <w:pPr>
        <w:snapToGrid w:val="0"/>
        <w:ind w:firstLine="480"/>
        <w:rPr>
          <w:rFonts w:hint="eastAsia" w:ascii="宋体" w:hAnsi="宋体" w:cs="宋体"/>
          <w:color w:val="auto"/>
          <w:highlight w:val="none"/>
        </w:rPr>
      </w:pPr>
      <w:r>
        <w:rPr>
          <w:rFonts w:hint="eastAsia" w:ascii="宋体" w:hAnsi="宋体" w:cs="宋体"/>
          <w:color w:val="auto"/>
          <w:highlight w:val="none"/>
        </w:rPr>
        <w:t>根据贵方为</w:t>
      </w:r>
      <w:r>
        <w:rPr>
          <w:rFonts w:hint="eastAsia" w:ascii="宋体" w:hAnsi="宋体" w:cs="宋体"/>
          <w:color w:val="auto"/>
          <w:highlight w:val="none"/>
          <w:u w:val="single"/>
        </w:rPr>
        <w:t xml:space="preserve">                    </w:t>
      </w:r>
      <w:r>
        <w:rPr>
          <w:rFonts w:hint="eastAsia" w:ascii="宋体" w:hAnsi="宋体" w:cs="宋体"/>
          <w:color w:val="auto"/>
          <w:highlight w:val="none"/>
        </w:rPr>
        <w:t>项目的招标公告（项目编号：</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（投标人名称）在线提交资格证明文件、商务技术文件、报价文件各一份。投标总价为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ind w:firstLine="480"/>
        <w:rPr>
          <w:rFonts w:hint="eastAsia" w:ascii="宋体" w:hAnsi="宋体" w:cs="宋体"/>
          <w:color w:val="auto"/>
          <w:highlight w:val="none"/>
        </w:rPr>
      </w:pPr>
      <w:r>
        <w:rPr>
          <w:rFonts w:hint="eastAsia" w:ascii="宋体" w:hAnsi="宋体" w:cs="宋体"/>
          <w:color w:val="auto"/>
          <w:highlight w:val="none"/>
        </w:rPr>
        <w:t>据此函，签字代表宣布同意如下：</w:t>
      </w:r>
    </w:p>
    <w:p>
      <w:pPr>
        <w:snapToGrid w:val="0"/>
        <w:ind w:firstLine="480"/>
        <w:rPr>
          <w:rFonts w:hint="eastAsia" w:ascii="宋体" w:hAnsi="宋体" w:cs="宋体"/>
          <w:color w:val="auto"/>
          <w:highlight w:val="none"/>
        </w:rPr>
      </w:pPr>
      <w:r>
        <w:rPr>
          <w:rFonts w:hint="eastAsia" w:ascii="宋体" w:hAnsi="宋体" w:cs="宋体"/>
          <w:color w:val="auto"/>
          <w:highlight w:val="none"/>
        </w:rPr>
        <w:t>1.投标人已详细审查全部“招标文件”，包括修改、澄清文件（如有）以及全部参考资料和有关附件，已经了解我方对于招标文件、采购过程、采购结果有依法进行询问、质疑、投诉的权利及相关渠道和要求。</w:t>
      </w:r>
    </w:p>
    <w:p>
      <w:pPr>
        <w:snapToGrid w:val="0"/>
        <w:ind w:firstLine="480"/>
        <w:rPr>
          <w:rFonts w:hint="eastAsia" w:ascii="宋体" w:hAnsi="宋体" w:cs="宋体"/>
          <w:color w:val="auto"/>
          <w:highlight w:val="none"/>
        </w:rPr>
      </w:pPr>
      <w:r>
        <w:rPr>
          <w:rFonts w:hint="eastAsia" w:ascii="宋体" w:hAnsi="宋体" w:cs="宋体"/>
          <w:color w:val="auto"/>
          <w:highlight w:val="none"/>
        </w:rPr>
        <w:t>2.投标人在投标之前已经与贵方进行了充分的沟通，完全理解并接受招标文件的各项规定和要求，对招标文件的合理性、合法性不再有异议。</w:t>
      </w:r>
    </w:p>
    <w:p>
      <w:pPr>
        <w:snapToGrid w:val="0"/>
        <w:ind w:firstLine="480"/>
        <w:rPr>
          <w:rFonts w:hint="eastAsia" w:ascii="宋体" w:hAnsi="宋体" w:cs="宋体"/>
          <w:color w:val="auto"/>
          <w:highlight w:val="none"/>
        </w:rPr>
      </w:pPr>
      <w:r>
        <w:rPr>
          <w:rFonts w:hint="eastAsia" w:ascii="宋体" w:hAnsi="宋体" w:cs="宋体"/>
          <w:color w:val="auto"/>
          <w:highlight w:val="none"/>
        </w:rPr>
        <w:t xml:space="preserve">3.投标有效期自开标日起 </w:t>
      </w:r>
      <w:r>
        <w:rPr>
          <w:rFonts w:hint="eastAsia" w:ascii="宋体" w:hAnsi="宋体" w:cs="宋体"/>
          <w:color w:val="auto"/>
          <w:highlight w:val="none"/>
          <w:u w:val="single"/>
        </w:rPr>
        <w:t xml:space="preserve">  90   </w:t>
      </w:r>
      <w:r>
        <w:rPr>
          <w:rFonts w:hint="eastAsia" w:ascii="宋体" w:hAnsi="宋体" w:cs="宋体"/>
          <w:color w:val="auto"/>
          <w:highlight w:val="none"/>
        </w:rPr>
        <w:t>个日。</w:t>
      </w:r>
    </w:p>
    <w:p>
      <w:pPr>
        <w:snapToGrid w:val="0"/>
        <w:ind w:firstLine="480"/>
        <w:rPr>
          <w:rFonts w:hint="eastAsia" w:ascii="宋体" w:hAnsi="宋体" w:cs="宋体"/>
          <w:color w:val="auto"/>
          <w:highlight w:val="none"/>
        </w:rPr>
      </w:pPr>
      <w:r>
        <w:rPr>
          <w:rFonts w:hint="eastAsia" w:ascii="宋体" w:hAnsi="宋体" w:cs="宋体"/>
          <w:color w:val="auto"/>
          <w:highlight w:val="none"/>
        </w:rPr>
        <w:t>4.如中标，本投标文件至本项目合同履行完毕止均保持有效，本投标人将按“招标文件”及政府采购法律、法规的规定履行合同责任和义务。</w:t>
      </w:r>
    </w:p>
    <w:p>
      <w:pPr>
        <w:snapToGrid w:val="0"/>
        <w:ind w:firstLine="480"/>
        <w:rPr>
          <w:rFonts w:hint="eastAsia" w:ascii="宋体" w:hAnsi="宋体" w:cs="宋体"/>
          <w:color w:val="auto"/>
          <w:highlight w:val="none"/>
        </w:rPr>
      </w:pPr>
      <w:r>
        <w:rPr>
          <w:rFonts w:hint="eastAsia" w:ascii="宋体" w:hAnsi="宋体" w:cs="宋体"/>
          <w:color w:val="auto"/>
          <w:highlight w:val="none"/>
        </w:rPr>
        <w:t>5.如中标，我公司将自中标公告发布之日起5个工作日内按招标文件规定的标准（金额）一次性向采购代理机构支付代理服务费。</w:t>
      </w:r>
    </w:p>
    <w:p>
      <w:pPr>
        <w:snapToGrid w:val="0"/>
        <w:ind w:firstLine="480"/>
        <w:rPr>
          <w:rFonts w:hint="eastAsia" w:ascii="宋体" w:hAnsi="宋体" w:cs="宋体"/>
          <w:color w:val="auto"/>
          <w:highlight w:val="none"/>
        </w:rPr>
      </w:pPr>
      <w:r>
        <w:rPr>
          <w:rFonts w:hint="eastAsia" w:ascii="宋体" w:hAnsi="宋体" w:cs="宋体"/>
          <w:color w:val="auto"/>
          <w:highlight w:val="none"/>
        </w:rPr>
        <w:t>6.投标人同意按照贵方要求提供与投标有关的一切数据或资料。</w:t>
      </w:r>
    </w:p>
    <w:p>
      <w:pPr>
        <w:snapToGrid w:val="0"/>
        <w:ind w:firstLine="480"/>
        <w:rPr>
          <w:rFonts w:hint="eastAsia" w:ascii="宋体" w:hAnsi="宋体" w:cs="宋体"/>
          <w:color w:val="auto"/>
          <w:szCs w:val="20"/>
          <w:highlight w:val="none"/>
        </w:rPr>
      </w:pPr>
      <w:r>
        <w:rPr>
          <w:rFonts w:hint="eastAsia" w:ascii="宋体" w:hAnsi="宋体" w:cs="宋体"/>
          <w:color w:val="auto"/>
          <w:highlight w:val="none"/>
        </w:rPr>
        <w:t>7.与本投标有关的一切正式往来信函请寄：</w:t>
      </w:r>
    </w:p>
    <w:p>
      <w:pPr>
        <w:snapToGrid w:val="0"/>
        <w:ind w:firstLine="480"/>
        <w:rPr>
          <w:rFonts w:hint="eastAsia" w:ascii="宋体" w:hAnsi="宋体" w:cs="宋体"/>
          <w:color w:val="auto"/>
          <w:szCs w:val="20"/>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邮编：__________   电话：______________</w:t>
      </w:r>
    </w:p>
    <w:p>
      <w:pPr>
        <w:snapToGrid w:val="0"/>
        <w:ind w:firstLine="480"/>
        <w:rPr>
          <w:rFonts w:hint="eastAsia" w:ascii="宋体" w:hAnsi="宋体" w:cs="宋体"/>
          <w:color w:val="auto"/>
          <w:szCs w:val="20"/>
          <w:highlight w:val="none"/>
        </w:rPr>
      </w:pPr>
      <w:r>
        <w:rPr>
          <w:rFonts w:hint="eastAsia" w:ascii="宋体" w:hAnsi="宋体" w:cs="宋体"/>
          <w:color w:val="auto"/>
          <w:highlight w:val="none"/>
        </w:rPr>
        <w:t>传真：______________</w:t>
      </w:r>
    </w:p>
    <w:p>
      <w:pPr>
        <w:snapToGrid w:val="0"/>
        <w:ind w:firstLine="480"/>
        <w:rPr>
          <w:rFonts w:hint="eastAsia" w:ascii="宋体" w:hAnsi="宋体" w:cs="宋体"/>
          <w:color w:val="auto"/>
          <w:highlight w:val="none"/>
          <w:u w:val="singl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(盖章)</w:t>
      </w:r>
    </w:p>
    <w:p>
      <w:pPr>
        <w:snapToGrid w:val="0"/>
        <w:ind w:firstLine="480"/>
        <w:rPr>
          <w:rFonts w:hint="eastAsia" w:ascii="宋体" w:hAnsi="宋体" w:cs="宋体"/>
          <w:color w:val="auto"/>
          <w:szCs w:val="20"/>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银行帐号：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ind w:firstLine="480"/>
        <w:rPr>
          <w:rFonts w:hint="eastAsia" w:ascii="宋体" w:hAnsi="宋体" w:cs="宋体"/>
          <w:color w:val="auto"/>
          <w:highlight w:val="none"/>
        </w:rPr>
      </w:pPr>
      <w:r>
        <w:rPr>
          <w:rFonts w:hint="eastAsia" w:ascii="宋体" w:hAnsi="宋体" w:cs="宋体"/>
          <w:color w:val="auto"/>
          <w:highlight w:val="none"/>
        </w:rPr>
        <w:t xml:space="preserve">                    </w:t>
      </w:r>
    </w:p>
    <w:p>
      <w:pPr>
        <w:snapToGrid w:val="0"/>
        <w:ind w:firstLine="480"/>
        <w:rPr>
          <w:rFonts w:hint="eastAsia" w:ascii="宋体" w:hAnsi="宋体" w:cs="宋体"/>
          <w:color w:val="auto"/>
          <w:sz w:val="30"/>
          <w:szCs w:val="20"/>
          <w:highlight w:val="none"/>
        </w:rPr>
        <w:sectPr>
          <w:footerReference r:id="rId12" w:type="default"/>
          <w:footerReference r:id="rId13" w:type="even"/>
          <w:pgSz w:w="11906" w:h="16838"/>
          <w:pgMar w:top="1417" w:right="1797" w:bottom="1417" w:left="1797" w:header="851" w:footer="851" w:gutter="0"/>
          <w:cols w:space="720" w:num="1"/>
          <w:docGrid w:linePitch="312" w:charSpace="0"/>
        </w:sectPr>
      </w:pPr>
      <w:r>
        <w:rPr>
          <w:rFonts w:hint="eastAsia" w:ascii="宋体" w:hAnsi="宋体" w:cs="宋体"/>
          <w:color w:val="auto"/>
          <w:highlight w:val="none"/>
        </w:rPr>
        <w:t>日期:_____年___月___日</w:t>
      </w:r>
    </w:p>
    <w:p>
      <w:pPr>
        <w:pStyle w:val="6"/>
        <w:ind w:firstLine="482"/>
        <w:rPr>
          <w:rFonts w:hint="eastAsia" w:ascii="宋体" w:hAnsi="宋体" w:cs="宋体"/>
          <w:color w:val="auto"/>
          <w:szCs w:val="20"/>
          <w:highlight w:val="none"/>
        </w:rPr>
      </w:pPr>
      <w:r>
        <w:rPr>
          <w:rFonts w:hint="eastAsia" w:ascii="宋体" w:hAnsi="宋体" w:cs="宋体"/>
          <w:color w:val="auto"/>
          <w:highlight w:val="none"/>
        </w:rPr>
        <w:t>17.报价一览表</w:t>
      </w:r>
    </w:p>
    <w:p>
      <w:pPr>
        <w:ind w:firstLine="482"/>
        <w:jc w:val="center"/>
        <w:rPr>
          <w:rFonts w:hint="eastAsia" w:ascii="宋体" w:hAnsi="宋体" w:cs="宋体"/>
          <w:b/>
          <w:bCs/>
          <w:color w:val="auto"/>
          <w:highlight w:val="none"/>
        </w:rPr>
      </w:pPr>
      <w:bookmarkStart w:id="155" w:name="_Toc6744"/>
      <w:r>
        <w:rPr>
          <w:rFonts w:hint="eastAsia" w:ascii="宋体" w:hAnsi="宋体" w:cs="宋体"/>
          <w:b/>
          <w:bCs/>
          <w:color w:val="auto"/>
          <w:highlight w:val="none"/>
        </w:rPr>
        <w:t>报价一览表</w:t>
      </w:r>
      <w:bookmarkEnd w:id="155"/>
    </w:p>
    <w:p>
      <w:pPr>
        <w:snapToGrid w:val="0"/>
        <w:spacing w:before="50" w:after="50"/>
        <w:ind w:firstLine="360" w:firstLineChars="150"/>
        <w:rPr>
          <w:rFonts w:hint="eastAsia" w:ascii="宋体" w:hAnsi="宋体" w:cs="宋体"/>
          <w:color w:val="auto"/>
          <w:szCs w:val="20"/>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单位：元</w:t>
      </w:r>
    </w:p>
    <w:tbl>
      <w:tblPr>
        <w:tblStyle w:val="2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755"/>
        <w:gridCol w:w="3467"/>
        <w:gridCol w:w="1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569" w:type="pct"/>
            <w:noWrap w:val="0"/>
            <w:vAlign w:val="center"/>
          </w:tcPr>
          <w:p>
            <w:pPr>
              <w:ind w:right="-24" w:rightChars="-10" w:firstLine="0" w:firstLineChars="0"/>
              <w:jc w:val="center"/>
              <w:rPr>
                <w:rFonts w:hint="eastAsia" w:ascii="宋体" w:hAnsi="宋体" w:cs="宋体"/>
                <w:b/>
                <w:color w:val="auto"/>
                <w:highlight w:val="none"/>
              </w:rPr>
            </w:pPr>
            <w:r>
              <w:rPr>
                <w:rFonts w:hint="eastAsia" w:ascii="宋体" w:hAnsi="宋体" w:cs="宋体"/>
                <w:b/>
                <w:color w:val="auto"/>
                <w:highlight w:val="none"/>
              </w:rPr>
              <w:t>序号</w:t>
            </w:r>
          </w:p>
        </w:tc>
        <w:tc>
          <w:tcPr>
            <w:tcW w:w="1615" w:type="pct"/>
            <w:noWrap w:val="0"/>
            <w:vAlign w:val="center"/>
          </w:tcPr>
          <w:p>
            <w:pPr>
              <w:ind w:right="-24" w:rightChars="-10" w:firstLine="0" w:firstLineChars="0"/>
              <w:jc w:val="center"/>
              <w:rPr>
                <w:rFonts w:hint="eastAsia" w:ascii="宋体" w:hAnsi="宋体" w:cs="宋体"/>
                <w:b/>
                <w:color w:val="auto"/>
                <w:highlight w:val="none"/>
              </w:rPr>
            </w:pPr>
            <w:r>
              <w:rPr>
                <w:rFonts w:hint="eastAsia" w:ascii="宋体" w:hAnsi="宋体" w:cs="宋体"/>
                <w:b/>
                <w:color w:val="auto"/>
                <w:highlight w:val="none"/>
              </w:rPr>
              <w:t>项目名称</w:t>
            </w:r>
          </w:p>
        </w:tc>
        <w:tc>
          <w:tcPr>
            <w:tcW w:w="2033" w:type="pct"/>
            <w:noWrap w:val="0"/>
            <w:vAlign w:val="center"/>
          </w:tcPr>
          <w:p>
            <w:pPr>
              <w:ind w:right="-24" w:rightChars="-10" w:firstLine="0" w:firstLineChars="0"/>
              <w:jc w:val="center"/>
              <w:rPr>
                <w:rFonts w:hint="eastAsia" w:ascii="宋体" w:hAnsi="宋体" w:cs="宋体"/>
                <w:b/>
                <w:color w:val="auto"/>
                <w:highlight w:val="none"/>
              </w:rPr>
            </w:pPr>
            <w:r>
              <w:rPr>
                <w:rFonts w:hint="eastAsia" w:ascii="宋体" w:hAnsi="宋体" w:cs="宋体"/>
                <w:b/>
                <w:color w:val="auto"/>
                <w:highlight w:val="none"/>
              </w:rPr>
              <w:t>报价</w:t>
            </w:r>
          </w:p>
        </w:tc>
        <w:tc>
          <w:tcPr>
            <w:tcW w:w="781" w:type="pct"/>
            <w:tcBorders>
              <w:left w:val="single" w:color="auto" w:sz="4" w:space="0"/>
            </w:tcBorders>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569" w:type="pct"/>
            <w:noWrap w:val="0"/>
            <w:vAlign w:val="center"/>
          </w:tcPr>
          <w:p>
            <w:pPr>
              <w:ind w:right="-24" w:rightChars="-10"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615" w:type="pct"/>
            <w:noWrap w:val="0"/>
            <w:vAlign w:val="center"/>
          </w:tcPr>
          <w:p>
            <w:pPr>
              <w:ind w:right="-24" w:rightChars="-10" w:firstLine="0" w:firstLineChars="0"/>
              <w:jc w:val="center"/>
              <w:rPr>
                <w:rFonts w:hint="eastAsia" w:ascii="宋体" w:hAnsi="宋体" w:cs="宋体"/>
                <w:color w:val="auto"/>
                <w:highlight w:val="none"/>
              </w:rPr>
            </w:pPr>
          </w:p>
        </w:tc>
        <w:tc>
          <w:tcPr>
            <w:tcW w:w="2033" w:type="pct"/>
            <w:noWrap w:val="0"/>
            <w:vAlign w:val="center"/>
          </w:tcPr>
          <w:p>
            <w:pPr>
              <w:ind w:right="-24" w:rightChars="-10" w:firstLine="0" w:firstLineChars="0"/>
              <w:jc w:val="center"/>
              <w:rPr>
                <w:rFonts w:hint="eastAsia" w:ascii="宋体" w:hAnsi="宋体" w:cs="宋体"/>
                <w:b/>
                <w:color w:val="auto"/>
                <w:highlight w:val="none"/>
              </w:rPr>
            </w:pPr>
          </w:p>
        </w:tc>
        <w:tc>
          <w:tcPr>
            <w:tcW w:w="781" w:type="pct"/>
            <w:tcBorders>
              <w:left w:val="single" w:color="auto" w:sz="4" w:space="0"/>
            </w:tcBorders>
            <w:noWrap w:val="0"/>
            <w:vAlign w:val="center"/>
          </w:tcPr>
          <w:p>
            <w:pPr>
              <w:ind w:right="-24" w:rightChars="-10" w:firstLine="0" w:firstLineChars="0"/>
              <w:jc w:val="center"/>
              <w:rPr>
                <w:rFonts w:hint="eastAsia" w:ascii="宋体" w:hAnsi="宋体" w:cs="宋体"/>
                <w:color w:val="auto"/>
                <w:highlight w:val="none"/>
              </w:rPr>
            </w:pPr>
          </w:p>
        </w:tc>
      </w:tr>
    </w:tbl>
    <w:p>
      <w:pPr>
        <w:tabs>
          <w:tab w:val="left" w:pos="7588"/>
        </w:tabs>
        <w:snapToGrid w:val="0"/>
        <w:spacing w:before="50" w:after="50"/>
        <w:ind w:firstLine="480"/>
        <w:jc w:val="left"/>
        <w:rPr>
          <w:rFonts w:hint="eastAsia" w:ascii="宋体" w:hAnsi="宋体" w:cs="宋体"/>
          <w:color w:val="auto"/>
          <w:szCs w:val="20"/>
          <w:highlight w:val="none"/>
        </w:rPr>
      </w:pPr>
      <w:r>
        <w:rPr>
          <w:rFonts w:hint="eastAsia" w:ascii="宋体" w:hAnsi="宋体" w:cs="宋体"/>
          <w:color w:val="auto"/>
          <w:szCs w:val="20"/>
          <w:highlight w:val="none"/>
        </w:rPr>
        <w:tab/>
      </w:r>
    </w:p>
    <w:p>
      <w:pPr>
        <w:snapToGrid w:val="0"/>
        <w:spacing w:before="50" w:after="50"/>
        <w:ind w:left="907" w:leftChars="228" w:hanging="360" w:hangingChars="150"/>
        <w:rPr>
          <w:rFonts w:hint="eastAsia" w:ascii="宋体" w:hAnsi="宋体" w:cs="宋体"/>
          <w:color w:val="auto"/>
          <w:szCs w:val="20"/>
          <w:highlight w:val="none"/>
        </w:rPr>
      </w:pPr>
    </w:p>
    <w:p>
      <w:pPr>
        <w:snapToGrid w:val="0"/>
        <w:spacing w:before="50" w:after="50"/>
        <w:ind w:left="-25" w:leftChars="-72" w:right="-934" w:rightChars="-389" w:hanging="148" w:hangingChars="62"/>
        <w:rPr>
          <w:rFonts w:hint="eastAsia" w:ascii="宋体" w:hAnsi="宋体" w:cs="宋体"/>
          <w:color w:val="auto"/>
          <w:highlight w:val="none"/>
        </w:rPr>
      </w:pPr>
    </w:p>
    <w:p>
      <w:pPr>
        <w:snapToGrid w:val="0"/>
        <w:spacing w:before="50" w:after="50"/>
        <w:ind w:left="-25" w:leftChars="-72" w:right="-934" w:rightChars="-389" w:hanging="148" w:hangingChars="62"/>
        <w:rPr>
          <w:rFonts w:hint="eastAsia" w:ascii="宋体" w:hAnsi="宋体" w:cs="宋体"/>
          <w:color w:val="auto"/>
          <w:szCs w:val="20"/>
          <w:highlight w:val="none"/>
        </w:rPr>
      </w:pPr>
      <w:r>
        <w:rPr>
          <w:rFonts w:hint="eastAsia" w:ascii="宋体" w:hAnsi="宋体" w:cs="宋体"/>
          <w:color w:val="auto"/>
          <w:highlight w:val="none"/>
        </w:rPr>
        <w:t xml:space="preserve">                 </w:t>
      </w:r>
    </w:p>
    <w:p>
      <w:pPr>
        <w:snapToGrid w:val="0"/>
        <w:spacing w:before="50" w:after="50"/>
        <w:ind w:left="-25" w:leftChars="-72" w:right="-934" w:rightChars="-389" w:hanging="148" w:hangingChars="62"/>
        <w:rPr>
          <w:rFonts w:hint="eastAsia" w:ascii="宋体" w:hAnsi="宋体" w:cs="宋体"/>
          <w:color w:val="auto"/>
          <w:highlight w:val="non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（盖章）        </w:t>
      </w:r>
      <w:r>
        <w:rPr>
          <w:rFonts w:hint="eastAsia" w:ascii="宋体" w:hAnsi="宋体" w:cs="宋体"/>
          <w:color w:val="auto"/>
          <w:highlight w:val="none"/>
        </w:rPr>
        <w:t xml:space="preserve">                                     </w:t>
      </w:r>
    </w:p>
    <w:p>
      <w:pPr>
        <w:snapToGrid w:val="0"/>
        <w:spacing w:before="50" w:after="50"/>
        <w:ind w:left="-25" w:leftChars="-72" w:right="-934" w:rightChars="-389" w:hanging="148" w:hangingChars="62"/>
        <w:rPr>
          <w:rFonts w:hint="eastAsia" w:ascii="宋体" w:hAnsi="宋体" w:cs="宋体"/>
          <w:color w:val="auto"/>
          <w:highlight w:val="none"/>
        </w:rPr>
        <w:sectPr>
          <w:footerReference r:id="rId14" w:type="even"/>
          <w:pgSz w:w="11906" w:h="16838"/>
          <w:pgMar w:top="1417" w:right="1797" w:bottom="1417" w:left="1797" w:header="851" w:footer="992" w:gutter="0"/>
          <w:cols w:space="720" w:num="1"/>
          <w:docGrid w:linePitch="602" w:charSpace="-1675"/>
        </w:sectPr>
      </w:pPr>
      <w:r>
        <w:rPr>
          <w:rFonts w:hint="eastAsia" w:ascii="宋体" w:hAnsi="宋体" w:cs="宋体"/>
          <w:color w:val="auto"/>
          <w:highlight w:val="none"/>
        </w:rPr>
        <w:t>日期：    年   月  日</w:t>
      </w:r>
    </w:p>
    <w:p>
      <w:pPr>
        <w:pStyle w:val="6"/>
        <w:ind w:firstLine="482"/>
        <w:rPr>
          <w:rFonts w:hint="eastAsia" w:ascii="宋体" w:hAnsi="宋体" w:cs="宋体"/>
          <w:color w:val="auto"/>
          <w:sz w:val="32"/>
          <w:szCs w:val="32"/>
          <w:highlight w:val="none"/>
        </w:rPr>
      </w:pPr>
      <w:r>
        <w:rPr>
          <w:rFonts w:hint="eastAsia" w:ascii="宋体" w:hAnsi="宋体" w:cs="宋体"/>
          <w:color w:val="auto"/>
          <w:highlight w:val="none"/>
        </w:rPr>
        <w:t xml:space="preserve">18.报价明细表格式 </w:t>
      </w:r>
    </w:p>
    <w:p>
      <w:pPr>
        <w:ind w:firstLine="482"/>
        <w:jc w:val="center"/>
        <w:rPr>
          <w:rFonts w:hint="eastAsia" w:ascii="宋体" w:hAnsi="宋体" w:cs="宋体"/>
          <w:b/>
          <w:bCs/>
          <w:color w:val="auto"/>
          <w:highlight w:val="none"/>
        </w:rPr>
      </w:pPr>
      <w:bookmarkStart w:id="156" w:name="_Toc10416"/>
      <w:r>
        <w:rPr>
          <w:rFonts w:hint="eastAsia" w:ascii="宋体" w:hAnsi="宋体" w:cs="宋体"/>
          <w:b/>
          <w:bCs/>
          <w:color w:val="auto"/>
          <w:highlight w:val="none"/>
        </w:rPr>
        <w:t>报价明细表</w:t>
      </w:r>
      <w:bookmarkEnd w:id="156"/>
    </w:p>
    <w:p>
      <w:pPr>
        <w:pStyle w:val="15"/>
        <w:snapToGrid w:val="0"/>
        <w:spacing w:before="295" w:beforeLines="0" w:after="295" w:afterLines="0" w:line="360" w:lineRule="auto"/>
        <w:ind w:firstLine="480"/>
        <w:rPr>
          <w:rFonts w:hint="eastAsia" w:hAnsi="宋体" w:cs="宋体"/>
          <w:color w:val="auto"/>
          <w:sz w:val="30"/>
          <w:highlight w:val="none"/>
        </w:rPr>
      </w:pPr>
      <w:r>
        <w:rPr>
          <w:rFonts w:hint="eastAsia" w:hAnsi="宋体" w:cs="宋体"/>
          <w:color w:val="auto"/>
          <w:highlight w:val="none"/>
        </w:rPr>
        <w:t>项目编号：</w:t>
      </w:r>
      <w:r>
        <w:rPr>
          <w:rFonts w:hint="eastAsia" w:hAnsi="宋体" w:cs="宋体"/>
          <w:color w:val="auto"/>
          <w:highlight w:val="none"/>
          <w:u w:val="single"/>
        </w:rPr>
        <w:t xml:space="preserve">              </w:t>
      </w:r>
      <w:r>
        <w:rPr>
          <w:rFonts w:hint="eastAsia" w:hAnsi="宋体" w:cs="宋体"/>
          <w:color w:val="auto"/>
          <w:sz w:val="30"/>
          <w:highlight w:val="none"/>
        </w:rPr>
        <w:t xml:space="preserve">                  </w:t>
      </w:r>
      <w:r>
        <w:rPr>
          <w:rFonts w:hint="eastAsia" w:hAnsi="宋体" w:cs="宋体"/>
          <w:color w:val="auto"/>
          <w:szCs w:val="21"/>
          <w:highlight w:val="none"/>
        </w:rPr>
        <w:t>金额单位：人民币（元）</w:t>
      </w:r>
    </w:p>
    <w:tbl>
      <w:tblPr>
        <w:tblStyle w:val="2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2"/>
        <w:gridCol w:w="1825"/>
        <w:gridCol w:w="1060"/>
        <w:gridCol w:w="1256"/>
        <w:gridCol w:w="1102"/>
        <w:gridCol w:w="1123"/>
        <w:gridCol w:w="1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序号</w:t>
            </w: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货物名称</w:t>
            </w: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制造商</w:t>
            </w: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品牌/型号</w:t>
            </w: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单价</w:t>
            </w: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数量</w:t>
            </w: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b/>
                <w:color w:val="auto"/>
                <w:szCs w:val="30"/>
                <w:highlight w:val="none"/>
              </w:rPr>
            </w:pPr>
            <w:r>
              <w:rPr>
                <w:rFonts w:hint="eastAsia" w:ascii="宋体" w:hAnsi="宋体" w:cs="宋体"/>
                <w:b/>
                <w:color w:val="auto"/>
                <w:szCs w:val="30"/>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sz w:val="32"/>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 w:val="32"/>
                <w:szCs w:val="20"/>
                <w:highlight w:val="none"/>
              </w:rPr>
            </w:pP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 w:val="32"/>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 w:val="32"/>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sz w:val="32"/>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 w:val="32"/>
                <w:szCs w:val="20"/>
                <w:highlight w:val="none"/>
              </w:rPr>
            </w:pP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 w:val="32"/>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 w:val="32"/>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pStyle w:val="47"/>
              <w:tabs>
                <w:tab w:val="left" w:pos="420"/>
              </w:tabs>
              <w:snapToGrid w:val="0"/>
              <w:spacing w:before="50" w:after="50" w:line="240" w:lineRule="auto"/>
              <w:ind w:firstLine="0" w:firstLineChars="0"/>
              <w:rPr>
                <w:rFonts w:hint="eastAsia" w:ascii="宋体" w:hAnsi="宋体" w:eastAsia="宋体" w:cs="宋体"/>
                <w:color w:val="auto"/>
                <w:spacing w:val="0"/>
                <w:kern w:val="2"/>
                <w:szCs w:val="20"/>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pStyle w:val="47"/>
              <w:tabs>
                <w:tab w:val="left" w:pos="420"/>
              </w:tabs>
              <w:snapToGrid w:val="0"/>
              <w:spacing w:before="50" w:after="50" w:line="240" w:lineRule="auto"/>
              <w:ind w:firstLine="0" w:firstLineChars="0"/>
              <w:rPr>
                <w:rFonts w:hint="eastAsia" w:ascii="宋体" w:hAnsi="宋体" w:eastAsia="宋体" w:cs="宋体"/>
                <w:color w:val="auto"/>
                <w:spacing w:val="0"/>
                <w:kern w:val="2"/>
                <w:szCs w:val="20"/>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r>
              <w:rPr>
                <w:rFonts w:hint="eastAsia" w:ascii="宋体" w:hAnsi="宋体" w:cs="宋体"/>
                <w:bCs/>
                <w:color w:val="auto"/>
                <w:szCs w:val="20"/>
                <w:highlight w:val="none"/>
              </w:rPr>
              <w:t>……</w:t>
            </w: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highlight w:val="none"/>
              </w:rPr>
            </w:pPr>
          </w:p>
        </w:tc>
        <w:tc>
          <w:tcPr>
            <w:tcW w:w="107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r>
              <w:rPr>
                <w:rFonts w:hint="eastAsia" w:ascii="宋体" w:hAnsi="宋体" w:cs="宋体"/>
                <w:color w:val="auto"/>
                <w:spacing w:val="20"/>
                <w:highlight w:val="none"/>
              </w:rPr>
              <w:t>专用耗材</w:t>
            </w:r>
          </w:p>
        </w:tc>
        <w:tc>
          <w:tcPr>
            <w:tcW w:w="62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bCs/>
                <w:color w:val="auto"/>
                <w:szCs w:val="20"/>
                <w:highlight w:val="none"/>
              </w:rPr>
            </w:pPr>
          </w:p>
        </w:tc>
        <w:tc>
          <w:tcPr>
            <w:tcW w:w="7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center"/>
              <w:rPr>
                <w:rFonts w:hint="eastAsia" w:ascii="宋体" w:hAnsi="宋体" w:cs="宋体"/>
                <w:color w:val="auto"/>
                <w:szCs w:val="21"/>
                <w:highlight w:val="none"/>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highlight w:val="none"/>
              </w:rPr>
            </w:pPr>
          </w:p>
        </w:tc>
        <w:tc>
          <w:tcPr>
            <w:tcW w:w="243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color w:val="auto"/>
                <w:szCs w:val="21"/>
                <w:highlight w:val="none"/>
              </w:rPr>
            </w:pPr>
            <w:r>
              <w:rPr>
                <w:rFonts w:hint="eastAsia" w:ascii="宋体" w:hAnsi="宋体" w:cs="宋体"/>
                <w:color w:val="auto"/>
                <w:spacing w:val="20"/>
                <w:highlight w:val="none"/>
              </w:rPr>
              <w:t>运输费、安装调试费</w:t>
            </w: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cs="宋体"/>
                <w:color w:val="auto"/>
                <w:highlight w:val="none"/>
              </w:rPr>
            </w:pPr>
          </w:p>
        </w:tc>
        <w:tc>
          <w:tcPr>
            <w:tcW w:w="243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color w:val="auto"/>
                <w:szCs w:val="21"/>
                <w:highlight w:val="none"/>
              </w:rPr>
            </w:pPr>
            <w:r>
              <w:rPr>
                <w:rFonts w:hint="eastAsia" w:ascii="宋体" w:hAnsi="宋体" w:cs="宋体"/>
                <w:color w:val="auto"/>
                <w:spacing w:val="20"/>
                <w:highlight w:val="none"/>
              </w:rPr>
              <w:t>其他</w:t>
            </w:r>
          </w:p>
        </w:tc>
        <w:tc>
          <w:tcPr>
            <w:tcW w:w="6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6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5000" w:type="pct"/>
            <w:gridSpan w:val="7"/>
            <w:tcBorders>
              <w:left w:val="single" w:color="auto" w:sz="4" w:space="0"/>
              <w:bottom w:val="single" w:color="auto" w:sz="4" w:space="0"/>
              <w:right w:val="single" w:color="auto" w:sz="4" w:space="0"/>
            </w:tcBorders>
            <w:noWrap w:val="0"/>
            <w:vAlign w:val="center"/>
          </w:tcPr>
          <w:p>
            <w:pPr>
              <w:snapToGrid w:val="0"/>
              <w:spacing w:before="50" w:after="50" w:line="240" w:lineRule="auto"/>
              <w:ind w:firstLine="0" w:firstLineChars="0"/>
              <w:jc w:val="left"/>
              <w:rPr>
                <w:rFonts w:hint="eastAsia" w:ascii="宋体" w:hAnsi="宋体" w:cs="宋体"/>
                <w:color w:val="auto"/>
                <w:spacing w:val="20"/>
                <w:highlight w:val="none"/>
              </w:rPr>
            </w:pPr>
            <w:r>
              <w:rPr>
                <w:rFonts w:hint="eastAsia" w:ascii="宋体" w:hAnsi="宋体" w:cs="宋体"/>
                <w:color w:val="auto"/>
                <w:spacing w:val="20"/>
                <w:highlight w:val="none"/>
              </w:rPr>
              <w:t>合计金额大写：</w:t>
            </w:r>
          </w:p>
          <w:p>
            <w:pPr>
              <w:pStyle w:val="12"/>
              <w:rPr>
                <w:rFonts w:hint="eastAsia" w:ascii="宋体" w:hAnsi="宋体" w:eastAsia="宋体" w:cs="宋体"/>
                <w:color w:val="auto"/>
                <w:highlight w:val="none"/>
              </w:rPr>
            </w:pPr>
          </w:p>
        </w:tc>
      </w:tr>
    </w:tbl>
    <w:p>
      <w:pPr>
        <w:snapToGrid w:val="0"/>
        <w:spacing w:before="50" w:after="50"/>
        <w:ind w:firstLine="560"/>
        <w:rPr>
          <w:rFonts w:hint="eastAsia" w:ascii="宋体" w:hAnsi="宋体" w:cs="宋体"/>
          <w:color w:val="auto"/>
          <w:spacing w:val="20"/>
          <w:szCs w:val="20"/>
          <w:highlight w:val="none"/>
          <w:u w:val="single"/>
        </w:rPr>
      </w:pPr>
    </w:p>
    <w:p>
      <w:pPr>
        <w:snapToGrid w:val="0"/>
        <w:spacing w:before="156" w:beforeLines="50" w:after="50"/>
        <w:ind w:firstLine="560"/>
        <w:rPr>
          <w:rFonts w:hint="eastAsia" w:ascii="宋体" w:hAnsi="宋体" w:cs="宋体"/>
          <w:color w:val="auto"/>
          <w:spacing w:val="20"/>
          <w:highlight w:val="none"/>
          <w:u w:val="single"/>
        </w:rPr>
      </w:pPr>
      <w:r>
        <w:rPr>
          <w:rFonts w:hint="eastAsia" w:ascii="宋体" w:hAnsi="宋体" w:cs="宋体"/>
          <w:color w:val="auto"/>
          <w:spacing w:val="20"/>
          <w:highlight w:val="none"/>
        </w:rPr>
        <w:t>投标人名称：</w:t>
      </w:r>
      <w:r>
        <w:rPr>
          <w:rFonts w:hint="eastAsia" w:ascii="宋体" w:hAnsi="宋体" w:cs="宋体"/>
          <w:color w:val="auto"/>
          <w:spacing w:val="20"/>
          <w:highlight w:val="none"/>
          <w:u w:val="single"/>
        </w:rPr>
        <w:t xml:space="preserve">   （盖章）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pStyle w:val="6"/>
        <w:ind w:firstLine="562"/>
        <w:rPr>
          <w:rFonts w:hint="eastAsia" w:ascii="宋体" w:hAnsi="宋体" w:cs="宋体"/>
          <w:color w:val="auto"/>
          <w:highlight w:val="none"/>
        </w:rPr>
      </w:pPr>
      <w:r>
        <w:rPr>
          <w:rFonts w:hint="eastAsia" w:ascii="宋体" w:hAnsi="宋体" w:cs="宋体"/>
          <w:color w:val="auto"/>
          <w:spacing w:val="20"/>
          <w:highlight w:val="none"/>
          <w:u w:val="single"/>
        </w:rPr>
        <w:br w:type="page"/>
      </w:r>
      <w:r>
        <w:rPr>
          <w:rFonts w:hint="eastAsia" w:ascii="宋体" w:hAnsi="宋体" w:cs="宋体"/>
          <w:color w:val="auto"/>
          <w:highlight w:val="none"/>
        </w:rPr>
        <w:t>19.代理服务费支付承诺书</w:t>
      </w:r>
    </w:p>
    <w:p>
      <w:pPr>
        <w:ind w:firstLine="602"/>
        <w:jc w:val="center"/>
        <w:rPr>
          <w:rFonts w:hint="eastAsia" w:ascii="宋体" w:hAnsi="宋体" w:cs="宋体"/>
          <w:b/>
          <w:bCs/>
          <w:color w:val="auto"/>
          <w:sz w:val="30"/>
          <w:szCs w:val="30"/>
          <w:highlight w:val="none"/>
        </w:rPr>
      </w:pPr>
    </w:p>
    <w:p>
      <w:pPr>
        <w:ind w:firstLine="482"/>
        <w:jc w:val="center"/>
        <w:rPr>
          <w:rFonts w:hint="eastAsia" w:ascii="宋体" w:hAnsi="宋体" w:cs="宋体"/>
          <w:b/>
          <w:bCs/>
          <w:color w:val="auto"/>
          <w:highlight w:val="none"/>
        </w:rPr>
      </w:pPr>
      <w:r>
        <w:rPr>
          <w:rFonts w:hint="eastAsia" w:ascii="宋体" w:hAnsi="宋体" w:cs="宋体"/>
          <w:b/>
          <w:bCs/>
          <w:color w:val="auto"/>
          <w:highlight w:val="none"/>
        </w:rPr>
        <w:t>代理服务费支付承诺书</w:t>
      </w:r>
    </w:p>
    <w:p>
      <w:pPr>
        <w:snapToGrid w:val="0"/>
        <w:spacing w:before="50" w:after="50"/>
        <w:ind w:firstLine="560"/>
        <w:rPr>
          <w:rFonts w:hint="eastAsia" w:ascii="宋体" w:hAnsi="宋体" w:cs="宋体"/>
          <w:color w:val="auto"/>
          <w:spacing w:val="20"/>
          <w:highlight w:val="none"/>
          <w:u w:val="single"/>
        </w:rPr>
      </w:pPr>
    </w:p>
    <w:p>
      <w:pPr>
        <w:snapToGrid w:val="0"/>
        <w:spacing w:before="50" w:after="50"/>
        <w:ind w:firstLine="560"/>
        <w:rPr>
          <w:rFonts w:hint="eastAsia" w:ascii="宋体" w:hAnsi="宋体" w:cs="宋体"/>
          <w:color w:val="auto"/>
          <w:spacing w:val="20"/>
          <w:highlight w:val="none"/>
        </w:rPr>
      </w:pPr>
      <w:r>
        <w:rPr>
          <w:rFonts w:hint="eastAsia" w:ascii="宋体" w:hAnsi="宋体" w:cs="宋体"/>
          <w:color w:val="auto"/>
          <w:spacing w:val="20"/>
          <w:highlight w:val="none"/>
        </w:rPr>
        <w:t>致：浙江省国际技术设备招标有限公司：</w:t>
      </w:r>
    </w:p>
    <w:p>
      <w:pPr>
        <w:snapToGrid w:val="0"/>
        <w:spacing w:before="50" w:after="50"/>
        <w:ind w:firstLine="560"/>
        <w:rPr>
          <w:rFonts w:hint="eastAsia" w:ascii="宋体" w:hAnsi="宋体" w:cs="宋体"/>
          <w:color w:val="auto"/>
          <w:spacing w:val="20"/>
          <w:highlight w:val="none"/>
        </w:rPr>
      </w:pPr>
    </w:p>
    <w:p>
      <w:pPr>
        <w:snapToGrid w:val="0"/>
        <w:spacing w:before="50" w:after="50"/>
        <w:ind w:firstLine="560"/>
        <w:rPr>
          <w:rFonts w:hint="eastAsia" w:ascii="宋体" w:hAnsi="宋体" w:cs="宋体"/>
          <w:color w:val="auto"/>
          <w:spacing w:val="20"/>
          <w:highlight w:val="none"/>
        </w:rPr>
      </w:pPr>
      <w:r>
        <w:rPr>
          <w:rFonts w:hint="eastAsia" w:ascii="宋体" w:hAnsi="宋体" w:cs="宋体"/>
          <w:color w:val="auto"/>
          <w:spacing w:val="20"/>
          <w:highlight w:val="none"/>
        </w:rPr>
        <w:t>我公司已认真阅读了采购文件（项目编号：0625-         ）并在此承诺：</w:t>
      </w:r>
    </w:p>
    <w:p>
      <w:pPr>
        <w:snapToGrid w:val="0"/>
        <w:spacing w:before="50" w:after="50"/>
        <w:ind w:firstLine="480"/>
        <w:rPr>
          <w:rFonts w:hint="eastAsia" w:ascii="宋体" w:hAnsi="宋体" w:cs="宋体"/>
          <w:color w:val="auto"/>
          <w:highlight w:val="none"/>
        </w:rPr>
      </w:pPr>
      <w:r>
        <w:rPr>
          <w:rFonts w:hint="eastAsia" w:ascii="宋体" w:hAnsi="宋体" w:cs="宋体"/>
          <w:color w:val="auto"/>
          <w:highlight w:val="none"/>
        </w:rPr>
        <w:t>如成交，我公司将自中标公告发布之日起5个工作日内按采购文件规定的标准（金额）一次性向采购代理机构支付代理服务费。</w:t>
      </w:r>
    </w:p>
    <w:p>
      <w:pPr>
        <w:snapToGrid w:val="0"/>
        <w:spacing w:before="50" w:after="50"/>
        <w:ind w:firstLine="480"/>
        <w:rPr>
          <w:rFonts w:hint="eastAsia" w:ascii="宋体" w:hAnsi="宋体" w:cs="宋体"/>
          <w:color w:val="auto"/>
          <w:highlight w:val="none"/>
        </w:rPr>
      </w:pPr>
    </w:p>
    <w:p>
      <w:pPr>
        <w:snapToGrid w:val="0"/>
        <w:spacing w:before="50" w:after="50"/>
        <w:ind w:firstLine="480"/>
        <w:rPr>
          <w:rFonts w:hint="eastAsia" w:ascii="宋体" w:hAnsi="宋体" w:cs="宋体"/>
          <w:color w:val="auto"/>
          <w:highlight w:val="none"/>
        </w:rPr>
      </w:pPr>
    </w:p>
    <w:p>
      <w:pPr>
        <w:snapToGrid w:val="0"/>
        <w:spacing w:before="50" w:after="50"/>
        <w:ind w:firstLine="480"/>
        <w:rPr>
          <w:rFonts w:hint="eastAsia" w:ascii="宋体" w:hAnsi="宋体" w:cs="宋体"/>
          <w:color w:val="auto"/>
          <w:highlight w:val="none"/>
        </w:rPr>
      </w:pPr>
    </w:p>
    <w:p>
      <w:pPr>
        <w:snapToGrid w:val="0"/>
        <w:spacing w:before="50" w:after="50"/>
        <w:ind w:firstLine="480"/>
        <w:rPr>
          <w:rFonts w:hint="eastAsia" w:ascii="宋体" w:hAnsi="宋体" w:cs="宋体"/>
          <w:color w:val="auto"/>
          <w:highlight w:val="none"/>
        </w:rPr>
      </w:pPr>
    </w:p>
    <w:p>
      <w:pPr>
        <w:snapToGrid w:val="0"/>
        <w:spacing w:before="50" w:after="50"/>
        <w:ind w:firstLine="480"/>
        <w:rPr>
          <w:rFonts w:hint="eastAsia" w:ascii="宋体" w:hAnsi="宋体" w:cs="宋体"/>
          <w:color w:val="auto"/>
          <w:highlight w:val="none"/>
        </w:rPr>
      </w:pPr>
    </w:p>
    <w:p>
      <w:pPr>
        <w:snapToGrid w:val="0"/>
        <w:spacing w:before="50" w:after="50"/>
        <w:ind w:firstLine="480"/>
        <w:rPr>
          <w:rFonts w:hint="eastAsia" w:ascii="宋体" w:hAnsi="宋体" w:cs="宋体"/>
          <w:color w:val="auto"/>
          <w:highlight w:val="none"/>
        </w:rPr>
      </w:pPr>
    </w:p>
    <w:p>
      <w:pPr>
        <w:snapToGrid w:val="0"/>
        <w:ind w:firstLine="480"/>
        <w:rPr>
          <w:rFonts w:ascii="宋体" w:hAnsi="宋体"/>
          <w:color w:val="auto"/>
          <w:szCs w:val="20"/>
          <w:highlight w:val="none"/>
        </w:rPr>
      </w:pPr>
      <w:r>
        <w:rPr>
          <w:rFonts w:hint="eastAsia" w:ascii="宋体" w:hAnsi="宋体"/>
          <w:color w:val="auto"/>
          <w:highlight w:val="none"/>
        </w:rPr>
        <w:t>承诺方（投标人）法定名称</w:t>
      </w:r>
      <w:r>
        <w:rPr>
          <w:rFonts w:ascii="宋体" w:hAnsi="宋体"/>
          <w:color w:val="auto"/>
          <w:highlight w:val="none"/>
        </w:rPr>
        <w:t>:</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（盖章）</w:t>
      </w:r>
    </w:p>
    <w:p>
      <w:pPr>
        <w:snapToGrid w:val="0"/>
        <w:ind w:firstLine="480"/>
        <w:rPr>
          <w:rFonts w:hint="eastAsia" w:ascii="宋体" w:hAnsi="宋体"/>
          <w:color w:val="auto"/>
          <w:highlight w:val="none"/>
        </w:rPr>
      </w:pPr>
      <w:r>
        <w:rPr>
          <w:rFonts w:hint="eastAsia" w:ascii="宋体" w:hAnsi="宋体"/>
          <w:color w:val="auto"/>
          <w:highlight w:val="none"/>
        </w:rPr>
        <w:t>承诺方（投标人）法定地址</w:t>
      </w:r>
      <w:r>
        <w:rPr>
          <w:rFonts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rPr>
        <w:t xml:space="preserve">                  </w:t>
      </w:r>
    </w:p>
    <w:p>
      <w:pPr>
        <w:snapToGrid w:val="0"/>
        <w:spacing w:before="50" w:after="50"/>
        <w:ind w:firstLine="480"/>
        <w:rPr>
          <w:rFonts w:hint="eastAsia" w:ascii="宋体" w:hAnsi="宋体"/>
          <w:color w:val="auto"/>
          <w:highlight w:val="none"/>
          <w:u w:val="singl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hint="eastAsia" w:ascii="宋体" w:hAnsi="宋体"/>
          <w:color w:val="auto"/>
          <w:highlight w:val="none"/>
        </w:rPr>
        <w:t xml:space="preserve">   联系传真：</w:t>
      </w:r>
      <w:r>
        <w:rPr>
          <w:rFonts w:hint="eastAsia" w:ascii="宋体" w:hAnsi="宋体"/>
          <w:color w:val="auto"/>
          <w:highlight w:val="none"/>
          <w:u w:val="single"/>
        </w:rPr>
        <w:t xml:space="preserve">               </w:t>
      </w:r>
    </w:p>
    <w:p>
      <w:pPr>
        <w:snapToGrid w:val="0"/>
        <w:spacing w:before="50" w:after="50"/>
        <w:ind w:firstLine="480"/>
        <w:rPr>
          <w:rFonts w:hint="eastAsia" w:ascii="宋体" w:hAnsi="宋体"/>
          <w:color w:val="auto"/>
          <w:spacing w:val="20"/>
          <w:highlight w:val="none"/>
        </w:rPr>
      </w:pPr>
      <w:r>
        <w:rPr>
          <w:rFonts w:hint="eastAsia" w:ascii="宋体" w:hAnsi="宋体"/>
          <w:color w:val="auto"/>
          <w:highlight w:val="none"/>
        </w:rPr>
        <w:t>承诺日期</w:t>
      </w:r>
      <w:r>
        <w:rPr>
          <w:rFonts w:ascii="宋体" w:hAnsi="宋体"/>
          <w:color w:val="auto"/>
          <w:highlight w:val="none"/>
        </w:rPr>
        <w:t>:_____</w:t>
      </w:r>
      <w:r>
        <w:rPr>
          <w:rFonts w:hint="eastAsia" w:ascii="宋体" w:hAnsi="宋体"/>
          <w:color w:val="auto"/>
          <w:highlight w:val="none"/>
        </w:rPr>
        <w:t>年</w:t>
      </w:r>
      <w:r>
        <w:rPr>
          <w:rFonts w:ascii="宋体" w:hAnsi="宋体"/>
          <w:color w:val="auto"/>
          <w:highlight w:val="none"/>
        </w:rPr>
        <w:t>___</w:t>
      </w:r>
      <w:r>
        <w:rPr>
          <w:rFonts w:hint="eastAsia" w:ascii="宋体" w:hAnsi="宋体"/>
          <w:color w:val="auto"/>
          <w:highlight w:val="none"/>
        </w:rPr>
        <w:t>月</w:t>
      </w:r>
      <w:r>
        <w:rPr>
          <w:rFonts w:ascii="宋体" w:hAnsi="宋体"/>
          <w:color w:val="auto"/>
          <w:highlight w:val="none"/>
        </w:rPr>
        <w:t>___</w:t>
      </w:r>
      <w:r>
        <w:rPr>
          <w:rFonts w:hint="eastAsia" w:ascii="宋体" w:hAnsi="宋体"/>
          <w:color w:val="auto"/>
          <w:highlight w:val="none"/>
        </w:rPr>
        <w:t>日</w:t>
      </w:r>
    </w:p>
    <w:p>
      <w:pPr>
        <w:ind w:firstLine="480"/>
        <w:rPr>
          <w:rFonts w:hint="eastAsia" w:ascii="宋体" w:hAnsi="宋体" w:cs="宋体"/>
          <w:color w:val="auto"/>
          <w:highlight w:val="none"/>
        </w:rPr>
      </w:pPr>
    </w:p>
    <w:sectPr>
      <w:pgSz w:w="11906" w:h="16838"/>
      <w:pgMar w:top="1417" w:right="1800" w:bottom="1417"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金山简黑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360"/>
      <w:rPr>
        <w:rStyle w:val="31"/>
      </w:rPr>
    </w:pPr>
    <w:r>
      <w:rPr>
        <w:rStyle w:val="31"/>
      </w:rPr>
      <w:fldChar w:fldCharType="begin"/>
    </w:r>
    <w:r>
      <w:rPr>
        <w:rStyle w:val="31"/>
      </w:rPr>
      <w:instrText xml:space="preserve">PAGE  </w:instrText>
    </w:r>
    <w:r>
      <w:rPr>
        <w:rStyle w:val="31"/>
      </w:rP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firstLine="360"/>
                          </w:pPr>
                          <w:r>
                            <w:t xml:space="preserve">— </w:t>
                          </w:r>
                          <w:r>
                            <w:fldChar w:fldCharType="begin"/>
                          </w:r>
                          <w:r>
                            <w:instrText xml:space="preserve"> PAGE  \* MERGEFORMAT </w:instrText>
                          </w:r>
                          <w:r>
                            <w:fldChar w:fldCharType="separate"/>
                          </w:r>
                          <w:r>
                            <w:rPr>
                              <w:lang/>
                            </w:rPr>
                            <w:t>72</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fPgu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h8+C5yQEAAJkDAAAOAAAAAAAAAAEAIAAAAB4BAABkcnMvZTJvRG9j LnhtbFBLBQYAAAAABgAGAFkBAABZBQAAAAA= ">
              <v:fill on="f" focussize="0,0"/>
              <v:stroke on="f"/>
              <v:imagedata o:title=""/>
              <o:lock v:ext="edit" aspectratio="f"/>
              <v:textbox inset="0mm,0mm,0mm,0mm" style="mso-fit-shape-to-text:t;">
                <w:txbxContent>
                  <w:p>
                    <w:pPr>
                      <w:pStyle w:val="19"/>
                      <w:ind w:firstLine="360"/>
                    </w:pPr>
                    <w:r>
                      <w:t xml:space="preserve">— </w:t>
                    </w:r>
                    <w:r>
                      <w:fldChar w:fldCharType="begin"/>
                    </w:r>
                    <w:r>
                      <w:instrText xml:space="preserve"> PAGE  \* MERGEFORMAT </w:instrText>
                    </w:r>
                    <w:r>
                      <w:fldChar w:fldCharType="separate"/>
                    </w:r>
                    <w:r>
                      <w:rPr>
                        <w:lang/>
                      </w:rPr>
                      <w:t>72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firstLine="360"/>
                          </w:pPr>
                          <w:r>
                            <w:t xml:space="preserve">— </w:t>
                          </w:r>
                          <w:r>
                            <w:fldChar w:fldCharType="begin"/>
                          </w:r>
                          <w:r>
                            <w:instrText xml:space="preserve"> PAGE  \* MERGEFORMAT </w:instrText>
                          </w:r>
                          <w:r>
                            <w:fldChar w:fldCharType="separate"/>
                          </w:r>
                          <w:r>
                            <w:rPr>
                              <w:lang/>
                            </w:rPr>
                            <w:t>136</w:t>
                          </w:r>
                          <w:r>
                            <w:fldChar w:fldCharType="end"/>
                          </w:r>
                          <w: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19"/>
                      <w:ind w:firstLine="360"/>
                    </w:pPr>
                    <w:r>
                      <w:t xml:space="preserve">— </w:t>
                    </w:r>
                    <w:r>
                      <w:fldChar w:fldCharType="begin"/>
                    </w:r>
                    <w:r>
                      <w:instrText xml:space="preserve"> PAGE  \* MERGEFORMAT </w:instrText>
                    </w:r>
                    <w:r>
                      <w:fldChar w:fldCharType="separate"/>
                    </w:r>
                    <w:r>
                      <w:rPr>
                        <w:lang/>
                      </w:rPr>
                      <w:t>136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360"/>
      <w:rPr>
        <w:rStyle w:val="31"/>
      </w:rPr>
    </w:pPr>
    <w:r>
      <w:rPr>
        <w:rStyle w:val="31"/>
      </w:rPr>
      <w:fldChar w:fldCharType="begin"/>
    </w:r>
    <w:r>
      <w:rPr>
        <w:rStyle w:val="31"/>
      </w:rPr>
      <w:instrText xml:space="preserve">PAGE  </w:instrText>
    </w:r>
    <w:r>
      <w:rPr>
        <w:rStyle w:val="31"/>
      </w:rPr>
      <w:fldChar w:fldCharType="separate"/>
    </w:r>
    <w:r>
      <w:rPr>
        <w:rStyle w:val="31"/>
      </w:rPr>
      <w:t>55</w:t>
    </w:r>
    <w:r>
      <w:rPr>
        <w:rStyle w:val="31"/>
      </w:rPr>
      <w:fldChar w:fldCharType="end"/>
    </w:r>
  </w:p>
  <w:p>
    <w:pPr>
      <w:pStyle w:val="1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360"/>
      <w:rPr>
        <w:rStyle w:val="31"/>
      </w:rPr>
    </w:pPr>
    <w:r>
      <w:rPr>
        <w:rStyle w:val="31"/>
      </w:rPr>
      <w:fldChar w:fldCharType="begin"/>
    </w:r>
    <w:r>
      <w:rPr>
        <w:rStyle w:val="31"/>
      </w:rPr>
      <w:instrText xml:space="preserve">PAGE  </w:instrText>
    </w:r>
    <w:r>
      <w:rPr>
        <w:rStyle w:val="31"/>
      </w:rPr>
      <w:fldChar w:fldCharType="separate"/>
    </w:r>
    <w:r>
      <w:rPr>
        <w:rStyle w:val="31"/>
      </w:rPr>
      <w:t>55</w:t>
    </w:r>
    <w:r>
      <w:rPr>
        <w:rStyle w:val="31"/>
      </w:rPr>
      <w:fldChar w:fldCharType="end"/>
    </w:r>
  </w:p>
  <w:p>
    <w:pPr>
      <w:pStyle w:val="1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80"/>
      </w:pPr>
      <w:r>
        <w:separator/>
      </w:r>
    </w:p>
  </w:footnote>
  <w:footnote w:type="continuationSeparator" w:id="5">
    <w:p>
      <w:pPr>
        <w:spacing w:line="360" w:lineRule="auto"/>
        <w:ind w:firstLine="480"/>
      </w:pPr>
      <w:r>
        <w:continuationSeparator/>
      </w:r>
    </w:p>
  </w:footnote>
  <w:footnote w:id="0">
    <w:p>
      <w:pPr>
        <w:pStyle w:val="22"/>
        <w:ind w:firstLine="0" w:firstLineChars="0"/>
        <w:rPr>
          <w:rFonts w:hint="eastAsia" w:ascii="宋体" w:hAnsi="宋体" w:cs="宋体"/>
          <w:sz w:val="20"/>
          <w:szCs w:val="20"/>
        </w:rPr>
      </w:pPr>
      <w:r>
        <w:rPr>
          <w:rFonts w:hint="eastAsia" w:ascii="宋体" w:hAnsi="宋体" w:cs="宋体"/>
          <w:sz w:val="20"/>
          <w:szCs w:val="20"/>
        </w:rPr>
        <w:t>注：从业人员、营业收入、资产总额填报上一年度数据，无上一年度数据的新成立企业可不填报。</w:t>
      </w:r>
    </w:p>
  </w:footnote>
  <w:footnote w:id="1">
    <w:p>
      <w:pPr>
        <w:pStyle w:val="22"/>
        <w:ind w:firstLine="0" w:firstLineChars="0"/>
        <w:rPr>
          <w:rFonts w:hint="eastAsia" w:ascii="宋体" w:hAnsi="宋体" w:cs="宋体"/>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jc w:val="distribute"/>
      <w:rPr>
        <w:rFonts w:hint="eastAsia"/>
      </w:rPr>
    </w:pPr>
    <w:r>
      <w:rPr>
        <w:rFonts w:hint="eastAsia"/>
      </w:rPr>
      <w:t>安防系统技防提升（一期）                                  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2CDAC"/>
    <w:multiLevelType w:val="singleLevel"/>
    <w:tmpl w:val="86A2CDAC"/>
    <w:lvl w:ilvl="0" w:tentative="0">
      <w:start w:val="1"/>
      <w:numFmt w:val="chineseCounting"/>
      <w:suff w:val="nothing"/>
      <w:lvlText w:val="（%1）"/>
      <w:lvlJc w:val="left"/>
      <w:rPr>
        <w:rFonts w:hint="eastAsia"/>
      </w:rPr>
    </w:lvl>
  </w:abstractNum>
  <w:abstractNum w:abstractNumId="1">
    <w:nsid w:val="86EB8050"/>
    <w:multiLevelType w:val="singleLevel"/>
    <w:tmpl w:val="86EB8050"/>
    <w:lvl w:ilvl="0" w:tentative="0">
      <w:start w:val="1"/>
      <w:numFmt w:val="decimal"/>
      <w:suff w:val="space"/>
      <w:lvlText w:val="%1."/>
      <w:lvlJc w:val="left"/>
    </w:lvl>
  </w:abstractNum>
  <w:abstractNum w:abstractNumId="2">
    <w:nsid w:val="87576FAE"/>
    <w:multiLevelType w:val="singleLevel"/>
    <w:tmpl w:val="87576FAE"/>
    <w:lvl w:ilvl="0" w:tentative="0">
      <w:start w:val="3"/>
      <w:numFmt w:val="chineseCounting"/>
      <w:suff w:val="nothing"/>
      <w:lvlText w:val="%1、"/>
      <w:lvlJc w:val="left"/>
      <w:rPr>
        <w:rFonts w:hint="eastAsia"/>
      </w:rPr>
    </w:lvl>
  </w:abstractNum>
  <w:abstractNum w:abstractNumId="3">
    <w:nsid w:val="9E9F059A"/>
    <w:multiLevelType w:val="singleLevel"/>
    <w:tmpl w:val="9E9F059A"/>
    <w:lvl w:ilvl="0" w:tentative="0">
      <w:start w:val="1"/>
      <w:numFmt w:val="chineseCounting"/>
      <w:suff w:val="nothing"/>
      <w:lvlText w:val="（%1）"/>
      <w:lvlJc w:val="left"/>
      <w:rPr>
        <w:rFonts w:hint="eastAsia"/>
      </w:rPr>
    </w:lvl>
  </w:abstractNum>
  <w:abstractNum w:abstractNumId="4">
    <w:nsid w:val="B48A1219"/>
    <w:multiLevelType w:val="singleLevel"/>
    <w:tmpl w:val="B48A1219"/>
    <w:lvl w:ilvl="0" w:tentative="0">
      <w:start w:val="8"/>
      <w:numFmt w:val="decimal"/>
      <w:lvlText w:val="%1."/>
      <w:lvlJc w:val="left"/>
      <w:pPr>
        <w:tabs>
          <w:tab w:val="left" w:pos="312"/>
        </w:tabs>
      </w:pPr>
    </w:lvl>
  </w:abstractNum>
  <w:abstractNum w:abstractNumId="5">
    <w:nsid w:val="D1C2A967"/>
    <w:multiLevelType w:val="singleLevel"/>
    <w:tmpl w:val="D1C2A967"/>
    <w:lvl w:ilvl="0" w:tentative="0">
      <w:start w:val="1"/>
      <w:numFmt w:val="chineseCounting"/>
      <w:suff w:val="nothing"/>
      <w:lvlText w:val="（%1）"/>
      <w:lvlJc w:val="left"/>
      <w:rPr>
        <w:rFonts w:hint="eastAsia"/>
      </w:rPr>
    </w:lvl>
  </w:abstractNum>
  <w:abstractNum w:abstractNumId="6">
    <w:nsid w:val="D93E538D"/>
    <w:multiLevelType w:val="singleLevel"/>
    <w:tmpl w:val="D93E538D"/>
    <w:lvl w:ilvl="0" w:tentative="0">
      <w:start w:val="1"/>
      <w:numFmt w:val="chineseCounting"/>
      <w:suff w:val="nothing"/>
      <w:lvlText w:val="%1、"/>
      <w:lvlJc w:val="left"/>
      <w:rPr>
        <w:rFonts w:hint="eastAsia"/>
      </w:rPr>
    </w:lvl>
  </w:abstractNum>
  <w:abstractNum w:abstractNumId="7">
    <w:nsid w:val="D955FA9B"/>
    <w:multiLevelType w:val="singleLevel"/>
    <w:tmpl w:val="D955FA9B"/>
    <w:lvl w:ilvl="0" w:tentative="0">
      <w:start w:val="1"/>
      <w:numFmt w:val="decimal"/>
      <w:lvlText w:val="%1."/>
      <w:lvlJc w:val="left"/>
      <w:pPr>
        <w:ind w:left="425" w:hanging="425"/>
      </w:pPr>
      <w:rPr>
        <w:rFonts w:hint="default"/>
      </w:rPr>
    </w:lvl>
  </w:abstractNum>
  <w:abstractNum w:abstractNumId="8">
    <w:nsid w:val="ED660177"/>
    <w:multiLevelType w:val="singleLevel"/>
    <w:tmpl w:val="ED660177"/>
    <w:lvl w:ilvl="0" w:tentative="0">
      <w:start w:val="1"/>
      <w:numFmt w:val="chineseCounting"/>
      <w:suff w:val="space"/>
      <w:lvlText w:val="（%1）"/>
      <w:lvlJc w:val="left"/>
      <w:rPr>
        <w:rFonts w:hint="eastAsia"/>
      </w:rPr>
    </w:lvl>
  </w:abstractNum>
  <w:abstractNum w:abstractNumId="9">
    <w:nsid w:val="F46FF909"/>
    <w:multiLevelType w:val="singleLevel"/>
    <w:tmpl w:val="F46FF909"/>
    <w:lvl w:ilvl="0" w:tentative="0">
      <w:start w:val="1"/>
      <w:numFmt w:val="chineseCounting"/>
      <w:suff w:val="nothing"/>
      <w:lvlText w:val="%1、"/>
      <w:lvlJc w:val="left"/>
      <w:rPr>
        <w:rFonts w:hint="eastAsia"/>
      </w:rPr>
    </w:lvl>
  </w:abstractNum>
  <w:abstractNum w:abstractNumId="10">
    <w:nsid w:val="F5FCDFC0"/>
    <w:multiLevelType w:val="singleLevel"/>
    <w:tmpl w:val="F5FCDFC0"/>
    <w:lvl w:ilvl="0" w:tentative="0">
      <w:start w:val="22"/>
      <w:numFmt w:val="decimal"/>
      <w:lvlText w:val="%1."/>
      <w:lvlJc w:val="left"/>
      <w:pPr>
        <w:tabs>
          <w:tab w:val="left" w:pos="312"/>
        </w:tabs>
      </w:pPr>
    </w:lvl>
  </w:abstractNum>
  <w:abstractNum w:abstractNumId="11">
    <w:nsid w:val="FF2DBAE6"/>
    <w:multiLevelType w:val="singleLevel"/>
    <w:tmpl w:val="FF2DBAE6"/>
    <w:lvl w:ilvl="0" w:tentative="0">
      <w:start w:val="1"/>
      <w:numFmt w:val="decimal"/>
      <w:lvlText w:val="%1."/>
      <w:lvlJc w:val="left"/>
      <w:pPr>
        <w:ind w:left="425" w:hanging="425"/>
      </w:pPr>
      <w:rPr>
        <w:rFonts w:hint="default"/>
      </w:rPr>
    </w:lvl>
  </w:abstractNum>
  <w:abstractNum w:abstractNumId="12">
    <w:nsid w:val="014C3B2E"/>
    <w:multiLevelType w:val="singleLevel"/>
    <w:tmpl w:val="014C3B2E"/>
    <w:lvl w:ilvl="0" w:tentative="0">
      <w:start w:val="1"/>
      <w:numFmt w:val="chineseCounting"/>
      <w:suff w:val="space"/>
      <w:lvlText w:val="第%1章"/>
      <w:lvlJc w:val="left"/>
      <w:rPr>
        <w:rFonts w:hint="eastAsia"/>
      </w:rPr>
    </w:lvl>
  </w:abstractNum>
  <w:abstractNum w:abstractNumId="13">
    <w:nsid w:val="2713046C"/>
    <w:multiLevelType w:val="singleLevel"/>
    <w:tmpl w:val="2713046C"/>
    <w:lvl w:ilvl="0" w:tentative="0">
      <w:start w:val="1"/>
      <w:numFmt w:val="decimal"/>
      <w:pStyle w:val="7"/>
      <w:lvlText w:val="%1."/>
      <w:lvlJc w:val="left"/>
      <w:pPr>
        <w:tabs>
          <w:tab w:val="left" w:pos="360"/>
        </w:tabs>
        <w:ind w:left="360" w:hanging="360"/>
      </w:pPr>
    </w:lvl>
  </w:abstractNum>
  <w:abstractNum w:abstractNumId="14">
    <w:nsid w:val="3FDB6C0A"/>
    <w:multiLevelType w:val="singleLevel"/>
    <w:tmpl w:val="3FDB6C0A"/>
    <w:lvl w:ilvl="0" w:tentative="0">
      <w:start w:val="1"/>
      <w:numFmt w:val="decimal"/>
      <w:lvlText w:val="%1."/>
      <w:lvlJc w:val="left"/>
      <w:pPr>
        <w:tabs>
          <w:tab w:val="left" w:pos="312"/>
        </w:tabs>
      </w:pPr>
    </w:lvl>
  </w:abstractNum>
  <w:abstractNum w:abstractNumId="15">
    <w:nsid w:val="40CA106D"/>
    <w:multiLevelType w:val="singleLevel"/>
    <w:tmpl w:val="40CA106D"/>
    <w:lvl w:ilvl="0" w:tentative="0">
      <w:start w:val="1"/>
      <w:numFmt w:val="decimal"/>
      <w:suff w:val="space"/>
      <w:lvlText w:val="%1."/>
      <w:lvlJc w:val="left"/>
    </w:lvl>
  </w:abstractNum>
  <w:abstractNum w:abstractNumId="16">
    <w:nsid w:val="4EA7FCCC"/>
    <w:multiLevelType w:val="singleLevel"/>
    <w:tmpl w:val="4EA7FCCC"/>
    <w:lvl w:ilvl="0" w:tentative="0">
      <w:start w:val="4"/>
      <w:numFmt w:val="decimal"/>
      <w:lvlText w:val="%1."/>
      <w:lvlJc w:val="left"/>
      <w:pPr>
        <w:tabs>
          <w:tab w:val="left" w:pos="312"/>
        </w:tabs>
      </w:pPr>
    </w:lvl>
  </w:abstractNum>
  <w:abstractNum w:abstractNumId="17">
    <w:nsid w:val="59FF1429"/>
    <w:multiLevelType w:val="singleLevel"/>
    <w:tmpl w:val="59FF1429"/>
    <w:lvl w:ilvl="0" w:tentative="0">
      <w:start w:val="15"/>
      <w:numFmt w:val="decimal"/>
      <w:lvlText w:val="%1."/>
      <w:lvlJc w:val="left"/>
      <w:pPr>
        <w:tabs>
          <w:tab w:val="left" w:pos="312"/>
        </w:tabs>
      </w:pPr>
    </w:lvl>
  </w:abstractNum>
  <w:abstractNum w:abstractNumId="18">
    <w:nsid w:val="628A7410"/>
    <w:multiLevelType w:val="singleLevel"/>
    <w:tmpl w:val="628A7410"/>
    <w:lvl w:ilvl="0" w:tentative="0">
      <w:start w:val="1"/>
      <w:numFmt w:val="decimal"/>
      <w:lvlText w:val="%1."/>
      <w:lvlJc w:val="left"/>
      <w:pPr>
        <w:ind w:left="425" w:hanging="425"/>
      </w:pPr>
      <w:rPr>
        <w:rFonts w:hint="default"/>
      </w:rPr>
    </w:lvl>
  </w:abstractNum>
  <w:abstractNum w:abstractNumId="19">
    <w:nsid w:val="7E48B883"/>
    <w:multiLevelType w:val="singleLevel"/>
    <w:tmpl w:val="7E48B883"/>
    <w:lvl w:ilvl="0" w:tentative="0">
      <w:start w:val="1"/>
      <w:numFmt w:val="decimal"/>
      <w:lvlText w:val="%1."/>
      <w:lvlJc w:val="left"/>
      <w:pPr>
        <w:tabs>
          <w:tab w:val="left" w:pos="312"/>
        </w:tabs>
      </w:pPr>
    </w:lvl>
  </w:abstractNum>
  <w:num w:numId="1">
    <w:abstractNumId w:val="13"/>
  </w:num>
  <w:num w:numId="2">
    <w:abstractNumId w:val="12"/>
  </w:num>
  <w:num w:numId="3">
    <w:abstractNumId w:val="11"/>
  </w:num>
  <w:num w:numId="4">
    <w:abstractNumId w:val="8"/>
  </w:num>
  <w:num w:numId="5">
    <w:abstractNumId w:val="5"/>
  </w:num>
  <w:num w:numId="6">
    <w:abstractNumId w:val="2"/>
  </w:num>
  <w:num w:numId="7">
    <w:abstractNumId w:val="0"/>
  </w:num>
  <w:num w:numId="8">
    <w:abstractNumId w:val="19"/>
  </w:num>
  <w:num w:numId="9">
    <w:abstractNumId w:val="9"/>
  </w:num>
  <w:num w:numId="10">
    <w:abstractNumId w:val="3"/>
  </w:num>
  <w:num w:numId="11">
    <w:abstractNumId w:val="6"/>
  </w:num>
  <w:num w:numId="12">
    <w:abstractNumId w:val="16"/>
  </w:num>
  <w:num w:numId="13">
    <w:abstractNumId w:val="18"/>
  </w:num>
  <w:num w:numId="14">
    <w:abstractNumId w:val="15"/>
  </w:num>
  <w:num w:numId="15">
    <w:abstractNumId w:val="7"/>
  </w:num>
  <w:num w:numId="16">
    <w:abstractNumId w:val="14"/>
  </w:num>
  <w:num w:numId="17">
    <w:abstractNumId w:val="17"/>
  </w:num>
  <w:num w:numId="18">
    <w:abstractNumId w:val="10"/>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A3"/>
    <w:rsid w:val="00000D74"/>
    <w:rsid w:val="00120089"/>
    <w:rsid w:val="00253268"/>
    <w:rsid w:val="00266BC0"/>
    <w:rsid w:val="00275EB1"/>
    <w:rsid w:val="002B640E"/>
    <w:rsid w:val="00317BD6"/>
    <w:rsid w:val="004A33CC"/>
    <w:rsid w:val="005947CD"/>
    <w:rsid w:val="005E05A3"/>
    <w:rsid w:val="006877E0"/>
    <w:rsid w:val="006C1C9C"/>
    <w:rsid w:val="0091481D"/>
    <w:rsid w:val="0098796E"/>
    <w:rsid w:val="00B153F4"/>
    <w:rsid w:val="00E449BA"/>
    <w:rsid w:val="00E46630"/>
    <w:rsid w:val="00E4715D"/>
    <w:rsid w:val="011A7920"/>
    <w:rsid w:val="02220CAF"/>
    <w:rsid w:val="026441CB"/>
    <w:rsid w:val="032E3C09"/>
    <w:rsid w:val="03C70733"/>
    <w:rsid w:val="04A330FA"/>
    <w:rsid w:val="05711EC1"/>
    <w:rsid w:val="06883A1E"/>
    <w:rsid w:val="07C163BC"/>
    <w:rsid w:val="07DB043D"/>
    <w:rsid w:val="08D050A0"/>
    <w:rsid w:val="09415AFB"/>
    <w:rsid w:val="09977D6E"/>
    <w:rsid w:val="0BAD7B19"/>
    <w:rsid w:val="0BCD4072"/>
    <w:rsid w:val="0D4C5BFD"/>
    <w:rsid w:val="0DDD4D12"/>
    <w:rsid w:val="0E806E51"/>
    <w:rsid w:val="0EC8596F"/>
    <w:rsid w:val="0EFB43DB"/>
    <w:rsid w:val="0FD652A0"/>
    <w:rsid w:val="100D4B7D"/>
    <w:rsid w:val="10357C2F"/>
    <w:rsid w:val="11415BE3"/>
    <w:rsid w:val="11662450"/>
    <w:rsid w:val="11713668"/>
    <w:rsid w:val="11723920"/>
    <w:rsid w:val="135E1745"/>
    <w:rsid w:val="141F67B2"/>
    <w:rsid w:val="149A290F"/>
    <w:rsid w:val="15016272"/>
    <w:rsid w:val="15391CF7"/>
    <w:rsid w:val="15CC2946"/>
    <w:rsid w:val="16322361"/>
    <w:rsid w:val="16AC747A"/>
    <w:rsid w:val="16F218BE"/>
    <w:rsid w:val="17EA6A33"/>
    <w:rsid w:val="1841566D"/>
    <w:rsid w:val="189B70EE"/>
    <w:rsid w:val="196C0E5E"/>
    <w:rsid w:val="19956F26"/>
    <w:rsid w:val="19C503C9"/>
    <w:rsid w:val="1A082965"/>
    <w:rsid w:val="1A390547"/>
    <w:rsid w:val="1B2A1FFE"/>
    <w:rsid w:val="1B4A2347"/>
    <w:rsid w:val="1B6119D3"/>
    <w:rsid w:val="1C2E1E52"/>
    <w:rsid w:val="1D0E3FF4"/>
    <w:rsid w:val="1D6808DF"/>
    <w:rsid w:val="1DEB46F0"/>
    <w:rsid w:val="1FBD61F7"/>
    <w:rsid w:val="1FBE439B"/>
    <w:rsid w:val="20D4609B"/>
    <w:rsid w:val="214D5DE0"/>
    <w:rsid w:val="21871D58"/>
    <w:rsid w:val="21E272A9"/>
    <w:rsid w:val="21EC4CE8"/>
    <w:rsid w:val="22D359D8"/>
    <w:rsid w:val="24147D39"/>
    <w:rsid w:val="253535C5"/>
    <w:rsid w:val="25466428"/>
    <w:rsid w:val="284E2074"/>
    <w:rsid w:val="2A1609DD"/>
    <w:rsid w:val="2AE051B9"/>
    <w:rsid w:val="2B165AF0"/>
    <w:rsid w:val="2B8D4163"/>
    <w:rsid w:val="2BC91936"/>
    <w:rsid w:val="2C0071E4"/>
    <w:rsid w:val="2CAF4F82"/>
    <w:rsid w:val="2CF340A6"/>
    <w:rsid w:val="2D114701"/>
    <w:rsid w:val="2FE645C1"/>
    <w:rsid w:val="301855E9"/>
    <w:rsid w:val="32CB3946"/>
    <w:rsid w:val="331C2BF3"/>
    <w:rsid w:val="339E2D28"/>
    <w:rsid w:val="33D033EA"/>
    <w:rsid w:val="35237CB5"/>
    <w:rsid w:val="360A6742"/>
    <w:rsid w:val="360C7C5E"/>
    <w:rsid w:val="36670201"/>
    <w:rsid w:val="36881D52"/>
    <w:rsid w:val="37E25719"/>
    <w:rsid w:val="3C0B3477"/>
    <w:rsid w:val="3C696113"/>
    <w:rsid w:val="3D45576A"/>
    <w:rsid w:val="3E5C236A"/>
    <w:rsid w:val="3E8E6B56"/>
    <w:rsid w:val="3EC77542"/>
    <w:rsid w:val="3F5B4858"/>
    <w:rsid w:val="40486415"/>
    <w:rsid w:val="40F97022"/>
    <w:rsid w:val="414F13D2"/>
    <w:rsid w:val="41BE078B"/>
    <w:rsid w:val="41FF3B8E"/>
    <w:rsid w:val="42817619"/>
    <w:rsid w:val="42DB7EE6"/>
    <w:rsid w:val="433D4FAB"/>
    <w:rsid w:val="44C10070"/>
    <w:rsid w:val="44E83F83"/>
    <w:rsid w:val="452C2688"/>
    <w:rsid w:val="457C6ADE"/>
    <w:rsid w:val="45C26ECE"/>
    <w:rsid w:val="46B25E69"/>
    <w:rsid w:val="48335EEF"/>
    <w:rsid w:val="491D214E"/>
    <w:rsid w:val="4AA61BE1"/>
    <w:rsid w:val="4AE14172"/>
    <w:rsid w:val="4B97055F"/>
    <w:rsid w:val="4C6E353E"/>
    <w:rsid w:val="4D033C73"/>
    <w:rsid w:val="4F5B5C6D"/>
    <w:rsid w:val="50135E35"/>
    <w:rsid w:val="507F2CB2"/>
    <w:rsid w:val="51D76947"/>
    <w:rsid w:val="526A1B3A"/>
    <w:rsid w:val="53CB41EC"/>
    <w:rsid w:val="53F21D6B"/>
    <w:rsid w:val="548E14C3"/>
    <w:rsid w:val="54B0373E"/>
    <w:rsid w:val="5568368C"/>
    <w:rsid w:val="57797674"/>
    <w:rsid w:val="57A75DEB"/>
    <w:rsid w:val="57E82EDD"/>
    <w:rsid w:val="58A0340B"/>
    <w:rsid w:val="58EE6103"/>
    <w:rsid w:val="59B17DE5"/>
    <w:rsid w:val="5AD423A1"/>
    <w:rsid w:val="5AFB00E5"/>
    <w:rsid w:val="5BA23393"/>
    <w:rsid w:val="5C764DF0"/>
    <w:rsid w:val="5CE14BC2"/>
    <w:rsid w:val="5D044FDF"/>
    <w:rsid w:val="5D793197"/>
    <w:rsid w:val="5DD23F54"/>
    <w:rsid w:val="5E321737"/>
    <w:rsid w:val="5E5E5AAC"/>
    <w:rsid w:val="60645BC9"/>
    <w:rsid w:val="614051CA"/>
    <w:rsid w:val="62A9406F"/>
    <w:rsid w:val="62AC7E68"/>
    <w:rsid w:val="62E0339E"/>
    <w:rsid w:val="649E61F1"/>
    <w:rsid w:val="66E57B66"/>
    <w:rsid w:val="676B5B12"/>
    <w:rsid w:val="67F15C7B"/>
    <w:rsid w:val="693F2661"/>
    <w:rsid w:val="69682BC4"/>
    <w:rsid w:val="6A2627B9"/>
    <w:rsid w:val="6AFB318F"/>
    <w:rsid w:val="6B824055"/>
    <w:rsid w:val="6CAA0A3B"/>
    <w:rsid w:val="6D3800F7"/>
    <w:rsid w:val="6E412B40"/>
    <w:rsid w:val="6E4F6B9A"/>
    <w:rsid w:val="6E89599A"/>
    <w:rsid w:val="6ED30DFA"/>
    <w:rsid w:val="6F2B5C06"/>
    <w:rsid w:val="6FFF2D67"/>
    <w:rsid w:val="71153A43"/>
    <w:rsid w:val="711E38B9"/>
    <w:rsid w:val="71C005B2"/>
    <w:rsid w:val="71C17100"/>
    <w:rsid w:val="71D15F1E"/>
    <w:rsid w:val="7288100C"/>
    <w:rsid w:val="728D17D7"/>
    <w:rsid w:val="72F63E01"/>
    <w:rsid w:val="731E5B28"/>
    <w:rsid w:val="734B29A2"/>
    <w:rsid w:val="73772B10"/>
    <w:rsid w:val="748C48EF"/>
    <w:rsid w:val="74994E47"/>
    <w:rsid w:val="752016B1"/>
    <w:rsid w:val="758C675F"/>
    <w:rsid w:val="75A0066A"/>
    <w:rsid w:val="75DE27F5"/>
    <w:rsid w:val="761A2422"/>
    <w:rsid w:val="76332CA2"/>
    <w:rsid w:val="768B368B"/>
    <w:rsid w:val="77D23298"/>
    <w:rsid w:val="77E771E7"/>
    <w:rsid w:val="78165AAF"/>
    <w:rsid w:val="78280884"/>
    <w:rsid w:val="798A7401"/>
    <w:rsid w:val="7A571BCA"/>
    <w:rsid w:val="7A65396B"/>
    <w:rsid w:val="7AA036BF"/>
    <w:rsid w:val="7AFB3508"/>
    <w:rsid w:val="7B106F93"/>
    <w:rsid w:val="7BEA1386"/>
    <w:rsid w:val="7CBE09CF"/>
    <w:rsid w:val="7E2A540B"/>
    <w:rsid w:val="7F4A34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kern w:val="2"/>
      <w:sz w:val="24"/>
      <w:szCs w:val="24"/>
      <w:lang w:val="en-US" w:eastAsia="zh-CN" w:bidi="ar-SA"/>
    </w:rPr>
  </w:style>
  <w:style w:type="paragraph" w:styleId="4">
    <w:name w:val="heading 1"/>
    <w:basedOn w:val="1"/>
    <w:next w:val="1"/>
    <w:link w:val="35"/>
    <w:qFormat/>
    <w:uiPriority w:val="0"/>
    <w:pPr>
      <w:keepNext/>
      <w:keepLines/>
      <w:spacing w:before="220" w:beforeLines="0" w:beforeAutospacing="0" w:after="210" w:afterLines="0" w:afterAutospacing="0" w:line="360" w:lineRule="auto"/>
      <w:jc w:val="center"/>
      <w:outlineLvl w:val="0"/>
    </w:pPr>
    <w:rPr>
      <w:b/>
      <w:kern w:val="44"/>
      <w:sz w:val="28"/>
      <w:szCs w:val="20"/>
    </w:rPr>
  </w:style>
  <w:style w:type="paragraph" w:styleId="5">
    <w:name w:val="heading 2"/>
    <w:basedOn w:val="1"/>
    <w:next w:val="1"/>
    <w:qFormat/>
    <w:uiPriority w:val="0"/>
    <w:pPr>
      <w:keepNext/>
      <w:keepLines/>
      <w:spacing w:before="140" w:beforeLines="0" w:beforeAutospacing="0" w:after="140" w:afterLines="0" w:afterAutospacing="0" w:line="360" w:lineRule="auto"/>
      <w:outlineLvl w:val="1"/>
    </w:pPr>
    <w:rPr>
      <w:rFonts w:ascii="Arial" w:hAnsi="Arial" w:eastAsia="宋体"/>
      <w:b/>
      <w:sz w:val="28"/>
    </w:rPr>
  </w:style>
  <w:style w:type="paragraph" w:styleId="6">
    <w:name w:val="heading 3"/>
    <w:basedOn w:val="1"/>
    <w:next w:val="1"/>
    <w:link w:val="36"/>
    <w:qFormat/>
    <w:uiPriority w:val="0"/>
    <w:pPr>
      <w:keepNext/>
      <w:keepLines/>
      <w:spacing w:before="20" w:beforeLines="0" w:beforeAutospacing="0" w:after="20" w:afterLines="0" w:afterAutospacing="0" w:line="360" w:lineRule="auto"/>
      <w:outlineLvl w:val="2"/>
    </w:pPr>
    <w:rPr>
      <w:b/>
      <w:sz w:val="24"/>
    </w:rPr>
  </w:style>
  <w:style w:type="character" w:default="1" w:styleId="30">
    <w:name w:val="Default Paragraph Font"/>
    <w:semiHidden/>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8"/>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sz w:val="18"/>
      <w:szCs w:val="20"/>
    </w:rPr>
  </w:style>
  <w:style w:type="paragraph" w:styleId="3">
    <w:name w:val="Body Text First Indent 2"/>
    <w:basedOn w:val="2"/>
    <w:unhideWhenUsed/>
    <w:qFormat/>
    <w:uiPriority w:val="99"/>
    <w:pPr>
      <w:ind w:firstLine="420" w:firstLineChars="200"/>
    </w:pPr>
  </w:style>
  <w:style w:type="paragraph" w:styleId="7">
    <w:name w:val="List Number"/>
    <w:basedOn w:val="1"/>
    <w:uiPriority w:val="0"/>
    <w:pPr>
      <w:numPr>
        <w:ilvl w:val="0"/>
        <w:numId w:val="1"/>
      </w:numPr>
    </w:pPr>
  </w:style>
  <w:style w:type="paragraph" w:styleId="8">
    <w:name w:val="Normal Indent"/>
    <w:basedOn w:val="1"/>
    <w:qFormat/>
    <w:uiPriority w:val="0"/>
    <w:pPr>
      <w:ind w:firstLine="420"/>
    </w:pPr>
    <w:rPr>
      <w:rFonts w:ascii="Calibri" w:hAnsi="Calibri"/>
      <w:szCs w:val="20"/>
    </w:rPr>
  </w:style>
  <w:style w:type="paragraph" w:styleId="9">
    <w:name w:val="annotation text"/>
    <w:basedOn w:val="1"/>
    <w:link w:val="37"/>
    <w:uiPriority w:val="0"/>
    <w:pPr>
      <w:jc w:val="left"/>
    </w:pPr>
  </w:style>
  <w:style w:type="paragraph" w:styleId="10">
    <w:name w:val="Body Text 3"/>
    <w:basedOn w:val="1"/>
    <w:uiPriority w:val="0"/>
    <w:pPr>
      <w:snapToGrid w:val="0"/>
      <w:spacing w:before="50" w:after="50"/>
    </w:pPr>
    <w:rPr>
      <w:rFonts w:hAnsi="宋体" w:eastAsia="仿宋_GB2312"/>
      <w:b/>
      <w:bCs/>
      <w:sz w:val="24"/>
      <w:szCs w:val="20"/>
    </w:rPr>
  </w:style>
  <w:style w:type="paragraph" w:styleId="11">
    <w:name w:val="Body Text"/>
    <w:basedOn w:val="1"/>
    <w:next w:val="12"/>
    <w:unhideWhenUsed/>
    <w:uiPriority w:val="99"/>
    <w:rPr>
      <w:rFonts w:ascii="金山简黑体" w:hAnsi="金山简黑体" w:eastAsia="金山简黑体"/>
      <w:b/>
      <w:spacing w:val="-8"/>
      <w:sz w:val="44"/>
      <w:szCs w:val="20"/>
    </w:rPr>
  </w:style>
  <w:style w:type="paragraph" w:customStyle="1" w:styleId="12">
    <w:name w:val="Default"/>
    <w:next w:val="1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3">
    <w:name w:val="TOC 71"/>
    <w:next w:val="1"/>
    <w:qFormat/>
    <w:uiPriority w:val="0"/>
    <w:pPr>
      <w:wordWrap w:val="0"/>
      <w:ind w:left="2550"/>
      <w:jc w:val="both"/>
    </w:pPr>
    <w:rPr>
      <w:sz w:val="21"/>
      <w:szCs w:val="22"/>
      <w:lang w:val="en-US" w:eastAsia="zh-CN" w:bidi="ar-SA"/>
    </w:rPr>
  </w:style>
  <w:style w:type="paragraph" w:styleId="14">
    <w:name w:val="List 2"/>
    <w:basedOn w:val="1"/>
    <w:qFormat/>
    <w:uiPriority w:val="0"/>
    <w:pPr>
      <w:ind w:left="100" w:leftChars="200" w:hanging="200" w:hangingChars="200"/>
    </w:pPr>
    <w:rPr>
      <w:sz w:val="28"/>
    </w:rPr>
  </w:style>
  <w:style w:type="paragraph" w:styleId="15">
    <w:name w:val="Plain Text"/>
    <w:basedOn w:val="1"/>
    <w:uiPriority w:val="0"/>
    <w:pPr>
      <w:spacing w:before="156" w:beforeLines="50" w:after="156" w:afterLines="50" w:line="400" w:lineRule="exact"/>
    </w:pPr>
    <w:rPr>
      <w:rFonts w:ascii="宋体" w:hAnsi="Courier New"/>
      <w:kern w:val="0"/>
      <w:sz w:val="24"/>
    </w:rPr>
  </w:style>
  <w:style w:type="paragraph" w:styleId="16">
    <w:name w:val="Date"/>
    <w:basedOn w:val="1"/>
    <w:next w:val="1"/>
    <w:uiPriority w:val="0"/>
    <w:pPr>
      <w:ind w:leftChars="2500"/>
    </w:pPr>
    <w:rPr>
      <w:rFonts w:eastAsia="楷体_GB2312"/>
      <w:sz w:val="32"/>
      <w:szCs w:val="20"/>
    </w:rPr>
  </w:style>
  <w:style w:type="paragraph" w:styleId="17">
    <w:name w:val="Body Text Indent 2"/>
    <w:basedOn w:val="1"/>
    <w:qFormat/>
    <w:uiPriority w:val="0"/>
    <w:pPr>
      <w:snapToGrid w:val="0"/>
      <w:ind w:firstLine="542" w:firstLineChars="225"/>
    </w:pPr>
    <w:rPr>
      <w:rFonts w:ascii="仿宋_GB2312" w:hAnsi="宋体"/>
      <w:b/>
      <w:bCs/>
      <w:color w:val="000000"/>
      <w:kern w:val="0"/>
      <w:sz w:val="24"/>
    </w:rPr>
  </w:style>
  <w:style w:type="paragraph" w:styleId="18">
    <w:name w:val="Balloon Text"/>
    <w:basedOn w:val="1"/>
    <w:link w:val="38"/>
    <w:uiPriority w:val="0"/>
    <w:pPr>
      <w:spacing w:line="240" w:lineRule="auto"/>
    </w:pPr>
    <w:rPr>
      <w:sz w:val="18"/>
      <w:szCs w:val="18"/>
    </w:rPr>
  </w:style>
  <w:style w:type="paragraph" w:styleId="19">
    <w:name w:val="footer"/>
    <w:basedOn w:val="1"/>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both"/>
    </w:pPr>
    <w:rPr>
      <w:rFonts w:eastAsia="仿宋_GB2312"/>
      <w:sz w:val="21"/>
      <w:szCs w:val="20"/>
    </w:rPr>
  </w:style>
  <w:style w:type="paragraph" w:styleId="21">
    <w:name w:val="toc 1"/>
    <w:basedOn w:val="1"/>
    <w:next w:val="1"/>
    <w:uiPriority w:val="0"/>
  </w:style>
  <w:style w:type="paragraph" w:styleId="22">
    <w:name w:val="footnote text"/>
    <w:basedOn w:val="1"/>
    <w:semiHidden/>
    <w:qFormat/>
    <w:uiPriority w:val="0"/>
    <w:pPr>
      <w:snapToGrid w:val="0"/>
      <w:jc w:val="left"/>
    </w:pPr>
    <w:rPr>
      <w:sz w:val="18"/>
      <w:szCs w:val="18"/>
    </w:rPr>
  </w:style>
  <w:style w:type="paragraph" w:styleId="23">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uiPriority w:val="0"/>
    <w:pPr>
      <w:ind w:left="420" w:leftChars="200"/>
    </w:pPr>
  </w:style>
  <w:style w:type="paragraph" w:styleId="25">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26">
    <w:name w:val="annotation subject"/>
    <w:basedOn w:val="9"/>
    <w:next w:val="9"/>
    <w:link w:val="39"/>
    <w:uiPriority w:val="0"/>
    <w:rPr>
      <w:b/>
      <w:bCs/>
    </w:rPr>
  </w:style>
  <w:style w:type="paragraph" w:styleId="27">
    <w:name w:val="Body Text First Indent"/>
    <w:basedOn w:val="11"/>
    <w:next w:val="1"/>
    <w:unhideWhenUsed/>
    <w:qFormat/>
    <w:uiPriority w:val="0"/>
    <w:pPr>
      <w:adjustRightInd/>
      <w:spacing w:after="120" w:line="240" w:lineRule="auto"/>
      <w:ind w:firstLine="420" w:firstLineChars="100"/>
      <w:jc w:val="both"/>
    </w:pPr>
    <w:rPr>
      <w:rFonts w:ascii="Times New Roman"/>
      <w:kern w:val="2"/>
      <w:sz w:val="21"/>
      <w:szCs w:val="24"/>
    </w:rPr>
  </w:style>
  <w:style w:type="table" w:styleId="29">
    <w:name w:val="Table Grid"/>
    <w:basedOn w:val="28"/>
    <w:uiPriority w:val="59"/>
    <w:pPr>
      <w:widowControl w:val="0"/>
      <w:jc w:val="both"/>
    </w:pPr>
    <w:rPr>
      <w:rFonts w:ascii="Times New Roman" w:hAnsi="Times New Roman" w:eastAsia="宋体" w:cs="Times New Roman"/>
      <w:kern w:val="0"/>
      <w:sz w:val="20"/>
      <w:szCs w:val="20"/>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uiPriority w:val="0"/>
  </w:style>
  <w:style w:type="character" w:styleId="32">
    <w:name w:val="Hyperlink"/>
    <w:uiPriority w:val="0"/>
    <w:rPr>
      <w:color w:val="0000FF"/>
      <w:u w:val="single"/>
    </w:rPr>
  </w:style>
  <w:style w:type="character" w:styleId="33">
    <w:name w:val="annotation reference"/>
    <w:uiPriority w:val="0"/>
    <w:rPr>
      <w:sz w:val="21"/>
      <w:szCs w:val="21"/>
    </w:rPr>
  </w:style>
  <w:style w:type="character" w:styleId="34">
    <w:name w:val="footnote reference"/>
    <w:semiHidden/>
    <w:uiPriority w:val="0"/>
    <w:rPr>
      <w:rFonts w:cs="Times New Roman"/>
      <w:vertAlign w:val="superscript"/>
    </w:rPr>
  </w:style>
  <w:style w:type="character" w:customStyle="1" w:styleId="35">
    <w:name w:val="标题 1 Char"/>
    <w:link w:val="4"/>
    <w:uiPriority w:val="0"/>
    <w:rPr>
      <w:rFonts w:ascii="Calibri" w:hAnsi="Calibri"/>
      <w:b/>
      <w:kern w:val="44"/>
      <w:sz w:val="28"/>
    </w:rPr>
  </w:style>
  <w:style w:type="character" w:customStyle="1" w:styleId="36">
    <w:name w:val="标题 3 Char"/>
    <w:link w:val="6"/>
    <w:uiPriority w:val="0"/>
    <w:rPr>
      <w:b/>
      <w:sz w:val="24"/>
    </w:rPr>
  </w:style>
  <w:style w:type="character" w:customStyle="1" w:styleId="37">
    <w:name w:val="批注文字 Char"/>
    <w:link w:val="9"/>
    <w:uiPriority w:val="0"/>
    <w:rPr>
      <w:kern w:val="2"/>
      <w:sz w:val="24"/>
      <w:szCs w:val="24"/>
    </w:rPr>
  </w:style>
  <w:style w:type="character" w:customStyle="1" w:styleId="38">
    <w:name w:val="批注框文本 Char"/>
    <w:link w:val="18"/>
    <w:uiPriority w:val="0"/>
    <w:rPr>
      <w:kern w:val="2"/>
      <w:sz w:val="18"/>
      <w:szCs w:val="18"/>
    </w:rPr>
  </w:style>
  <w:style w:type="character" w:customStyle="1" w:styleId="39">
    <w:name w:val="批注主题 Char"/>
    <w:link w:val="26"/>
    <w:uiPriority w:val="0"/>
    <w:rPr>
      <w:b/>
      <w:bCs/>
      <w:kern w:val="2"/>
      <w:sz w:val="24"/>
      <w:szCs w:val="24"/>
    </w:rPr>
  </w:style>
  <w:style w:type="paragraph" w:customStyle="1" w:styleId="40">
    <w:name w:val="目录 71"/>
    <w:next w:val="1"/>
    <w:qFormat/>
    <w:uiPriority w:val="0"/>
    <w:pPr>
      <w:wordWrap w:val="0"/>
      <w:ind w:left="2550"/>
      <w:jc w:val="both"/>
    </w:pPr>
    <w:rPr>
      <w:sz w:val="21"/>
      <w:szCs w:val="22"/>
      <w:lang w:val="en-US" w:eastAsia="zh-CN" w:bidi="ar-SA"/>
    </w:rPr>
  </w:style>
  <w:style w:type="paragraph" w:customStyle="1" w:styleId="41">
    <w:name w:val="WPSOffice手动目录 2"/>
    <w:uiPriority w:val="0"/>
    <w:pPr>
      <w:ind w:leftChars="200"/>
    </w:pPr>
    <w:rPr>
      <w:lang w:val="en-US" w:eastAsia="zh-CN" w:bidi="ar-SA"/>
    </w:rPr>
  </w:style>
  <w:style w:type="paragraph" w:styleId="42">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43">
    <w:name w:val="CM19"/>
    <w:basedOn w:val="12"/>
    <w:next w:val="12"/>
    <w:uiPriority w:val="0"/>
    <w:rPr>
      <w:rFonts w:ascii="仿宋" w:eastAsia="仿宋" w:cs="Times New Roman"/>
      <w:color w:val="auto"/>
    </w:rPr>
  </w:style>
  <w:style w:type="paragraph" w:customStyle="1" w:styleId="44">
    <w:name w:val="CM11"/>
    <w:basedOn w:val="12"/>
    <w:next w:val="12"/>
    <w:uiPriority w:val="0"/>
    <w:pPr>
      <w:spacing w:line="520" w:lineRule="atLeast"/>
    </w:pPr>
    <w:rPr>
      <w:rFonts w:ascii="仿宋" w:eastAsia="仿宋" w:cs="Times New Roman"/>
      <w:color w:val="auto"/>
    </w:rPr>
  </w:style>
  <w:style w:type="paragraph" w:customStyle="1" w:styleId="45">
    <w:name w:val="CM13"/>
    <w:basedOn w:val="12"/>
    <w:next w:val="12"/>
    <w:uiPriority w:val="0"/>
    <w:pPr>
      <w:spacing w:line="520" w:lineRule="atLeast"/>
    </w:pPr>
    <w:rPr>
      <w:rFonts w:ascii="仿宋" w:eastAsia="仿宋" w:cs="Times New Roman"/>
      <w:color w:val="auto"/>
    </w:rPr>
  </w:style>
  <w:style w:type="paragraph" w:customStyle="1" w:styleId="46">
    <w:name w:val="CM14"/>
    <w:basedOn w:val="12"/>
    <w:next w:val="12"/>
    <w:uiPriority w:val="0"/>
    <w:pPr>
      <w:spacing w:line="546" w:lineRule="atLeast"/>
    </w:pPr>
    <w:rPr>
      <w:rFonts w:ascii="仿宋" w:eastAsia="仿宋" w:cs="Times New Roman"/>
      <w:color w:val="auto"/>
    </w:rPr>
  </w:style>
  <w:style w:type="paragraph" w:customStyle="1" w:styleId="4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paragraph" w:customStyle="1" w:styleId="49">
    <w:name w:val="WPSOffice手动目录 1"/>
    <w:uiPriority w:val="0"/>
    <w:rPr>
      <w:lang w:val="en-US" w:eastAsia="zh-CN" w:bidi="ar-SA"/>
    </w:rPr>
  </w:style>
  <w:style w:type="character" w:customStyle="1" w:styleId="50">
    <w:name w:val="NormalCharacter"/>
    <w:uiPriority w:val="0"/>
  </w:style>
  <w:style w:type="character" w:customStyle="1" w:styleId="51">
    <w:name w:val="font121"/>
    <w:uiPriority w:val="0"/>
    <w:rPr>
      <w:rFonts w:hint="eastAsia" w:ascii="微软雅黑" w:hAnsi="微软雅黑" w:eastAsia="微软雅黑" w:cs="微软雅黑"/>
      <w:color w:val="000000"/>
      <w:sz w:val="16"/>
      <w:szCs w:val="16"/>
      <w:u w:val="none"/>
    </w:rPr>
  </w:style>
  <w:style w:type="character" w:customStyle="1" w:styleId="52">
    <w:name w:val="font41"/>
    <w:qFormat/>
    <w:uiPriority w:val="0"/>
    <w:rPr>
      <w:rFonts w:hint="eastAsia" w:ascii="宋体" w:hAnsi="宋体" w:eastAsia="宋体" w:cs="宋体"/>
      <w:color w:val="000000"/>
      <w:sz w:val="18"/>
      <w:szCs w:val="18"/>
      <w:u w:val="none"/>
    </w:rPr>
  </w:style>
  <w:style w:type="character" w:customStyle="1" w:styleId="53">
    <w:name w:val="font151"/>
    <w:qFormat/>
    <w:uiPriority w:val="0"/>
    <w:rPr>
      <w:rFonts w:hint="eastAsia" w:ascii="宋体" w:hAnsi="宋体" w:eastAsia="宋体" w:cs="宋体"/>
      <w:color w:val="FF0000"/>
      <w:sz w:val="18"/>
      <w:szCs w:val="18"/>
      <w:u w:val="none"/>
    </w:rPr>
  </w:style>
  <w:style w:type="character" w:customStyle="1" w:styleId="54">
    <w:name w:val="font61"/>
    <w:qFormat/>
    <w:uiPriority w:val="0"/>
    <w:rPr>
      <w:rFonts w:hint="eastAsia" w:ascii="宋体" w:hAnsi="宋体" w:eastAsia="宋体" w:cs="宋体"/>
      <w:color w:val="000000"/>
      <w:sz w:val="18"/>
      <w:szCs w:val="18"/>
      <w:u w:val="none"/>
    </w:rPr>
  </w:style>
  <w:style w:type="character" w:customStyle="1" w:styleId="55">
    <w:name w:val="font13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11421</Words>
  <Characters>65104</Characters>
  <Lines>542</Lines>
  <Paragraphs>152</Paragraphs>
  <TotalTime>38</TotalTime>
  <ScaleCrop>false</ScaleCrop>
  <LinksUpToDate>false</LinksUpToDate>
  <CharactersWithSpaces>76373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2022-01-24T07:00:00Z</dcterms:created>
  <dc:creator>Administrator</dc:creator>
  <cp:lastModifiedBy>WPS_1701756769</cp:lastModifiedBy>
  <dcterms:modified xsi:type="dcterms:W3CDTF">2024-02-26T03:46:57Z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7FDA93A200104BF3ACD5707F47A9EC71_13</vt:lpwstr>
  </property>
</Properties>
</file>