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stheme="minorEastAsia"/>
          <w:b/>
          <w:bCs/>
          <w:color w:val="auto"/>
          <w:w w:val="80"/>
          <w:sz w:val="48"/>
          <w:szCs w:val="48"/>
          <w:highlight w:val="none"/>
          <w:lang w:eastAsia="zh-Hans"/>
        </w:rPr>
      </w:pPr>
    </w:p>
    <w:p>
      <w:pPr>
        <w:ind w:firstLine="0" w:firstLineChars="0"/>
        <w:jc w:val="center"/>
        <w:rPr>
          <w:rFonts w:hint="eastAsia" w:eastAsia="宋体"/>
          <w:color w:val="auto"/>
          <w:w w:val="80"/>
          <w:highlight w:val="none"/>
          <w:lang w:eastAsia="zh-CN"/>
        </w:rPr>
      </w:pPr>
      <w:r>
        <w:rPr>
          <w:rFonts w:hint="eastAsia" w:asciiTheme="minorEastAsia" w:hAnsiTheme="minorEastAsia" w:eastAsiaTheme="minorEastAsia" w:cstheme="minorEastAsia"/>
          <w:b/>
          <w:bCs/>
          <w:color w:val="auto"/>
          <w:w w:val="72"/>
          <w:sz w:val="48"/>
          <w:szCs w:val="48"/>
          <w:highlight w:val="none"/>
          <w:lang w:eastAsia="zh-CN"/>
        </w:rPr>
        <w:t>浦江县通济桥水库灌区续建配套与节水改造项目（2023-2024年）（金属结构）设备采购项目（重新招标）</w:t>
      </w:r>
    </w:p>
    <w:p>
      <w:pPr>
        <w:ind w:firstLine="0" w:firstLineChars="0"/>
        <w:rPr>
          <w:color w:val="auto"/>
          <w:highlight w:val="none"/>
        </w:rPr>
      </w:pPr>
    </w:p>
    <w:p>
      <w:pPr>
        <w:ind w:firstLine="0" w:firstLineChars="0"/>
        <w:rPr>
          <w:color w:val="auto"/>
          <w:highlight w:val="none"/>
        </w:rPr>
      </w:pPr>
    </w:p>
    <w:p>
      <w:pPr>
        <w:pStyle w:val="6"/>
        <w:ind w:left="480" w:firstLine="480"/>
        <w:rPr>
          <w:color w:val="auto"/>
          <w:highlight w:val="none"/>
        </w:rPr>
      </w:pPr>
    </w:p>
    <w:p>
      <w:pPr>
        <w:ind w:firstLine="480"/>
        <w:rPr>
          <w:color w:val="auto"/>
          <w:highlight w:val="none"/>
        </w:rPr>
      </w:pPr>
    </w:p>
    <w:p>
      <w:pPr>
        <w:ind w:firstLine="480"/>
        <w:rPr>
          <w:color w:val="auto"/>
          <w:highlight w:val="none"/>
        </w:rPr>
      </w:pPr>
    </w:p>
    <w:p>
      <w:pPr>
        <w:pStyle w:val="2"/>
        <w:spacing w:before="164"/>
        <w:rPr>
          <w:color w:val="auto"/>
          <w:highlight w:val="none"/>
        </w:rPr>
      </w:pPr>
    </w:p>
    <w:p>
      <w:pPr>
        <w:ind w:firstLine="0" w:firstLineChars="0"/>
        <w:jc w:val="center"/>
        <w:rPr>
          <w:rFonts w:ascii="宋体" w:hAnsi="宋体" w:cs="宋体"/>
          <w:b/>
          <w:color w:val="auto"/>
          <w:spacing w:val="40"/>
          <w:w w:val="70"/>
          <w:sz w:val="92"/>
          <w:szCs w:val="92"/>
          <w:highlight w:val="none"/>
        </w:rPr>
      </w:pPr>
      <w:r>
        <w:rPr>
          <w:rFonts w:hint="eastAsia" w:ascii="宋体" w:hAnsi="宋体" w:cs="宋体"/>
          <w:b/>
          <w:color w:val="auto"/>
          <w:spacing w:val="40"/>
          <w:w w:val="70"/>
          <w:sz w:val="92"/>
          <w:szCs w:val="92"/>
          <w:highlight w:val="none"/>
        </w:rPr>
        <w:t>公开招标采购文件</w:t>
      </w:r>
    </w:p>
    <w:p>
      <w:pPr>
        <w:pStyle w:val="8"/>
        <w:ind w:firstLine="0" w:firstLineChars="0"/>
        <w:jc w:val="center"/>
        <w:rPr>
          <w:rFonts w:ascii="宋体" w:hAnsi="宋体" w:cs="宋体"/>
          <w:b/>
          <w:bCs/>
          <w:color w:val="auto"/>
          <w:sz w:val="48"/>
          <w:szCs w:val="48"/>
          <w:highlight w:val="none"/>
        </w:rPr>
      </w:pPr>
      <w:r>
        <w:rPr>
          <w:rFonts w:hint="eastAsia" w:ascii="宋体" w:hAnsi="宋体" w:cs="宋体"/>
          <w:b/>
          <w:bCs/>
          <w:color w:val="auto"/>
          <w:w w:val="80"/>
          <w:sz w:val="48"/>
          <w:szCs w:val="48"/>
          <w:highlight w:val="none"/>
        </w:rPr>
        <w:t>（电子招投标）</w:t>
      </w:r>
    </w:p>
    <w:p>
      <w:pPr>
        <w:spacing w:before="328" w:beforeLines="100"/>
        <w:ind w:firstLine="0" w:firstLineChars="0"/>
        <w:jc w:val="center"/>
        <w:rPr>
          <w:rFonts w:hint="eastAsia" w:ascii="宋体" w:hAnsi="宋体" w:eastAsia="宋体" w:cs="宋体"/>
          <w:b/>
          <w:bCs/>
          <w:color w:val="auto"/>
          <w:spacing w:val="11"/>
          <w:w w:val="80"/>
          <w:sz w:val="44"/>
          <w:szCs w:val="44"/>
          <w:highlight w:val="none"/>
          <w:lang w:eastAsia="zh-CN"/>
        </w:rPr>
      </w:pPr>
      <w:r>
        <w:rPr>
          <w:rFonts w:hint="eastAsia" w:ascii="宋体" w:hAnsi="宋体" w:cs="宋体"/>
          <w:b/>
          <w:bCs/>
          <w:color w:val="auto"/>
          <w:w w:val="80"/>
          <w:sz w:val="40"/>
          <w:szCs w:val="40"/>
          <w:highlight w:val="none"/>
        </w:rPr>
        <w:t>项目编号：</w:t>
      </w:r>
      <w:r>
        <w:rPr>
          <w:rFonts w:hint="eastAsia" w:ascii="宋体" w:hAnsi="宋体" w:cs="宋体"/>
          <w:b/>
          <w:bCs/>
          <w:color w:val="auto"/>
          <w:spacing w:val="11"/>
          <w:w w:val="80"/>
          <w:sz w:val="36"/>
          <w:szCs w:val="36"/>
          <w:highlight w:val="none"/>
          <w:lang w:eastAsia="zh-CN"/>
        </w:rPr>
        <w:t>WZGCPJ2023-002</w:t>
      </w:r>
    </w:p>
    <w:p>
      <w:pPr>
        <w:pStyle w:val="2"/>
        <w:spacing w:before="164"/>
        <w:ind w:firstLine="0" w:firstLineChars="0"/>
        <w:rPr>
          <w:rFonts w:ascii="宋体" w:hAnsi="宋体" w:cs="宋体"/>
          <w:b/>
          <w:bCs/>
          <w:color w:val="auto"/>
          <w:spacing w:val="11"/>
          <w:w w:val="80"/>
          <w:sz w:val="36"/>
          <w:szCs w:val="36"/>
          <w:highlight w:val="none"/>
        </w:rPr>
      </w:pPr>
    </w:p>
    <w:p>
      <w:pPr>
        <w:pStyle w:val="2"/>
        <w:spacing w:before="164"/>
        <w:ind w:firstLine="626"/>
        <w:rPr>
          <w:rFonts w:ascii="宋体" w:hAnsi="宋体" w:cs="宋体"/>
          <w:b/>
          <w:bCs/>
          <w:color w:val="auto"/>
          <w:spacing w:val="11"/>
          <w:w w:val="80"/>
          <w:sz w:val="36"/>
          <w:szCs w:val="36"/>
          <w:highlight w:val="none"/>
        </w:rPr>
      </w:pPr>
    </w:p>
    <w:p>
      <w:pPr>
        <w:autoSpaceDE w:val="0"/>
        <w:autoSpaceDN w:val="0"/>
        <w:ind w:firstLine="792"/>
        <w:textAlignment w:val="bottom"/>
        <w:outlineLvl w:val="0"/>
        <w:rPr>
          <w:b/>
          <w:bCs/>
          <w:color w:val="auto"/>
          <w:spacing w:val="20"/>
          <w:w w:val="80"/>
          <w:sz w:val="44"/>
          <w:szCs w:val="44"/>
          <w:highlight w:val="none"/>
        </w:rPr>
      </w:pPr>
    </w:p>
    <w:p>
      <w:pPr>
        <w:pStyle w:val="2"/>
        <w:spacing w:before="164"/>
        <w:rPr>
          <w:color w:val="auto"/>
          <w:highlight w:val="none"/>
        </w:rPr>
      </w:pPr>
    </w:p>
    <w:p>
      <w:pPr>
        <w:autoSpaceDE w:val="0"/>
        <w:autoSpaceDN w:val="0"/>
        <w:ind w:firstLine="1310" w:firstLineChars="400"/>
        <w:textAlignment w:val="bottom"/>
        <w:rPr>
          <w:rFonts w:hint="eastAsia" w:ascii="宋体" w:hAnsi="宋体" w:eastAsia="宋体" w:cs="宋体"/>
          <w:b/>
          <w:color w:val="auto"/>
          <w:spacing w:val="23"/>
          <w:w w:val="70"/>
          <w:sz w:val="40"/>
          <w:szCs w:val="40"/>
          <w:highlight w:val="none"/>
          <w:lang w:eastAsia="zh-CN"/>
        </w:rPr>
      </w:pPr>
      <w:bookmarkStart w:id="0" w:name="_Toc3632"/>
      <w:bookmarkStart w:id="1" w:name="_Toc25472"/>
      <w:r>
        <w:rPr>
          <w:rFonts w:hint="eastAsia"/>
          <w:b/>
          <w:bCs/>
          <w:color w:val="auto"/>
          <w:spacing w:val="23"/>
          <w:w w:val="70"/>
          <w:sz w:val="40"/>
          <w:szCs w:val="40"/>
          <w:highlight w:val="none"/>
        </w:rPr>
        <w:t>采   购   人：</w:t>
      </w:r>
      <w:bookmarkEnd w:id="0"/>
      <w:bookmarkEnd w:id="1"/>
      <w:r>
        <w:rPr>
          <w:rFonts w:hint="eastAsia"/>
          <w:b/>
          <w:bCs/>
          <w:color w:val="auto"/>
          <w:spacing w:val="23"/>
          <w:w w:val="70"/>
          <w:sz w:val="40"/>
          <w:szCs w:val="40"/>
          <w:highlight w:val="none"/>
          <w:lang w:eastAsia="zh-CN"/>
        </w:rPr>
        <w:t>浦江县浦阳江流域管理中心</w:t>
      </w:r>
    </w:p>
    <w:p>
      <w:pPr>
        <w:ind w:firstLine="1310" w:firstLineChars="400"/>
        <w:rPr>
          <w:rFonts w:hint="eastAsia" w:eastAsia="宋体"/>
          <w:b/>
          <w:bCs/>
          <w:color w:val="auto"/>
          <w:spacing w:val="23"/>
          <w:w w:val="70"/>
          <w:sz w:val="40"/>
          <w:szCs w:val="40"/>
          <w:highlight w:val="none"/>
          <w:lang w:eastAsia="zh-CN"/>
        </w:rPr>
      </w:pPr>
      <w:r>
        <w:rPr>
          <w:rFonts w:hint="eastAsia"/>
          <w:b/>
          <w:bCs/>
          <w:color w:val="auto"/>
          <w:spacing w:val="23"/>
          <w:w w:val="70"/>
          <w:sz w:val="40"/>
          <w:szCs w:val="40"/>
          <w:highlight w:val="none"/>
        </w:rPr>
        <w:t>采购代理机构：</w:t>
      </w:r>
      <w:r>
        <w:rPr>
          <w:rFonts w:hint="eastAsia"/>
          <w:b/>
          <w:bCs/>
          <w:color w:val="auto"/>
          <w:spacing w:val="23"/>
          <w:w w:val="70"/>
          <w:sz w:val="40"/>
          <w:szCs w:val="40"/>
          <w:highlight w:val="none"/>
          <w:lang w:eastAsia="zh-CN"/>
        </w:rPr>
        <w:t>五洲工程顾问集团有限公司</w:t>
      </w:r>
    </w:p>
    <w:p>
      <w:pPr>
        <w:snapToGrid w:val="0"/>
        <w:spacing w:before="164" w:beforeLines="50"/>
        <w:ind w:firstLine="658"/>
        <w:jc w:val="center"/>
        <w:rPr>
          <w:b/>
          <w:bCs/>
          <w:color w:val="auto"/>
          <w:w w:val="70"/>
          <w:sz w:val="40"/>
          <w:szCs w:val="40"/>
          <w:highlight w:val="none"/>
        </w:rPr>
      </w:pPr>
      <w:r>
        <w:rPr>
          <w:rFonts w:hint="eastAsia" w:ascii="宋体" w:hAnsi="宋体" w:cs="宋体"/>
          <w:b/>
          <w:bCs/>
          <w:color w:val="auto"/>
          <w:spacing w:val="23"/>
          <w:w w:val="70"/>
          <w:sz w:val="40"/>
          <w:szCs w:val="40"/>
          <w:highlight w:val="none"/>
        </w:rPr>
        <w:t>2023年</w:t>
      </w:r>
      <w:r>
        <w:rPr>
          <w:rFonts w:hint="eastAsia" w:ascii="宋体" w:hAnsi="宋体" w:cs="宋体"/>
          <w:b/>
          <w:bCs/>
          <w:color w:val="auto"/>
          <w:spacing w:val="23"/>
          <w:w w:val="70"/>
          <w:sz w:val="40"/>
          <w:szCs w:val="40"/>
          <w:highlight w:val="none"/>
          <w:lang w:val="en-US" w:eastAsia="zh-CN"/>
        </w:rPr>
        <w:t>12</w:t>
      </w:r>
      <w:r>
        <w:rPr>
          <w:rFonts w:hint="eastAsia" w:ascii="宋体" w:hAnsi="宋体" w:cs="宋体"/>
          <w:b/>
          <w:bCs/>
          <w:color w:val="auto"/>
          <w:spacing w:val="23"/>
          <w:w w:val="70"/>
          <w:sz w:val="40"/>
          <w:szCs w:val="40"/>
          <w:highlight w:val="none"/>
        </w:rPr>
        <w:t>月</w:t>
      </w:r>
    </w:p>
    <w:p>
      <w:pPr>
        <w:ind w:firstLine="691"/>
        <w:rPr>
          <w:rFonts w:ascii="宋体" w:hAnsi="宋体" w:cs="宋体"/>
          <w:b/>
          <w:bCs/>
          <w:color w:val="auto"/>
          <w:spacing w:val="11"/>
          <w:w w:val="80"/>
          <w:sz w:val="40"/>
          <w:szCs w:val="40"/>
          <w:highlight w:val="none"/>
        </w:rPr>
      </w:pPr>
    </w:p>
    <w:p>
      <w:pPr>
        <w:spacing w:line="240" w:lineRule="auto"/>
        <w:ind w:firstLine="0" w:firstLineChars="0"/>
        <w:rPr>
          <w:rFonts w:ascii="微软雅黑" w:hAnsi="微软雅黑" w:eastAsia="微软雅黑" w:cs="微软雅黑"/>
          <w:b/>
          <w:bCs/>
          <w:color w:val="auto"/>
          <w:sz w:val="32"/>
          <w:szCs w:val="32"/>
          <w:highlight w:val="none"/>
        </w:rPr>
        <w:sectPr>
          <w:headerReference r:id="rId5" w:type="default"/>
          <w:footerReference r:id="rId7" w:type="default"/>
          <w:headerReference r:id="rId6" w:type="even"/>
          <w:footerReference r:id="rId8" w:type="even"/>
          <w:pgSz w:w="11906" w:h="16838"/>
          <w:pgMar w:top="1474" w:right="1417" w:bottom="1247" w:left="1417" w:header="567" w:footer="567" w:gutter="0"/>
          <w:pgNumType w:start="1"/>
          <w:cols w:space="0" w:num="1"/>
          <w:docGrid w:type="lines" w:linePitch="328" w:charSpace="0"/>
        </w:sectPr>
      </w:pPr>
    </w:p>
    <w:p>
      <w:pPr>
        <w:spacing w:line="240" w:lineRule="auto"/>
        <w:ind w:firstLine="0" w:firstLineChars="0"/>
        <w:jc w:val="center"/>
        <w:rPr>
          <w:rFonts w:ascii="宋体" w:hAnsi="宋体" w:cs="宋体"/>
          <w:b/>
          <w:color w:val="auto"/>
          <w:sz w:val="48"/>
          <w:szCs w:val="48"/>
          <w:highlight w:val="none"/>
        </w:rPr>
      </w:pPr>
      <w:r>
        <w:rPr>
          <w:rFonts w:hint="eastAsia" w:ascii="微软雅黑" w:hAnsi="微软雅黑" w:eastAsia="微软雅黑" w:cs="微软雅黑"/>
          <w:b/>
          <w:bCs/>
          <w:color w:val="auto"/>
          <w:sz w:val="32"/>
          <w:szCs w:val="32"/>
          <w:highlight w:val="none"/>
        </w:rPr>
        <w:t>目  录</w:t>
      </w:r>
      <w:r>
        <w:rPr>
          <w:rFonts w:hint="eastAsia" w:ascii="等线" w:hAnsi="等线" w:cs="宋体"/>
          <w:color w:val="auto"/>
          <w:szCs w:val="22"/>
          <w:highlight w:val="none"/>
        </w:rPr>
        <w:t xml:space="preserve"> </w:t>
      </w:r>
    </w:p>
    <w:sdt>
      <w:sdtPr>
        <w:rPr>
          <w:rFonts w:ascii="宋体" w:hAnsi="宋体"/>
          <w:color w:val="auto"/>
          <w:sz w:val="21"/>
          <w:highlight w:val="none"/>
        </w:rPr>
        <w:id w:val="147482963"/>
        <w:docPartObj>
          <w:docPartGallery w:val="Table of Contents"/>
          <w:docPartUnique/>
        </w:docPartObj>
      </w:sdtPr>
      <w:sdtEndPr>
        <w:rPr>
          <w:rFonts w:ascii="宋体" w:hAnsi="宋体"/>
          <w:color w:val="auto"/>
          <w:sz w:val="21"/>
          <w:highlight w:val="none"/>
        </w:rPr>
      </w:sdtEndPr>
      <w:sdtContent>
        <w:p>
          <w:pPr>
            <w:spacing w:line="240" w:lineRule="auto"/>
            <w:ind w:firstLine="0" w:firstLineChars="0"/>
            <w:jc w:val="center"/>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"_Toc13220" </w:instrText>
          </w:r>
          <w:r>
            <w:rPr>
              <w:color w:val="auto"/>
              <w:highlight w:val="none"/>
            </w:rPr>
            <w:fldChar w:fldCharType="separate"/>
          </w:r>
          <w:r>
            <w:rPr>
              <w:rFonts w:hint="eastAsia"/>
              <w:color w:val="auto"/>
              <w:highlight w:val="none"/>
            </w:rPr>
            <w:t xml:space="preserve">第一部分  </w:t>
          </w:r>
          <w:r>
            <w:rPr>
              <w:rFonts w:hint="eastAsia"/>
              <w:bCs/>
              <w:color w:val="auto"/>
              <w:highlight w:val="none"/>
            </w:rPr>
            <w:t>公开招标</w:t>
          </w:r>
          <w:r>
            <w:rPr>
              <w:rFonts w:hint="eastAsia"/>
              <w:color w:val="auto"/>
              <w:highlight w:val="none"/>
            </w:rPr>
            <w:t>公告</w:t>
          </w:r>
          <w:r>
            <w:rPr>
              <w:b w:val="0"/>
              <w:bCs/>
              <w:color w:val="auto"/>
              <w:highlight w:val="none"/>
            </w:rPr>
            <w:tab/>
          </w:r>
          <w:r>
            <w:rPr>
              <w:b w:val="0"/>
              <w:bCs/>
              <w:color w:val="auto"/>
              <w:highlight w:val="none"/>
            </w:rPr>
            <w:fldChar w:fldCharType="begin"/>
          </w:r>
          <w:r>
            <w:rPr>
              <w:b w:val="0"/>
              <w:bCs/>
              <w:color w:val="auto"/>
              <w:highlight w:val="none"/>
            </w:rPr>
            <w:instrText xml:space="preserve"> PAGEREF _Toc13220 \h </w:instrText>
          </w:r>
          <w:r>
            <w:rPr>
              <w:b w:val="0"/>
              <w:bCs/>
              <w:color w:val="auto"/>
              <w:highlight w:val="none"/>
            </w:rPr>
            <w:fldChar w:fldCharType="separate"/>
          </w:r>
          <w:r>
            <w:rPr>
              <w:b w:val="0"/>
              <w:bCs/>
              <w:color w:val="auto"/>
              <w:highlight w:val="none"/>
            </w:rPr>
            <w:t>3</w:t>
          </w:r>
          <w:r>
            <w:rPr>
              <w:b w:val="0"/>
              <w:bCs/>
              <w:color w:val="auto"/>
              <w:highlight w:val="none"/>
            </w:rPr>
            <w:fldChar w:fldCharType="end"/>
          </w:r>
          <w:r>
            <w:rPr>
              <w:b w:val="0"/>
              <w:bCs/>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"_Toc2387" </w:instrText>
          </w:r>
          <w:r>
            <w:rPr>
              <w:color w:val="auto"/>
              <w:highlight w:val="none"/>
            </w:rPr>
            <w:fldChar w:fldCharType="separate"/>
          </w:r>
          <w:r>
            <w:rPr>
              <w:rFonts w:hint="eastAsia" w:ascii="Times New Roman" w:hAnsi="Times New Roman"/>
              <w:color w:val="auto"/>
              <w:highlight w:val="none"/>
            </w:rPr>
            <w:t>一、项目基本情况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_Toc2387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"_Toc12273" </w:instrText>
          </w:r>
          <w:r>
            <w:rPr>
              <w:color w:val="auto"/>
              <w:highlight w:val="none"/>
            </w:rPr>
            <w:fldChar w:fldCharType="separate"/>
          </w:r>
          <w:r>
            <w:rPr>
              <w:rFonts w:hint="eastAsia" w:ascii="Times New Roman" w:hAnsi="Times New Roman"/>
              <w:color w:val="auto"/>
              <w:highlight w:val="none"/>
            </w:rPr>
            <w:t>二、申请人的资格要求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_Toc12273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"_Toc18625" </w:instrText>
          </w:r>
          <w:r>
            <w:rPr>
              <w:color w:val="auto"/>
              <w:highlight w:val="none"/>
            </w:rPr>
            <w:fldChar w:fldCharType="separate"/>
          </w:r>
          <w:r>
            <w:rPr>
              <w:rFonts w:hint="eastAsia" w:ascii="Times New Roman" w:hAnsi="Times New Roman"/>
              <w:color w:val="auto"/>
              <w:highlight w:val="none"/>
            </w:rPr>
            <w:t>三、获取采购文件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_Toc18625 \h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"_Toc3401" </w:instrText>
          </w:r>
          <w:r>
            <w:rPr>
              <w:color w:val="auto"/>
              <w:highlight w:val="none"/>
            </w:rPr>
            <w:fldChar w:fldCharType="separate"/>
          </w:r>
          <w:r>
            <w:rPr>
              <w:rFonts w:hint="eastAsia" w:ascii="Times New Roman" w:hAnsi="Times New Roman"/>
              <w:color w:val="auto"/>
              <w:highlight w:val="none"/>
            </w:rPr>
            <w:t>四、提交投标文件截止时间、开标时间和地点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_Toc3401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"_Toc13308" </w:instrText>
          </w:r>
          <w:r>
            <w:rPr>
              <w:color w:val="auto"/>
              <w:highlight w:val="none"/>
            </w:rPr>
            <w:fldChar w:fldCharType="separate"/>
          </w:r>
          <w:r>
            <w:rPr>
              <w:rFonts w:hint="eastAsia" w:ascii="Times New Roman" w:hAnsi="Times New Roman"/>
              <w:color w:val="auto"/>
              <w:highlight w:val="none"/>
            </w:rPr>
            <w:t>五、采购意向公开链接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_Toc13308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"_Toc16239" </w:instrText>
          </w:r>
          <w:r>
            <w:rPr>
              <w:color w:val="auto"/>
              <w:highlight w:val="none"/>
            </w:rPr>
            <w:fldChar w:fldCharType="separate"/>
          </w:r>
          <w:r>
            <w:rPr>
              <w:rFonts w:hint="eastAsia" w:ascii="Times New Roman" w:hAnsi="Times New Roman"/>
              <w:color w:val="auto"/>
              <w:highlight w:val="none"/>
            </w:rPr>
            <w:t>六、公告期限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_Toc16239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"_Toc18725" </w:instrText>
          </w:r>
          <w:r>
            <w:rPr>
              <w:color w:val="auto"/>
              <w:highlight w:val="none"/>
            </w:rPr>
            <w:fldChar w:fldCharType="separate"/>
          </w:r>
          <w:r>
            <w:rPr>
              <w:rFonts w:hint="eastAsia" w:ascii="Times New Roman" w:hAnsi="Times New Roman"/>
              <w:color w:val="auto"/>
              <w:highlight w:val="none"/>
            </w:rPr>
            <w:t>七、 其他补充事宜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_Toc18725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hint="eastAsia"/>
              <w:color w:val="auto"/>
              <w:highlight w:val="none"/>
            </w:rPr>
            <w:t>第二部分 投标人须知</w:t>
          </w:r>
          <w:r>
            <w:rPr>
              <w:b w:val="0"/>
              <w:bCs/>
              <w:color w:val="auto"/>
              <w:highlight w:val="none"/>
            </w:rPr>
            <w:tab/>
          </w:r>
          <w:r>
            <w:rPr>
              <w:b w:val="0"/>
              <w:bCs/>
              <w:color w:val="auto"/>
              <w:highlight w:val="none"/>
            </w:rPr>
            <w:fldChar w:fldCharType="begin"/>
          </w:r>
          <w:r>
            <w:rPr>
              <w:b w:val="0"/>
              <w:bCs/>
              <w:color w:val="auto"/>
              <w:highlight w:val="none"/>
            </w:rPr>
            <w:instrText xml:space="preserve"> PAGEREF _Toc26564 \h </w:instrText>
          </w:r>
          <w:r>
            <w:rPr>
              <w:b w:val="0"/>
              <w:bCs/>
              <w:color w:val="auto"/>
              <w:highlight w:val="none"/>
            </w:rPr>
            <w:fldChar w:fldCharType="separate"/>
          </w:r>
          <w:r>
            <w:rPr>
              <w:b w:val="0"/>
              <w:bCs/>
              <w:color w:val="auto"/>
              <w:highlight w:val="none"/>
            </w:rPr>
            <w:t>9</w:t>
          </w:r>
          <w:r>
            <w:rPr>
              <w:b w:val="0"/>
              <w:bCs/>
              <w:color w:val="auto"/>
              <w:highlight w:val="none"/>
            </w:rPr>
            <w:fldChar w:fldCharType="end"/>
          </w:r>
          <w:r>
            <w:rPr>
              <w:b w:val="0"/>
              <w:bCs/>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imes New Roman" w:hAnsi="Times New Roman" w:cs="宋体"/>
              <w:color w:val="auto"/>
              <w:highlight w:val="none"/>
            </w:rPr>
            <w:t>投标人须知前附表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_Toc22737 \h </w:instrText>
          </w:r>
          <w:r>
            <w:rPr>
              <w:rFonts w:ascii="Times New Roman" w:hAnsi="Times New Roman"/>
              <w:color w:val="auto"/>
              <w:highlight w:val="none"/>
            </w:rPr>
            <w:fldChar w:fldCharType="separate"/>
          </w:r>
          <w:r>
            <w:rPr>
              <w:rFonts w:ascii="Times New Roman" w:hAnsi="Times New Roman"/>
              <w:color w:val="auto"/>
              <w:highlight w:val="none"/>
            </w:rPr>
            <w:t>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"_Toc24158" </w:instrText>
          </w:r>
          <w:r>
            <w:rPr>
              <w:color w:val="auto"/>
              <w:highlight w:val="none"/>
            </w:rPr>
            <w:fldChar w:fldCharType="separate"/>
          </w:r>
          <w:r>
            <w:rPr>
              <w:rFonts w:hint="eastAsia" w:ascii="Times New Roman" w:hAnsi="Times New Roman"/>
              <w:color w:val="auto"/>
              <w:highlight w:val="none"/>
            </w:rPr>
            <w:t>一、总则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_Toc24158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"_Toc17738" </w:instrText>
          </w:r>
          <w:r>
            <w:rPr>
              <w:color w:val="auto"/>
              <w:highlight w:val="none"/>
            </w:rPr>
            <w:fldChar w:fldCharType="separate"/>
          </w:r>
          <w:r>
            <w:rPr>
              <w:rFonts w:hint="eastAsia" w:ascii="Times New Roman" w:hAnsi="Times New Roman"/>
              <w:color w:val="auto"/>
              <w:highlight w:val="none"/>
            </w:rPr>
            <w:t>二、招标文件的构成、澄清、修改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_Toc17738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"_Toc25790" </w:instrText>
          </w:r>
          <w:r>
            <w:rPr>
              <w:color w:val="auto"/>
              <w:highlight w:val="none"/>
            </w:rPr>
            <w:fldChar w:fldCharType="separate"/>
          </w:r>
          <w:r>
            <w:rPr>
              <w:rFonts w:hint="eastAsia" w:ascii="Times New Roman" w:hAnsi="Times New Roman"/>
              <w:color w:val="auto"/>
              <w:highlight w:val="none"/>
            </w:rPr>
            <w:t>三、投标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_Toc25790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"_Toc6373" </w:instrText>
          </w:r>
          <w:r>
            <w:rPr>
              <w:color w:val="auto"/>
              <w:highlight w:val="none"/>
            </w:rPr>
            <w:fldChar w:fldCharType="separate"/>
          </w:r>
          <w:r>
            <w:rPr>
              <w:rFonts w:hint="eastAsia" w:ascii="Times New Roman" w:hAnsi="Times New Roman"/>
              <w:color w:val="auto"/>
              <w:highlight w:val="none"/>
            </w:rPr>
            <w:t>四、开标、资格审查与信用信息查询</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_Toc6373 \h </w:instrText>
          </w:r>
          <w:r>
            <w:rPr>
              <w:rFonts w:ascii="Times New Roman" w:hAnsi="Times New Roman"/>
              <w:color w:val="auto"/>
              <w:highlight w:val="none"/>
            </w:rPr>
            <w:fldChar w:fldCharType="separate"/>
          </w:r>
          <w:r>
            <w:rPr>
              <w:rFonts w:ascii="Times New Roman" w:hAnsi="Times New Roman"/>
              <w:color w:val="auto"/>
              <w:highlight w:val="none"/>
            </w:rPr>
            <w:t>31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"_Toc22362" </w:instrText>
          </w:r>
          <w:r>
            <w:rPr>
              <w:color w:val="auto"/>
              <w:highlight w:val="none"/>
            </w:rPr>
            <w:fldChar w:fldCharType="separate"/>
          </w:r>
          <w:r>
            <w:rPr>
              <w:rFonts w:hint="eastAsia" w:ascii="Times New Roman" w:hAnsi="Times New Roman"/>
              <w:color w:val="auto"/>
              <w:highlight w:val="none"/>
            </w:rPr>
            <w:t>五、评标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_Toc22362 \h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"_Toc5099" </w:instrText>
          </w:r>
          <w:r>
            <w:rPr>
              <w:color w:val="auto"/>
              <w:highlight w:val="none"/>
            </w:rPr>
            <w:fldChar w:fldCharType="separate"/>
          </w:r>
          <w:r>
            <w:rPr>
              <w:rFonts w:hint="eastAsia" w:ascii="Times New Roman" w:hAnsi="Times New Roman"/>
              <w:color w:val="auto"/>
              <w:highlight w:val="none"/>
            </w:rPr>
            <w:t>六、定标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_Toc5099 \h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"_Toc7255" </w:instrText>
          </w:r>
          <w:r>
            <w:rPr>
              <w:color w:val="auto"/>
              <w:highlight w:val="none"/>
            </w:rPr>
            <w:fldChar w:fldCharType="separate"/>
          </w:r>
          <w:r>
            <w:rPr>
              <w:rFonts w:hint="eastAsia" w:ascii="Times New Roman" w:hAnsi="Times New Roman"/>
              <w:color w:val="auto"/>
              <w:highlight w:val="none"/>
            </w:rPr>
            <w:t>七、合同授予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_Toc7255 \h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"_Toc5865" </w:instrText>
          </w:r>
          <w:r>
            <w:rPr>
              <w:color w:val="auto"/>
              <w:highlight w:val="none"/>
            </w:rPr>
            <w:fldChar w:fldCharType="separate"/>
          </w:r>
          <w:r>
            <w:rPr>
              <w:rFonts w:hint="eastAsia" w:ascii="Times New Roman" w:hAnsi="Times New Roman"/>
              <w:color w:val="auto"/>
              <w:highlight w:val="none"/>
            </w:rPr>
            <w:t>八、电子交易活动的中止</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_Toc5865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"_Toc16673" </w:instrText>
          </w:r>
          <w:r>
            <w:rPr>
              <w:color w:val="auto"/>
              <w:highlight w:val="none"/>
            </w:rPr>
            <w:fldChar w:fldCharType="separate"/>
          </w:r>
          <w:r>
            <w:rPr>
              <w:rFonts w:hint="eastAsia" w:ascii="Times New Roman" w:hAnsi="Times New Roman"/>
              <w:color w:val="auto"/>
              <w:highlight w:val="none"/>
            </w:rPr>
            <w:t>九、验收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_Toc16673 \h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"_Toc13412" </w:instrText>
          </w:r>
          <w:r>
            <w:rPr>
              <w:color w:val="auto"/>
              <w:highlight w:val="none"/>
            </w:rPr>
            <w:fldChar w:fldCharType="separate"/>
          </w:r>
          <w:r>
            <w:rPr>
              <w:rFonts w:hint="eastAsia"/>
              <w:color w:val="auto"/>
              <w:highlight w:val="none"/>
            </w:rPr>
            <w:t>第三部分 采购需求</w:t>
          </w:r>
          <w:r>
            <w:rPr>
              <w:b w:val="0"/>
              <w:bCs/>
              <w:color w:val="auto"/>
              <w:highlight w:val="none"/>
            </w:rPr>
            <w:tab/>
          </w:r>
          <w:r>
            <w:rPr>
              <w:b w:val="0"/>
              <w:bCs/>
              <w:color w:val="auto"/>
              <w:highlight w:val="none"/>
            </w:rPr>
            <w:fldChar w:fldCharType="begin"/>
          </w:r>
          <w:r>
            <w:rPr>
              <w:b w:val="0"/>
              <w:bCs/>
              <w:color w:val="auto"/>
              <w:highlight w:val="none"/>
            </w:rPr>
            <w:instrText xml:space="preserve"> PAGEREF _Toc13412 \h </w:instrText>
          </w:r>
          <w:r>
            <w:rPr>
              <w:b w:val="0"/>
              <w:bCs/>
              <w:color w:val="auto"/>
              <w:highlight w:val="none"/>
            </w:rPr>
            <w:fldChar w:fldCharType="separate"/>
          </w:r>
          <w:r>
            <w:rPr>
              <w:b w:val="0"/>
              <w:bCs/>
              <w:color w:val="auto"/>
              <w:highlight w:val="none"/>
            </w:rPr>
            <w:t>36</w:t>
          </w:r>
          <w:r>
            <w:rPr>
              <w:b w:val="0"/>
              <w:bCs/>
              <w:color w:val="auto"/>
              <w:highlight w:val="none"/>
            </w:rPr>
            <w:fldChar w:fldCharType="end"/>
          </w:r>
          <w:r>
            <w:rPr>
              <w:b w:val="0"/>
              <w:bCs/>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"_Toc1480" </w:instrText>
          </w:r>
          <w:r>
            <w:rPr>
              <w:color w:val="auto"/>
              <w:highlight w:val="none"/>
            </w:rPr>
            <w:fldChar w:fldCharType="separate"/>
          </w:r>
          <w:r>
            <w:rPr>
              <w:rFonts w:hint="eastAsia"/>
              <w:color w:val="auto"/>
              <w:highlight w:val="none"/>
            </w:rPr>
            <w:t>第四部分 评审方法及标准</w:t>
          </w:r>
          <w:r>
            <w:rPr>
              <w:b w:val="0"/>
              <w:bCs/>
              <w:color w:val="auto"/>
              <w:highlight w:val="none"/>
            </w:rPr>
            <w:tab/>
          </w:r>
          <w:r>
            <w:rPr>
              <w:b w:val="0"/>
              <w:bCs/>
              <w:color w:val="auto"/>
              <w:highlight w:val="none"/>
            </w:rPr>
            <w:fldChar w:fldCharType="begin"/>
          </w:r>
          <w:r>
            <w:rPr>
              <w:b w:val="0"/>
              <w:bCs/>
              <w:color w:val="auto"/>
              <w:highlight w:val="none"/>
            </w:rPr>
            <w:instrText xml:space="preserve"> PAGEREF _Toc1480 \h </w:instrText>
          </w:r>
          <w:r>
            <w:rPr>
              <w:b w:val="0"/>
              <w:bCs/>
              <w:color w:val="auto"/>
              <w:highlight w:val="none"/>
            </w:rPr>
            <w:fldChar w:fldCharType="separate"/>
          </w:r>
          <w:r>
            <w:rPr>
              <w:b w:val="0"/>
              <w:bCs/>
              <w:color w:val="auto"/>
              <w:highlight w:val="none"/>
            </w:rPr>
            <w:t>45</w:t>
          </w:r>
          <w:r>
            <w:rPr>
              <w:b w:val="0"/>
              <w:bCs/>
              <w:color w:val="auto"/>
              <w:highlight w:val="none"/>
            </w:rPr>
            <w:fldChar w:fldCharType="end"/>
          </w:r>
          <w:r>
            <w:rPr>
              <w:b w:val="0"/>
              <w:bCs/>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"_Toc19778" </w:instrText>
          </w:r>
          <w:r>
            <w:rPr>
              <w:color w:val="auto"/>
              <w:highlight w:val="none"/>
            </w:rPr>
            <w:fldChar w:fldCharType="separate"/>
          </w:r>
          <w:r>
            <w:rPr>
              <w:rFonts w:hint="eastAsia" w:ascii="Times New Roman" w:hAnsi="Times New Roman" w:cstheme="minorEastAsia"/>
              <w:color w:val="auto"/>
              <w:szCs w:val="30"/>
              <w:highlight w:val="none"/>
            </w:rPr>
            <w:t>评标办法前附表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_Toc19778 \h </w:instrText>
          </w:r>
          <w:r>
            <w:rPr>
              <w:rFonts w:ascii="Times New Roman" w:hAnsi="Times New Roman"/>
              <w:color w:val="auto"/>
              <w:highlight w:val="none"/>
            </w:rPr>
            <w:fldChar w:fldCharType="separate"/>
          </w:r>
          <w:r>
            <w:rPr>
              <w:rFonts w:ascii="Times New Roman" w:hAnsi="Times New Roman"/>
              <w:color w:val="auto"/>
              <w:highlight w:val="none"/>
            </w:rPr>
            <w:t>45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"_Toc19536" </w:instrText>
          </w:r>
          <w:r>
            <w:rPr>
              <w:color w:val="auto"/>
              <w:highlight w:val="none"/>
            </w:rPr>
            <w:fldChar w:fldCharType="separate"/>
          </w:r>
          <w:r>
            <w:rPr>
              <w:rFonts w:hint="eastAsia" w:ascii="Times New Roman" w:hAnsi="Times New Roman"/>
              <w:color w:val="auto"/>
              <w:highlight w:val="none"/>
            </w:rPr>
            <w:t>一、评标方法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_Toc19536 \h </w:instrText>
          </w:r>
          <w:r>
            <w:rPr>
              <w:rFonts w:ascii="Times New Roman" w:hAnsi="Times New Roman"/>
              <w:color w:val="auto"/>
              <w:highlight w:val="none"/>
            </w:rPr>
            <w:fldChar w:fldCharType="separate"/>
          </w:r>
          <w:r>
            <w:rPr>
              <w:rFonts w:ascii="Times New Roman" w:hAnsi="Times New Roman"/>
              <w:color w:val="auto"/>
              <w:highlight w:val="none"/>
            </w:rPr>
            <w:t>47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"_Toc30056" </w:instrText>
          </w:r>
          <w:r>
            <w:rPr>
              <w:color w:val="auto"/>
              <w:highlight w:val="none"/>
            </w:rPr>
            <w:fldChar w:fldCharType="separate"/>
          </w:r>
          <w:r>
            <w:rPr>
              <w:rFonts w:hint="eastAsia" w:ascii="Times New Roman" w:hAnsi="Times New Roman"/>
              <w:color w:val="auto"/>
              <w:highlight w:val="none"/>
            </w:rPr>
            <w:t>二、评标标准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_Toc30056 \h </w:instrText>
          </w:r>
          <w:r>
            <w:rPr>
              <w:rFonts w:ascii="Times New Roman" w:hAnsi="Times New Roman"/>
              <w:color w:val="auto"/>
              <w:highlight w:val="none"/>
            </w:rPr>
            <w:fldChar w:fldCharType="separate"/>
          </w:r>
          <w:r>
            <w:rPr>
              <w:rFonts w:ascii="Times New Roman" w:hAnsi="Times New Roman"/>
              <w:color w:val="auto"/>
              <w:highlight w:val="none"/>
            </w:rPr>
            <w:t>47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"_Toc21319" </w:instrText>
          </w:r>
          <w:r>
            <w:rPr>
              <w:color w:val="auto"/>
              <w:highlight w:val="none"/>
            </w:rPr>
            <w:fldChar w:fldCharType="separate"/>
          </w:r>
          <w:r>
            <w:rPr>
              <w:rFonts w:hint="eastAsia" w:ascii="Times New Roman" w:hAnsi="Times New Roman"/>
              <w:color w:val="auto"/>
              <w:highlight w:val="none"/>
            </w:rPr>
            <w:t>三、评标程序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_Toc21319 \h </w:instrText>
          </w:r>
          <w:r>
            <w:rPr>
              <w:rFonts w:ascii="Times New Roman" w:hAnsi="Times New Roman"/>
              <w:color w:val="auto"/>
              <w:highlight w:val="none"/>
            </w:rPr>
            <w:fldChar w:fldCharType="separate"/>
          </w:r>
          <w:r>
            <w:rPr>
              <w:rFonts w:ascii="Times New Roman" w:hAnsi="Times New Roman"/>
              <w:color w:val="auto"/>
              <w:highlight w:val="none"/>
            </w:rPr>
            <w:t>47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"_Toc2655" </w:instrText>
          </w:r>
          <w:r>
            <w:rPr>
              <w:color w:val="auto"/>
              <w:highlight w:val="none"/>
            </w:rPr>
            <w:fldChar w:fldCharType="separate"/>
          </w:r>
          <w:r>
            <w:rPr>
              <w:rFonts w:hint="eastAsia" w:ascii="Times New Roman" w:hAnsi="Times New Roman"/>
              <w:color w:val="auto"/>
              <w:highlight w:val="none"/>
            </w:rPr>
            <w:t>四、评标中的其他事项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_Toc2655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"_Toc7789" </w:instrText>
          </w:r>
          <w:r>
            <w:rPr>
              <w:color w:val="auto"/>
              <w:highlight w:val="none"/>
            </w:rPr>
            <w:fldChar w:fldCharType="separate"/>
          </w:r>
          <w:r>
            <w:rPr>
              <w:rFonts w:hint="eastAsia" w:ascii="Times New Roman" w:hAnsi="Times New Roman"/>
              <w:color w:val="auto"/>
              <w:highlight w:val="none"/>
            </w:rPr>
            <w:t>五、评审纪律和要求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_Toc7789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"_Toc29686" </w:instrText>
          </w:r>
          <w:r>
            <w:rPr>
              <w:color w:val="auto"/>
              <w:highlight w:val="none"/>
            </w:rPr>
            <w:fldChar w:fldCharType="separate"/>
          </w:r>
          <w:r>
            <w:rPr>
              <w:rFonts w:hint="eastAsia"/>
              <w:color w:val="auto"/>
              <w:highlight w:val="none"/>
            </w:rPr>
            <w:t>第五部分 拟签订的合同文本</w:t>
          </w:r>
          <w:r>
            <w:rPr>
              <w:b w:val="0"/>
              <w:bCs/>
              <w:color w:val="auto"/>
              <w:highlight w:val="none"/>
            </w:rPr>
            <w:tab/>
          </w:r>
          <w:r>
            <w:rPr>
              <w:b w:val="0"/>
              <w:bCs/>
              <w:color w:val="auto"/>
              <w:highlight w:val="none"/>
            </w:rPr>
            <w:fldChar w:fldCharType="begin"/>
          </w:r>
          <w:r>
            <w:rPr>
              <w:b w:val="0"/>
              <w:bCs/>
              <w:color w:val="auto"/>
              <w:highlight w:val="none"/>
            </w:rPr>
            <w:instrText xml:space="preserve"> PAGEREF _Toc29686 \h </w:instrText>
          </w:r>
          <w:r>
            <w:rPr>
              <w:b w:val="0"/>
              <w:bCs/>
              <w:color w:val="auto"/>
              <w:highlight w:val="none"/>
            </w:rPr>
            <w:fldChar w:fldCharType="separate"/>
          </w:r>
          <w:r>
            <w:rPr>
              <w:b w:val="0"/>
              <w:bCs/>
              <w:color w:val="auto"/>
              <w:highlight w:val="none"/>
            </w:rPr>
            <w:t>53</w:t>
          </w:r>
          <w:r>
            <w:rPr>
              <w:b w:val="0"/>
              <w:bCs/>
              <w:color w:val="auto"/>
              <w:highlight w:val="none"/>
            </w:rPr>
            <w:fldChar w:fldCharType="end"/>
          </w:r>
          <w:r>
            <w:rPr>
              <w:b w:val="0"/>
              <w:bCs/>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"_Toc17708" </w:instrText>
          </w:r>
          <w:r>
            <w:rPr>
              <w:color w:val="auto"/>
              <w:highlight w:val="none"/>
            </w:rPr>
            <w:fldChar w:fldCharType="separate"/>
          </w:r>
          <w:r>
            <w:rPr>
              <w:rFonts w:hint="eastAsia"/>
              <w:color w:val="auto"/>
              <w:highlight w:val="none"/>
            </w:rPr>
            <w:t>第六部分 投标文件格式</w:t>
          </w:r>
          <w:r>
            <w:rPr>
              <w:b w:val="0"/>
              <w:bCs/>
              <w:color w:val="auto"/>
              <w:highlight w:val="none"/>
            </w:rPr>
            <w:tab/>
          </w:r>
          <w:r>
            <w:rPr>
              <w:b w:val="0"/>
              <w:bCs/>
              <w:color w:val="auto"/>
              <w:highlight w:val="none"/>
            </w:rPr>
            <w:fldChar w:fldCharType="begin"/>
          </w:r>
          <w:r>
            <w:rPr>
              <w:b w:val="0"/>
              <w:bCs/>
              <w:color w:val="auto"/>
              <w:highlight w:val="none"/>
            </w:rPr>
            <w:instrText xml:space="preserve"> PAGEREF _Toc17708 \h </w:instrText>
          </w:r>
          <w:r>
            <w:rPr>
              <w:b w:val="0"/>
              <w:bCs/>
              <w:color w:val="auto"/>
              <w:highlight w:val="none"/>
            </w:rPr>
            <w:fldChar w:fldCharType="separate"/>
          </w:r>
          <w:r>
            <w:rPr>
              <w:b w:val="0"/>
              <w:bCs/>
              <w:color w:val="auto"/>
              <w:highlight w:val="none"/>
            </w:rPr>
            <w:t>61</w:t>
          </w:r>
          <w:r>
            <w:rPr>
              <w:b w:val="0"/>
              <w:bCs/>
              <w:color w:val="auto"/>
              <w:highlight w:val="none"/>
            </w:rPr>
            <w:fldChar w:fldCharType="end"/>
          </w:r>
          <w:r>
            <w:rPr>
              <w:b w:val="0"/>
              <w:bCs/>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"_Toc1865" </w:instrText>
          </w:r>
          <w:r>
            <w:rPr>
              <w:color w:val="auto"/>
              <w:highlight w:val="none"/>
            </w:rPr>
            <w:fldChar w:fldCharType="separate"/>
          </w:r>
          <w:r>
            <w:rPr>
              <w:rFonts w:hint="eastAsia" w:ascii="Times New Roman" w:hAnsi="Times New Roman"/>
              <w:color w:val="auto"/>
              <w:highlight w:val="none"/>
            </w:rPr>
            <w:t>一、资格文件封面格式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_Toc1865 \h </w:instrText>
          </w:r>
          <w:r>
            <w:rPr>
              <w:rFonts w:ascii="Times New Roman" w:hAnsi="Times New Roman"/>
              <w:color w:val="auto"/>
              <w:highlight w:val="none"/>
            </w:rPr>
            <w:fldChar w:fldCharType="separate"/>
          </w:r>
          <w:r>
            <w:rPr>
              <w:rFonts w:ascii="Times New Roman" w:hAnsi="Times New Roman"/>
              <w:color w:val="auto"/>
              <w:highlight w:val="none"/>
            </w:rPr>
            <w:t>62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"_Toc24106" </w:instrText>
          </w:r>
          <w:r>
            <w:rPr>
              <w:color w:val="auto"/>
              <w:highlight w:val="none"/>
            </w:rPr>
            <w:fldChar w:fldCharType="separate"/>
          </w:r>
          <w:r>
            <w:rPr>
              <w:rFonts w:hint="eastAsia" w:ascii="Times New Roman" w:hAnsi="Times New Roman" w:cs="宋体"/>
              <w:color w:val="auto"/>
              <w:highlight w:val="none"/>
            </w:rPr>
            <w:t>二</w:t>
          </w:r>
          <w:r>
            <w:rPr>
              <w:rFonts w:hint="eastAsia" w:ascii="Times New Roman" w:hAnsi="Times New Roman" w:cstheme="minorEastAsia"/>
              <w:color w:val="auto"/>
              <w:szCs w:val="28"/>
              <w:highlight w:val="none"/>
            </w:rPr>
            <w:t>、技术商务文件格式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_Toc24106 \h </w:instrText>
          </w:r>
          <w:r>
            <w:rPr>
              <w:rFonts w:ascii="Times New Roman" w:hAnsi="Times New Roman"/>
              <w:color w:val="auto"/>
              <w:highlight w:val="none"/>
            </w:rPr>
            <w:fldChar w:fldCharType="separate"/>
          </w:r>
          <w:r>
            <w:rPr>
              <w:rFonts w:ascii="Times New Roman" w:hAnsi="Times New Roman"/>
              <w:color w:val="auto"/>
              <w:highlight w:val="none"/>
            </w:rPr>
            <w:t>69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20"/>
            <w:tabs>
              <w:tab w:val="right" w:leader="dot" w:pos="9072"/>
              <w:tab w:val="clear" w:pos="9060"/>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hint="eastAsia" w:ascii="Times New Roman" w:hAnsi="Times New Roman"/>
              <w:color w:val="auto"/>
              <w:highlight w:val="none"/>
            </w:rPr>
            <w:t>三、报价文件格式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_Toc1673 \h </w:instrText>
          </w:r>
          <w:r>
            <w:rPr>
              <w:rFonts w:ascii="Times New Roman" w:hAnsi="Times New Roman"/>
              <w:color w:val="auto"/>
              <w:highlight w:val="none"/>
            </w:rPr>
            <w:fldChar w:fldCharType="separate"/>
          </w:r>
          <w:r>
            <w:rPr>
              <w:rFonts w:ascii="Times New Roman" w:hAnsi="Times New Roman"/>
              <w:color w:val="auto"/>
              <w:highlight w:val="none"/>
            </w:rPr>
            <w:t>87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9"/>
            <w:tabs>
              <w:tab w:val="right" w:leader="dot" w:pos="9072"/>
            </w:tabs>
            <w:ind w:firstLine="482"/>
            <w:rPr>
              <w:color w:val="auto"/>
              <w:highlight w:val="none"/>
            </w:rPr>
          </w:pPr>
          <w:r>
            <w:rPr>
              <w:color w:val="auto"/>
              <w:highlight w:val="none"/>
            </w:rPr>
            <w:fldChar w:fldCharType="begin"/>
          </w:r>
          <w:r>
            <w:rPr>
              <w:color w:val="auto"/>
              <w:highlight w:val="none"/>
            </w:rPr>
            <w:instrText xml:space="preserve"> HYPERLINK \l "_Toc14417" </w:instrText>
          </w:r>
          <w:r>
            <w:rPr>
              <w:color w:val="auto"/>
              <w:highlight w:val="none"/>
            </w:rPr>
            <w:fldChar w:fldCharType="separate"/>
          </w:r>
          <w:r>
            <w:rPr>
              <w:rFonts w:hint="eastAsia"/>
              <w:color w:val="auto"/>
              <w:highlight w:val="none"/>
            </w:rPr>
            <w:t>第七部分 其他</w:t>
          </w:r>
          <w:r>
            <w:rPr>
              <w:b w:val="0"/>
              <w:bCs/>
              <w:color w:val="auto"/>
              <w:highlight w:val="none"/>
            </w:rPr>
            <w:tab/>
          </w:r>
          <w:r>
            <w:rPr>
              <w:b w:val="0"/>
              <w:bCs/>
              <w:color w:val="auto"/>
              <w:highlight w:val="none"/>
            </w:rPr>
            <w:fldChar w:fldCharType="begin"/>
          </w:r>
          <w:r>
            <w:rPr>
              <w:b w:val="0"/>
              <w:bCs/>
              <w:color w:val="auto"/>
              <w:highlight w:val="none"/>
            </w:rPr>
            <w:instrText xml:space="preserve"> PAGEREF _Toc14417 \h </w:instrText>
          </w:r>
          <w:r>
            <w:rPr>
              <w:b w:val="0"/>
              <w:bCs/>
              <w:color w:val="auto"/>
              <w:highlight w:val="none"/>
            </w:rPr>
            <w:fldChar w:fldCharType="separate"/>
          </w:r>
          <w:r>
            <w:rPr>
              <w:b w:val="0"/>
              <w:bCs/>
              <w:color w:val="auto"/>
              <w:highlight w:val="none"/>
            </w:rPr>
            <w:t>92</w:t>
          </w:r>
          <w:r>
            <w:rPr>
              <w:b w:val="0"/>
              <w:bCs/>
              <w:color w:val="auto"/>
              <w:highlight w:val="none"/>
            </w:rPr>
            <w:fldChar w:fldCharType="end"/>
          </w:r>
          <w:r>
            <w:rPr>
              <w:b w:val="0"/>
              <w:bCs/>
              <w:color w:val="auto"/>
              <w:highlight w:val="none"/>
            </w:rPr>
            <w:fldChar w:fldCharType="end"/>
          </w:r>
        </w:p>
        <w:p>
          <w:pPr>
            <w:spacing w:line="240" w:lineRule="auto"/>
            <w:ind w:firstLine="0" w:firstLineChars="0"/>
            <w:jc w:val="center"/>
            <w:rPr>
              <w:color w:val="auto"/>
              <w:highlight w:val="none"/>
            </w:rPr>
          </w:pPr>
          <w:r>
            <w:rPr>
              <w:color w:val="auto"/>
              <w:highlight w:val="none"/>
            </w:rPr>
            <w:fldChar w:fldCharType="end"/>
          </w:r>
        </w:p>
      </w:sdtContent>
    </w:sdt>
    <w:p>
      <w:pPr>
        <w:tabs>
          <w:tab w:val="right" w:leader="dot" w:pos="8409"/>
        </w:tabs>
        <w:spacing w:line="432" w:lineRule="auto"/>
        <w:ind w:firstLine="0" w:firstLineChars="0"/>
        <w:jc w:val="left"/>
        <w:rPr>
          <w:rFonts w:ascii="等线" w:hAnsi="等线" w:cs="宋体"/>
          <w:color w:val="auto"/>
          <w:szCs w:val="22"/>
          <w:highlight w:val="none"/>
        </w:rPr>
      </w:pPr>
      <w:r>
        <w:rPr>
          <w:rFonts w:hint="eastAsia" w:ascii="等线" w:hAnsi="等线" w:cs="宋体"/>
          <w:color w:val="auto"/>
          <w:szCs w:val="22"/>
          <w:highlight w:val="none"/>
        </w:rPr>
        <w:t xml:space="preserve">                        </w:t>
      </w:r>
    </w:p>
    <w:p>
      <w:pPr>
        <w:tabs>
          <w:tab w:val="right" w:leader="dot" w:pos="8409"/>
        </w:tabs>
        <w:spacing w:line="432" w:lineRule="auto"/>
        <w:ind w:firstLine="0" w:firstLineChars="0"/>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温馨提示</w:t>
      </w:r>
    </w:p>
    <w:p>
      <w:pPr>
        <w:spacing w:line="432" w:lineRule="auto"/>
        <w:ind w:firstLine="480"/>
        <w:jc w:val="left"/>
        <w:rPr>
          <w:rFonts w:ascii="黑体" w:hAnsi="黑体" w:eastAsia="黑体" w:cs="黑体"/>
          <w:bCs/>
          <w:color w:val="auto"/>
          <w:szCs w:val="21"/>
          <w:highlight w:val="none"/>
        </w:rPr>
      </w:pPr>
      <w:r>
        <w:rPr>
          <w:rFonts w:hint="eastAsia" w:ascii="黑体" w:hAnsi="黑体" w:eastAsia="黑体" w:cs="黑体"/>
          <w:bCs/>
          <w:color w:val="auto"/>
          <w:szCs w:val="21"/>
          <w:highlight w:val="none"/>
        </w:rPr>
        <w:t>请认真阅读此招标文件，并按规定制作投标文件，否则我们的努力将是徒劳。</w:t>
      </w:r>
    </w:p>
    <w:p>
      <w:pPr>
        <w:pStyle w:val="6"/>
        <w:spacing w:line="432" w:lineRule="auto"/>
        <w:ind w:left="0" w:leftChars="0" w:firstLine="0" w:firstLineChars="0"/>
        <w:jc w:val="left"/>
        <w:rPr>
          <w:rFonts w:ascii="宋体" w:hAnsi="宋体" w:cs="宋体"/>
          <w:bCs/>
          <w:color w:val="auto"/>
          <w:highlight w:val="none"/>
        </w:rPr>
      </w:pPr>
      <w:r>
        <w:rPr>
          <w:rFonts w:hint="eastAsia" w:ascii="黑体" w:hAnsi="黑体" w:eastAsia="黑体" w:cs="黑体"/>
          <w:bCs/>
          <w:color w:val="auto"/>
          <w:szCs w:val="21"/>
          <w:highlight w:val="none"/>
        </w:rPr>
        <w:t>投标供应商不得向采购人、政府采购工作人员、评委行贿，违者一经查实，将列入政府采购黑名单！</w:t>
      </w:r>
    </w:p>
    <w:p>
      <w:pPr>
        <w:ind w:firstLine="480"/>
        <w:rPr>
          <w:rFonts w:ascii="宋体" w:hAnsi="宋体" w:cs="宋体"/>
          <w:bCs/>
          <w:color w:val="auto"/>
          <w:highlight w:val="none"/>
        </w:rPr>
      </w:pPr>
    </w:p>
    <w:p>
      <w:pPr>
        <w:pStyle w:val="6"/>
        <w:ind w:left="480" w:firstLine="480"/>
        <w:rPr>
          <w:rFonts w:ascii="宋体" w:hAnsi="宋体" w:cs="宋体"/>
          <w:bCs/>
          <w:color w:val="auto"/>
          <w:highlight w:val="none"/>
        </w:rPr>
      </w:pPr>
    </w:p>
    <w:p>
      <w:pPr>
        <w:ind w:firstLine="480"/>
        <w:rPr>
          <w:rFonts w:ascii="宋体" w:hAnsi="宋体" w:cs="宋体"/>
          <w:bCs/>
          <w:color w:val="auto"/>
          <w:highlight w:val="none"/>
        </w:rPr>
      </w:pPr>
    </w:p>
    <w:p>
      <w:pPr>
        <w:pStyle w:val="6"/>
        <w:ind w:left="480" w:firstLine="480"/>
        <w:rPr>
          <w:rFonts w:ascii="宋体" w:hAnsi="宋体" w:cs="宋体"/>
          <w:bCs/>
          <w:color w:val="auto"/>
          <w:highlight w:val="none"/>
        </w:rPr>
      </w:pPr>
    </w:p>
    <w:p>
      <w:pPr>
        <w:pStyle w:val="6"/>
        <w:ind w:left="480" w:firstLine="480"/>
        <w:rPr>
          <w:rFonts w:ascii="宋体" w:hAnsi="宋体" w:cs="宋体"/>
          <w:bCs/>
          <w:color w:val="auto"/>
          <w:highlight w:val="none"/>
        </w:rPr>
        <w:sectPr>
          <w:headerReference r:id="rId9" w:type="default"/>
          <w:footerReference r:id="rId11" w:type="default"/>
          <w:headerReference r:id="rId10" w:type="even"/>
          <w:footerReference r:id="rId12" w:type="even"/>
          <w:pgSz w:w="11906" w:h="16838"/>
          <w:pgMar w:top="1474" w:right="1417" w:bottom="1247" w:left="1417" w:header="567" w:footer="567" w:gutter="0"/>
          <w:pgNumType w:start="1"/>
          <w:cols w:space="0" w:num="1"/>
          <w:docGrid w:type="lines" w:linePitch="328" w:charSpace="0"/>
        </w:sectPr>
      </w:pPr>
    </w:p>
    <w:p>
      <w:pPr>
        <w:pStyle w:val="3"/>
        <w:rPr>
          <w:color w:val="auto"/>
          <w:highlight w:val="none"/>
        </w:rPr>
      </w:pPr>
      <w:bookmarkStart w:id="2" w:name="_Toc391969406"/>
      <w:bookmarkStart w:id="3" w:name="_Toc145493459"/>
      <w:bookmarkStart w:id="4" w:name="_Toc13220"/>
      <w:r>
        <w:rPr>
          <w:rFonts w:hint="eastAsia"/>
          <w:color w:val="auto"/>
          <w:highlight w:val="none"/>
        </w:rPr>
        <w:t xml:space="preserve">第一部分  </w:t>
      </w:r>
      <w:bookmarkEnd w:id="2"/>
      <w:bookmarkEnd w:id="3"/>
      <w:r>
        <w:rPr>
          <w:rStyle w:val="46"/>
          <w:rFonts w:hint="eastAsia"/>
          <w:b/>
          <w:bCs/>
          <w:color w:val="auto"/>
          <w:highlight w:val="none"/>
        </w:rPr>
        <w:t>公开招标</w:t>
      </w:r>
      <w:r>
        <w:rPr>
          <w:rFonts w:hint="eastAsia"/>
          <w:color w:val="auto"/>
          <w:highlight w:val="none"/>
        </w:rPr>
        <w:t>公告</w:t>
      </w:r>
      <w:bookmarkEnd w:id="4"/>
    </w:p>
    <w:p>
      <w:pPr>
        <w:pBdr>
          <w:top w:val="single" w:color="auto" w:sz="4" w:space="1"/>
          <w:left w:val="single" w:color="auto" w:sz="4" w:space="4"/>
          <w:bottom w:val="single" w:color="auto" w:sz="4" w:space="1"/>
          <w:right w:val="single" w:color="auto" w:sz="4" w:space="3"/>
        </w:pBdr>
        <w:ind w:firstLine="480"/>
        <w:rPr>
          <w:rFonts w:ascii="宋体" w:hAnsi="宋体" w:cs="宋体"/>
          <w:color w:val="auto"/>
          <w:highlight w:val="none"/>
        </w:rPr>
      </w:pPr>
      <w:bookmarkStart w:id="5" w:name="_Toc28359079"/>
      <w:bookmarkStart w:id="6" w:name="_Toc35393621"/>
      <w:bookmarkStart w:id="7" w:name="_Toc35393790"/>
      <w:bookmarkStart w:id="8" w:name="_Toc28359002"/>
      <w:bookmarkStart w:id="9" w:name="_Hlk24379207"/>
      <w:bookmarkStart w:id="10" w:name="EBf1e27c6183244f4a8f3fc355defd653e"/>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3"/>
        </w:pBdr>
        <w:ind w:firstLine="480"/>
        <w:rPr>
          <w:rFonts w:ascii="宋体" w:hAnsi="宋体" w:cs="宋体"/>
          <w:color w:val="auto"/>
          <w:highlight w:val="none"/>
        </w:rPr>
      </w:pPr>
      <w:r>
        <w:rPr>
          <w:rFonts w:hint="eastAsia" w:ascii="宋体" w:hAnsi="宋体" w:cs="宋体"/>
          <w:color w:val="auto"/>
          <w:highlight w:val="none"/>
          <w:u w:val="single"/>
          <w:lang w:eastAsia="zh-CN"/>
        </w:rPr>
        <w:t>浦江县通济桥水库灌区续建配套与节水改造项目（2023-2024年）（金属结构）设备采购项目（重新招标）</w:t>
      </w:r>
      <w:r>
        <w:rPr>
          <w:rFonts w:hint="eastAsia" w:ascii="宋体" w:hAnsi="宋体" w:cs="宋体"/>
          <w:color w:val="auto"/>
          <w:highlight w:val="none"/>
        </w:rPr>
        <w:t>的</w:t>
      </w:r>
      <w:r>
        <w:rPr>
          <w:rFonts w:hint="eastAsia" w:asciiTheme="minorEastAsia" w:hAnsiTheme="minorEastAsia" w:eastAsiaTheme="minorEastAsia"/>
          <w:color w:val="auto"/>
          <w:highlight w:val="none"/>
        </w:rPr>
        <w:t>潜在投标人</w:t>
      </w:r>
      <w:r>
        <w:rPr>
          <w:rFonts w:hint="eastAsia" w:ascii="宋体" w:hAnsi="宋体" w:cs="宋体"/>
          <w:color w:val="auto"/>
          <w:highlight w:val="none"/>
        </w:rPr>
        <w:t>应在</w:t>
      </w:r>
      <w:r>
        <w:rPr>
          <w:rFonts w:hint="eastAsia" w:asciiTheme="minorEastAsia" w:hAnsiTheme="minorEastAsia" w:eastAsiaTheme="minorEastAsia"/>
          <w:color w:val="auto"/>
          <w:highlight w:val="none"/>
        </w:rPr>
        <w:t>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30"/>
          <w:rFonts w:asciiTheme="minorEastAsia" w:hAnsiTheme="minorEastAsia" w:eastAsiaTheme="minorEastAsia"/>
          <w:color w:val="auto"/>
          <w:highlight w:val="none"/>
        </w:rPr>
        <w:t>https://www.zcygov.cn/）获取（下载）招标文件，并于</w:t>
      </w:r>
      <w:r>
        <w:rPr>
          <w:rStyle w:val="30"/>
          <w:rFonts w:hint="eastAsia" w:asciiTheme="minorEastAsia" w:hAnsiTheme="minorEastAsia" w:eastAsiaTheme="minorEastAsia"/>
          <w:color w:val="auto"/>
          <w:highlight w:val="yellow"/>
          <w:lang w:eastAsia="zh-CN"/>
        </w:rPr>
        <w:t>2024</w:t>
      </w:r>
      <w:r>
        <w:rPr>
          <w:rStyle w:val="30"/>
          <w:rFonts w:asciiTheme="minorEastAsia" w:hAnsiTheme="minorEastAsia" w:eastAsiaTheme="minorEastAsia"/>
          <w:color w:val="auto"/>
          <w:highlight w:val="yellow"/>
        </w:rPr>
        <w:t>年</w:t>
      </w:r>
      <w:r>
        <w:rPr>
          <w:rStyle w:val="30"/>
          <w:rFonts w:hint="eastAsia" w:asciiTheme="minorEastAsia" w:hAnsiTheme="minorEastAsia" w:eastAsiaTheme="minorEastAsia"/>
          <w:color w:val="auto"/>
          <w:highlight w:val="yellow"/>
          <w:lang w:val="en-US" w:eastAsia="zh-CN"/>
        </w:rPr>
        <w:t>1</w:t>
      </w:r>
      <w:r>
        <w:rPr>
          <w:rStyle w:val="30"/>
          <w:rFonts w:hint="eastAsia" w:asciiTheme="minorEastAsia" w:hAnsiTheme="minorEastAsia" w:eastAsiaTheme="minorEastAsia"/>
          <w:color w:val="auto"/>
          <w:highlight w:val="yellow"/>
        </w:rPr>
        <w:t>月</w:t>
      </w:r>
      <w:r>
        <w:rPr>
          <w:rStyle w:val="30"/>
          <w:rFonts w:hint="eastAsia" w:asciiTheme="minorEastAsia" w:hAnsiTheme="minorEastAsia" w:eastAsiaTheme="minorEastAsia"/>
          <w:color w:val="auto"/>
          <w:highlight w:val="yellow"/>
          <w:lang w:val="en-US" w:eastAsia="zh-CN"/>
        </w:rPr>
        <w:t>3</w:t>
      </w:r>
      <w:r>
        <w:rPr>
          <w:rStyle w:val="30"/>
          <w:rFonts w:hint="eastAsia" w:asciiTheme="minorEastAsia" w:hAnsiTheme="minorEastAsia" w:eastAsiaTheme="minorEastAsia"/>
          <w:color w:val="auto"/>
          <w:highlight w:val="yellow"/>
        </w:rPr>
        <w:t>日</w:t>
      </w:r>
      <w:r>
        <w:rPr>
          <w:rStyle w:val="30"/>
          <w:rFonts w:hint="eastAsia" w:asciiTheme="minorEastAsia" w:hAnsiTheme="minorEastAsia" w:eastAsiaTheme="minorEastAsia"/>
          <w:color w:val="auto"/>
          <w:highlight w:val="yellow"/>
          <w:lang w:val="en-US" w:eastAsia="zh-CN"/>
        </w:rPr>
        <w:t>9</w:t>
      </w:r>
      <w:r>
        <w:rPr>
          <w:rStyle w:val="30"/>
          <w:rFonts w:hint="eastAsia" w:asciiTheme="minorEastAsia" w:hAnsiTheme="minorEastAsia" w:eastAsiaTheme="minorEastAsia"/>
          <w:color w:val="auto"/>
          <w:highlight w:val="yellow"/>
        </w:rPr>
        <w:t>点</w:t>
      </w:r>
      <w:r>
        <w:rPr>
          <w:rStyle w:val="30"/>
          <w:rFonts w:hint="eastAsia" w:asciiTheme="minorEastAsia" w:hAnsiTheme="minorEastAsia" w:eastAsiaTheme="minorEastAsia"/>
          <w:color w:val="auto"/>
          <w:highlight w:val="yellow"/>
          <w:lang w:val="en-US" w:eastAsia="zh-CN"/>
        </w:rPr>
        <w:t>30</w:t>
      </w:r>
      <w:r>
        <w:rPr>
          <w:rStyle w:val="30"/>
          <w:rFonts w:hint="eastAsia" w:asciiTheme="minorEastAsia" w:hAnsiTheme="minorEastAsia" w:eastAsiaTheme="minorEastAsia"/>
          <w:color w:val="auto"/>
          <w:highlight w:val="yellow"/>
        </w:rPr>
        <w:t>分</w:t>
      </w:r>
      <w:r>
        <w:rPr>
          <w:rStyle w:val="30"/>
          <w:rFonts w:hint="eastAsia" w:asciiTheme="minorEastAsia" w:hAnsiTheme="minorEastAsia" w:eastAsiaTheme="minorEastAsia"/>
          <w:bCs/>
          <w:color w:val="auto"/>
          <w:highlight w:val="yellow"/>
          <w:lang w:val="en-US" w:eastAsia="zh-CN"/>
        </w:rPr>
        <w:t>00</w:t>
      </w:r>
      <w:r>
        <w:rPr>
          <w:rStyle w:val="30"/>
          <w:rFonts w:hint="eastAsia" w:asciiTheme="minorEastAsia" w:hAnsiTheme="minorEastAsia" w:eastAsiaTheme="minorEastAsia"/>
          <w:bCs/>
          <w:color w:val="auto"/>
          <w:highlight w:val="yellow"/>
        </w:rPr>
        <w:t>秒</w:t>
      </w:r>
      <w:r>
        <w:rPr>
          <w:rStyle w:val="30"/>
          <w:rFonts w:hint="eastAsia" w:asciiTheme="minorEastAsia" w:hAnsiTheme="minorEastAsia" w:eastAsiaTheme="minorEastAsia"/>
          <w:bCs/>
          <w:color w:val="auto"/>
          <w:highlight w:val="none"/>
        </w:rPr>
        <w:fldChar w:fldCharType="end"/>
      </w:r>
      <w:r>
        <w:rPr>
          <w:rFonts w:hint="eastAsia" w:asciiTheme="minorEastAsia" w:hAnsiTheme="minorEastAsia" w:eastAsiaTheme="minorEastAsia"/>
          <w:bCs/>
          <w:color w:val="auto"/>
          <w:highlight w:val="none"/>
        </w:rPr>
        <w:t>（北京时间）前</w:t>
      </w:r>
      <w:r>
        <w:rPr>
          <w:rFonts w:hint="eastAsia" w:asciiTheme="minorEastAsia" w:hAnsiTheme="minorEastAsia" w:eastAsiaTheme="minorEastAsia"/>
          <w:color w:val="auto"/>
          <w:highlight w:val="none"/>
        </w:rPr>
        <w:t>递交（上传）投标文件。</w:t>
      </w:r>
    </w:p>
    <w:p>
      <w:pPr>
        <w:pStyle w:val="4"/>
        <w:ind w:firstLine="482"/>
        <w:rPr>
          <w:color w:val="auto"/>
          <w:highlight w:val="none"/>
        </w:rPr>
      </w:pPr>
      <w:bookmarkStart w:id="11" w:name="_Toc2387"/>
      <w:r>
        <w:rPr>
          <w:rFonts w:hint="eastAsia"/>
          <w:color w:val="auto"/>
          <w:highlight w:val="none"/>
        </w:rPr>
        <w:t>一、项目基本情况</w:t>
      </w:r>
      <w:bookmarkEnd w:id="5"/>
      <w:bookmarkEnd w:id="6"/>
      <w:bookmarkEnd w:id="7"/>
      <w:bookmarkEnd w:id="8"/>
      <w:bookmarkEnd w:id="11"/>
    </w:p>
    <w:bookmarkEnd w:id="9"/>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WZGCPJ2023-002</w:t>
      </w:r>
    </w:p>
    <w:p>
      <w:pPr>
        <w:ind w:firstLine="48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浦江县通济桥水库灌区续建配套与节水改造项目（2023-2024年）（金属结构）设备采购项目（重新招标）</w:t>
      </w:r>
    </w:p>
    <w:p>
      <w:pPr>
        <w:ind w:firstLine="480"/>
        <w:rPr>
          <w:rFonts w:ascii="宋体" w:hAnsi="宋体" w:cs="宋体"/>
          <w:color w:val="auto"/>
          <w:highlight w:val="none"/>
        </w:rPr>
      </w:pPr>
      <w:r>
        <w:rPr>
          <w:rFonts w:hint="eastAsia" w:ascii="宋体" w:hAnsi="宋体" w:cs="宋体"/>
          <w:color w:val="auto"/>
          <w:highlight w:val="none"/>
        </w:rPr>
        <w:t>采购方式：公开招标</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10390000</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10390000</w:t>
      </w:r>
    </w:p>
    <w:p>
      <w:pPr>
        <w:ind w:firstLine="480"/>
        <w:rPr>
          <w:rFonts w:ascii="宋体" w:hAnsi="宋体" w:cs="宋体"/>
          <w:color w:val="auto"/>
          <w:highlight w:val="none"/>
        </w:rPr>
      </w:pPr>
      <w:r>
        <w:rPr>
          <w:rFonts w:hint="eastAsia" w:ascii="宋体" w:hAnsi="宋体" w:cs="宋体"/>
          <w:color w:val="auto"/>
          <w:highlight w:val="none"/>
        </w:rPr>
        <w:t>采购需求：</w:t>
      </w:r>
    </w:p>
    <w:p>
      <w:pPr>
        <w:ind w:firstLine="480"/>
        <w:rPr>
          <w:rFonts w:ascii="宋体" w:hAnsi="宋体" w:cs="宋体"/>
          <w:color w:val="auto"/>
          <w:highlight w:val="none"/>
        </w:rPr>
      </w:pPr>
      <w:r>
        <w:rPr>
          <w:rFonts w:hint="eastAsia" w:ascii="宋体" w:hAnsi="宋体" w:cs="宋体"/>
          <w:color w:val="auto"/>
          <w:highlight w:val="none"/>
        </w:rPr>
        <w:t>标项名称：</w:t>
      </w:r>
      <w:r>
        <w:rPr>
          <w:rFonts w:hint="eastAsia" w:ascii="宋体" w:hAnsi="宋体" w:cs="宋体"/>
          <w:color w:val="auto"/>
          <w:highlight w:val="none"/>
          <w:lang w:eastAsia="zh-CN"/>
        </w:rPr>
        <w:t>浦江县通济桥水库灌区续建配套与节水改造项目（2023-2024年）（金属结构）设备采购项目（重新招标）</w:t>
      </w:r>
    </w:p>
    <w:p>
      <w:pPr>
        <w:ind w:firstLine="480"/>
        <w:rPr>
          <w:rFonts w:ascii="宋体" w:hAnsi="宋体" w:cs="宋体"/>
          <w:bCs/>
          <w:snapToGrid w:val="0"/>
          <w:color w:val="auto"/>
          <w:highlight w:val="none"/>
        </w:rPr>
      </w:pPr>
      <w:r>
        <w:rPr>
          <w:rFonts w:hint="eastAsia" w:ascii="宋体" w:hAnsi="宋体" w:cs="宋体"/>
          <w:color w:val="auto"/>
          <w:highlight w:val="none"/>
        </w:rPr>
        <w:t>数量：</w:t>
      </w:r>
      <w:r>
        <w:rPr>
          <w:rFonts w:hint="eastAsia" w:ascii="宋体" w:hAnsi="宋体" w:cs="宋体"/>
          <w:bCs/>
          <w:snapToGrid w:val="0"/>
          <w:color w:val="auto"/>
          <w:highlight w:val="none"/>
        </w:rPr>
        <w:t>1</w:t>
      </w:r>
    </w:p>
    <w:p>
      <w:pPr>
        <w:ind w:firstLine="480"/>
        <w:rPr>
          <w:color w:val="auto"/>
          <w:highlight w:val="none"/>
        </w:rPr>
      </w:pPr>
      <w:r>
        <w:rPr>
          <w:rFonts w:hint="eastAsia" w:ascii="宋体" w:hAnsi="宋体" w:cs="宋体"/>
          <w:color w:val="auto"/>
          <w:highlight w:val="none"/>
        </w:rPr>
        <w:t>单位：</w:t>
      </w:r>
      <w:r>
        <w:rPr>
          <w:rFonts w:hint="eastAsia" w:ascii="宋体" w:hAnsi="宋体" w:cs="宋体"/>
          <w:bCs/>
          <w:snapToGrid w:val="0"/>
          <w:color w:val="auto"/>
          <w:highlight w:val="none"/>
        </w:rPr>
        <w:t>项</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10390000</w:t>
      </w:r>
    </w:p>
    <w:p>
      <w:pPr>
        <w:ind w:firstLine="480"/>
        <w:rPr>
          <w:rFonts w:hint="eastAsia" w:eastAsia="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10390000</w:t>
      </w:r>
    </w:p>
    <w:p>
      <w:pPr>
        <w:ind w:firstLine="480"/>
        <w:jc w:val="left"/>
        <w:rPr>
          <w:rFonts w:asciiTheme="minorEastAsia" w:hAnsiTheme="minorEastAsia" w:eastAsiaTheme="minorEastAsia"/>
          <w:color w:val="auto"/>
          <w:highlight w:val="none"/>
        </w:rPr>
      </w:pPr>
      <w:r>
        <w:rPr>
          <w:rFonts w:hint="eastAsia" w:ascii="宋体" w:hAnsi="宋体" w:cs="宋体"/>
          <w:color w:val="auto"/>
          <w:highlight w:val="none"/>
        </w:rPr>
        <w:t>简要规格描述:</w:t>
      </w:r>
      <w:r>
        <w:rPr>
          <w:rFonts w:hint="eastAsia" w:ascii="宋体" w:hAnsi="宋体" w:cs="宋体"/>
          <w:color w:val="auto"/>
          <w:highlight w:val="none"/>
          <w:lang w:eastAsia="zh-CN"/>
        </w:rPr>
        <w:t>改造（新建）水闸49座，其中拆除重建水闸24座，设置工作闸门及启闭机24套，22座水闸仅更换启闭机22套，新建3座水闸共设置工作闸门及启闭机3套。通济桥水库灌区沿线渠道分布有112座分水口，为了对沿线口门进行有效管理，对其中的98座分水口设置一体化闸门</w:t>
      </w:r>
      <w:r>
        <w:rPr>
          <w:rFonts w:hint="eastAsia" w:asciiTheme="minorEastAsia" w:hAnsiTheme="minorEastAsia" w:eastAsiaTheme="minorEastAsia"/>
          <w:color w:val="auto"/>
          <w:highlight w:val="none"/>
        </w:rPr>
        <w:t>。</w:t>
      </w:r>
    </w:p>
    <w:p>
      <w:pPr>
        <w:pStyle w:val="2"/>
        <w:spacing w:before="164"/>
        <w:rPr>
          <w:color w:val="auto"/>
          <w:highlight w:val="none"/>
        </w:rPr>
      </w:pPr>
      <w:r>
        <w:rPr>
          <w:rFonts w:hint="eastAsia" w:asciiTheme="minorEastAsia" w:hAnsiTheme="minorEastAsia" w:eastAsiaTheme="minorEastAsia"/>
          <w:color w:val="auto"/>
          <w:kern w:val="2"/>
          <w:highlight w:val="none"/>
        </w:rPr>
        <w:t>合同履约期限：</w:t>
      </w:r>
      <w:r>
        <w:rPr>
          <w:rFonts w:hint="eastAsia" w:ascii="宋体" w:hAnsi="宋体" w:cs="宋体" w:eastAsiaTheme="minorEastAsia"/>
          <w:color w:val="auto"/>
          <w:highlight w:val="none"/>
          <w:lang w:eastAsia="zh-CN" w:bidi="ar"/>
        </w:rPr>
        <w:t>合同签订生效后，180日历天内完成所有设备的深化设计、供货、安装、调试工作（合同内容完成后，须配合土建工程施工、信息化工程数据上传等内容直至项目整体竣工）</w:t>
      </w:r>
      <w:r>
        <w:rPr>
          <w:rFonts w:hint="eastAsia" w:asciiTheme="minorEastAsia" w:hAnsiTheme="minorEastAsia" w:eastAsiaTheme="minorEastAsia"/>
          <w:color w:val="auto"/>
          <w:kern w:val="2"/>
          <w:highlight w:val="none"/>
        </w:rPr>
        <w:t>。</w:t>
      </w:r>
    </w:p>
    <w:p>
      <w:pPr>
        <w:ind w:firstLine="480"/>
        <w:jc w:val="left"/>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本项目（否）接受联合体投标。</w:t>
      </w:r>
    </w:p>
    <w:p>
      <w:pPr>
        <w:pStyle w:val="2"/>
        <w:spacing w:before="164"/>
        <w:rPr>
          <w:color w:val="auto"/>
          <w:highlight w:val="none"/>
        </w:rPr>
      </w:pPr>
      <w:r>
        <w:rPr>
          <w:rFonts w:hint="eastAsia" w:ascii="宋体" w:hAnsi="宋体" w:cs="宋体"/>
          <w:color w:val="auto"/>
          <w:highlight w:val="none"/>
        </w:rPr>
        <w:t>备注：/</w:t>
      </w:r>
    </w:p>
    <w:p>
      <w:pPr>
        <w:pStyle w:val="4"/>
        <w:ind w:firstLine="482"/>
        <w:rPr>
          <w:color w:val="auto"/>
          <w:highlight w:val="none"/>
        </w:rPr>
      </w:pPr>
      <w:bookmarkStart w:id="12" w:name="_Toc35393622"/>
      <w:bookmarkStart w:id="13" w:name="_Toc35393791"/>
      <w:bookmarkStart w:id="14" w:name="_Toc12273"/>
      <w:bookmarkStart w:id="15" w:name="_Toc28359003"/>
      <w:bookmarkStart w:id="16" w:name="_Toc28359080"/>
      <w:r>
        <w:rPr>
          <w:rFonts w:hint="eastAsia"/>
          <w:color w:val="auto"/>
          <w:highlight w:val="none"/>
        </w:rPr>
        <w:t>二、申请人的资格要求</w:t>
      </w:r>
      <w:bookmarkEnd w:id="12"/>
      <w:bookmarkEnd w:id="13"/>
      <w:bookmarkEnd w:id="14"/>
      <w:bookmarkEnd w:id="15"/>
      <w:bookmarkEnd w:id="16"/>
    </w:p>
    <w:p>
      <w:pPr>
        <w:ind w:firstLine="48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snapToGrid w:val="0"/>
          <w:color w:val="auto"/>
          <w:kern w:val="28"/>
          <w:szCs w:val="20"/>
          <w:highlight w:val="none"/>
        </w:rPr>
      </w:pPr>
      <w:r>
        <w:rPr>
          <w:rFonts w:ascii="宋体" w:hAnsi="宋体" w:cs="宋体"/>
          <w:snapToGrid w:val="0"/>
          <w:color w:val="auto"/>
          <w:kern w:val="28"/>
          <w:szCs w:val="20"/>
          <w:highlight w:val="none"/>
        </w:rPr>
        <w:t>2</w:t>
      </w:r>
      <w:r>
        <w:rPr>
          <w:rFonts w:hint="eastAsia" w:ascii="宋体" w:hAnsi="宋体" w:cs="宋体"/>
          <w:snapToGrid w:val="0"/>
          <w:color w:val="auto"/>
          <w:kern w:val="28"/>
          <w:szCs w:val="20"/>
          <w:highlight w:val="none"/>
        </w:rPr>
        <w:t>.落实政策</w:t>
      </w:r>
    </w:p>
    <w:p>
      <w:pPr>
        <w:ind w:firstLine="48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（1）落实政府采购政策需满足的资格要求：</w:t>
      </w:r>
    </w:p>
    <w:p>
      <w:pPr>
        <w:ind w:firstLine="48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sym w:font="Wingdings" w:char="00FE"/>
      </w:r>
      <w:r>
        <w:rPr>
          <w:rFonts w:hint="eastAsia" w:ascii="宋体" w:hAnsi="宋体" w:cs="宋体"/>
          <w:snapToGrid w:val="0"/>
          <w:color w:val="auto"/>
          <w:kern w:val="28"/>
          <w:szCs w:val="20"/>
          <w:highlight w:val="none"/>
        </w:rPr>
        <w:t>无；</w:t>
      </w:r>
    </w:p>
    <w:p>
      <w:pPr>
        <w:ind w:firstLine="48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sym w:font="Wingdings" w:char="00A8"/>
      </w:r>
      <w:r>
        <w:rPr>
          <w:rFonts w:hint="eastAsia" w:ascii="宋体" w:hAnsi="宋体" w:cs="宋体"/>
          <w:snapToGrid w:val="0"/>
          <w:color w:val="auto"/>
          <w:kern w:val="28"/>
          <w:szCs w:val="20"/>
          <w:highlight w:val="none"/>
        </w:rPr>
        <w:t>专门面向中小企业：</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sym w:font="Wingdings" w:char="00A8"/>
      </w:r>
      <w:r>
        <w:rPr>
          <w:rFonts w:hint="eastAsia" w:ascii="宋体" w:hAnsi="宋体" w:cs="宋体"/>
          <w:snapToGrid w:val="0"/>
          <w:color w:val="auto"/>
          <w:kern w:val="28"/>
          <w:szCs w:val="20"/>
          <w:highlight w:val="none"/>
        </w:rPr>
        <w:t>货物全部由符合政策要求的中小企业制造，提供中小企业声明函；</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☐货物全部由符合政策要求的小微企业制造，提供中小企业声明函；</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sym w:font="Wingdings" w:char="00A8"/>
      </w:r>
      <w:r>
        <w:rPr>
          <w:rFonts w:hint="eastAsia" w:ascii="宋体" w:hAnsi="宋体" w:cs="宋体"/>
          <w:snapToGrid w:val="0"/>
          <w:color w:val="auto"/>
          <w:kern w:val="28"/>
          <w:szCs w:val="20"/>
          <w:highlight w:val="none"/>
        </w:rPr>
        <w:t>工程全部由符合政策要求的中小企业承接，提供中小企业声明函；</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☐工程全部由符合政策要求的小微企业承接，提供中小企业声明函；</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sym w:font="Wingdings" w:char="00A8"/>
      </w:r>
      <w:r>
        <w:rPr>
          <w:rFonts w:hint="eastAsia" w:ascii="宋体" w:hAnsi="宋体" w:cs="宋体"/>
          <w:snapToGrid w:val="0"/>
          <w:color w:val="auto"/>
          <w:kern w:val="28"/>
          <w:szCs w:val="20"/>
          <w:highlight w:val="none"/>
        </w:rPr>
        <w:t>服务全部由符合政策要求的中小企业承接，提供中小企业声明函；</w:t>
      </w:r>
    </w:p>
    <w:p>
      <w:pPr>
        <w:ind w:firstLine="960" w:firstLineChars="400"/>
        <w:rPr>
          <w:rFonts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☐服务全部由符合政策要求的小微企业承接，提供中小企业声明函；</w:t>
      </w:r>
    </w:p>
    <w:p>
      <w:pPr>
        <w:ind w:firstLine="480"/>
        <w:rPr>
          <w:rFonts w:ascii="宋体" w:hAnsi="宋体" w:cs="宋体"/>
          <w:color w:val="auto"/>
          <w:highlight w:val="none"/>
        </w:rPr>
      </w:pPr>
      <w:r>
        <w:rPr>
          <w:rFonts w:hint="eastAsia" w:ascii="宋体" w:hAnsi="宋体" w:cs="宋体"/>
          <w:snapToGrid w:val="0"/>
          <w:color w:val="auto"/>
          <w:kern w:val="28"/>
          <w:szCs w:val="20"/>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ind w:firstLine="480"/>
        <w:rPr>
          <w:rFonts w:ascii="宋体" w:hAnsi="宋体" w:cs="宋体"/>
          <w:color w:val="auto"/>
          <w:highlight w:val="none"/>
        </w:rPr>
      </w:pPr>
      <w:r>
        <w:rPr>
          <w:rFonts w:hint="eastAsia" w:ascii="宋体" w:hAnsi="宋体" w:cs="宋体"/>
          <w:color w:val="auto"/>
          <w:highlight w:val="none"/>
        </w:rPr>
        <w:t>3.本项目的特定资格要求：投标人具备水工金属结构制作与安装工程专业承包三级及以上资质，具有有效的安全生产许可证。</w:t>
      </w:r>
    </w:p>
    <w:p>
      <w:pPr>
        <w:pStyle w:val="4"/>
        <w:ind w:firstLine="482"/>
        <w:rPr>
          <w:color w:val="auto"/>
          <w:highlight w:val="none"/>
        </w:rPr>
      </w:pPr>
      <w:bookmarkStart w:id="17" w:name="_Toc18625"/>
      <w:r>
        <w:rPr>
          <w:rFonts w:hint="eastAsia"/>
          <w:color w:val="auto"/>
          <w:highlight w:val="none"/>
        </w:rPr>
        <w:t>三、获取采购文件</w:t>
      </w:r>
      <w:bookmarkEnd w:id="17"/>
    </w:p>
    <w:p>
      <w:pPr>
        <w:ind w:firstLine="482"/>
        <w:rPr>
          <w:rFonts w:ascii="宋体" w:hAnsi="宋体" w:cs="宋体"/>
          <w:color w:val="auto"/>
          <w:highlight w:val="none"/>
        </w:rPr>
      </w:pPr>
      <w:r>
        <w:rPr>
          <w:rFonts w:hint="eastAsia" w:ascii="宋体" w:hAnsi="宋体" w:cs="宋体"/>
          <w:b/>
          <w:bCs/>
          <w:color w:val="auto"/>
          <w:highlight w:val="none"/>
        </w:rPr>
        <w:t>1. 时间</w:t>
      </w:r>
      <w:r>
        <w:rPr>
          <w:rFonts w:hint="eastAsia" w:ascii="宋体" w:hAnsi="宋体" w:cs="宋体"/>
          <w:color w:val="auto"/>
          <w:highlight w:val="yellow"/>
        </w:rPr>
        <w:t>：</w:t>
      </w:r>
      <w:r>
        <w:rPr>
          <w:rFonts w:hint="eastAsia"/>
          <w:color w:val="auto"/>
          <w:highlight w:val="yellow"/>
        </w:rPr>
        <w:t>/起至</w:t>
      </w:r>
      <w:r>
        <w:rPr>
          <w:rFonts w:hint="eastAsia" w:ascii="宋体" w:hAnsi="宋体" w:cs="宋体"/>
          <w:bCs/>
          <w:snapToGrid w:val="0"/>
          <w:color w:val="auto"/>
          <w:highlight w:val="yellow"/>
          <w:u w:val="single"/>
          <w:lang w:eastAsia="zh-CN"/>
        </w:rPr>
        <w:t>2024</w:t>
      </w:r>
      <w:r>
        <w:rPr>
          <w:rFonts w:hint="eastAsia" w:ascii="宋体" w:hAnsi="宋体" w:cs="宋体"/>
          <w:bCs/>
          <w:snapToGrid w:val="0"/>
          <w:color w:val="auto"/>
          <w:highlight w:val="yellow"/>
          <w:u w:val="single"/>
        </w:rPr>
        <w:t>年</w:t>
      </w:r>
      <w:r>
        <w:rPr>
          <w:rFonts w:hint="eastAsia" w:ascii="宋体" w:hAnsi="宋体" w:cs="宋体"/>
          <w:bCs/>
          <w:snapToGrid w:val="0"/>
          <w:color w:val="auto"/>
          <w:highlight w:val="yellow"/>
          <w:u w:val="single"/>
          <w:lang w:val="en-US" w:eastAsia="zh-CN"/>
        </w:rPr>
        <w:t>1</w:t>
      </w:r>
      <w:r>
        <w:rPr>
          <w:rFonts w:hint="eastAsia" w:ascii="宋体" w:hAnsi="宋体" w:cs="宋体"/>
          <w:bCs/>
          <w:snapToGrid w:val="0"/>
          <w:color w:val="auto"/>
          <w:highlight w:val="yellow"/>
          <w:u w:val="single"/>
        </w:rPr>
        <w:t>月</w:t>
      </w:r>
      <w:r>
        <w:rPr>
          <w:rFonts w:hint="eastAsia" w:ascii="宋体" w:hAnsi="宋体" w:cs="宋体"/>
          <w:bCs/>
          <w:snapToGrid w:val="0"/>
          <w:color w:val="auto"/>
          <w:highlight w:val="yellow"/>
          <w:u w:val="single"/>
          <w:lang w:val="en-US" w:eastAsia="zh-CN"/>
        </w:rPr>
        <w:t>3</w:t>
      </w:r>
      <w:r>
        <w:rPr>
          <w:rFonts w:hint="eastAsia" w:ascii="宋体" w:hAnsi="宋体" w:cs="宋体"/>
          <w:bCs/>
          <w:snapToGrid w:val="0"/>
          <w:color w:val="auto"/>
          <w:highlight w:val="yellow"/>
          <w:u w:val="single"/>
        </w:rPr>
        <w:t>日</w:t>
      </w:r>
      <w:r>
        <w:rPr>
          <w:rFonts w:hint="eastAsia" w:ascii="宋体" w:hAnsi="宋体" w:cs="宋体"/>
          <w:color w:val="auto"/>
          <w:highlight w:val="none"/>
        </w:rPr>
        <w:t>，每天上午00:00至12:00，下午12:00至23:59（北京时间，线上获取法定节假日均可，线下获取文件法定节假日除外）。</w:t>
      </w:r>
    </w:p>
    <w:p>
      <w:pPr>
        <w:adjustRightInd w:val="0"/>
        <w:spacing w:line="336" w:lineRule="auto"/>
        <w:ind w:firstLine="482"/>
        <w:rPr>
          <w:rFonts w:asciiTheme="minorEastAsia" w:hAnsiTheme="minorEastAsia" w:eastAsiaTheme="minorEastAsia" w:cstheme="minorEastAsia"/>
          <w:color w:val="auto"/>
          <w:highlight w:val="none"/>
        </w:rPr>
      </w:pPr>
      <w:bookmarkStart w:id="18" w:name="_Toc28359008"/>
      <w:bookmarkStart w:id="19" w:name="_Toc35393796"/>
      <w:bookmarkStart w:id="20" w:name="_Toc35393627"/>
      <w:bookmarkStart w:id="21" w:name="_Toc28359085"/>
      <w:r>
        <w:rPr>
          <w:rFonts w:hint="eastAsia" w:asciiTheme="minorEastAsia" w:hAnsiTheme="minorEastAsia" w:eastAsiaTheme="minorEastAsia" w:cstheme="minorEastAsia"/>
          <w:b/>
          <w:color w:val="auto"/>
          <w:highlight w:val="none"/>
        </w:rPr>
        <w:t>2.地点（网址）：</w:t>
      </w:r>
      <w:r>
        <w:rPr>
          <w:rFonts w:hint="eastAsia" w:ascii="宋体" w:hAnsi="宋体" w:cs="宋体"/>
          <w:color w:val="auto"/>
          <w:highlight w:val="none"/>
        </w:rPr>
        <w:t>政采云平台（https://www.zcygov.cn/）</w:t>
      </w:r>
    </w:p>
    <w:p>
      <w:pPr>
        <w:adjustRightInd w:val="0"/>
        <w:spacing w:line="336" w:lineRule="auto"/>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3.方式：</w:t>
      </w:r>
    </w:p>
    <w:p>
      <w:pPr>
        <w:ind w:firstLine="480"/>
        <w:rPr>
          <w:color w:val="auto"/>
          <w:highlight w:val="none"/>
        </w:rPr>
      </w:pPr>
      <w:r>
        <w:rPr>
          <w:rFonts w:hint="eastAsia"/>
          <w:color w:val="auto"/>
          <w:highlight w:val="none"/>
        </w:rPr>
        <w:t>（1）线上获取（登录政府采购云平台 → 项目采购 → 获取采购文件 → 申请，审核通过后可下载招标文件）。本次招标不提供纸质版招标文件。</w:t>
      </w:r>
    </w:p>
    <w:p>
      <w:pPr>
        <w:ind w:firstLine="480"/>
        <w:rPr>
          <w:color w:val="auto"/>
          <w:highlight w:val="none"/>
        </w:rPr>
      </w:pPr>
      <w:r>
        <w:rPr>
          <w:rFonts w:hint="eastAsia"/>
          <w:color w:val="auto"/>
          <w:highlight w:val="none"/>
        </w:rPr>
        <w:t>（2）供应商获取招标文件前应通过浙江政府采购网“浙江政府采购供应商信息登记管理系统”进行信息登记，获得线上政府采购活动操作权限。</w:t>
      </w:r>
    </w:p>
    <w:p>
      <w:pPr>
        <w:ind w:firstLine="480"/>
        <w:rPr>
          <w:color w:val="auto"/>
          <w:highlight w:val="none"/>
        </w:rPr>
      </w:pPr>
      <w:r>
        <w:rPr>
          <w:rFonts w:hint="eastAsia"/>
          <w:color w:val="auto"/>
          <w:highlight w:val="none"/>
        </w:rPr>
        <w:t>（3）招标公告所附招标文件仅供阅览使用，供应商只有在“政府采购云平台”完成获取招标文件申请并下载了招标文件后才被视为合法获取了招标文件，否则其投标将被拒绝。</w:t>
      </w:r>
    </w:p>
    <w:p>
      <w:pPr>
        <w:adjustRightInd w:val="0"/>
        <w:spacing w:line="336"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4.售价（元）：</w:t>
      </w:r>
      <w:r>
        <w:rPr>
          <w:rFonts w:hint="eastAsia" w:asciiTheme="minorEastAsia" w:hAnsiTheme="minorEastAsia" w:eastAsiaTheme="minorEastAsia" w:cstheme="minorEastAsia"/>
          <w:color w:val="auto"/>
          <w:highlight w:val="none"/>
        </w:rPr>
        <w:t xml:space="preserve">0 </w:t>
      </w:r>
      <w:r>
        <w:rPr>
          <w:rFonts w:hint="eastAsia" w:asciiTheme="minorEastAsia" w:hAnsiTheme="minorEastAsia" w:eastAsiaTheme="minorEastAsia" w:cstheme="minorEastAsia"/>
          <w:color w:val="auto"/>
          <w:highlight w:val="none"/>
        </w:rPr>
        <w:tab/>
      </w:r>
    </w:p>
    <w:p>
      <w:pPr>
        <w:pStyle w:val="4"/>
        <w:ind w:firstLine="482"/>
        <w:rPr>
          <w:color w:val="auto"/>
          <w:highlight w:val="none"/>
        </w:rPr>
      </w:pPr>
      <w:bookmarkStart w:id="22" w:name="_Toc3401"/>
      <w:bookmarkStart w:id="23" w:name="_Toc8212"/>
      <w:r>
        <w:rPr>
          <w:rFonts w:hint="eastAsia"/>
          <w:color w:val="auto"/>
          <w:highlight w:val="none"/>
        </w:rPr>
        <w:t>四、提交投标文件截止时间、开标时间和地点</w:t>
      </w:r>
      <w:bookmarkEnd w:id="22"/>
      <w:bookmarkEnd w:id="23"/>
    </w:p>
    <w:p>
      <w:pPr>
        <w:ind w:firstLine="480"/>
        <w:rPr>
          <w:rFonts w:ascii="宋体" w:hAnsi="宋体" w:cs="宋体"/>
          <w:bCs/>
          <w:color w:val="auto"/>
          <w:kern w:val="0"/>
          <w:highlight w:val="none"/>
        </w:rPr>
      </w:pPr>
      <w:r>
        <w:rPr>
          <w:rFonts w:hint="eastAsia" w:ascii="宋体" w:hAnsi="宋体" w:cs="宋体"/>
          <w:bCs/>
          <w:color w:val="auto"/>
          <w:kern w:val="0"/>
          <w:highlight w:val="none"/>
        </w:rPr>
        <w:t>提交投标文件截止时间：</w:t>
      </w:r>
      <w:r>
        <w:rPr>
          <w:rFonts w:hint="eastAsia" w:eastAsia="等线" w:cs="等线"/>
          <w:bCs/>
          <w:color w:val="auto"/>
          <w:kern w:val="0"/>
          <w:highlight w:val="yellow"/>
          <w:u w:val="single"/>
        </w:rPr>
        <w:t>202</w:t>
      </w:r>
      <w:r>
        <w:rPr>
          <w:rFonts w:hint="eastAsia" w:eastAsia="等线" w:cs="等线"/>
          <w:bCs/>
          <w:color w:val="auto"/>
          <w:kern w:val="0"/>
          <w:highlight w:val="yellow"/>
          <w:u w:val="single"/>
          <w:lang w:val="en-US" w:eastAsia="zh-CN"/>
        </w:rPr>
        <w:t>4</w:t>
      </w:r>
      <w:r>
        <w:rPr>
          <w:rFonts w:hint="eastAsia" w:ascii="宋体" w:hAnsi="宋体" w:cs="宋体"/>
          <w:bCs/>
          <w:color w:val="auto"/>
          <w:kern w:val="0"/>
          <w:highlight w:val="yellow"/>
          <w:u w:val="single"/>
        </w:rPr>
        <w:t>年</w:t>
      </w:r>
      <w:r>
        <w:rPr>
          <w:rFonts w:hint="eastAsia" w:eastAsia="等线" w:cs="等线"/>
          <w:bCs/>
          <w:color w:val="auto"/>
          <w:kern w:val="0"/>
          <w:highlight w:val="yellow"/>
          <w:u w:val="single"/>
          <w:lang w:val="en-US" w:eastAsia="zh-CN"/>
        </w:rPr>
        <w:t>1</w:t>
      </w:r>
      <w:r>
        <w:rPr>
          <w:rFonts w:hint="eastAsia" w:ascii="宋体" w:hAnsi="宋体" w:cs="宋体"/>
          <w:bCs/>
          <w:color w:val="auto"/>
          <w:kern w:val="0"/>
          <w:highlight w:val="yellow"/>
          <w:u w:val="single"/>
        </w:rPr>
        <w:t>月</w:t>
      </w:r>
      <w:r>
        <w:rPr>
          <w:rFonts w:hint="eastAsia" w:eastAsia="等线" w:cs="等线"/>
          <w:bCs/>
          <w:color w:val="auto"/>
          <w:kern w:val="0"/>
          <w:highlight w:val="yellow"/>
          <w:u w:val="single"/>
          <w:lang w:val="en-US" w:eastAsia="zh-CN"/>
        </w:rPr>
        <w:t>3</w:t>
      </w:r>
      <w:r>
        <w:rPr>
          <w:rFonts w:hint="eastAsia" w:ascii="宋体" w:hAnsi="宋体" w:cs="宋体"/>
          <w:bCs/>
          <w:color w:val="auto"/>
          <w:kern w:val="0"/>
          <w:highlight w:val="yellow"/>
          <w:u w:val="single"/>
        </w:rPr>
        <w:t>日</w:t>
      </w:r>
      <w:r>
        <w:rPr>
          <w:rFonts w:hint="eastAsia" w:eastAsia="等线" w:cs="等线"/>
          <w:bCs/>
          <w:color w:val="auto"/>
          <w:kern w:val="0"/>
          <w:highlight w:val="yellow"/>
          <w:u w:val="single"/>
          <w:lang w:val="en-US" w:eastAsia="zh-CN"/>
        </w:rPr>
        <w:t>9</w:t>
      </w:r>
      <w:r>
        <w:rPr>
          <w:rFonts w:hint="eastAsia" w:ascii="宋体" w:hAnsi="宋体" w:cs="宋体"/>
          <w:bCs/>
          <w:color w:val="auto"/>
          <w:kern w:val="0"/>
          <w:highlight w:val="yellow"/>
          <w:u w:val="single"/>
        </w:rPr>
        <w:t>时</w:t>
      </w:r>
      <w:r>
        <w:rPr>
          <w:rFonts w:hint="eastAsia" w:eastAsia="等线" w:cs="等线"/>
          <w:bCs/>
          <w:color w:val="auto"/>
          <w:kern w:val="0"/>
          <w:highlight w:val="yellow"/>
          <w:u w:val="single"/>
          <w:lang w:val="en-US" w:eastAsia="zh-CN"/>
        </w:rPr>
        <w:t>30</w:t>
      </w:r>
      <w:r>
        <w:rPr>
          <w:rFonts w:hint="eastAsia" w:ascii="宋体" w:hAnsi="宋体" w:cs="宋体"/>
          <w:bCs/>
          <w:color w:val="auto"/>
          <w:kern w:val="0"/>
          <w:highlight w:val="yellow"/>
          <w:u w:val="single"/>
        </w:rPr>
        <w:t>分（北京时间）</w:t>
      </w:r>
    </w:p>
    <w:p>
      <w:pPr>
        <w:ind w:firstLine="480"/>
        <w:rPr>
          <w:rFonts w:ascii="宋体" w:hAnsi="宋体" w:cs="宋体"/>
          <w:bCs/>
          <w:color w:val="auto"/>
          <w:kern w:val="0"/>
          <w:highlight w:val="none"/>
        </w:rPr>
      </w:pPr>
      <w:r>
        <w:rPr>
          <w:rFonts w:hint="eastAsia" w:ascii="宋体" w:hAnsi="宋体" w:cs="宋体"/>
          <w:bCs/>
          <w:color w:val="auto"/>
          <w:kern w:val="0"/>
          <w:highlight w:val="none"/>
        </w:rPr>
        <w:t>投标地点（网址）：</w:t>
      </w:r>
      <w:r>
        <w:rPr>
          <w:rFonts w:hint="eastAsia" w:ascii="宋体" w:hAnsi="宋体" w:cs="宋体"/>
          <w:bCs/>
          <w:color w:val="auto"/>
          <w:kern w:val="0"/>
          <w:highlight w:val="none"/>
          <w:u w:val="single"/>
        </w:rPr>
        <w:t>政府采购云平台（</w:t>
      </w:r>
      <w:r>
        <w:rPr>
          <w:rFonts w:ascii="等线" w:hAnsi="等线" w:eastAsia="等线" w:cs="等线"/>
          <w:bCs/>
          <w:color w:val="auto"/>
          <w:kern w:val="0"/>
          <w:highlight w:val="none"/>
          <w:u w:val="single"/>
        </w:rPr>
        <w:t>www.zcygov.cn</w:t>
      </w:r>
      <w:r>
        <w:rPr>
          <w:rFonts w:hint="eastAsia" w:ascii="宋体" w:hAnsi="宋体" w:cs="宋体"/>
          <w:bCs/>
          <w:color w:val="auto"/>
          <w:kern w:val="0"/>
          <w:highlight w:val="none"/>
          <w:u w:val="single"/>
        </w:rPr>
        <w:t>）</w:t>
      </w:r>
    </w:p>
    <w:p>
      <w:pPr>
        <w:ind w:firstLine="480"/>
        <w:rPr>
          <w:rFonts w:ascii="宋体" w:hAnsi="宋体" w:cs="宋体"/>
          <w:bCs/>
          <w:color w:val="auto"/>
          <w:kern w:val="0"/>
          <w:highlight w:val="none"/>
          <w:u w:val="single"/>
        </w:rPr>
      </w:pPr>
      <w:r>
        <w:rPr>
          <w:rFonts w:hint="eastAsia" w:ascii="宋体" w:hAnsi="宋体" w:cs="宋体"/>
          <w:bCs/>
          <w:color w:val="auto"/>
          <w:kern w:val="0"/>
          <w:highlight w:val="none"/>
        </w:rPr>
        <w:t>开标时间：</w:t>
      </w:r>
      <w:r>
        <w:rPr>
          <w:rFonts w:hint="eastAsia" w:eastAsia="等线" w:cs="等线"/>
          <w:bCs/>
          <w:color w:val="auto"/>
          <w:kern w:val="0"/>
          <w:highlight w:val="yellow"/>
          <w:u w:val="single"/>
        </w:rPr>
        <w:t>202</w:t>
      </w:r>
      <w:r>
        <w:rPr>
          <w:rFonts w:hint="eastAsia" w:eastAsia="等线" w:cs="等线"/>
          <w:bCs/>
          <w:color w:val="auto"/>
          <w:kern w:val="0"/>
          <w:highlight w:val="yellow"/>
          <w:u w:val="single"/>
          <w:lang w:val="en-US" w:eastAsia="zh-CN"/>
        </w:rPr>
        <w:t>4</w:t>
      </w:r>
      <w:r>
        <w:rPr>
          <w:rFonts w:hint="eastAsia" w:ascii="宋体" w:hAnsi="宋体" w:cs="宋体"/>
          <w:bCs/>
          <w:color w:val="auto"/>
          <w:kern w:val="0"/>
          <w:highlight w:val="yellow"/>
          <w:u w:val="single"/>
        </w:rPr>
        <w:t>年</w:t>
      </w:r>
      <w:r>
        <w:rPr>
          <w:rFonts w:hint="eastAsia" w:eastAsia="等线" w:cs="等线"/>
          <w:bCs/>
          <w:color w:val="auto"/>
          <w:kern w:val="0"/>
          <w:highlight w:val="yellow"/>
          <w:u w:val="single"/>
          <w:lang w:val="en-US" w:eastAsia="zh-CN"/>
        </w:rPr>
        <w:t>1</w:t>
      </w:r>
      <w:r>
        <w:rPr>
          <w:rFonts w:hint="eastAsia" w:eastAsia="等线" w:cs="等线"/>
          <w:bCs/>
          <w:color w:val="auto"/>
          <w:kern w:val="0"/>
          <w:highlight w:val="yellow"/>
          <w:u w:val="single"/>
        </w:rPr>
        <w:t>月</w:t>
      </w:r>
      <w:r>
        <w:rPr>
          <w:rFonts w:hint="eastAsia" w:eastAsia="等线" w:cs="等线"/>
          <w:bCs/>
          <w:color w:val="auto"/>
          <w:kern w:val="0"/>
          <w:highlight w:val="yellow"/>
          <w:u w:val="single"/>
          <w:lang w:val="en-US" w:eastAsia="zh-CN"/>
        </w:rPr>
        <w:t>3</w:t>
      </w:r>
      <w:r>
        <w:rPr>
          <w:rFonts w:hint="eastAsia" w:ascii="宋体" w:hAnsi="宋体" w:cs="宋体"/>
          <w:bCs/>
          <w:color w:val="auto"/>
          <w:kern w:val="0"/>
          <w:highlight w:val="yellow"/>
          <w:u w:val="single"/>
        </w:rPr>
        <w:t>日</w:t>
      </w:r>
      <w:r>
        <w:rPr>
          <w:rFonts w:hint="eastAsia" w:eastAsia="等线" w:cs="等线"/>
          <w:bCs/>
          <w:color w:val="auto"/>
          <w:kern w:val="0"/>
          <w:highlight w:val="yellow"/>
          <w:u w:val="single"/>
          <w:lang w:val="en-US" w:eastAsia="zh-CN"/>
        </w:rPr>
        <w:t>9</w:t>
      </w:r>
      <w:r>
        <w:rPr>
          <w:rFonts w:hint="eastAsia" w:ascii="宋体" w:hAnsi="宋体" w:cs="宋体"/>
          <w:bCs/>
          <w:color w:val="auto"/>
          <w:kern w:val="0"/>
          <w:highlight w:val="yellow"/>
          <w:u w:val="single"/>
        </w:rPr>
        <w:t>时</w:t>
      </w:r>
      <w:r>
        <w:rPr>
          <w:rFonts w:hint="eastAsia" w:eastAsia="等线" w:cs="等线"/>
          <w:bCs/>
          <w:color w:val="auto"/>
          <w:kern w:val="0"/>
          <w:highlight w:val="yellow"/>
          <w:u w:val="single"/>
          <w:lang w:val="en-US" w:eastAsia="zh-CN"/>
        </w:rPr>
        <w:t>30</w:t>
      </w:r>
      <w:r>
        <w:rPr>
          <w:rFonts w:hint="eastAsia" w:ascii="宋体" w:hAnsi="宋体" w:cs="宋体"/>
          <w:bCs/>
          <w:color w:val="auto"/>
          <w:kern w:val="0"/>
          <w:highlight w:val="yellow"/>
          <w:u w:val="single"/>
        </w:rPr>
        <w:t>分（北京时间）</w:t>
      </w:r>
    </w:p>
    <w:p>
      <w:pPr>
        <w:ind w:firstLine="480"/>
        <w:rPr>
          <w:color w:val="auto"/>
          <w:highlight w:val="none"/>
        </w:rPr>
      </w:pPr>
      <w:r>
        <w:rPr>
          <w:rFonts w:hint="eastAsia" w:ascii="宋体" w:hAnsi="宋体" w:cs="宋体"/>
          <w:bCs/>
          <w:color w:val="auto"/>
          <w:kern w:val="0"/>
          <w:highlight w:val="none"/>
        </w:rPr>
        <w:t>开标地点（网址）：</w:t>
      </w:r>
      <w:r>
        <w:rPr>
          <w:rFonts w:hint="eastAsia" w:ascii="宋体" w:hAnsi="宋体" w:cs="宋体"/>
          <w:bCs/>
          <w:color w:val="auto"/>
          <w:kern w:val="0"/>
          <w:highlight w:val="none"/>
          <w:u w:val="single"/>
        </w:rPr>
        <w:t>政府采购云平台（</w:t>
      </w:r>
      <w:r>
        <w:rPr>
          <w:rFonts w:hint="eastAsia" w:ascii="等线" w:hAnsi="等线" w:eastAsia="等线" w:cs="等线"/>
          <w:bCs/>
          <w:color w:val="auto"/>
          <w:kern w:val="0"/>
          <w:highlight w:val="none"/>
          <w:u w:val="single"/>
        </w:rPr>
        <w:t>www.zcygov.cn</w:t>
      </w:r>
      <w:r>
        <w:rPr>
          <w:rFonts w:hint="eastAsia" w:ascii="宋体" w:hAnsi="宋体" w:cs="宋体"/>
          <w:bCs/>
          <w:color w:val="auto"/>
          <w:kern w:val="0"/>
          <w:highlight w:val="none"/>
          <w:u w:val="single"/>
        </w:rPr>
        <w:t>）</w:t>
      </w:r>
    </w:p>
    <w:p>
      <w:pPr>
        <w:pStyle w:val="4"/>
        <w:ind w:firstLine="482"/>
        <w:rPr>
          <w:color w:val="auto"/>
          <w:highlight w:val="none"/>
        </w:rPr>
      </w:pPr>
      <w:bookmarkStart w:id="24" w:name="_Toc13308"/>
      <w:r>
        <w:rPr>
          <w:rFonts w:hint="eastAsia"/>
          <w:color w:val="auto"/>
          <w:highlight w:val="none"/>
        </w:rPr>
        <w:t>五、采购意向公开链接</w:t>
      </w:r>
      <w:bookmarkEnd w:id="24"/>
    </w:p>
    <w:p>
      <w:pPr>
        <w:adjustRightInd w:val="0"/>
        <w:spacing w:line="336" w:lineRule="auto"/>
        <w:ind w:firstLine="480"/>
        <w:rPr>
          <w:rFonts w:asciiTheme="minorEastAsia" w:hAnsiTheme="minorEastAsia" w:eastAsiaTheme="minorEastAsia" w:cstheme="minorEastAsia"/>
          <w:bCs/>
          <w:color w:val="auto"/>
          <w:highlight w:val="none"/>
          <w:u w:val="single"/>
        </w:rPr>
      </w:pPr>
      <w:r>
        <w:rPr>
          <w:color w:val="auto"/>
          <w:highlight w:val="none"/>
        </w:rPr>
        <w:fldChar w:fldCharType="begin"/>
      </w:r>
      <w:r>
        <w:rPr>
          <w:color w:val="auto"/>
          <w:highlight w:val="none"/>
        </w:rPr>
        <w:instrText xml:space="preserve"> HYPERLINK "https://zfcg.czt.zj.gov.cn/luban/detail?parentId=600007&amp;articleId=JRsLJA6pc8wcQa7MGOpkog%3D%3D&amp;utm=luban.luban-PC-37000.979-pc-websitegroup-zhejiang-secondPage-front.7.951f5d800e7411ee8a6fabc06bde6f84" </w:instrText>
      </w:r>
      <w:r>
        <w:rPr>
          <w:color w:val="auto"/>
          <w:highlight w:val="none"/>
        </w:rPr>
        <w:fldChar w:fldCharType="separate"/>
      </w:r>
      <w:r>
        <w:rPr>
          <w:rStyle w:val="30"/>
          <w:rFonts w:hint="eastAsia" w:asciiTheme="minorEastAsia" w:hAnsiTheme="minorEastAsia" w:eastAsiaTheme="minorEastAsia" w:cstheme="minorEastAsia"/>
          <w:bCs/>
          <w:color w:val="auto"/>
          <w:highlight w:val="none"/>
          <w:lang w:eastAsia="zh-CN"/>
        </w:rPr>
        <w:t>https://zfcg.czt.zj.gov.cn/site/detail?parentId=600007&amp;articleId=lD%2FFkvBNCUE4CltqQIYJEg%3D%3D&amp;utm=site.site-PC-37000.979-pc-websitegroup-zhejiang-secondPage-front.30.ff81a340938a11eeb5c587b4da8e02de</w:t>
      </w:r>
      <w:r>
        <w:rPr>
          <w:rStyle w:val="30"/>
          <w:rFonts w:hint="eastAsia" w:asciiTheme="minorEastAsia" w:hAnsiTheme="minorEastAsia" w:eastAsiaTheme="minorEastAsia" w:cstheme="minorEastAsia"/>
          <w:bCs/>
          <w:color w:val="auto"/>
          <w:highlight w:val="none"/>
        </w:rPr>
        <w:fldChar w:fldCharType="end"/>
      </w:r>
    </w:p>
    <w:p>
      <w:pPr>
        <w:pStyle w:val="4"/>
        <w:ind w:firstLine="482"/>
        <w:rPr>
          <w:color w:val="auto"/>
          <w:highlight w:val="none"/>
        </w:rPr>
      </w:pPr>
      <w:bookmarkStart w:id="25" w:name="_Toc16239"/>
      <w:r>
        <w:rPr>
          <w:rFonts w:hint="eastAsia"/>
          <w:color w:val="auto"/>
          <w:highlight w:val="none"/>
        </w:rPr>
        <w:t>六、公告期限</w:t>
      </w:r>
      <w:bookmarkEnd w:id="25"/>
    </w:p>
    <w:p>
      <w:pPr>
        <w:adjustRightInd w:val="0"/>
        <w:spacing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自本公告发布之日起5个工作日。</w:t>
      </w:r>
    </w:p>
    <w:p>
      <w:pPr>
        <w:pStyle w:val="4"/>
        <w:numPr>
          <w:ilvl w:val="0"/>
          <w:numId w:val="2"/>
        </w:numPr>
        <w:ind w:firstLine="482"/>
        <w:rPr>
          <w:color w:val="auto"/>
          <w:highlight w:val="none"/>
        </w:rPr>
      </w:pPr>
      <w:bookmarkStart w:id="26" w:name="_Toc18725"/>
      <w:r>
        <w:rPr>
          <w:rFonts w:hint="eastAsia"/>
          <w:color w:val="auto"/>
          <w:highlight w:val="none"/>
        </w:rPr>
        <w:t>其他补充事宜</w:t>
      </w:r>
      <w:bookmarkEnd w:id="26"/>
    </w:p>
    <w:p>
      <w:pPr>
        <w:ind w:firstLine="480"/>
        <w:rPr>
          <w:rFonts w:ascii="宋体" w:hAnsi="宋体" w:cs="宋体"/>
          <w:color w:val="auto"/>
          <w:highlight w:val="none"/>
        </w:rPr>
      </w:pPr>
      <w:r>
        <w:rPr>
          <w:rFonts w:hint="eastAsia" w:ascii="宋体" w:hAnsi="宋体" w:cs="宋体"/>
          <w:color w:val="auto"/>
          <w:highlight w:val="none"/>
        </w:rPr>
        <w:t xml:space="preserve"> 1. </w:t>
      </w:r>
      <w:r>
        <w:rPr>
          <w:rFonts w:ascii="宋体" w:hAnsi="宋体" w:cs="宋体"/>
          <w:color w:val="auto"/>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color w:val="auto"/>
          <w:highlight w:val="none"/>
        </w:rPr>
      </w:pPr>
      <w:r>
        <w:rPr>
          <w:rFonts w:hint="eastAsia" w:ascii="宋体" w:hAnsi="宋体" w:cs="宋体"/>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color w:val="auto"/>
          <w:highlight w:val="none"/>
        </w:rPr>
      </w:pPr>
      <w:r>
        <w:rPr>
          <w:rFonts w:hint="eastAsia" w:ascii="宋体" w:hAnsi="宋体" w:cs="宋体"/>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至招标文件规定的地点：</w:t>
      </w:r>
      <w:r>
        <w:rPr>
          <w:rFonts w:hint="eastAsia" w:asciiTheme="minorEastAsia" w:hAnsiTheme="minorEastAsia" w:eastAsiaTheme="minorEastAsia" w:cstheme="minorEastAsia"/>
          <w:b/>
          <w:bCs/>
          <w:color w:val="auto"/>
          <w:highlight w:val="none"/>
          <w:lang w:eastAsia="zh-CN"/>
        </w:rPr>
        <w:t xml:space="preserve">浙江省金华市浦江县翠湖588号 </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吴</w:t>
      </w:r>
      <w:r>
        <w:rPr>
          <w:rFonts w:hint="eastAsia" w:asciiTheme="minorEastAsia" w:hAnsiTheme="minorEastAsia" w:eastAsiaTheme="minorEastAsia" w:cstheme="minorEastAsia"/>
          <w:b/>
          <w:bCs/>
          <w:color w:val="auto"/>
          <w:highlight w:val="none"/>
          <w:lang w:eastAsia="zh-CN"/>
        </w:rPr>
        <w:t>先生</w:t>
      </w:r>
      <w:r>
        <w:rPr>
          <w:rFonts w:hint="eastAsia" w:asciiTheme="minorEastAsia" w:hAnsiTheme="minorEastAsia" w:eastAsiaTheme="minorEastAsia" w:cstheme="minorEastAsia"/>
          <w:b/>
          <w:bCs/>
          <w:color w:val="auto"/>
          <w:highlight w:val="none"/>
        </w:rPr>
        <w:t>收，联系方式：</w:t>
      </w:r>
      <w:r>
        <w:rPr>
          <w:rFonts w:hint="eastAsia" w:asciiTheme="minorEastAsia" w:hAnsiTheme="minorEastAsia" w:eastAsiaTheme="minorEastAsia" w:cstheme="minorEastAsia"/>
          <w:b/>
          <w:bCs/>
          <w:color w:val="auto"/>
          <w:highlight w:val="none"/>
          <w:lang w:eastAsia="zh-CN"/>
        </w:rPr>
        <w:t>18258954800</w:t>
      </w:r>
      <w:r>
        <w:rPr>
          <w:rFonts w:hint="eastAsia" w:asciiTheme="minorEastAsia" w:hAnsiTheme="minorEastAsia" w:eastAsiaTheme="minorEastAsia" w:cstheme="minorEastAsia"/>
          <w:b/>
          <w:bCs/>
          <w:color w:val="auto"/>
          <w:highlight w:val="none"/>
        </w:rPr>
        <w:t>，邮编：322200</w:t>
      </w:r>
      <w:r>
        <w:rPr>
          <w:rFonts w:hint="eastAsia" w:ascii="宋体" w:hAnsi="宋体" w:cs="宋体"/>
          <w:color w:val="auto"/>
          <w:highlight w:val="none"/>
        </w:rPr>
        <w:t>，逾期送达、未按指定地点送达或未密封将予以拒收。电子备份投标文件的提交不作强制要求。备份投标文件的制作、存储、密封详见招标文件第二部分第</w:t>
      </w:r>
      <w:r>
        <w:rPr>
          <w:rFonts w:hint="eastAsia" w:ascii="宋体" w:hAnsi="宋体" w:cs="宋体"/>
          <w:color w:val="auto"/>
          <w:highlight w:val="none"/>
          <w:lang w:val="en-US" w:eastAsia="zh-CN"/>
        </w:rPr>
        <w:t>22</w:t>
      </w:r>
      <w:r>
        <w:rPr>
          <w:rFonts w:hint="eastAsia" w:ascii="宋体" w:hAnsi="宋体" w:cs="宋体"/>
          <w:color w:val="auto"/>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84" w:lineRule="auto"/>
        <w:ind w:firstLine="480"/>
        <w:rPr>
          <w:color w:val="auto"/>
          <w:highlight w:val="none"/>
        </w:rPr>
      </w:pPr>
      <w:r>
        <w:rPr>
          <w:rFonts w:hint="eastAsia"/>
          <w:color w:val="auto"/>
          <w:highlight w:val="none"/>
        </w:rPr>
        <w:t>5.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84" w:lineRule="auto"/>
        <w:ind w:firstLine="480"/>
        <w:rPr>
          <w:color w:val="auto"/>
          <w:highlight w:val="none"/>
        </w:rPr>
      </w:pPr>
      <w:r>
        <w:rPr>
          <w:rFonts w:hint="eastAsia"/>
          <w:color w:val="auto"/>
          <w:highlight w:val="none"/>
        </w:rPr>
        <w:t xml:space="preserve"> 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384" w:lineRule="auto"/>
        <w:ind w:firstLine="480"/>
        <w:rPr>
          <w:color w:val="auto"/>
          <w:highlight w:val="none"/>
        </w:rPr>
      </w:pPr>
      <w:r>
        <w:rPr>
          <w:rFonts w:hint="eastAsia"/>
          <w:color w:val="auto"/>
          <w:highlight w:val="none"/>
        </w:rPr>
        <w:t>7.政府采购金融服务提示：为扩大政府采购金融服务面，除政采云网上金融服务合作银行外，金华市范围增加线下合作银行两家，具体信息如下：</w:t>
      </w:r>
    </w:p>
    <w:p>
      <w:pPr>
        <w:adjustRightInd w:val="0"/>
        <w:spacing w:line="336" w:lineRule="auto"/>
        <w:ind w:firstLine="0" w:firstLineChars="0"/>
        <w:rPr>
          <w:rFonts w:ascii="宋体" w:hAnsi="宋体" w:cs="宋体"/>
          <w:color w:val="auto"/>
          <w:highlight w:val="none"/>
        </w:rPr>
      </w:pPr>
      <w:r>
        <w:rPr>
          <w:rFonts w:hint="eastAsia" w:ascii="宋体" w:hAnsi="宋体" w:cs="宋体"/>
          <w:color w:val="auto"/>
          <w:highlight w:val="none"/>
        </w:rPr>
        <w:t>金华银行文创支行      联系人：姜峰；联系电话：13905792828、0579-82479020</w:t>
      </w:r>
    </w:p>
    <w:p>
      <w:pPr>
        <w:spacing w:line="384" w:lineRule="auto"/>
        <w:ind w:firstLine="0" w:firstLineChars="0"/>
        <w:jc w:val="left"/>
        <w:rPr>
          <w:rFonts w:ascii="宋体" w:hAnsi="宋体" w:cs="宋体"/>
          <w:b/>
          <w:bCs/>
          <w:color w:val="auto"/>
          <w:highlight w:val="none"/>
        </w:rPr>
      </w:pPr>
      <w:r>
        <w:rPr>
          <w:rFonts w:hint="eastAsia" w:ascii="宋体" w:hAnsi="宋体" w:cs="宋体"/>
          <w:color w:val="auto"/>
          <w:highlight w:val="none"/>
        </w:rPr>
        <w:t>浙商银行金华浦江支行  联系人：严艳萍；联系电话：13566950560、0579-88088337</w:t>
      </w:r>
      <w:r>
        <w:rPr>
          <w:rStyle w:val="38"/>
          <w:rFonts w:hint="eastAsia"/>
          <w:color w:val="auto"/>
          <w:highlight w:val="none"/>
        </w:rPr>
        <w:t>八、</w:t>
      </w:r>
      <w:bookmarkEnd w:id="18"/>
      <w:bookmarkEnd w:id="19"/>
      <w:bookmarkEnd w:id="20"/>
      <w:bookmarkEnd w:id="21"/>
      <w:r>
        <w:rPr>
          <w:rStyle w:val="38"/>
          <w:rFonts w:hint="eastAsia"/>
          <w:color w:val="auto"/>
          <w:highlight w:val="none"/>
        </w:rPr>
        <w:t>凡对本次招标提出询问、质疑、投诉，请按以下方式联系</w:t>
      </w:r>
      <w:bookmarkEnd w:id="10"/>
    </w:p>
    <w:p>
      <w:pPr>
        <w:snapToGrid w:val="0"/>
        <w:spacing w:line="384" w:lineRule="auto"/>
        <w:ind w:firstLine="482"/>
        <w:jc w:val="left"/>
        <w:rPr>
          <w:rFonts w:ascii="宋体" w:hAnsi="宋体" w:cs="宋体"/>
          <w:b/>
          <w:bCs/>
          <w:color w:val="auto"/>
          <w:kern w:val="0"/>
          <w:highlight w:val="none"/>
        </w:rPr>
      </w:pPr>
      <w:r>
        <w:rPr>
          <w:rFonts w:hint="eastAsia" w:ascii="宋体" w:hAnsi="宋体" w:cs="宋体"/>
          <w:b/>
          <w:bCs/>
          <w:color w:val="auto"/>
          <w:kern w:val="0"/>
          <w:highlight w:val="none"/>
        </w:rPr>
        <w:t>1.采购人信息</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名称：</w:t>
      </w:r>
      <w:r>
        <w:rPr>
          <w:rFonts w:hint="eastAsia"/>
          <w:color w:val="auto"/>
          <w:highlight w:val="none"/>
          <w:lang w:eastAsia="zh-CN"/>
        </w:rPr>
        <w:t>浦江县浦阳江流域管理中心</w:t>
      </w:r>
    </w:p>
    <w:p>
      <w:pPr>
        <w:widowControl/>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地址：</w:t>
      </w:r>
      <w:r>
        <w:rPr>
          <w:rFonts w:hint="eastAsia" w:ascii="宋体" w:hAnsi="宋体" w:cs="宋体"/>
          <w:color w:val="auto"/>
          <w:kern w:val="0"/>
          <w:highlight w:val="none"/>
          <w:lang w:eastAsia="zh-CN" w:bidi="ar"/>
        </w:rPr>
        <w:t xml:space="preserve">浙江省金华市浦江县翠湖588号  </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 xml:space="preserve">传真：         /           </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项目联系人（询问）：</w:t>
      </w:r>
      <w:r>
        <w:rPr>
          <w:rFonts w:hint="eastAsia"/>
          <w:color w:val="auto"/>
          <w:highlight w:val="none"/>
          <w:lang w:eastAsia="zh-CN"/>
        </w:rPr>
        <w:t>洪先生</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项目联系方式（询问）：</w:t>
      </w:r>
      <w:r>
        <w:rPr>
          <w:rFonts w:hint="eastAsia"/>
          <w:color w:val="auto"/>
          <w:highlight w:val="none"/>
          <w:lang w:eastAsia="zh-CN"/>
        </w:rPr>
        <w:t>18258934897</w:t>
      </w:r>
    </w:p>
    <w:p>
      <w:pPr>
        <w:keepNext w:val="0"/>
        <w:keepLines w:val="0"/>
        <w:widowControl/>
        <w:suppressLineNumbers w:val="0"/>
        <w:jc w:val="left"/>
        <w:rPr>
          <w:rFonts w:ascii="等线" w:hAnsi="等线" w:cs="宋体"/>
          <w:color w:val="auto"/>
          <w:highlight w:val="none"/>
        </w:rPr>
      </w:pPr>
      <w:r>
        <w:rPr>
          <w:rFonts w:hint="eastAsia" w:ascii="等线" w:hAnsi="等线" w:cs="宋体"/>
          <w:color w:val="auto"/>
          <w:highlight w:val="none"/>
        </w:rPr>
        <w:t>质疑联系人：</w:t>
      </w:r>
      <w:r>
        <w:rPr>
          <w:rFonts w:hint="eastAsia" w:ascii="宋体" w:hAnsi="宋体" w:cs="宋体"/>
          <w:color w:val="auto"/>
          <w:kern w:val="0"/>
          <w:sz w:val="24"/>
          <w:szCs w:val="24"/>
          <w:highlight w:val="none"/>
          <w:lang w:val="en-US" w:eastAsia="zh-CN" w:bidi="ar"/>
        </w:rPr>
        <w:t>张先生</w:t>
      </w:r>
    </w:p>
    <w:p>
      <w:pPr>
        <w:keepNext w:val="0"/>
        <w:keepLines w:val="0"/>
        <w:widowControl/>
        <w:suppressLineNumbers w:val="0"/>
        <w:jc w:val="left"/>
        <w:rPr>
          <w:rFonts w:ascii="等线" w:hAnsi="等线" w:cs="宋体"/>
          <w:color w:val="auto"/>
          <w:highlight w:val="none"/>
        </w:rPr>
      </w:pPr>
      <w:r>
        <w:rPr>
          <w:rFonts w:hint="eastAsia" w:ascii="等线" w:hAnsi="等线" w:cs="宋体"/>
          <w:color w:val="auto"/>
          <w:highlight w:val="none"/>
        </w:rPr>
        <w:t>质疑联系方式：</w:t>
      </w:r>
      <w:r>
        <w:rPr>
          <w:rFonts w:hint="eastAsia" w:ascii="等线" w:hAnsi="等线" w:cs="宋体"/>
          <w:color w:val="auto"/>
          <w:highlight w:val="none"/>
          <w:lang w:val="en-US" w:eastAsia="zh-CN"/>
        </w:rPr>
        <w:t>13758912609</w:t>
      </w:r>
    </w:p>
    <w:p>
      <w:pPr>
        <w:snapToGrid w:val="0"/>
        <w:spacing w:line="384" w:lineRule="auto"/>
        <w:ind w:firstLine="482"/>
        <w:jc w:val="left"/>
        <w:rPr>
          <w:rFonts w:ascii="宋体" w:hAnsi="宋体" w:cs="宋体"/>
          <w:b/>
          <w:bCs/>
          <w:color w:val="auto"/>
          <w:kern w:val="0"/>
          <w:highlight w:val="none"/>
        </w:rPr>
      </w:pPr>
      <w:r>
        <w:rPr>
          <w:rFonts w:hint="eastAsia" w:ascii="宋体" w:hAnsi="宋体" w:cs="宋体"/>
          <w:b/>
          <w:bCs/>
          <w:color w:val="auto"/>
          <w:kern w:val="0"/>
          <w:highlight w:val="none"/>
        </w:rPr>
        <w:t>2.采购代理机构信息</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名称：</w:t>
      </w:r>
      <w:r>
        <w:rPr>
          <w:rFonts w:hint="eastAsia" w:ascii="等线" w:hAnsi="等线" w:cs="宋体"/>
          <w:color w:val="auto"/>
          <w:highlight w:val="none"/>
          <w:lang w:eastAsia="zh-CN"/>
        </w:rPr>
        <w:t>五洲工程顾问集团有限公司</w:t>
      </w:r>
      <w:r>
        <w:rPr>
          <w:rFonts w:hint="eastAsia" w:ascii="等线" w:hAnsi="等线" w:cs="宋体"/>
          <w:color w:val="auto"/>
          <w:highlight w:val="none"/>
        </w:rPr>
        <w:t xml:space="preserve">          </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地址：</w:t>
      </w:r>
      <w:r>
        <w:rPr>
          <w:rFonts w:hint="eastAsia" w:ascii="等线" w:hAnsi="等线" w:cs="宋体"/>
          <w:color w:val="auto"/>
          <w:highlight w:val="none"/>
          <w:lang w:eastAsia="zh-CN"/>
        </w:rPr>
        <w:t>杭州市滨江区六和路307号中控大厦E座18楼</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传真：</w:t>
      </w:r>
      <w:r>
        <w:rPr>
          <w:rFonts w:hint="eastAsia" w:ascii="等线" w:hAnsi="等线" w:cs="宋体"/>
          <w:color w:val="auto"/>
          <w:highlight w:val="none"/>
          <w:lang w:eastAsia="zh-CN"/>
        </w:rPr>
        <w:t>/</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吴先生</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项目联系方式（询问）：</w:t>
      </w:r>
      <w:r>
        <w:rPr>
          <w:rFonts w:hint="eastAsia" w:ascii="等线" w:hAnsi="等线" w:cs="宋体"/>
          <w:color w:val="auto"/>
          <w:highlight w:val="none"/>
          <w:lang w:eastAsia="zh-CN"/>
        </w:rPr>
        <w:t>18258954800</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质疑联系人：</w:t>
      </w:r>
      <w:r>
        <w:rPr>
          <w:rFonts w:hint="eastAsia" w:ascii="等线" w:hAnsi="等线" w:cs="宋体"/>
          <w:color w:val="auto"/>
          <w:highlight w:val="none"/>
          <w:lang w:eastAsia="zh-CN"/>
        </w:rPr>
        <w:t>马女士</w:t>
      </w:r>
    </w:p>
    <w:p>
      <w:pPr>
        <w:spacing w:line="384" w:lineRule="auto"/>
        <w:ind w:firstLine="480"/>
        <w:jc w:val="left"/>
        <w:rPr>
          <w:rFonts w:hint="eastAsia" w:ascii="等线" w:hAnsi="等线" w:eastAsia="宋体" w:cs="宋体"/>
          <w:color w:val="auto"/>
          <w:highlight w:val="none"/>
          <w:lang w:eastAsia="zh-CN"/>
        </w:rPr>
      </w:pPr>
      <w:r>
        <w:rPr>
          <w:rFonts w:hint="eastAsia" w:ascii="等线" w:hAnsi="等线" w:cs="宋体"/>
          <w:color w:val="auto"/>
          <w:highlight w:val="none"/>
        </w:rPr>
        <w:t>质疑联系方式：</w:t>
      </w:r>
      <w:r>
        <w:rPr>
          <w:rFonts w:hint="eastAsia" w:ascii="等线" w:hAnsi="等线" w:cs="宋体"/>
          <w:color w:val="auto"/>
          <w:highlight w:val="none"/>
          <w:lang w:eastAsia="zh-CN"/>
        </w:rPr>
        <w:t>15868814266</w:t>
      </w:r>
    </w:p>
    <w:p>
      <w:pPr>
        <w:snapToGrid w:val="0"/>
        <w:spacing w:line="384" w:lineRule="auto"/>
        <w:ind w:firstLine="482"/>
        <w:jc w:val="left"/>
        <w:rPr>
          <w:rFonts w:ascii="宋体" w:hAnsi="宋体" w:cs="宋体"/>
          <w:b/>
          <w:bCs/>
          <w:color w:val="auto"/>
          <w:kern w:val="0"/>
          <w:highlight w:val="none"/>
        </w:rPr>
      </w:pPr>
      <w:r>
        <w:rPr>
          <w:rFonts w:hint="eastAsia" w:ascii="宋体" w:hAnsi="宋体" w:cs="宋体"/>
          <w:b/>
          <w:bCs/>
          <w:color w:val="auto"/>
          <w:kern w:val="0"/>
          <w:highlight w:val="none"/>
        </w:rPr>
        <w:t>3.同级政府采购监督管理部门</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 xml:space="preserve">名称：浦江县财政局政府采购监管科 </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地 址：浦江县人民东路83号</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传 真：0579-84107222</w:t>
      </w:r>
    </w:p>
    <w:p>
      <w:pPr>
        <w:spacing w:line="384" w:lineRule="auto"/>
        <w:ind w:firstLine="480"/>
        <w:jc w:val="left"/>
        <w:rPr>
          <w:rFonts w:ascii="等线" w:hAnsi="等线" w:cs="宋体"/>
          <w:color w:val="auto"/>
          <w:highlight w:val="none"/>
        </w:rPr>
      </w:pPr>
      <w:r>
        <w:rPr>
          <w:rFonts w:hint="eastAsia" w:ascii="等线" w:hAnsi="等线" w:cs="宋体"/>
          <w:color w:val="auto"/>
          <w:highlight w:val="none"/>
        </w:rPr>
        <w:t>联系人：赵先生</w:t>
      </w:r>
    </w:p>
    <w:p>
      <w:pPr>
        <w:spacing w:line="384" w:lineRule="auto"/>
        <w:ind w:firstLine="480"/>
        <w:jc w:val="left"/>
        <w:rPr>
          <w:color w:val="auto"/>
          <w:highlight w:val="none"/>
        </w:rPr>
      </w:pPr>
      <w:r>
        <w:rPr>
          <w:rFonts w:hint="eastAsia" w:ascii="等线" w:hAnsi="等线" w:cs="宋体"/>
          <w:color w:val="auto"/>
          <w:highlight w:val="none"/>
        </w:rPr>
        <w:t>监督投诉电话：0579-84123011</w:t>
      </w:r>
    </w:p>
    <w:p>
      <w:pPr>
        <w:spacing w:before="120" w:after="120"/>
        <w:ind w:right="720" w:firstLine="470" w:firstLineChars="196"/>
        <w:jc w:val="right"/>
        <w:rPr>
          <w:rFonts w:hint="eastAsia" w:ascii="宋体" w:hAnsi="宋体" w:eastAsia="宋体" w:cs="宋体"/>
          <w:color w:val="auto"/>
          <w:highlight w:val="none"/>
          <w:lang w:eastAsia="zh-CN"/>
        </w:rPr>
      </w:pPr>
      <w:r>
        <w:rPr>
          <w:rFonts w:hint="eastAsia"/>
          <w:color w:val="auto"/>
          <w:highlight w:val="none"/>
        </w:rPr>
        <w:t xml:space="preserve">  </w:t>
      </w:r>
      <w:r>
        <w:rPr>
          <w:rFonts w:hint="eastAsia"/>
          <w:color w:val="auto"/>
          <w:highlight w:val="none"/>
          <w:lang w:eastAsia="zh-CN"/>
        </w:rPr>
        <w:t>浦江县浦阳江流域管理中心</w:t>
      </w:r>
    </w:p>
    <w:p>
      <w:pPr>
        <w:spacing w:before="120" w:after="120"/>
        <w:ind w:right="720" w:firstLine="470" w:firstLineChars="196"/>
        <w:jc w:val="center"/>
        <w:rPr>
          <w:rFonts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eastAsia="zh-CN"/>
        </w:rPr>
        <w:t>五洲工程顾问集团有限公司</w:t>
      </w:r>
      <w:r>
        <w:rPr>
          <w:rFonts w:hint="eastAsia" w:ascii="宋体" w:hAnsi="宋体" w:cs="宋体"/>
          <w:color w:val="auto"/>
          <w:highlight w:val="none"/>
        </w:rPr>
        <w:t xml:space="preserve">  </w:t>
      </w:r>
    </w:p>
    <w:p>
      <w:pPr>
        <w:pStyle w:val="2"/>
        <w:spacing w:before="120" w:beforeLines="0" w:line="360" w:lineRule="auto"/>
        <w:jc w:val="center"/>
        <w:rPr>
          <w:color w:val="auto"/>
          <w:highlight w:val="none"/>
        </w:rPr>
      </w:pPr>
      <w:r>
        <w:rPr>
          <w:rFonts w:hint="eastAsia" w:ascii="宋体" w:hAnsi="宋体" w:cs="宋体"/>
          <w:color w:val="auto"/>
          <w:highlight w:val="none"/>
        </w:rPr>
        <w:t xml:space="preserve">                                  </w:t>
      </w:r>
      <w:r>
        <w:rPr>
          <w:rFonts w:hint="eastAsia" w:ascii="宋体" w:hAnsi="宋体" w:cs="宋体"/>
          <w:color w:val="auto"/>
          <w:highlight w:val="yellow"/>
        </w:rPr>
        <w:t>2023年</w:t>
      </w:r>
      <w:r>
        <w:rPr>
          <w:rFonts w:hint="eastAsia" w:ascii="宋体" w:hAnsi="宋体" w:cs="宋体"/>
          <w:color w:val="auto"/>
          <w:highlight w:val="yellow"/>
          <w:lang w:val="en-US" w:eastAsia="zh-CN"/>
        </w:rPr>
        <w:t>12</w:t>
      </w:r>
      <w:r>
        <w:rPr>
          <w:rFonts w:hint="eastAsia" w:ascii="宋体" w:hAnsi="宋体" w:cs="宋体"/>
          <w:color w:val="auto"/>
          <w:highlight w:val="yellow"/>
        </w:rPr>
        <w:t>月</w:t>
      </w:r>
      <w:r>
        <w:rPr>
          <w:rFonts w:hint="eastAsia" w:ascii="宋体" w:hAnsi="宋体" w:cs="宋体"/>
          <w:color w:val="auto"/>
          <w:highlight w:val="yellow"/>
          <w:lang w:val="en-US" w:eastAsia="zh-CN"/>
        </w:rPr>
        <w:t>12</w:t>
      </w:r>
      <w:r>
        <w:rPr>
          <w:rFonts w:hint="eastAsia" w:ascii="宋体" w:hAnsi="宋体" w:cs="宋体"/>
          <w:color w:val="auto"/>
          <w:highlight w:val="yellow"/>
        </w:rPr>
        <w:t>日</w:t>
      </w:r>
    </w:p>
    <w:p>
      <w:pPr>
        <w:widowControl/>
        <w:ind w:firstLine="241" w:firstLineChars="100"/>
        <w:jc w:val="left"/>
        <w:rPr>
          <w:rFonts w:ascii="黑体" w:hAnsi="黑体" w:eastAsia="黑体" w:cs="黑体"/>
          <w:color w:val="auto"/>
          <w:kern w:val="0"/>
          <w:highlight w:val="none"/>
        </w:rPr>
      </w:pPr>
      <w:r>
        <w:rPr>
          <w:rFonts w:hint="eastAsia" w:ascii="黑体" w:hAnsi="黑体" w:eastAsia="黑体" w:cs="黑体"/>
          <w:b/>
          <w:bCs/>
          <w:color w:val="auto"/>
          <w:kern w:val="0"/>
          <w:highlight w:val="none"/>
        </w:rPr>
        <w:t>温馨提示：</w:t>
      </w:r>
      <w:r>
        <w:rPr>
          <w:rFonts w:hint="eastAsia" w:ascii="黑体" w:hAnsi="黑体" w:eastAsia="黑体" w:cs="黑体"/>
          <w:color w:val="auto"/>
          <w:kern w:val="0"/>
          <w:highlight w:val="none"/>
        </w:rPr>
        <w:t>若投标人对项目采购电子交易系统操作有疑问，可登录政采云（</w:t>
      </w:r>
      <w:r>
        <w:rPr>
          <w:rFonts w:hint="eastAsia" w:ascii="等线" w:hAnsi="等线" w:eastAsia="等线" w:cs="等线"/>
          <w:color w:val="auto"/>
          <w:kern w:val="0"/>
          <w:highlight w:val="none"/>
        </w:rPr>
        <w:t>https://www.zcygov.cn/</w:t>
      </w:r>
      <w:r>
        <w:rPr>
          <w:rFonts w:hint="eastAsia" w:ascii="黑体" w:hAnsi="黑体" w:eastAsia="黑体" w:cs="黑体"/>
          <w:color w:val="auto"/>
          <w:kern w:val="0"/>
          <w:highlight w:val="none"/>
        </w:rPr>
        <w:t>），点击右侧咨询小采，获取采小蜜智能服务管家帮助，或拨打政采云服务热线 400-881-7190获取热线服务帮助。</w:t>
      </w:r>
    </w:p>
    <w:p>
      <w:pPr>
        <w:widowControl/>
        <w:ind w:firstLine="480"/>
        <w:jc w:val="left"/>
        <w:rPr>
          <w:rFonts w:ascii="黑体" w:hAnsi="黑体" w:eastAsia="黑体" w:cs="黑体"/>
          <w:color w:val="auto"/>
          <w:kern w:val="0"/>
          <w:highlight w:val="none"/>
        </w:rPr>
        <w:sectPr>
          <w:headerReference r:id="rId13" w:type="default"/>
          <w:headerReference r:id="rId14" w:type="even"/>
          <w:pgSz w:w="11906" w:h="16838"/>
          <w:pgMar w:top="1474" w:right="1417" w:bottom="1247" w:left="1417" w:header="567" w:footer="567" w:gutter="0"/>
          <w:cols w:space="0" w:num="1"/>
          <w:docGrid w:type="lines" w:linePitch="328" w:charSpace="0"/>
        </w:sectPr>
      </w:pPr>
      <w:r>
        <w:rPr>
          <w:rFonts w:hint="eastAsia" w:ascii="等线" w:hAnsi="等线" w:eastAsia="等线" w:cs="等线"/>
          <w:color w:val="auto"/>
          <w:kern w:val="0"/>
          <w:highlight w:val="none"/>
        </w:rPr>
        <w:t>CA</w:t>
      </w:r>
      <w:r>
        <w:rPr>
          <w:rFonts w:hint="eastAsia" w:ascii="黑体" w:hAnsi="黑体" w:eastAsia="黑体" w:cs="黑体"/>
          <w:color w:val="auto"/>
          <w:kern w:val="0"/>
          <w:highlight w:val="none"/>
        </w:rPr>
        <w:t xml:space="preserve">问题联系电话（人工）：汇信 </w:t>
      </w:r>
      <w:r>
        <w:rPr>
          <w:rFonts w:hint="eastAsia" w:ascii="等线" w:hAnsi="等线" w:eastAsia="等线" w:cs="等线"/>
          <w:color w:val="auto"/>
          <w:kern w:val="0"/>
          <w:highlight w:val="none"/>
        </w:rPr>
        <w:t>CA 400-888-4636</w:t>
      </w:r>
      <w:r>
        <w:rPr>
          <w:rFonts w:hint="eastAsia" w:ascii="黑体" w:hAnsi="黑体" w:eastAsia="黑体" w:cs="黑体"/>
          <w:color w:val="auto"/>
          <w:kern w:val="0"/>
          <w:highlight w:val="none"/>
        </w:rPr>
        <w:t>；天谷</w:t>
      </w:r>
      <w:r>
        <w:rPr>
          <w:rFonts w:hint="eastAsia" w:ascii="等线" w:hAnsi="等线" w:eastAsia="等线" w:cs="等线"/>
          <w:color w:val="auto"/>
          <w:kern w:val="0"/>
          <w:highlight w:val="none"/>
        </w:rPr>
        <w:t xml:space="preserve"> CA 400-087-8198</w:t>
      </w:r>
    </w:p>
    <w:p>
      <w:pPr>
        <w:pStyle w:val="3"/>
        <w:rPr>
          <w:color w:val="auto"/>
          <w:highlight w:val="none"/>
        </w:rPr>
      </w:pPr>
      <w:bookmarkStart w:id="27" w:name="_Toc26564"/>
      <w:bookmarkStart w:id="28" w:name="_Toc12536"/>
      <w:r>
        <w:rPr>
          <w:rFonts w:hint="eastAsia"/>
          <w:color w:val="auto"/>
          <w:highlight w:val="none"/>
        </w:rPr>
        <w:t>第二部分 投标人须知</w:t>
      </w:r>
      <w:bookmarkEnd w:id="27"/>
    </w:p>
    <w:p>
      <w:pPr>
        <w:adjustRightInd w:val="0"/>
        <w:ind w:firstLine="0" w:firstLineChars="0"/>
        <w:jc w:val="center"/>
        <w:outlineLvl w:val="1"/>
        <w:rPr>
          <w:rFonts w:ascii="宋体" w:hAnsi="宋体" w:cs="宋体"/>
          <w:b/>
          <w:color w:val="auto"/>
          <w:sz w:val="32"/>
          <w:highlight w:val="none"/>
        </w:rPr>
      </w:pPr>
      <w:bookmarkStart w:id="29" w:name="_Toc12650"/>
      <w:bookmarkStart w:id="30" w:name="_Toc22737"/>
      <w:r>
        <w:rPr>
          <w:rFonts w:hint="eastAsia" w:ascii="宋体" w:hAnsi="宋体" w:cs="宋体"/>
          <w:b/>
          <w:color w:val="auto"/>
          <w:sz w:val="32"/>
          <w:highlight w:val="none"/>
        </w:rPr>
        <w:t>投标人须知前附表</w:t>
      </w:r>
      <w:bookmarkEnd w:id="29"/>
      <w:bookmarkEnd w:id="30"/>
    </w:p>
    <w:tbl>
      <w:tblPr>
        <w:tblStyle w:val="26"/>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17"/>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4" w:type="dxa"/>
            <w:tcBorders>
              <w:tl2br w:val="nil"/>
              <w:tr2bl w:val="nil"/>
            </w:tcBorders>
            <w:shd w:val="clear" w:color="auto" w:fill="D7D7D7"/>
            <w:vAlign w:val="center"/>
          </w:tcPr>
          <w:p>
            <w:pPr>
              <w:pStyle w:val="33"/>
              <w:jc w:val="center"/>
              <w:rPr>
                <w:b/>
                <w:bCs w:val="0"/>
                <w:color w:val="auto"/>
                <w:highlight w:val="none"/>
              </w:rPr>
            </w:pPr>
            <w:r>
              <w:rPr>
                <w:rFonts w:hint="eastAsia"/>
                <w:b/>
                <w:bCs w:val="0"/>
                <w:color w:val="auto"/>
                <w:highlight w:val="none"/>
              </w:rPr>
              <w:t>序号</w:t>
            </w:r>
          </w:p>
        </w:tc>
        <w:tc>
          <w:tcPr>
            <w:tcW w:w="1617" w:type="dxa"/>
            <w:tcBorders>
              <w:tl2br w:val="nil"/>
              <w:tr2bl w:val="nil"/>
            </w:tcBorders>
            <w:shd w:val="clear" w:color="auto" w:fill="D7D7D7"/>
            <w:vAlign w:val="center"/>
          </w:tcPr>
          <w:p>
            <w:pPr>
              <w:pStyle w:val="33"/>
              <w:jc w:val="center"/>
              <w:rPr>
                <w:b/>
                <w:bCs w:val="0"/>
                <w:color w:val="auto"/>
                <w:highlight w:val="none"/>
              </w:rPr>
            </w:pPr>
            <w:r>
              <w:rPr>
                <w:rFonts w:hint="eastAsia"/>
                <w:b/>
                <w:bCs w:val="0"/>
                <w:color w:val="auto"/>
                <w:highlight w:val="none"/>
              </w:rPr>
              <w:t>内  容</w:t>
            </w:r>
          </w:p>
        </w:tc>
        <w:tc>
          <w:tcPr>
            <w:tcW w:w="6383" w:type="dxa"/>
            <w:tcBorders>
              <w:tl2br w:val="nil"/>
              <w:tr2bl w:val="nil"/>
            </w:tcBorders>
            <w:shd w:val="clear" w:color="auto" w:fill="D7D7D7"/>
            <w:vAlign w:val="center"/>
          </w:tcPr>
          <w:p>
            <w:pPr>
              <w:pStyle w:val="33"/>
              <w:jc w:val="center"/>
              <w:rPr>
                <w:color w:val="auto"/>
                <w:highlight w:val="none"/>
              </w:rPr>
            </w:pPr>
            <w:r>
              <w:rPr>
                <w:rFonts w:hint="eastAsia"/>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项目名称</w:t>
            </w:r>
          </w:p>
        </w:tc>
        <w:tc>
          <w:tcPr>
            <w:tcW w:w="6383" w:type="dxa"/>
            <w:tcBorders>
              <w:tl2br w:val="nil"/>
              <w:tr2bl w:val="nil"/>
            </w:tcBorders>
            <w:vAlign w:val="center"/>
          </w:tcPr>
          <w:p>
            <w:pPr>
              <w:pStyle w:val="33"/>
              <w:spacing w:line="312" w:lineRule="auto"/>
              <w:jc w:val="center"/>
              <w:rPr>
                <w:color w:val="auto"/>
                <w:highlight w:val="none"/>
              </w:rPr>
            </w:pPr>
            <w:r>
              <w:rPr>
                <w:rFonts w:hint="eastAsia"/>
                <w:color w:val="auto"/>
                <w:spacing w:val="-6"/>
                <w:highlight w:val="none"/>
                <w:lang w:eastAsia="zh-CN"/>
              </w:rPr>
              <w:t>浦江县通济桥水库灌区续建配套与节水改造项目（2023-2024年）（金属结构）设备采购项目（重新招标）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项目编号</w:t>
            </w:r>
          </w:p>
        </w:tc>
        <w:tc>
          <w:tcPr>
            <w:tcW w:w="6383" w:type="dxa"/>
            <w:tcBorders>
              <w:tl2br w:val="nil"/>
              <w:tr2bl w:val="nil"/>
            </w:tcBorders>
            <w:vAlign w:val="center"/>
          </w:tcPr>
          <w:p>
            <w:pPr>
              <w:pStyle w:val="33"/>
              <w:spacing w:line="312" w:lineRule="auto"/>
              <w:rPr>
                <w:rFonts w:hint="eastAsia" w:eastAsia="宋体"/>
                <w:color w:val="auto"/>
                <w:highlight w:val="none"/>
                <w:lang w:eastAsia="zh-CN"/>
              </w:rPr>
            </w:pPr>
            <w:r>
              <w:rPr>
                <w:rFonts w:hint="eastAsia"/>
                <w:color w:val="auto"/>
                <w:highlight w:val="none"/>
                <w:lang w:eastAsia="zh-CN"/>
              </w:rPr>
              <w:t>WZGCPJ2023-002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采购方式</w:t>
            </w:r>
          </w:p>
        </w:tc>
        <w:tc>
          <w:tcPr>
            <w:tcW w:w="6383" w:type="dxa"/>
            <w:tcBorders>
              <w:tl2br w:val="nil"/>
              <w:tr2bl w:val="nil"/>
            </w:tcBorders>
            <w:vAlign w:val="center"/>
          </w:tcPr>
          <w:p>
            <w:pPr>
              <w:pStyle w:val="33"/>
              <w:spacing w:line="312" w:lineRule="auto"/>
              <w:rPr>
                <w:color w:val="auto"/>
                <w:highlight w:val="none"/>
              </w:rPr>
            </w:pPr>
            <w:r>
              <w:rPr>
                <w:rFonts w:hint="eastAsia"/>
                <w:color w:val="auto"/>
                <w:highlight w:val="none"/>
              </w:rPr>
              <w:t>公开招标（电子招投标）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采购内容、数量及预算金额</w:t>
            </w:r>
          </w:p>
        </w:tc>
        <w:tc>
          <w:tcPr>
            <w:tcW w:w="6383" w:type="dxa"/>
            <w:tcBorders>
              <w:tl2br w:val="nil"/>
              <w:tr2bl w:val="nil"/>
            </w:tcBorders>
            <w:vAlign w:val="center"/>
          </w:tcPr>
          <w:p>
            <w:pPr>
              <w:pStyle w:val="33"/>
              <w:spacing w:before="120" w:line="312" w:lineRule="auto"/>
              <w:rPr>
                <w:color w:val="auto"/>
                <w:highlight w:val="none"/>
              </w:rPr>
            </w:pPr>
            <w:r>
              <w:rPr>
                <w:rFonts w:hint="eastAsia"/>
                <w:color w:val="auto"/>
                <w:highlight w:val="none"/>
              </w:rPr>
              <w:t>采购内容：详见招标公告；</w:t>
            </w:r>
          </w:p>
          <w:p>
            <w:pPr>
              <w:pStyle w:val="33"/>
              <w:spacing w:line="312" w:lineRule="auto"/>
              <w:rPr>
                <w:color w:val="auto"/>
                <w:highlight w:val="none"/>
              </w:rPr>
            </w:pPr>
            <w:r>
              <w:rPr>
                <w:rFonts w:hint="eastAsia"/>
                <w:color w:val="auto"/>
                <w:highlight w:val="none"/>
              </w:rPr>
              <w:t>数量：详见招标公告；</w:t>
            </w:r>
          </w:p>
          <w:p>
            <w:pPr>
              <w:pStyle w:val="33"/>
              <w:spacing w:line="312" w:lineRule="auto"/>
              <w:rPr>
                <w:color w:val="auto"/>
                <w:highlight w:val="none"/>
              </w:rPr>
            </w:pPr>
            <w:r>
              <w:rPr>
                <w:rFonts w:hint="eastAsia"/>
                <w:color w:val="auto"/>
                <w:highlight w:val="none"/>
              </w:rPr>
              <w:t>预算金额：</w:t>
            </w:r>
            <w:r>
              <w:rPr>
                <w:rFonts w:hint="eastAsia"/>
                <w:color w:val="auto"/>
                <w:highlight w:val="none"/>
                <w:lang w:eastAsia="zh-CN"/>
              </w:rPr>
              <w:t>10390000</w:t>
            </w:r>
            <w:r>
              <w:rPr>
                <w:rFonts w:hint="eastAsia"/>
                <w:color w:val="auto"/>
                <w:highlight w:val="none"/>
              </w:rPr>
              <w:t>元，</w:t>
            </w:r>
            <w:r>
              <w:rPr>
                <w:rFonts w:hint="eastAsia"/>
                <w:color w:val="auto"/>
                <w:highlight w:val="none"/>
                <w:lang w:val="zh-TW"/>
              </w:rPr>
              <w:t>最高限价：</w:t>
            </w:r>
            <w:r>
              <w:rPr>
                <w:rFonts w:hint="eastAsia"/>
                <w:color w:val="auto"/>
                <w:highlight w:val="none"/>
                <w:lang w:eastAsia="zh-CN"/>
              </w:rPr>
              <w:t>10390000</w:t>
            </w:r>
            <w:r>
              <w:rPr>
                <w:rFonts w:hint="eastAsia"/>
                <w:color w:val="auto"/>
                <w:highlight w:val="none"/>
              </w:rPr>
              <w:t>元，超过最高限价的报价均作无效标处理。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5</w:t>
            </w:r>
          </w:p>
        </w:tc>
        <w:tc>
          <w:tcPr>
            <w:tcW w:w="1617" w:type="dxa"/>
            <w:tcBorders>
              <w:tl2br w:val="nil"/>
              <w:tr2bl w:val="nil"/>
            </w:tcBorders>
            <w:vAlign w:val="center"/>
          </w:tcPr>
          <w:p>
            <w:pPr>
              <w:ind w:firstLine="442"/>
              <w:rPr>
                <w:b/>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采购人</w:t>
            </w:r>
          </w:p>
        </w:tc>
        <w:tc>
          <w:tcPr>
            <w:tcW w:w="6383" w:type="dxa"/>
            <w:tcBorders>
              <w:tl2br w:val="nil"/>
              <w:tr2bl w:val="nil"/>
            </w:tcBorders>
            <w:vAlign w:val="center"/>
          </w:tcPr>
          <w:p>
            <w:pPr>
              <w:pStyle w:val="33"/>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浦江县浦阳江流域管理中心</w:t>
            </w:r>
          </w:p>
          <w:p>
            <w:pPr>
              <w:pStyle w:val="33"/>
              <w:rPr>
                <w:rFonts w:cs="宋体"/>
                <w:color w:val="auto"/>
                <w:sz w:val="24"/>
                <w:szCs w:val="24"/>
                <w:highlight w:val="none"/>
                <w:lang w:bidi="ar"/>
              </w:rPr>
            </w:pPr>
            <w:r>
              <w:rPr>
                <w:rFonts w:hint="eastAsia"/>
                <w:color w:val="auto"/>
                <w:highlight w:val="none"/>
              </w:rPr>
              <w:t>地址：</w:t>
            </w:r>
            <w:r>
              <w:rPr>
                <w:rFonts w:hint="eastAsia" w:cs="宋体"/>
                <w:color w:val="auto"/>
                <w:szCs w:val="21"/>
                <w:highlight w:val="none"/>
                <w:lang w:bidi="ar"/>
              </w:rPr>
              <w:t>浙江省金华市浦江县翠湖588号</w:t>
            </w:r>
          </w:p>
          <w:p>
            <w:pPr>
              <w:pStyle w:val="33"/>
              <w:rPr>
                <w:rFonts w:hint="eastAsia" w:eastAsia="宋体"/>
                <w:color w:val="auto"/>
                <w:highlight w:val="none"/>
                <w:lang w:eastAsia="zh-CN"/>
              </w:rPr>
            </w:pPr>
            <w:r>
              <w:rPr>
                <w:rFonts w:hint="eastAsia"/>
                <w:color w:val="auto"/>
                <w:highlight w:val="none"/>
              </w:rPr>
              <w:t>项目联系人（询问）：</w:t>
            </w:r>
            <w:r>
              <w:rPr>
                <w:rFonts w:hint="eastAsia"/>
                <w:color w:val="auto"/>
                <w:highlight w:val="none"/>
                <w:lang w:eastAsia="zh-CN"/>
              </w:rPr>
              <w:t>洪先生</w:t>
            </w:r>
          </w:p>
          <w:p>
            <w:pPr>
              <w:pStyle w:val="33"/>
              <w:rPr>
                <w:rFonts w:hint="eastAsia" w:eastAsia="宋体"/>
                <w:color w:val="auto"/>
                <w:highlight w:val="none"/>
                <w:lang w:eastAsia="zh-CN"/>
              </w:rPr>
            </w:pPr>
            <w:r>
              <w:rPr>
                <w:rFonts w:hint="eastAsia"/>
                <w:color w:val="auto"/>
                <w:highlight w:val="none"/>
              </w:rPr>
              <w:t>项目联系方式（询问）：</w:t>
            </w:r>
            <w:r>
              <w:rPr>
                <w:rFonts w:hint="eastAsia"/>
                <w:color w:val="auto"/>
                <w:highlight w:val="none"/>
                <w:lang w:eastAsia="zh-CN"/>
              </w:rPr>
              <w:t>18258934897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6</w:t>
            </w:r>
          </w:p>
        </w:tc>
        <w:tc>
          <w:tcPr>
            <w:tcW w:w="1617" w:type="dxa"/>
            <w:tcBorders>
              <w:tl2br w:val="nil"/>
              <w:tr2bl w:val="nil"/>
            </w:tcBorders>
            <w:vAlign w:val="center"/>
          </w:tcPr>
          <w:p>
            <w:pPr>
              <w:ind w:firstLine="0" w:firstLineChars="0"/>
              <w:rPr>
                <w:b/>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采购代理机构</w:t>
            </w:r>
          </w:p>
        </w:tc>
        <w:tc>
          <w:tcPr>
            <w:tcW w:w="6383" w:type="dxa"/>
            <w:tcBorders>
              <w:tl2br w:val="nil"/>
              <w:tr2bl w:val="nil"/>
            </w:tcBorders>
            <w:vAlign w:val="center"/>
          </w:tcPr>
          <w:p>
            <w:pPr>
              <w:pStyle w:val="33"/>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五洲工程顾问集团有限公司</w:t>
            </w:r>
          </w:p>
          <w:p>
            <w:pPr>
              <w:pStyle w:val="33"/>
              <w:rPr>
                <w:color w:val="auto"/>
                <w:highlight w:val="none"/>
              </w:rPr>
            </w:pPr>
            <w:r>
              <w:rPr>
                <w:rFonts w:hint="eastAsia"/>
                <w:color w:val="auto"/>
                <w:highlight w:val="none"/>
              </w:rPr>
              <w:t>地址：</w:t>
            </w:r>
            <w:r>
              <w:rPr>
                <w:rFonts w:hint="eastAsia" w:ascii="等线" w:hAnsi="等线" w:cs="宋体"/>
                <w:color w:val="auto"/>
                <w:highlight w:val="none"/>
                <w:lang w:eastAsia="zh-CN"/>
              </w:rPr>
              <w:t>杭州市滨江区六和路307号中控大厦E座18楼</w:t>
            </w:r>
          </w:p>
          <w:p>
            <w:pPr>
              <w:pStyle w:val="33"/>
              <w:rPr>
                <w:rFonts w:hint="eastAsia" w:eastAsia="宋体"/>
                <w:color w:val="auto"/>
                <w:highlight w:val="none"/>
                <w:lang w:eastAsia="zh-CN"/>
              </w:rPr>
            </w:pPr>
            <w:r>
              <w:rPr>
                <w:rFonts w:hint="eastAsia"/>
                <w:color w:val="auto"/>
                <w:highlight w:val="none"/>
              </w:rPr>
              <w:t>项目联系人（询问）：</w:t>
            </w:r>
            <w:r>
              <w:rPr>
                <w:rFonts w:hint="eastAsia"/>
                <w:color w:val="auto"/>
                <w:highlight w:val="none"/>
                <w:lang w:val="en-US" w:eastAsia="zh-CN"/>
              </w:rPr>
              <w:t>吴</w:t>
            </w:r>
            <w:r>
              <w:rPr>
                <w:rFonts w:hint="eastAsia"/>
                <w:color w:val="auto"/>
                <w:highlight w:val="none"/>
                <w:lang w:eastAsia="zh-CN"/>
              </w:rPr>
              <w:t>先生</w:t>
            </w:r>
          </w:p>
          <w:p>
            <w:pPr>
              <w:pStyle w:val="33"/>
              <w:rPr>
                <w:rFonts w:hint="eastAsia" w:eastAsia="宋体"/>
                <w:color w:val="auto"/>
                <w:highlight w:val="none"/>
                <w:lang w:eastAsia="zh-CN"/>
              </w:rPr>
            </w:pPr>
            <w:r>
              <w:rPr>
                <w:rFonts w:hint="eastAsia"/>
                <w:color w:val="auto"/>
                <w:highlight w:val="none"/>
              </w:rPr>
              <w:t>项目联系方式（询问）：</w:t>
            </w:r>
            <w:r>
              <w:rPr>
                <w:rFonts w:hint="eastAsia"/>
                <w:color w:val="auto"/>
                <w:highlight w:val="none"/>
                <w:lang w:eastAsia="zh-CN"/>
              </w:rPr>
              <w:t>18258954800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7</w:t>
            </w:r>
          </w:p>
        </w:tc>
        <w:tc>
          <w:tcPr>
            <w:tcW w:w="1617" w:type="dxa"/>
            <w:tcBorders>
              <w:tl2br w:val="nil"/>
              <w:tr2bl w:val="nil"/>
            </w:tcBorders>
            <w:vAlign w:val="center"/>
          </w:tcPr>
          <w:p>
            <w:pPr>
              <w:ind w:firstLine="0" w:firstLineChars="0"/>
              <w:rPr>
                <w:b/>
                <w:color w:val="auto"/>
                <w:highlight w:val="none"/>
              </w:rPr>
            </w:pPr>
            <w:r>
              <w:rPr>
                <w:rFonts w:hint="eastAsia" w:asciiTheme="minorEastAsia" w:hAnsiTheme="minorEastAsia" w:eastAsiaTheme="minorEastAsia" w:cstheme="minorEastAsia"/>
                <w:b/>
                <w:bCs/>
                <w:color w:val="auto"/>
                <w:sz w:val="22"/>
                <w:szCs w:val="22"/>
                <w:highlight w:val="none"/>
              </w:rPr>
              <w:t>电子交易平台</w:t>
            </w:r>
          </w:p>
        </w:tc>
        <w:tc>
          <w:tcPr>
            <w:tcW w:w="6383" w:type="dxa"/>
            <w:tcBorders>
              <w:tl2br w:val="nil"/>
              <w:tr2bl w:val="nil"/>
            </w:tcBorders>
            <w:vAlign w:val="center"/>
          </w:tcPr>
          <w:p>
            <w:pPr>
              <w:spacing w:line="300" w:lineRule="auto"/>
              <w:ind w:firstLine="0" w:firstLineChars="0"/>
              <w:rPr>
                <w:color w:val="auto"/>
                <w:highlight w:val="none"/>
              </w:rPr>
            </w:pPr>
            <w:r>
              <w:rPr>
                <w:rFonts w:hint="eastAsia" w:asciiTheme="minorEastAsia" w:hAnsiTheme="minorEastAsia" w:eastAsiaTheme="minorEastAsia" w:cstheme="minorEastAsia"/>
                <w:b/>
                <w:bCs/>
                <w:color w:val="auto"/>
                <w:sz w:val="22"/>
                <w:szCs w:val="22"/>
                <w:highlight w:val="none"/>
              </w:rPr>
              <w:t>浙江政府采购网政府采购云平台（政采云平台）（www.zcygov.cn）。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8</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资金来源</w:t>
            </w:r>
          </w:p>
        </w:tc>
        <w:tc>
          <w:tcPr>
            <w:tcW w:w="6383" w:type="dxa"/>
            <w:tcBorders>
              <w:tl2br w:val="nil"/>
              <w:tr2bl w:val="nil"/>
            </w:tcBorders>
            <w:vAlign w:val="center"/>
          </w:tcPr>
          <w:p>
            <w:pPr>
              <w:pStyle w:val="33"/>
              <w:spacing w:line="312" w:lineRule="auto"/>
              <w:rPr>
                <w:color w:val="auto"/>
                <w:highlight w:val="none"/>
              </w:rPr>
            </w:pPr>
            <w:r>
              <w:rPr>
                <w:rFonts w:hint="eastAsia"/>
                <w:color w:val="auto"/>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9</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资格审查方式</w:t>
            </w:r>
          </w:p>
        </w:tc>
        <w:tc>
          <w:tcPr>
            <w:tcW w:w="6383" w:type="dxa"/>
            <w:tcBorders>
              <w:tl2br w:val="nil"/>
              <w:tr2bl w:val="nil"/>
            </w:tcBorders>
            <w:vAlign w:val="center"/>
          </w:tcPr>
          <w:p>
            <w:pPr>
              <w:pStyle w:val="33"/>
              <w:spacing w:line="312" w:lineRule="auto"/>
              <w:rPr>
                <w:color w:val="auto"/>
                <w:highlight w:val="none"/>
              </w:rPr>
            </w:pPr>
            <w:r>
              <w:rPr>
                <w:rFonts w:hint="eastAsia"/>
                <w:color w:val="auto"/>
                <w:highlight w:val="none"/>
              </w:rPr>
              <w:t>资格后审是指在开标后由采购人或采购代理机构代表根据采购文件的规定对投标人进行资格审查，资格后审不合格的投标人，其投标作无效标处理。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rPr>
                <w:color w:val="auto"/>
                <w:highlight w:val="none"/>
              </w:rPr>
            </w:pPr>
            <w:r>
              <w:rPr>
                <w:rFonts w:hint="eastAsia"/>
                <w:color w:val="auto"/>
                <w:highlight w:val="none"/>
              </w:rPr>
              <w:t>▲</w:t>
            </w:r>
            <w:r>
              <w:rPr>
                <w:rFonts w:hint="eastAsia"/>
                <w:b/>
                <w:bCs w:val="0"/>
                <w:color w:val="auto"/>
                <w:highlight w:val="none"/>
              </w:rPr>
              <w:t>10</w:t>
            </w:r>
          </w:p>
        </w:tc>
        <w:tc>
          <w:tcPr>
            <w:tcW w:w="1617" w:type="dxa"/>
            <w:tcBorders>
              <w:tl2br w:val="nil"/>
              <w:tr2bl w:val="nil"/>
            </w:tcBorders>
            <w:vAlign w:val="center"/>
          </w:tcPr>
          <w:p>
            <w:pPr>
              <w:pStyle w:val="33"/>
              <w:jc w:val="center"/>
              <w:rPr>
                <w:color w:val="auto"/>
                <w:highlight w:val="none"/>
              </w:rPr>
            </w:pPr>
            <w:r>
              <w:rPr>
                <w:rFonts w:hint="eastAsia"/>
                <w:b/>
                <w:bCs w:val="0"/>
                <w:color w:val="auto"/>
                <w:highlight w:val="none"/>
                <w:lang w:val="zh-TW"/>
              </w:rPr>
              <w:t>资格</w:t>
            </w:r>
            <w:r>
              <w:rPr>
                <w:rFonts w:hint="eastAsia"/>
                <w:b/>
                <w:bCs w:val="0"/>
                <w:color w:val="auto"/>
                <w:highlight w:val="none"/>
              </w:rPr>
              <w:t>条件</w:t>
            </w:r>
          </w:p>
        </w:tc>
        <w:tc>
          <w:tcPr>
            <w:tcW w:w="6383" w:type="dxa"/>
            <w:tcBorders>
              <w:tl2br w:val="nil"/>
              <w:tr2bl w:val="nil"/>
            </w:tcBorders>
            <w:vAlign w:val="center"/>
          </w:tcPr>
          <w:p>
            <w:pPr>
              <w:pStyle w:val="33"/>
              <w:rPr>
                <w:color w:val="auto"/>
                <w:highlight w:val="none"/>
                <w:lang w:val="zh-TW" w:eastAsia="zh-TW"/>
              </w:rPr>
            </w:pPr>
            <w:r>
              <w:rPr>
                <w:rFonts w:hint="eastAsia"/>
                <w:color w:val="auto"/>
                <w:highlight w:val="none"/>
                <w:lang w:val="zh-TW" w:eastAsia="zh-TW"/>
              </w:rPr>
              <w:t>1</w:t>
            </w:r>
            <w:r>
              <w:rPr>
                <w:rFonts w:hint="eastAsia"/>
                <w:color w:val="auto"/>
                <w:highlight w:val="none"/>
              </w:rPr>
              <w:t>.</w:t>
            </w:r>
            <w:r>
              <w:rPr>
                <w:rFonts w:hint="eastAsia"/>
                <w:color w:val="auto"/>
                <w:highlight w:val="none"/>
                <w:lang w:val="zh-TW" w:eastAsia="zh-TW"/>
              </w:rPr>
              <w:t>满足《中华人民共和国政府采购法》第二十二条规定；未被“信用中国”（www.creditchina.gov.cn)、中国政府采购网（www.ccgp.gov.cn）列入失信被执行人、</w:t>
            </w:r>
            <w:r>
              <w:rPr>
                <w:rFonts w:hint="eastAsia"/>
                <w:color w:val="auto"/>
                <w:highlight w:val="none"/>
                <w:lang w:val="zh-TW"/>
              </w:rPr>
              <w:t>重大税收违法失信主体</w:t>
            </w:r>
            <w:r>
              <w:rPr>
                <w:rFonts w:hint="eastAsia"/>
                <w:color w:val="auto"/>
                <w:highlight w:val="none"/>
                <w:lang w:val="zh-TW" w:eastAsia="zh-TW"/>
              </w:rPr>
              <w:t>、政府采购严重违法失信行为记录名单。</w:t>
            </w:r>
          </w:p>
          <w:p>
            <w:pPr>
              <w:pStyle w:val="33"/>
              <w:rPr>
                <w:color w:val="auto"/>
                <w:highlight w:val="none"/>
              </w:rPr>
            </w:pPr>
            <w:r>
              <w:rPr>
                <w:rFonts w:hint="eastAsia"/>
                <w:color w:val="auto"/>
                <w:highlight w:val="none"/>
                <w:lang w:val="zh-TW" w:eastAsia="zh-TW"/>
              </w:rPr>
              <w:t>2</w:t>
            </w:r>
            <w:r>
              <w:rPr>
                <w:rFonts w:hint="eastAsia"/>
                <w:color w:val="auto"/>
                <w:highlight w:val="none"/>
              </w:rPr>
              <w:t>.</w:t>
            </w:r>
            <w:r>
              <w:rPr>
                <w:rFonts w:hint="eastAsia"/>
                <w:color w:val="auto"/>
                <w:highlight w:val="none"/>
                <w:lang w:val="zh-TW" w:eastAsia="zh-TW"/>
              </w:rPr>
              <w:t>落实政府采购政策需满足的资格要求：</w:t>
            </w:r>
            <w:r>
              <w:rPr>
                <w:rFonts w:hint="eastAsia"/>
                <w:color w:val="auto"/>
                <w:highlight w:val="none"/>
              </w:rPr>
              <w:t>无。</w:t>
            </w:r>
          </w:p>
          <w:p>
            <w:pPr>
              <w:pStyle w:val="33"/>
              <w:rPr>
                <w:color w:val="auto"/>
                <w:highlight w:val="none"/>
              </w:rPr>
            </w:pPr>
            <w:r>
              <w:rPr>
                <w:rFonts w:hint="eastAsia"/>
                <w:color w:val="auto"/>
                <w:highlight w:val="none"/>
                <w:lang w:val="zh-TW" w:eastAsia="zh-TW"/>
              </w:rPr>
              <w:t>3</w:t>
            </w:r>
            <w:r>
              <w:rPr>
                <w:rFonts w:hint="eastAsia"/>
                <w:color w:val="auto"/>
                <w:highlight w:val="none"/>
              </w:rPr>
              <w:t>.</w:t>
            </w:r>
            <w:r>
              <w:rPr>
                <w:rFonts w:hint="eastAsia"/>
                <w:color w:val="auto"/>
                <w:highlight w:val="none"/>
                <w:lang w:val="zh-TW" w:eastAsia="zh-TW"/>
              </w:rPr>
              <w:t>本项目的特定资格要求：</w:t>
            </w:r>
            <w:r>
              <w:rPr>
                <w:rFonts w:hint="eastAsia" w:ascii="宋体" w:hAnsi="宋体" w:eastAsia="宋体" w:cs="宋体"/>
                <w:b w:val="0"/>
                <w:bCs w:val="0"/>
                <w:color w:val="auto"/>
                <w:sz w:val="21"/>
                <w:szCs w:val="21"/>
                <w:highlight w:val="none"/>
              </w:rPr>
              <w:t>投标人具备水工金属结构制作与安装工程专业承包三级及以上资质，具有有效的安全生产许可证</w:t>
            </w:r>
            <w:r>
              <w:rPr>
                <w:rFonts w:hint="eastAsia"/>
                <w:color w:val="auto"/>
                <w:highlight w:val="none"/>
              </w:rPr>
              <w:t>。</w:t>
            </w:r>
          </w:p>
          <w:p>
            <w:pPr>
              <w:pStyle w:val="33"/>
              <w:rPr>
                <w:color w:val="auto"/>
                <w:highlight w:val="none"/>
              </w:rPr>
            </w:pPr>
            <w:r>
              <w:rPr>
                <w:rFonts w:hint="eastAsia"/>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3"/>
              <w:rPr>
                <w:color w:val="auto"/>
                <w:highlight w:val="none"/>
              </w:rPr>
            </w:pPr>
            <w:r>
              <w:rPr>
                <w:rFonts w:hint="eastAsia"/>
                <w:color w:val="auto"/>
                <w:highlight w:val="none"/>
              </w:rPr>
              <w:t>资格审查资料：相关证件等复印件或扫描件，资格承诺函（格式附后）</w:t>
            </w:r>
            <w:r>
              <w:rPr>
                <w:rFonts w:hint="eastAsia"/>
                <w:color w:val="auto"/>
                <w:highlight w:val="none"/>
                <w:lang w:val="en-US" w:eastAsia="zh-CN"/>
              </w:rPr>
              <w:t>等</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tcBorders>
              <w:tl2br w:val="nil"/>
              <w:tr2bl w:val="nil"/>
            </w:tcBorders>
            <w:vAlign w:val="center"/>
          </w:tcPr>
          <w:p>
            <w:pPr>
              <w:pStyle w:val="33"/>
              <w:jc w:val="center"/>
              <w:rPr>
                <w:color w:val="auto"/>
                <w:highlight w:val="none"/>
              </w:rPr>
            </w:pPr>
            <w:r>
              <w:rPr>
                <w:rFonts w:hint="eastAsia"/>
                <w:b/>
                <w:bCs w:val="0"/>
                <w:color w:val="auto"/>
                <w:highlight w:val="none"/>
              </w:rPr>
              <w:t>11</w:t>
            </w:r>
          </w:p>
        </w:tc>
        <w:tc>
          <w:tcPr>
            <w:tcW w:w="1617" w:type="dxa"/>
            <w:tcBorders>
              <w:tl2br w:val="nil"/>
              <w:tr2bl w:val="nil"/>
            </w:tcBorders>
            <w:vAlign w:val="center"/>
          </w:tcPr>
          <w:p>
            <w:pPr>
              <w:pStyle w:val="33"/>
              <w:jc w:val="center"/>
              <w:rPr>
                <w:color w:val="auto"/>
                <w:highlight w:val="none"/>
                <w:lang w:val="zh-TW"/>
              </w:rPr>
            </w:pPr>
            <w:r>
              <w:rPr>
                <w:rFonts w:hint="eastAsia"/>
                <w:b/>
                <w:bCs w:val="0"/>
                <w:color w:val="auto"/>
                <w:highlight w:val="none"/>
              </w:rPr>
              <w:t>联合体</w:t>
            </w:r>
          </w:p>
        </w:tc>
        <w:tc>
          <w:tcPr>
            <w:tcW w:w="6383" w:type="dxa"/>
            <w:tcBorders>
              <w:tl2br w:val="nil"/>
              <w:tr2bl w:val="nil"/>
            </w:tcBorders>
            <w:vAlign w:val="center"/>
          </w:tcPr>
          <w:p>
            <w:pPr>
              <w:pStyle w:val="33"/>
              <w:rPr>
                <w:color w:val="auto"/>
                <w:highlight w:val="none"/>
              </w:rPr>
            </w:pPr>
            <w:r>
              <w:rPr>
                <w:rFonts w:hint="eastAsia"/>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12</w:t>
            </w:r>
          </w:p>
        </w:tc>
        <w:tc>
          <w:tcPr>
            <w:tcW w:w="1617" w:type="dxa"/>
            <w:tcBorders>
              <w:tl2br w:val="nil"/>
              <w:tr2bl w:val="nil"/>
            </w:tcBorders>
            <w:vAlign w:val="center"/>
          </w:tcPr>
          <w:p>
            <w:pPr>
              <w:pStyle w:val="33"/>
              <w:rPr>
                <w:b/>
                <w:bCs w:val="0"/>
                <w:color w:val="auto"/>
                <w:highlight w:val="none"/>
              </w:rPr>
            </w:pPr>
            <w:r>
              <w:rPr>
                <w:rFonts w:hint="eastAsia"/>
                <w:b/>
                <w:bCs w:val="0"/>
                <w:color w:val="auto"/>
                <w:highlight w:val="none"/>
              </w:rPr>
              <w:t>招标文件获取</w:t>
            </w:r>
          </w:p>
        </w:tc>
        <w:tc>
          <w:tcPr>
            <w:tcW w:w="6383" w:type="dxa"/>
            <w:tcBorders>
              <w:tl2br w:val="nil"/>
              <w:tr2bl w:val="nil"/>
            </w:tcBorders>
            <w:vAlign w:val="center"/>
          </w:tcPr>
          <w:p>
            <w:pPr>
              <w:pStyle w:val="33"/>
              <w:rPr>
                <w:color w:val="auto"/>
                <w:highlight w:val="none"/>
              </w:rPr>
            </w:pPr>
            <w:r>
              <w:rPr>
                <w:rFonts w:hint="eastAsia"/>
                <w:b/>
                <w:bCs w:val="0"/>
                <w:color w:val="auto"/>
                <w:highlight w:val="none"/>
              </w:rPr>
              <w:t>获取方式：</w:t>
            </w:r>
            <w:r>
              <w:rPr>
                <w:rFonts w:hint="eastAsia"/>
                <w:color w:val="auto"/>
                <w:highlight w:val="none"/>
              </w:rPr>
              <w:t>政采云平台（www.zcygov.cn）用户登录-项目采购-获取采购文件-申请完成-下载文件；</w:t>
            </w:r>
          </w:p>
          <w:p>
            <w:pPr>
              <w:pStyle w:val="33"/>
              <w:rPr>
                <w:color w:val="auto"/>
                <w:highlight w:val="none"/>
              </w:rPr>
            </w:pPr>
            <w:r>
              <w:rPr>
                <w:rFonts w:hint="eastAsia"/>
                <w:b/>
                <w:bCs w:val="0"/>
                <w:color w:val="auto"/>
                <w:highlight w:val="none"/>
              </w:rPr>
              <w:t>获取状态：</w:t>
            </w:r>
            <w:r>
              <w:rPr>
                <w:rFonts w:hint="eastAsia"/>
                <w:color w:val="auto"/>
                <w:highlight w:val="none"/>
              </w:rPr>
              <w:t>政采云平台（www.zcygov.cn）用户登录-项目采购-获取采购文件-已申请-状态。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13</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现场考察/标前答疑会</w:t>
            </w:r>
          </w:p>
        </w:tc>
        <w:tc>
          <w:tcPr>
            <w:tcW w:w="6383" w:type="dxa"/>
            <w:tcBorders>
              <w:tl2br w:val="nil"/>
              <w:tr2bl w:val="nil"/>
            </w:tcBorders>
            <w:vAlign w:val="center"/>
          </w:tcPr>
          <w:p>
            <w:pPr>
              <w:pStyle w:val="33"/>
              <w:spacing w:line="312"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ascii="Wingdings" w:hAnsi="Wingdings"/>
                    <w:color w:val="auto"/>
                    <w:highlight w:val="none"/>
                  </w:rPr>
                  <w:t></w:t>
                </w:r>
              </w:sdtContent>
            </w:sdt>
            <w:r>
              <w:rPr>
                <w:rFonts w:hint="eastAsia"/>
                <w:color w:val="auto"/>
                <w:highlight w:val="none"/>
              </w:rPr>
              <w:t>A不组织。</w:t>
            </w:r>
          </w:p>
          <w:p>
            <w:pPr>
              <w:pStyle w:val="33"/>
              <w:spacing w:line="312" w:lineRule="auto"/>
              <w:rPr>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4" w:type="dxa"/>
            <w:tcBorders>
              <w:tl2br w:val="nil"/>
              <w:tr2bl w:val="nil"/>
            </w:tcBorders>
            <w:vAlign w:val="center"/>
          </w:tcPr>
          <w:p>
            <w:pPr>
              <w:pStyle w:val="33"/>
              <w:rPr>
                <w:color w:val="auto"/>
                <w:highlight w:val="none"/>
              </w:rPr>
            </w:pPr>
            <w:r>
              <w:rPr>
                <w:rFonts w:hint="eastAsia"/>
                <w:color w:val="auto"/>
                <w:highlight w:val="none"/>
              </w:rPr>
              <w:t>▲</w:t>
            </w:r>
            <w:r>
              <w:rPr>
                <w:rFonts w:hint="eastAsia"/>
                <w:b/>
                <w:bCs w:val="0"/>
                <w:color w:val="auto"/>
                <w:highlight w:val="none"/>
              </w:rPr>
              <w:t>14</w:t>
            </w:r>
          </w:p>
        </w:tc>
        <w:tc>
          <w:tcPr>
            <w:tcW w:w="1617" w:type="dxa"/>
            <w:tcBorders>
              <w:tl2br w:val="nil"/>
              <w:tr2bl w:val="nil"/>
            </w:tcBorders>
            <w:vAlign w:val="center"/>
          </w:tcPr>
          <w:p>
            <w:pPr>
              <w:pStyle w:val="33"/>
              <w:jc w:val="center"/>
              <w:rPr>
                <w:color w:val="auto"/>
                <w:highlight w:val="none"/>
              </w:rPr>
            </w:pPr>
            <w:r>
              <w:rPr>
                <w:rFonts w:hint="eastAsia"/>
                <w:b/>
                <w:bCs w:val="0"/>
                <w:color w:val="auto"/>
                <w:highlight w:val="none"/>
              </w:rPr>
              <w:t>报价要求</w:t>
            </w:r>
          </w:p>
        </w:tc>
        <w:tc>
          <w:tcPr>
            <w:tcW w:w="6383" w:type="dxa"/>
            <w:tcBorders>
              <w:tl2br w:val="nil"/>
              <w:tr2bl w:val="nil"/>
            </w:tcBorders>
            <w:vAlign w:val="center"/>
          </w:tcPr>
          <w:p>
            <w:pPr>
              <w:pStyle w:val="33"/>
              <w:rPr>
                <w:rFonts w:hint="eastAsia"/>
                <w:color w:val="auto"/>
                <w:highlight w:val="none"/>
                <w:lang w:eastAsia="zh-CN"/>
              </w:rPr>
            </w:pPr>
            <w:r>
              <w:rPr>
                <w:rFonts w:hint="eastAsia"/>
                <w:color w:val="auto"/>
                <w:highlight w:val="none"/>
                <w:lang w:eastAsia="zh-CN"/>
              </w:rPr>
              <w:t>有关本项目实施所需的人工费、成套工艺系统设备、附属配套实施设备及材料费、备品备件费、设计深化费、安全文明施工费、管线费、关税、增值税、国内外运杂费、国内外保险费、维修保护费、特殊工具费、售后服务费、技术培训费（含运行及维护手册编制费）、设备装修费、二次或多次搬运费、安装费、代理服务费、调试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pPr>
              <w:pStyle w:val="33"/>
              <w:rPr>
                <w:color w:val="auto"/>
                <w:highlight w:val="none"/>
              </w:rPr>
            </w:pPr>
            <w:r>
              <w:rPr>
                <w:rFonts w:hint="eastAsia"/>
                <w:color w:val="auto"/>
                <w:highlight w:val="none"/>
              </w:rPr>
              <w:t>投标报价出现下列情形的，投标无效：</w:t>
            </w:r>
          </w:p>
          <w:p>
            <w:pPr>
              <w:pStyle w:val="33"/>
              <w:rPr>
                <w:color w:val="auto"/>
                <w:highlight w:val="none"/>
              </w:rPr>
            </w:pPr>
            <w:r>
              <w:rPr>
                <w:rFonts w:hint="eastAsia"/>
                <w:color w:val="auto"/>
                <w:highlight w:val="none"/>
              </w:rPr>
              <w:t>▲投标文件出现不是唯一的、有选择性投标报价的；</w:t>
            </w:r>
          </w:p>
          <w:p>
            <w:pPr>
              <w:pStyle w:val="33"/>
              <w:rPr>
                <w:color w:val="auto"/>
                <w:highlight w:val="none"/>
              </w:rPr>
            </w:pPr>
            <w:r>
              <w:rPr>
                <w:rFonts w:hint="eastAsia"/>
                <w:color w:val="auto"/>
                <w:highlight w:val="none"/>
              </w:rPr>
              <w:t>▲投标报价超过招标文件中规定的预算金额或者最高限价的；</w:t>
            </w:r>
          </w:p>
          <w:p>
            <w:pPr>
              <w:pStyle w:val="33"/>
              <w:rPr>
                <w:color w:val="auto"/>
                <w:highlight w:val="none"/>
              </w:rPr>
            </w:pPr>
            <w:r>
              <w:rPr>
                <w:rFonts w:hint="eastAsia"/>
                <w:color w:val="auto"/>
                <w:highlight w:val="none"/>
              </w:rPr>
              <w:t>▲报价明显低于其他通过符合性审查投标人的报价，有可能影响产品质量或者不能诚信履约的，未能按要求提供书面说明或者提交相关证明材料证明其报价合理性的；</w:t>
            </w:r>
          </w:p>
          <w:p>
            <w:pPr>
              <w:pStyle w:val="33"/>
              <w:rPr>
                <w:color w:val="auto"/>
                <w:highlight w:val="none"/>
              </w:rPr>
            </w:pPr>
            <w:r>
              <w:rPr>
                <w:rFonts w:hint="eastAsia"/>
                <w:color w:val="auto"/>
                <w:highlight w:val="none"/>
              </w:rPr>
              <w:t>▲投标文件有采购人不能接受的附加条件的；</w:t>
            </w:r>
          </w:p>
          <w:p>
            <w:pPr>
              <w:pStyle w:val="33"/>
              <w:rPr>
                <w:color w:val="auto"/>
                <w:highlight w:val="none"/>
              </w:rPr>
            </w:pPr>
            <w:r>
              <w:rPr>
                <w:rFonts w:hint="eastAsia"/>
                <w:color w:val="auto"/>
                <w:highlight w:val="none"/>
              </w:rPr>
              <w:t>▲《开标一览表》填写不完整或字迹不能辨认或有漏项的；</w:t>
            </w:r>
          </w:p>
          <w:p>
            <w:pPr>
              <w:pStyle w:val="33"/>
              <w:rPr>
                <w:color w:val="auto"/>
                <w:highlight w:val="none"/>
              </w:rPr>
            </w:pPr>
            <w:r>
              <w:rPr>
                <w:rFonts w:hint="eastAsia"/>
                <w:color w:val="auto"/>
                <w:highlight w:val="none"/>
              </w:rPr>
              <w:t>▲投标人对根据修正原则修正后的报价不确认的。</w:t>
            </w:r>
          </w:p>
          <w:p>
            <w:pPr>
              <w:pStyle w:val="33"/>
              <w:rPr>
                <w:color w:val="auto"/>
                <w:highlight w:val="none"/>
              </w:rPr>
            </w:pPr>
            <w:r>
              <w:rPr>
                <w:rFonts w:hint="eastAsia"/>
                <w:color w:val="auto"/>
                <w:highlight w:val="none"/>
              </w:rPr>
              <w:t>▲不符合法律、法规和本招标文件规定的其他实质性要求的。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▲15</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交货时间</w:t>
            </w:r>
          </w:p>
        </w:tc>
        <w:tc>
          <w:tcPr>
            <w:tcW w:w="6383" w:type="dxa"/>
            <w:tcBorders>
              <w:tl2br w:val="nil"/>
              <w:tr2bl w:val="nil"/>
            </w:tcBorders>
            <w:vAlign w:val="center"/>
          </w:tcPr>
          <w:p>
            <w:pPr>
              <w:pStyle w:val="33"/>
              <w:rPr>
                <w:color w:val="auto"/>
                <w:highlight w:val="none"/>
              </w:rPr>
            </w:pPr>
            <w:r>
              <w:rPr>
                <w:rFonts w:hint="eastAsia"/>
                <w:color w:val="auto"/>
                <w:highlight w:val="none"/>
                <w:lang w:eastAsia="zh-CN"/>
              </w:rPr>
              <w:t>合同签订生效后，180日历天内完成所有设备的深化设计、供货、安装、调试工作（合同内容完成后，须配合土建工程施工、信息化工程数据上传等内容直至项目整体竣工）</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▲16</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付款方式</w:t>
            </w:r>
          </w:p>
        </w:tc>
        <w:tc>
          <w:tcPr>
            <w:tcW w:w="6383" w:type="dxa"/>
            <w:tcBorders>
              <w:tl2br w:val="nil"/>
              <w:tr2bl w:val="nil"/>
            </w:tcBorders>
            <w:vAlign w:val="center"/>
          </w:tcPr>
          <w:p>
            <w:pPr>
              <w:pStyle w:val="33"/>
              <w:rPr>
                <w:color w:val="auto"/>
                <w:highlight w:val="none"/>
              </w:rPr>
            </w:pPr>
            <w:r>
              <w:rPr>
                <w:rFonts w:hint="default" w:ascii="宋体" w:hAnsi="宋体" w:eastAsia="宋体" w:cs="宋体"/>
                <w:i w:val="0"/>
                <w:iCs w:val="0"/>
                <w:color w:val="auto"/>
                <w:kern w:val="2"/>
                <w:sz w:val="21"/>
                <w:szCs w:val="21"/>
                <w:highlight w:val="none"/>
                <w:vertAlign w:val="baseline"/>
                <w:lang w:val="en-US" w:eastAsia="zh-CN" w:bidi="ar-SA"/>
              </w:rPr>
              <w:t>见合同条款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4" w:type="dxa"/>
            <w:tcBorders>
              <w:tl2br w:val="nil"/>
              <w:tr2bl w:val="nil"/>
            </w:tcBorders>
            <w:vAlign w:val="center"/>
          </w:tcPr>
          <w:p>
            <w:pPr>
              <w:pStyle w:val="33"/>
              <w:rPr>
                <w:b/>
                <w:bCs w:val="0"/>
                <w:color w:val="auto"/>
                <w:highlight w:val="none"/>
              </w:rPr>
            </w:pPr>
            <w:r>
              <w:rPr>
                <w:rFonts w:hint="eastAsia"/>
                <w:b/>
                <w:bCs w:val="0"/>
                <w:color w:val="auto"/>
                <w:highlight w:val="none"/>
              </w:rPr>
              <w:t>▲17</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lang w:val="zh-TW"/>
              </w:rPr>
              <w:t>质量保证期（或保修期）</w:t>
            </w:r>
          </w:p>
        </w:tc>
        <w:tc>
          <w:tcPr>
            <w:tcW w:w="6383" w:type="dxa"/>
            <w:tcBorders>
              <w:tl2br w:val="nil"/>
              <w:tr2bl w:val="nil"/>
            </w:tcBorders>
            <w:vAlign w:val="center"/>
          </w:tcPr>
          <w:p>
            <w:pPr>
              <w:pStyle w:val="33"/>
              <w:rPr>
                <w:color w:val="auto"/>
                <w:highlight w:val="none"/>
              </w:rPr>
            </w:pPr>
            <w:r>
              <w:rPr>
                <w:rFonts w:hint="eastAsia"/>
                <w:color w:val="auto"/>
                <w:highlight w:val="none"/>
              </w:rPr>
              <w:t>质量保证期（或保修期）：验收合格后</w:t>
            </w:r>
            <w:r>
              <w:rPr>
                <w:rFonts w:hint="eastAsia"/>
                <w:color w:val="auto"/>
                <w:highlight w:val="none"/>
                <w:lang w:val="en-US" w:eastAsia="zh-CN"/>
              </w:rPr>
              <w:t>2</w:t>
            </w:r>
            <w:r>
              <w:rPr>
                <w:rFonts w:hint="eastAsia"/>
                <w:color w:val="auto"/>
                <w:highlight w:val="none"/>
              </w:rPr>
              <w:t>年；</w:t>
            </w:r>
          </w:p>
          <w:p>
            <w:pPr>
              <w:pStyle w:val="33"/>
              <w:rPr>
                <w:color w:val="auto"/>
                <w:highlight w:val="none"/>
              </w:rPr>
            </w:pPr>
            <w:r>
              <w:rPr>
                <w:rFonts w:hint="eastAsia"/>
                <w:color w:val="auto"/>
                <w:highlight w:val="none"/>
              </w:rPr>
              <w:t>中标人应保证合同项下所发产品完全是崭新的未曾使用过的且所有部件的生产日期为近一年内。在质量保证期内，中标人应负责修理和替换不合格的部件并承担一切费用。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74" w:type="dxa"/>
            <w:tcBorders>
              <w:tl2br w:val="nil"/>
              <w:tr2bl w:val="nil"/>
            </w:tcBorders>
            <w:vAlign w:val="center"/>
          </w:tcPr>
          <w:p>
            <w:pPr>
              <w:pStyle w:val="33"/>
              <w:rPr>
                <w:b/>
                <w:bCs w:val="0"/>
                <w:color w:val="auto"/>
                <w:highlight w:val="none"/>
              </w:rPr>
            </w:pPr>
            <w:r>
              <w:rPr>
                <w:rFonts w:hint="eastAsia"/>
                <w:b/>
                <w:bCs w:val="0"/>
                <w:color w:val="auto"/>
                <w:highlight w:val="none"/>
              </w:rPr>
              <w:t>18</w:t>
            </w:r>
          </w:p>
        </w:tc>
        <w:tc>
          <w:tcPr>
            <w:tcW w:w="1617" w:type="dxa"/>
            <w:tcBorders>
              <w:tl2br w:val="nil"/>
              <w:tr2bl w:val="nil"/>
            </w:tcBorders>
            <w:vAlign w:val="center"/>
          </w:tcPr>
          <w:p>
            <w:pPr>
              <w:pStyle w:val="33"/>
              <w:jc w:val="center"/>
              <w:rPr>
                <w:b/>
                <w:bCs w:val="0"/>
                <w:color w:val="auto"/>
                <w:highlight w:val="none"/>
                <w:lang w:val="zh-TW"/>
              </w:rPr>
            </w:pPr>
            <w:r>
              <w:rPr>
                <w:rFonts w:hint="eastAsia"/>
                <w:b/>
                <w:bCs w:val="0"/>
                <w:color w:val="auto"/>
                <w:highlight w:val="none"/>
                <w:lang w:val="zh-TW"/>
              </w:rPr>
              <w:t>分包</w:t>
            </w:r>
          </w:p>
        </w:tc>
        <w:tc>
          <w:tcPr>
            <w:tcW w:w="6383" w:type="dxa"/>
            <w:tcBorders>
              <w:tl2br w:val="nil"/>
              <w:tr2bl w:val="nil"/>
            </w:tcBorders>
            <w:vAlign w:val="center"/>
          </w:tcPr>
          <w:p>
            <w:pPr>
              <w:pStyle w:val="33"/>
              <w:rPr>
                <w:color w:val="auto"/>
                <w:highlight w:val="none"/>
              </w:rPr>
            </w:pPr>
            <w:r>
              <w:rPr>
                <w:rFonts w:hint="eastAsia"/>
                <w:color w:val="auto"/>
                <w:highlight w:val="none"/>
              </w:rPr>
              <w:sym w:font="Wingdings" w:char="00A8"/>
            </w:r>
            <w:r>
              <w:rPr>
                <w:rFonts w:hint="eastAsia"/>
                <w:color w:val="auto"/>
                <w:highlight w:val="none"/>
              </w:rPr>
              <w:t xml:space="preserve"> A同意将非主体、非关键性的工作分包，但事前须得到采购人同意。</w:t>
            </w:r>
          </w:p>
          <w:p>
            <w:pPr>
              <w:pStyle w:val="33"/>
              <w:rPr>
                <w:color w:val="auto"/>
                <w:highlight w:val="none"/>
              </w:rPr>
            </w:pPr>
            <w:r>
              <w:rPr>
                <w:rFonts w:hint="eastAsia"/>
                <w:color w:val="auto"/>
                <w:highlight w:val="none"/>
              </w:rPr>
              <w:sym w:font="Wingdings" w:char="00FE"/>
            </w:r>
            <w:r>
              <w:rPr>
                <w:rFonts w:hint="eastAsia"/>
                <w:color w:val="auto"/>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19</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样品</w:t>
            </w:r>
          </w:p>
        </w:tc>
        <w:tc>
          <w:tcPr>
            <w:tcW w:w="6383" w:type="dxa"/>
            <w:tcBorders>
              <w:tl2br w:val="nil"/>
              <w:tr2bl w:val="nil"/>
            </w:tcBorders>
            <w:vAlign w:val="center"/>
          </w:tcPr>
          <w:p>
            <w:pPr>
              <w:pStyle w:val="33"/>
              <w:spacing w:line="312" w:lineRule="auto"/>
              <w:rPr>
                <w:color w:val="auto"/>
                <w:highlight w:val="none"/>
              </w:rPr>
            </w:pPr>
            <w:sdt>
              <w:sdtPr>
                <w:rPr>
                  <w:rFonts w:hint="eastAsia" w:cs="宋体"/>
                  <w:color w:val="auto"/>
                  <w:sz w:val="24"/>
                  <w:highlight w:val="none"/>
                </w:rPr>
                <w:id w:val="-1639946486"/>
                <w14:checkbox>
                  <w14:checked w14:val="1"/>
                  <w14:checkedState w14:val="00FE" w14:font="Wingdings"/>
                  <w14:uncheckedState w14:val="2610" w14:font="MS Gothic"/>
                </w14:checkbox>
              </w:sdtPr>
              <w:sdtEndPr>
                <w:rPr>
                  <w:rFonts w:hint="eastAsia" w:cs="宋体"/>
                  <w:color w:val="auto"/>
                  <w:sz w:val="24"/>
                  <w:highlight w:val="none"/>
                </w:rPr>
              </w:sdtEndPr>
              <w:sdtContent>
                <w:r>
                  <w:rPr>
                    <w:rFonts w:ascii="Wingdings" w:hAnsi="Wingdings"/>
                    <w:color w:val="auto"/>
                    <w:highlight w:val="none"/>
                  </w:rPr>
                  <w:t></w:t>
                </w:r>
              </w:sdtContent>
            </w:sdt>
            <w:r>
              <w:rPr>
                <w:rFonts w:hint="eastAsia"/>
                <w:color w:val="auto"/>
                <w:highlight w:val="none"/>
              </w:rPr>
              <w:t>A不要求提供。</w:t>
            </w:r>
          </w:p>
          <w:p>
            <w:pPr>
              <w:pStyle w:val="33"/>
              <w:spacing w:line="312" w:lineRule="auto"/>
              <w:rPr>
                <w:color w:val="auto"/>
                <w:highlight w:val="none"/>
              </w:rPr>
            </w:pPr>
            <w:sdt>
              <w:sdtPr>
                <w:rPr>
                  <w:rFonts w:hint="eastAsia"/>
                  <w:color w:val="auto"/>
                  <w:highlight w:val="none"/>
                </w:rPr>
                <w:id w:val="1026831988"/>
                <w14:checkbox>
                  <w14:checked w14:val="0"/>
                  <w14:checkedState w14:val="00FE" w14:font="Wingdings"/>
                  <w14:uncheckedState w14:val="2610" w14:font="MS Gothic"/>
                </w14:checkbox>
              </w:sdtPr>
              <w:sdtEndPr>
                <w:rPr>
                  <w:rFonts w:hint="eastAsia"/>
                  <w:color w:val="auto"/>
                  <w:highlight w:val="none"/>
                </w:rPr>
              </w:sdtEndPr>
              <w:sdtContent>
                <w:r>
                  <w:rPr>
                    <w:rFonts w:hint="eastAsia" w:ascii="MS Gothic" w:hAnsi="MS Gothic"/>
                    <w:color w:val="auto"/>
                    <w:highlight w:val="none"/>
                  </w:rPr>
                  <w:t>☐</w:t>
                </w:r>
              </w:sdtContent>
            </w:sdt>
            <w:r>
              <w:rPr>
                <w:rFonts w:hint="eastAsia"/>
                <w:color w:val="auto"/>
                <w:highlight w:val="none"/>
              </w:rPr>
              <w:t>B要求提供，</w:t>
            </w:r>
          </w:p>
          <w:p>
            <w:pPr>
              <w:pStyle w:val="33"/>
              <w:spacing w:line="312" w:lineRule="auto"/>
              <w:rPr>
                <w:color w:val="auto"/>
                <w:highlight w:val="none"/>
              </w:rPr>
            </w:pPr>
            <w:r>
              <w:rPr>
                <w:rFonts w:hint="eastAsia"/>
                <w:color w:val="auto"/>
                <w:highlight w:val="none"/>
              </w:rPr>
              <w:t>（1）样品：    ；</w:t>
            </w:r>
          </w:p>
          <w:p>
            <w:pPr>
              <w:pStyle w:val="33"/>
              <w:spacing w:line="312" w:lineRule="auto"/>
              <w:rPr>
                <w:color w:val="auto"/>
                <w:highlight w:val="none"/>
              </w:rPr>
            </w:pPr>
            <w:r>
              <w:rPr>
                <w:rFonts w:hint="eastAsia"/>
                <w:color w:val="auto"/>
                <w:highlight w:val="none"/>
              </w:rPr>
              <w:t>（2）样品制作的标准和要求：    ；</w:t>
            </w:r>
          </w:p>
          <w:p>
            <w:pPr>
              <w:pStyle w:val="33"/>
              <w:spacing w:line="312" w:lineRule="auto"/>
              <w:rPr>
                <w:color w:val="auto"/>
                <w:highlight w:val="none"/>
              </w:rPr>
            </w:pPr>
            <w:r>
              <w:rPr>
                <w:rFonts w:hint="eastAsia"/>
                <w:color w:val="auto"/>
                <w:highlight w:val="none"/>
              </w:rPr>
              <w:t>（3）样品的评审方法以及评审标准：详见评标办法；</w:t>
            </w:r>
          </w:p>
          <w:p>
            <w:pPr>
              <w:pStyle w:val="33"/>
              <w:spacing w:line="312" w:lineRule="auto"/>
              <w:rPr>
                <w:color w:val="auto"/>
                <w:highlight w:val="none"/>
              </w:rPr>
            </w:pPr>
            <w:r>
              <w:rPr>
                <w:rFonts w:hint="eastAsia"/>
                <w:color w:val="auto"/>
                <w:highlight w:val="none"/>
              </w:rPr>
              <w:t>（4）是否需要随样品提交检测报告：</w:t>
            </w:r>
            <w:sdt>
              <w:sdtPr>
                <w:rPr>
                  <w:rFonts w:hint="eastAsia"/>
                  <w:color w:val="auto"/>
                  <w:highlight w:val="none"/>
                </w:rPr>
                <w:id w:val="130342145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否；</w:t>
            </w:r>
            <w:sdt>
              <w:sdtPr>
                <w:rPr>
                  <w:rFonts w:hint="eastAsia"/>
                  <w:color w:val="auto"/>
                  <w:highlight w:val="none"/>
                </w:rPr>
                <w:id w:val="162172843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是，检测机构的要求：    ；检测内容：    。</w:t>
            </w:r>
          </w:p>
          <w:p>
            <w:pPr>
              <w:pStyle w:val="33"/>
              <w:spacing w:line="312" w:lineRule="auto"/>
              <w:rPr>
                <w:color w:val="auto"/>
                <w:highlight w:val="none"/>
              </w:rPr>
            </w:pPr>
            <w:r>
              <w:rPr>
                <w:rFonts w:hint="eastAsia"/>
                <w:color w:val="auto"/>
                <w:highlight w:val="none"/>
              </w:rPr>
              <w:t>（5）提供样品的时间：    ；地点：    ；联系人：   ，联系电话：    。请投标人在上述时间内提供样品并按规定位置安装完毕。超过截止时间的，采购人或采购代理机构将不予接收，并将清场并封闭样品现场。</w:t>
            </w:r>
          </w:p>
          <w:p>
            <w:pPr>
              <w:pStyle w:val="33"/>
              <w:spacing w:line="312" w:lineRule="auto"/>
              <w:rPr>
                <w:color w:val="auto"/>
                <w:highlight w:val="none"/>
              </w:rPr>
            </w:pPr>
            <w:r>
              <w:rPr>
                <w:rFonts w:hint="eastAsia"/>
                <w:color w:val="auto"/>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33"/>
              <w:spacing w:line="312" w:lineRule="auto"/>
              <w:rPr>
                <w:color w:val="auto"/>
                <w:highlight w:val="none"/>
              </w:rPr>
            </w:pPr>
            <w:r>
              <w:rPr>
                <w:rFonts w:hint="eastAsia"/>
                <w:color w:val="auto"/>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20</w:t>
            </w:r>
          </w:p>
        </w:tc>
        <w:tc>
          <w:tcPr>
            <w:tcW w:w="1617" w:type="dxa"/>
            <w:tcBorders>
              <w:tl2br w:val="nil"/>
              <w:tr2bl w:val="nil"/>
            </w:tcBorders>
            <w:vAlign w:val="center"/>
          </w:tcPr>
          <w:p>
            <w:pPr>
              <w:pStyle w:val="33"/>
              <w:spacing w:line="312" w:lineRule="auto"/>
              <w:jc w:val="center"/>
              <w:rPr>
                <w:b/>
                <w:bCs w:val="0"/>
                <w:color w:val="auto"/>
                <w:highlight w:val="none"/>
              </w:rPr>
            </w:pPr>
            <w:r>
              <w:rPr>
                <w:rFonts w:hint="eastAsia"/>
                <w:b/>
                <w:bCs w:val="0"/>
                <w:color w:val="auto"/>
                <w:highlight w:val="none"/>
              </w:rPr>
              <w:t>演示</w:t>
            </w:r>
          </w:p>
        </w:tc>
        <w:tc>
          <w:tcPr>
            <w:tcW w:w="6383" w:type="dxa"/>
            <w:tcBorders>
              <w:tl2br w:val="nil"/>
              <w:tr2bl w:val="nil"/>
            </w:tcBorders>
            <w:vAlign w:val="center"/>
          </w:tcPr>
          <w:p>
            <w:pPr>
              <w:pStyle w:val="33"/>
              <w:spacing w:line="312" w:lineRule="auto"/>
              <w:rPr>
                <w:color w:val="auto"/>
                <w:highlight w:val="none"/>
              </w:rPr>
            </w:pPr>
            <w:sdt>
              <w:sdtPr>
                <w:rPr>
                  <w:rFonts w:hint="eastAsia"/>
                  <w:color w:val="auto"/>
                  <w:highlight w:val="none"/>
                </w:rPr>
                <w:id w:val="-1859348549"/>
                <w14:checkbox>
                  <w14:checked w14:val="1"/>
                  <w14:checkedState w14:val="00FE" w14:font="Wingdings"/>
                  <w14:uncheckedState w14:val="2610" w14:font="MS Gothic"/>
                </w14:checkbox>
              </w:sdtPr>
              <w:sdtEndPr>
                <w:rPr>
                  <w:rFonts w:hint="eastAsia"/>
                  <w:color w:val="auto"/>
                  <w:highlight w:val="none"/>
                </w:rPr>
              </w:sdtEndPr>
              <w:sdtContent>
                <w:r>
                  <w:rPr>
                    <w:rFonts w:ascii="Wingdings" w:hAnsi="Wingdings"/>
                    <w:color w:val="auto"/>
                    <w:highlight w:val="none"/>
                  </w:rPr>
                  <w:t></w:t>
                </w:r>
              </w:sdtContent>
            </w:sdt>
            <w:r>
              <w:rPr>
                <w:rFonts w:hint="eastAsia"/>
                <w:color w:val="auto"/>
                <w:highlight w:val="none"/>
              </w:rPr>
              <w:t>A不组织。</w:t>
            </w:r>
          </w:p>
          <w:p>
            <w:pPr>
              <w:pStyle w:val="33"/>
              <w:spacing w:line="312" w:lineRule="auto"/>
              <w:rPr>
                <w:color w:val="auto"/>
                <w:highlight w:val="none"/>
              </w:rPr>
            </w:pPr>
            <w:sdt>
              <w:sdtPr>
                <w:rPr>
                  <w:rFonts w:hint="eastAsia"/>
                  <w:color w:val="auto"/>
                  <w:highlight w:val="none"/>
                </w:rPr>
                <w:id w:val="1174071719"/>
                <w14:checkbox>
                  <w14:checked w14:val="0"/>
                  <w14:checkedState w14:val="00FE" w14:font="Wingdings"/>
                  <w14:uncheckedState w14:val="2610" w14:font="MS Gothic"/>
                </w14:checkbox>
              </w:sdtPr>
              <w:sdtEndPr>
                <w:rPr>
                  <w:rFonts w:hint="eastAsia"/>
                  <w:color w:val="auto"/>
                  <w:highlight w:val="none"/>
                </w:rPr>
              </w:sdtEndPr>
              <w:sdtContent>
                <w:r>
                  <w:rPr>
                    <w:rFonts w:hint="eastAsia" w:ascii="MS Gothic" w:hAnsi="MS Gothic"/>
                    <w:color w:val="auto"/>
                    <w:highlight w:val="none"/>
                  </w:rPr>
                  <w:t>☐</w:t>
                </w:r>
              </w:sdtContent>
            </w:sdt>
            <w:r>
              <w:rPr>
                <w:rFonts w:hint="eastAsia"/>
                <w:color w:val="auto"/>
                <w:highlight w:val="none"/>
              </w:rPr>
              <w:t>B组织。</w:t>
            </w:r>
          </w:p>
          <w:p>
            <w:pPr>
              <w:pStyle w:val="33"/>
              <w:spacing w:line="312" w:lineRule="auto"/>
              <w:rPr>
                <w:color w:val="auto"/>
                <w:highlight w:val="none"/>
              </w:rPr>
            </w:pPr>
            <w:r>
              <w:rPr>
                <w:rFonts w:hint="eastAsia"/>
                <w:color w:val="auto"/>
                <w:highlight w:val="none"/>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pPr>
              <w:pStyle w:val="33"/>
              <w:spacing w:line="312" w:lineRule="auto"/>
              <w:rPr>
                <w:color w:val="auto"/>
                <w:highlight w:val="none"/>
              </w:rPr>
            </w:pPr>
            <w:r>
              <w:rPr>
                <w:rFonts w:hint="eastAsia"/>
                <w:color w:val="auto"/>
                <w:highlight w:val="none"/>
              </w:rPr>
              <w:t>（2）方案讲解演示可选择以下其中一种方式：</w:t>
            </w:r>
          </w:p>
          <w:p>
            <w:pPr>
              <w:pStyle w:val="33"/>
              <w:spacing w:line="312" w:lineRule="auto"/>
              <w:rPr>
                <w:color w:val="auto"/>
                <w:highlight w:val="none"/>
              </w:rPr>
            </w:pPr>
            <w:r>
              <w:rPr>
                <w:rFonts w:hint="eastAsia"/>
                <w:color w:val="auto"/>
                <w:highlight w:val="none"/>
              </w:rPr>
              <w:t>方式一：政采云平台在线讲解演示。政采云平台在线讲解需投标人根据政采云平台操作要求做好准备工作，提前完善软硬件配置环境。</w:t>
            </w:r>
          </w:p>
          <w:p>
            <w:pPr>
              <w:pStyle w:val="33"/>
              <w:spacing w:line="312" w:lineRule="auto"/>
              <w:rPr>
                <w:color w:val="auto"/>
                <w:highlight w:val="none"/>
              </w:rPr>
            </w:pPr>
            <w:r>
              <w:rPr>
                <w:rFonts w:hint="eastAsia"/>
                <w:color w:val="auto"/>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pPr>
              <w:pStyle w:val="33"/>
              <w:spacing w:line="312" w:lineRule="auto"/>
              <w:rPr>
                <w:color w:val="auto"/>
                <w:highlight w:val="none"/>
              </w:rPr>
            </w:pPr>
            <w:r>
              <w:rPr>
                <w:rFonts w:hint="eastAsia"/>
                <w:color w:val="auto"/>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21</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答疑与澄清</w:t>
            </w:r>
          </w:p>
        </w:tc>
        <w:tc>
          <w:tcPr>
            <w:tcW w:w="6383" w:type="dxa"/>
            <w:tcBorders>
              <w:tl2br w:val="nil"/>
              <w:tr2bl w:val="nil"/>
            </w:tcBorders>
            <w:vAlign w:val="center"/>
          </w:tcPr>
          <w:p>
            <w:pPr>
              <w:pStyle w:val="33"/>
              <w:rPr>
                <w:color w:val="auto"/>
                <w:highlight w:val="none"/>
              </w:rPr>
            </w:pPr>
            <w:r>
              <w:rPr>
                <w:rFonts w:hint="eastAsia"/>
                <w:color w:val="auto"/>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第一部分采购公告“八、凡对本次采购提出询问、质疑、投诉，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22</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投标文件的上传和递交</w:t>
            </w:r>
          </w:p>
        </w:tc>
        <w:tc>
          <w:tcPr>
            <w:tcW w:w="6383" w:type="dxa"/>
            <w:tcBorders>
              <w:tl2br w:val="nil"/>
              <w:tr2bl w:val="nil"/>
            </w:tcBorders>
            <w:vAlign w:val="center"/>
          </w:tcPr>
          <w:p>
            <w:pPr>
              <w:pStyle w:val="33"/>
              <w:rPr>
                <w:b/>
                <w:bCs w:val="0"/>
                <w:color w:val="auto"/>
                <w:highlight w:val="none"/>
              </w:rPr>
            </w:pPr>
            <w:r>
              <w:rPr>
                <w:rFonts w:hint="eastAsia"/>
                <w:b/>
                <w:bCs w:val="0"/>
                <w:color w:val="auto"/>
                <w:highlight w:val="none"/>
              </w:rPr>
              <w:t>本项目实行网上投标，投标人应准备以下投标文件：</w:t>
            </w:r>
          </w:p>
          <w:p>
            <w:pPr>
              <w:pStyle w:val="33"/>
              <w:rPr>
                <w:color w:val="auto"/>
                <w:highlight w:val="none"/>
              </w:rPr>
            </w:pPr>
            <w:r>
              <w:rPr>
                <w:rFonts w:hint="eastAsia"/>
                <w:color w:val="auto"/>
                <w:highlight w:val="none"/>
              </w:rPr>
              <w:t xml:space="preserve">电子投标文件包括“电子加密投标文件”和“备份投标文件”，在投标文件编制完成后同时生成。 </w:t>
            </w:r>
          </w:p>
          <w:p>
            <w:pPr>
              <w:pStyle w:val="33"/>
              <w:rPr>
                <w:b/>
                <w:bCs w:val="0"/>
                <w:color w:val="auto"/>
                <w:highlight w:val="none"/>
              </w:rPr>
            </w:pPr>
            <w:r>
              <w:rPr>
                <w:rFonts w:hint="eastAsia"/>
                <w:b/>
                <w:bCs w:val="0"/>
                <w:color w:val="auto"/>
                <w:highlight w:val="none"/>
              </w:rPr>
              <w:t>1.电子加密投标文件（后缀格式为.jmbs）：</w:t>
            </w:r>
          </w:p>
          <w:p>
            <w:pPr>
              <w:pStyle w:val="33"/>
              <w:rPr>
                <w:color w:val="auto"/>
                <w:highlight w:val="none"/>
              </w:rPr>
            </w:pPr>
            <w:r>
              <w:rPr>
                <w:rFonts w:hint="eastAsia"/>
                <w:color w:val="auto"/>
                <w:highlight w:val="none"/>
              </w:rPr>
              <w:t>投标文件制作完成并生成加密标书，在投标截止时间前，投标人需将加密的投标文件上传至政采云平台，在开标时间开始后30分钟内（以电子交易平台设定的时间为准），登录“政采云-项目采购-开标评标”功能进行解密投标文件（为防止解密失败，建议采用制作投标文件的电脑进行解密）。</w:t>
            </w:r>
          </w:p>
          <w:p>
            <w:pPr>
              <w:pStyle w:val="33"/>
              <w:rPr>
                <w:color w:val="auto"/>
                <w:highlight w:val="none"/>
              </w:rPr>
            </w:pPr>
            <w:r>
              <w:rPr>
                <w:rFonts w:hint="eastAsia"/>
                <w:color w:val="auto"/>
                <w:highlight w:val="none"/>
              </w:rPr>
              <w:t>①投标人在投标截止时间前未能成功上传或未按要求上传电子加密投标文件的，作投标无效处理。</w:t>
            </w:r>
          </w:p>
          <w:p>
            <w:pPr>
              <w:pStyle w:val="33"/>
              <w:rPr>
                <w:color w:val="auto"/>
                <w:highlight w:val="none"/>
              </w:rPr>
            </w:pPr>
            <w:r>
              <w:rPr>
                <w:rFonts w:hint="eastAsia"/>
                <w:color w:val="auto"/>
                <w:highlight w:val="none"/>
              </w:rPr>
              <w:t>②投标人成功上传电子加密投标文件后，可自行打印投标文件接收回执。</w:t>
            </w:r>
          </w:p>
          <w:p>
            <w:pPr>
              <w:pStyle w:val="33"/>
              <w:rPr>
                <w:b/>
                <w:bCs w:val="0"/>
                <w:color w:val="auto"/>
                <w:highlight w:val="none"/>
              </w:rPr>
            </w:pPr>
            <w:r>
              <w:rPr>
                <w:rFonts w:hint="eastAsia"/>
                <w:b/>
                <w:bCs w:val="0"/>
                <w:color w:val="auto"/>
                <w:highlight w:val="none"/>
              </w:rPr>
              <w:t>2.备份投标文件（后缀格式为.bfbs）：</w:t>
            </w:r>
          </w:p>
          <w:p>
            <w:pPr>
              <w:pStyle w:val="33"/>
              <w:rPr>
                <w:color w:val="auto"/>
                <w:highlight w:val="none"/>
              </w:rPr>
            </w:pPr>
            <w:r>
              <w:rPr>
                <w:rFonts w:hint="eastAsia"/>
                <w:color w:val="auto"/>
                <w:highlight w:val="none"/>
              </w:rPr>
              <w:t>投标人确保在</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2</w:t>
            </w:r>
            <w:r>
              <w:rPr>
                <w:rFonts w:hint="eastAsia"/>
                <w:color w:val="auto"/>
                <w:highlight w:val="yellow"/>
              </w:rPr>
              <w:t>日</w:t>
            </w:r>
            <w:r>
              <w:rPr>
                <w:rFonts w:hint="eastAsia"/>
                <w:color w:val="auto"/>
                <w:highlight w:val="yellow"/>
                <w:lang w:val="en-US" w:eastAsia="zh-CN"/>
              </w:rPr>
              <w:t>12</w:t>
            </w:r>
            <w:r>
              <w:rPr>
                <w:rFonts w:hint="eastAsia"/>
                <w:color w:val="auto"/>
                <w:highlight w:val="yellow"/>
              </w:rPr>
              <w:t>时</w:t>
            </w:r>
            <w:r>
              <w:rPr>
                <w:rFonts w:hint="eastAsia"/>
                <w:color w:val="auto"/>
                <w:highlight w:val="yellow"/>
                <w:lang w:val="en-US" w:eastAsia="zh-CN"/>
              </w:rPr>
              <w:t>00</w:t>
            </w:r>
            <w:r>
              <w:rPr>
                <w:rFonts w:hint="eastAsia"/>
                <w:color w:val="auto"/>
                <w:highlight w:val="yellow"/>
              </w:rPr>
              <w:t>分</w:t>
            </w:r>
            <w:r>
              <w:rPr>
                <w:rFonts w:hint="eastAsia"/>
                <w:color w:val="auto"/>
                <w:highlight w:val="none"/>
              </w:rPr>
              <w:t>前，将备份投标文件通过快递形式或现场送达形式送达采购代理机构处，以便标书解密异常时应急使用，</w:t>
            </w:r>
            <w:r>
              <w:rPr>
                <w:rFonts w:hint="eastAsia"/>
                <w:b/>
                <w:bCs w:val="0"/>
                <w:color w:val="auto"/>
                <w:highlight w:val="none"/>
              </w:rPr>
              <w:t>（邮寄/送达地址：</w:t>
            </w:r>
            <w:r>
              <w:rPr>
                <w:rFonts w:hint="eastAsia"/>
                <w:b/>
                <w:bCs w:val="0"/>
                <w:color w:val="auto"/>
                <w:highlight w:val="none"/>
                <w:lang w:eastAsia="zh-CN"/>
              </w:rPr>
              <w:t>浙江省金华市浦江县翠湖588号</w:t>
            </w:r>
            <w:r>
              <w:rPr>
                <w:rFonts w:hint="eastAsia"/>
                <w:b/>
                <w:bCs w:val="0"/>
                <w:color w:val="auto"/>
                <w:highlight w:val="none"/>
              </w:rPr>
              <w:t>，</w:t>
            </w:r>
            <w:r>
              <w:rPr>
                <w:rFonts w:hint="eastAsia"/>
                <w:b/>
                <w:bCs w:val="0"/>
                <w:color w:val="auto"/>
                <w:highlight w:val="none"/>
                <w:lang w:eastAsia="zh-CN"/>
              </w:rPr>
              <w:t>吴先生</w:t>
            </w:r>
            <w:r>
              <w:rPr>
                <w:rFonts w:hint="eastAsia"/>
                <w:b/>
                <w:bCs w:val="0"/>
                <w:color w:val="auto"/>
                <w:highlight w:val="none"/>
              </w:rPr>
              <w:t>收，联系方式：</w:t>
            </w:r>
            <w:r>
              <w:rPr>
                <w:rFonts w:hint="eastAsia"/>
                <w:b/>
                <w:bCs w:val="0"/>
                <w:color w:val="auto"/>
                <w:highlight w:val="none"/>
                <w:lang w:eastAsia="zh-CN"/>
              </w:rPr>
              <w:t>18258954800</w:t>
            </w:r>
            <w:r>
              <w:rPr>
                <w:rFonts w:hint="eastAsia"/>
                <w:b/>
                <w:bCs w:val="0"/>
                <w:color w:val="auto"/>
                <w:highlight w:val="none"/>
              </w:rPr>
              <w:t>，邮编：322200）</w:t>
            </w:r>
            <w:r>
              <w:rPr>
                <w:rFonts w:hint="eastAsia"/>
                <w:color w:val="auto"/>
                <w:highlight w:val="none"/>
              </w:rPr>
              <w:t>。各投标人邮寄时应充分考虑邮寄时间的长短、邮寄中可能发生的破损、遗失等风险，逾期送达、未按指定地点送达或未密封将予以拒收。</w:t>
            </w:r>
          </w:p>
          <w:p>
            <w:pPr>
              <w:pStyle w:val="33"/>
              <w:rPr>
                <w:color w:val="auto"/>
                <w:highlight w:val="none"/>
              </w:rPr>
            </w:pPr>
            <w:r>
              <w:rPr>
                <w:rFonts w:hint="eastAsia"/>
                <w:color w:val="auto"/>
                <w:highlight w:val="none"/>
              </w:rPr>
              <w:t>备份投标文件递交要求：投标人须将备份投标文件以U盘形式放在密封袋中，密封后并在密封袋上注明项目编号、投标项目名称、投标人名称、备份电子投标文件等，并注明“于</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1月3</w:t>
            </w:r>
            <w:r>
              <w:rPr>
                <w:rFonts w:hint="eastAsia"/>
                <w:color w:val="auto"/>
                <w:highlight w:val="yellow"/>
              </w:rPr>
              <w:t>日</w:t>
            </w:r>
            <w:r>
              <w:rPr>
                <w:rFonts w:hint="eastAsia"/>
                <w:color w:val="auto"/>
                <w:highlight w:val="yellow"/>
                <w:lang w:val="en-US" w:eastAsia="zh-CN"/>
              </w:rPr>
              <w:t>9</w:t>
            </w:r>
            <w:r>
              <w:rPr>
                <w:rFonts w:hint="eastAsia"/>
                <w:color w:val="auto"/>
                <w:highlight w:val="yellow"/>
              </w:rPr>
              <w:t>时</w:t>
            </w:r>
            <w:r>
              <w:rPr>
                <w:rFonts w:hint="eastAsia"/>
                <w:color w:val="auto"/>
                <w:highlight w:val="yellow"/>
                <w:lang w:val="en-US" w:eastAsia="zh-CN"/>
              </w:rPr>
              <w:t>30</w:t>
            </w:r>
            <w:r>
              <w:rPr>
                <w:rFonts w:hint="eastAsia"/>
                <w:color w:val="auto"/>
                <w:highlight w:val="yellow"/>
              </w:rPr>
              <w:t>分</w:t>
            </w:r>
            <w:r>
              <w:rPr>
                <w:rFonts w:hint="eastAsia"/>
                <w:color w:val="auto"/>
                <w:highlight w:val="none"/>
              </w:rPr>
              <w:t xml:space="preserve">前不准启封”的字样并加盖公章。 </w:t>
            </w:r>
          </w:p>
          <w:p>
            <w:pPr>
              <w:pStyle w:val="33"/>
              <w:rPr>
                <w:b/>
                <w:bCs w:val="0"/>
                <w:color w:val="auto"/>
                <w:highlight w:val="none"/>
              </w:rPr>
            </w:pPr>
            <w:r>
              <w:rPr>
                <w:rFonts w:hint="eastAsia"/>
                <w:b/>
                <w:bCs w:val="0"/>
                <w:color w:val="auto"/>
                <w:highlight w:val="none"/>
              </w:rPr>
              <w:t>3.电子加密投标文件的解密和异常情况处理：</w:t>
            </w:r>
          </w:p>
          <w:p>
            <w:pPr>
              <w:pStyle w:val="33"/>
              <w:rPr>
                <w:color w:val="auto"/>
                <w:highlight w:val="none"/>
              </w:rPr>
            </w:pPr>
            <w:r>
              <w:rPr>
                <w:rFonts w:hint="eastAsia"/>
                <w:color w:val="auto"/>
                <w:highlight w:val="none"/>
              </w:rPr>
              <w:t>①开标后，各投标人代表应当在限定时间内自行完成“电子加密投标文件”的在线解密。解密完成的时间根据投标人的网速、硬件环境、投标文件的大小而不同，开标后请投标人尽量提前启动解密，否则将可能未按时解密。</w:t>
            </w:r>
          </w:p>
          <w:p>
            <w:pPr>
              <w:pStyle w:val="33"/>
              <w:rPr>
                <w:color w:val="auto"/>
                <w:highlight w:val="none"/>
              </w:rPr>
            </w:pPr>
            <w:r>
              <w:rPr>
                <w:rFonts w:hint="eastAsia"/>
                <w:color w:val="auto"/>
                <w:highlight w:val="none"/>
              </w:rPr>
              <w:t>②投标文件的制作和解密应使用同一个CA，否则将可能解密失败。</w:t>
            </w:r>
          </w:p>
          <w:p>
            <w:pPr>
              <w:pStyle w:val="33"/>
              <w:rPr>
                <w:color w:val="auto"/>
                <w:highlight w:val="none"/>
              </w:rPr>
            </w:pPr>
            <w:r>
              <w:rPr>
                <w:rFonts w:hint="eastAsia"/>
                <w:color w:val="auto"/>
                <w:highlight w:val="none"/>
              </w:rPr>
              <w:t>③通过“政府采购云平台”成功上传递交的“电子加密投标文件” 无法按时解密的，投标人如按规定递交了“备份投标文件”的，以“备份投标文件”为依据（由采购组织机构按“政府采购云平台”操作规范将“备份投标文件”上传至“政府采购云平台”， 上传成功后，“电子加密投标文件”自动失效），否则视为投标文件撤回。</w:t>
            </w:r>
          </w:p>
          <w:p>
            <w:pPr>
              <w:pStyle w:val="33"/>
              <w:rPr>
                <w:color w:val="auto"/>
                <w:highlight w:val="none"/>
              </w:rPr>
            </w:pPr>
            <w:r>
              <w:rPr>
                <w:rFonts w:hint="eastAsia"/>
                <w:color w:val="auto"/>
                <w:highlight w:val="none"/>
              </w:rPr>
              <w:t>④投标截止时间前，投标人仅递交了“备份投标文件”而未将“电子加密投标文件”成功上传至“政府采购云平台”的，投标无效。</w:t>
            </w:r>
          </w:p>
          <w:p>
            <w:pPr>
              <w:pStyle w:val="33"/>
              <w:rPr>
                <w:b/>
                <w:bCs w:val="0"/>
                <w:color w:val="auto"/>
                <w:highlight w:val="none"/>
              </w:rPr>
            </w:pPr>
            <w:r>
              <w:rPr>
                <w:rFonts w:hint="eastAsia"/>
                <w:b/>
                <w:bCs w:val="0"/>
                <w:color w:val="auto"/>
                <w:highlight w:val="none"/>
              </w:rPr>
              <w:t>注：</w:t>
            </w:r>
          </w:p>
          <w:p>
            <w:pPr>
              <w:pStyle w:val="33"/>
              <w:rPr>
                <w:b/>
                <w:bCs w:val="0"/>
                <w:color w:val="auto"/>
                <w:highlight w:val="none"/>
              </w:rPr>
            </w:pPr>
            <w:r>
              <w:rPr>
                <w:rFonts w:hint="eastAsia"/>
                <w:b/>
                <w:bCs w:val="0"/>
                <w:color w:val="auto"/>
                <w:highlight w:val="none"/>
              </w:rPr>
              <w:t>1.逾期送达的“备份投标文件”将不予接收。</w:t>
            </w:r>
          </w:p>
          <w:p>
            <w:pPr>
              <w:pStyle w:val="33"/>
              <w:rPr>
                <w:b/>
                <w:bCs w:val="0"/>
                <w:color w:val="auto"/>
                <w:highlight w:val="none"/>
              </w:rPr>
            </w:pPr>
            <w:r>
              <w:rPr>
                <w:rFonts w:hint="eastAsia"/>
                <w:b/>
                <w:bCs w:val="0"/>
                <w:color w:val="auto"/>
                <w:highlight w:val="none"/>
              </w:rPr>
              <w:t>2.未密封的备份投标文件有被误投或提前拆封等风险，因未按规定密封或标记所造成的一切后果由投标人承担。</w:t>
            </w:r>
          </w:p>
          <w:p>
            <w:pPr>
              <w:pStyle w:val="33"/>
              <w:rPr>
                <w:color w:val="auto"/>
                <w:highlight w:val="none"/>
              </w:rPr>
            </w:pPr>
            <w:r>
              <w:rPr>
                <w:rFonts w:hint="eastAsia"/>
                <w:b/>
                <w:bCs w:val="0"/>
                <w:color w:val="auto"/>
                <w:highlight w:val="none"/>
              </w:rPr>
              <w:t>3.电子备份投标文件的提交不作强制要求。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23</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投标截止时间和投标地址</w:t>
            </w:r>
          </w:p>
        </w:tc>
        <w:tc>
          <w:tcPr>
            <w:tcW w:w="6383" w:type="dxa"/>
            <w:tcBorders>
              <w:tl2br w:val="nil"/>
              <w:tr2bl w:val="nil"/>
            </w:tcBorders>
            <w:vAlign w:val="center"/>
          </w:tcPr>
          <w:p>
            <w:pPr>
              <w:pStyle w:val="33"/>
              <w:spacing w:before="120"/>
              <w:rPr>
                <w:color w:val="auto"/>
                <w:highlight w:val="none"/>
              </w:rPr>
            </w:pPr>
            <w:r>
              <w:rPr>
                <w:rFonts w:hint="eastAsia"/>
                <w:color w:val="auto"/>
                <w:highlight w:val="none"/>
              </w:rPr>
              <w:t>投标人应于</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3</w:t>
            </w:r>
            <w:r>
              <w:rPr>
                <w:rFonts w:hint="eastAsia"/>
                <w:color w:val="auto"/>
                <w:highlight w:val="yellow"/>
              </w:rPr>
              <w:t>日</w:t>
            </w:r>
            <w:r>
              <w:rPr>
                <w:rFonts w:hint="eastAsia"/>
                <w:color w:val="auto"/>
                <w:highlight w:val="yellow"/>
                <w:lang w:val="en-US" w:eastAsia="zh-CN"/>
              </w:rPr>
              <w:t>9</w:t>
            </w:r>
            <w:r>
              <w:rPr>
                <w:rFonts w:hint="eastAsia"/>
                <w:color w:val="auto"/>
                <w:highlight w:val="yellow"/>
              </w:rPr>
              <w:t>时</w:t>
            </w:r>
            <w:r>
              <w:rPr>
                <w:rFonts w:hint="eastAsia"/>
                <w:color w:val="auto"/>
                <w:highlight w:val="yellow"/>
                <w:lang w:val="en-US" w:eastAsia="zh-CN"/>
              </w:rPr>
              <w:t>30</w:t>
            </w:r>
            <w:r>
              <w:rPr>
                <w:rFonts w:hint="eastAsia"/>
                <w:color w:val="auto"/>
                <w:highlight w:val="yellow"/>
              </w:rPr>
              <w:t>分</w:t>
            </w:r>
            <w:r>
              <w:rPr>
                <w:rFonts w:hint="eastAsia"/>
                <w:color w:val="auto"/>
                <w:highlight w:val="none"/>
              </w:rPr>
              <w:t>前在“政采云”上自行加密上传电子投标文件，逾期上传或未按要求上传的投标文件将予以拒收。</w:t>
            </w:r>
          </w:p>
          <w:p>
            <w:pPr>
              <w:pStyle w:val="33"/>
              <w:rPr>
                <w:color w:val="auto"/>
                <w:highlight w:val="none"/>
              </w:rPr>
            </w:pPr>
            <w:r>
              <w:rPr>
                <w:rFonts w:hint="eastAsia"/>
                <w:color w:val="auto"/>
                <w:highlight w:val="none"/>
              </w:rPr>
              <w:t>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24</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开标时间和地址</w:t>
            </w:r>
          </w:p>
        </w:tc>
        <w:tc>
          <w:tcPr>
            <w:tcW w:w="6383" w:type="dxa"/>
            <w:tcBorders>
              <w:tl2br w:val="nil"/>
              <w:tr2bl w:val="nil"/>
            </w:tcBorders>
            <w:vAlign w:val="center"/>
          </w:tcPr>
          <w:p>
            <w:pPr>
              <w:pStyle w:val="33"/>
              <w:rPr>
                <w:color w:val="auto"/>
                <w:highlight w:val="none"/>
              </w:rPr>
            </w:pPr>
            <w:r>
              <w:rPr>
                <w:rFonts w:hint="eastAsia"/>
                <w:color w:val="auto"/>
                <w:highlight w:val="yellow"/>
              </w:rPr>
              <w:t>开标时间：202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3</w:t>
            </w:r>
            <w:r>
              <w:rPr>
                <w:rFonts w:hint="eastAsia"/>
                <w:color w:val="auto"/>
                <w:highlight w:val="yellow"/>
              </w:rPr>
              <w:t>日</w:t>
            </w:r>
            <w:r>
              <w:rPr>
                <w:rFonts w:hint="eastAsia"/>
                <w:color w:val="auto"/>
                <w:highlight w:val="yellow"/>
                <w:lang w:val="en-US" w:eastAsia="zh-CN"/>
              </w:rPr>
              <w:t>9</w:t>
            </w:r>
            <w:r>
              <w:rPr>
                <w:rFonts w:hint="eastAsia"/>
                <w:color w:val="auto"/>
                <w:highlight w:val="yellow"/>
              </w:rPr>
              <w:t>时</w:t>
            </w:r>
            <w:r>
              <w:rPr>
                <w:rFonts w:hint="eastAsia"/>
                <w:color w:val="auto"/>
                <w:highlight w:val="yellow"/>
                <w:lang w:val="en-US" w:eastAsia="zh-CN"/>
              </w:rPr>
              <w:t>30</w:t>
            </w:r>
            <w:r>
              <w:rPr>
                <w:rFonts w:hint="eastAsia"/>
                <w:color w:val="auto"/>
                <w:highlight w:val="yellow"/>
              </w:rPr>
              <w:t>分</w:t>
            </w:r>
            <w:r>
              <w:rPr>
                <w:rFonts w:hint="eastAsia"/>
                <w:color w:val="auto"/>
                <w:highlight w:val="none"/>
              </w:rPr>
              <w:t>。</w:t>
            </w:r>
          </w:p>
          <w:p>
            <w:pPr>
              <w:pStyle w:val="33"/>
              <w:rPr>
                <w:color w:val="auto"/>
                <w:highlight w:val="none"/>
              </w:rPr>
            </w:pPr>
            <w:r>
              <w:rPr>
                <w:rFonts w:hint="eastAsia"/>
                <w:color w:val="auto"/>
                <w:highlight w:val="none"/>
              </w:rPr>
              <w:t>开标地点：浦江县人民东路83号开标室</w:t>
            </w:r>
            <w:r>
              <w:rPr>
                <w:rFonts w:hint="eastAsia"/>
                <w:color w:val="auto"/>
                <w:highlight w:val="none"/>
                <w:lang w:val="en-US" w:eastAsia="zh-CN"/>
              </w:rPr>
              <w:t>二</w:t>
            </w:r>
            <w:r>
              <w:rPr>
                <w:rFonts w:hint="eastAsia"/>
                <w:color w:val="auto"/>
                <w:highlight w:val="none"/>
              </w:rPr>
              <w:t>。</w:t>
            </w:r>
          </w:p>
          <w:p>
            <w:pPr>
              <w:pStyle w:val="33"/>
              <w:rPr>
                <w:color w:val="auto"/>
                <w:highlight w:val="none"/>
              </w:rPr>
            </w:pPr>
            <w:r>
              <w:rPr>
                <w:rFonts w:hint="eastAsia"/>
                <w:color w:val="auto"/>
                <w:highlight w:val="none"/>
              </w:rPr>
              <w:t>特别提示：</w:t>
            </w:r>
          </w:p>
          <w:p>
            <w:pPr>
              <w:pStyle w:val="33"/>
              <w:rPr>
                <w:color w:val="auto"/>
                <w:highlight w:val="none"/>
              </w:rPr>
            </w:pPr>
            <w:r>
              <w:rPr>
                <w:rFonts w:hint="eastAsia"/>
                <w:color w:val="auto"/>
                <w:highlight w:val="none"/>
              </w:rPr>
              <w:t>①开标时间后30分钟内</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3</w:t>
            </w:r>
            <w:r>
              <w:rPr>
                <w:rFonts w:hint="eastAsia"/>
                <w:color w:val="auto"/>
                <w:highlight w:val="yellow"/>
              </w:rPr>
              <w:t>日</w:t>
            </w:r>
            <w:r>
              <w:rPr>
                <w:rFonts w:hint="eastAsia"/>
                <w:color w:val="auto"/>
                <w:highlight w:val="yellow"/>
                <w:lang w:val="en-US" w:eastAsia="zh-CN"/>
              </w:rPr>
              <w:t>10</w:t>
            </w:r>
            <w:r>
              <w:rPr>
                <w:rFonts w:hint="eastAsia"/>
                <w:color w:val="auto"/>
                <w:highlight w:val="yellow"/>
              </w:rPr>
              <w:t>时</w:t>
            </w:r>
            <w:r>
              <w:rPr>
                <w:rFonts w:hint="eastAsia"/>
                <w:color w:val="auto"/>
                <w:highlight w:val="yellow"/>
                <w:lang w:val="en-US" w:eastAsia="zh-CN"/>
              </w:rPr>
              <w:t>00</w:t>
            </w:r>
            <w:r>
              <w:rPr>
                <w:rFonts w:hint="eastAsia"/>
                <w:color w:val="auto"/>
                <w:highlight w:val="yellow"/>
              </w:rPr>
              <w:t>分前）</w:t>
            </w:r>
            <w:r>
              <w:rPr>
                <w:rFonts w:hint="eastAsia"/>
                <w:color w:val="auto"/>
                <w:highlight w:val="none"/>
              </w:rPr>
              <w:t>投标人可以登录“政采云”平台，用“项目采购-开标评标”功能进行解密投标文件。若投标人在规定时间内</w:t>
            </w:r>
            <w:r>
              <w:rPr>
                <w:rFonts w:hint="eastAsia"/>
                <w:color w:val="auto"/>
                <w:highlight w:val="yellow"/>
              </w:rPr>
              <w:t>（2</w:t>
            </w:r>
            <w:r>
              <w:rPr>
                <w:rFonts w:hint="eastAsia"/>
                <w:color w:val="auto"/>
                <w:highlight w:val="yellow"/>
                <w:lang w:val="en-US" w:eastAsia="zh-CN"/>
              </w:rPr>
              <w:t>0</w:t>
            </w:r>
            <w:r>
              <w:rPr>
                <w:rFonts w:hint="eastAsia"/>
                <w:color w:val="auto"/>
                <w:highlight w:val="yellow"/>
              </w:rPr>
              <w:t>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3</w:t>
            </w:r>
            <w:r>
              <w:rPr>
                <w:rFonts w:hint="eastAsia"/>
                <w:color w:val="auto"/>
                <w:highlight w:val="yellow"/>
              </w:rPr>
              <w:t>日</w:t>
            </w:r>
            <w:r>
              <w:rPr>
                <w:rFonts w:hint="eastAsia"/>
                <w:color w:val="auto"/>
                <w:highlight w:val="yellow"/>
                <w:lang w:val="en-US" w:eastAsia="zh-CN"/>
              </w:rPr>
              <w:t>10</w:t>
            </w:r>
            <w:r>
              <w:rPr>
                <w:rFonts w:hint="eastAsia"/>
                <w:color w:val="auto"/>
                <w:highlight w:val="yellow"/>
              </w:rPr>
              <w:t>时</w:t>
            </w:r>
            <w:r>
              <w:rPr>
                <w:rFonts w:hint="eastAsia"/>
                <w:color w:val="auto"/>
                <w:highlight w:val="yellow"/>
                <w:lang w:val="en-US" w:eastAsia="zh-CN"/>
              </w:rPr>
              <w:t>00</w:t>
            </w:r>
            <w:r>
              <w:rPr>
                <w:rFonts w:hint="eastAsia"/>
                <w:color w:val="auto"/>
                <w:highlight w:val="yellow"/>
              </w:rPr>
              <w:t>分前）</w:t>
            </w:r>
            <w:r>
              <w:rPr>
                <w:rFonts w:hint="eastAsia"/>
                <w:color w:val="auto"/>
                <w:highlight w:val="none"/>
              </w:rPr>
              <w:t>无法解密或解密失败的，投标人提供了备份投标文件的，以备份投标文件作为依据，否则视为投标文件撤回。投标文件已按时解密的，备份投标文件自动失效。</w:t>
            </w:r>
          </w:p>
          <w:p>
            <w:pPr>
              <w:pStyle w:val="33"/>
              <w:rPr>
                <w:color w:val="auto"/>
                <w:highlight w:val="none"/>
              </w:rPr>
            </w:pPr>
            <w:r>
              <w:rPr>
                <w:rFonts w:hint="eastAsia"/>
                <w:color w:val="auto"/>
                <w:highlight w:val="none"/>
              </w:rPr>
              <w:t>②因备份投标文件无法正常打开或正常显示等所引起的一切后果，由投标人自行承担。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25</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投标文件、流程文件签章</w:t>
            </w:r>
          </w:p>
        </w:tc>
        <w:tc>
          <w:tcPr>
            <w:tcW w:w="6383" w:type="dxa"/>
            <w:tcBorders>
              <w:tl2br w:val="nil"/>
              <w:tr2bl w:val="nil"/>
            </w:tcBorders>
            <w:vAlign w:val="center"/>
          </w:tcPr>
          <w:p>
            <w:pPr>
              <w:pStyle w:val="33"/>
              <w:rPr>
                <w:color w:val="auto"/>
                <w:highlight w:val="none"/>
              </w:rPr>
            </w:pPr>
            <w:r>
              <w:rPr>
                <w:rFonts w:hint="eastAsia"/>
                <w:color w:val="auto"/>
                <w:highlight w:val="none"/>
              </w:rPr>
              <w:t xml:space="preserve">1.电子加密投标文件必须有电子签章； </w:t>
            </w:r>
          </w:p>
          <w:p>
            <w:pPr>
              <w:pStyle w:val="33"/>
              <w:rPr>
                <w:rFonts w:hint="eastAsia" w:eastAsia="宋体"/>
                <w:color w:val="auto"/>
                <w:highlight w:val="none"/>
                <w:lang w:eastAsia="zh-CN"/>
              </w:rPr>
            </w:pPr>
            <w:r>
              <w:rPr>
                <w:rFonts w:hint="eastAsia"/>
                <w:color w:val="auto"/>
                <w:highlight w:val="none"/>
              </w:rPr>
              <w:t>2.开标后，相关信息记录确认、澄清说明、回复等内容</w:t>
            </w:r>
            <w:r>
              <w:rPr>
                <w:rFonts w:hint="eastAsia"/>
                <w:color w:val="auto"/>
                <w:highlight w:val="none"/>
                <w:lang w:eastAsia="zh-CN"/>
              </w:rPr>
              <w:t>；</w:t>
            </w:r>
          </w:p>
          <w:p>
            <w:pPr>
              <w:pStyle w:val="33"/>
              <w:rPr>
                <w:color w:val="auto"/>
                <w:highlight w:val="none"/>
              </w:rPr>
            </w:pPr>
            <w:r>
              <w:rPr>
                <w:rFonts w:hint="eastAsia"/>
                <w:color w:val="auto"/>
                <w:highlight w:val="none"/>
              </w:rPr>
              <w:t>3.以电子签章、或者签章后上传相关文件，均认可；</w:t>
            </w:r>
          </w:p>
          <w:p>
            <w:pPr>
              <w:pStyle w:val="33"/>
              <w:rPr>
                <w:color w:val="auto"/>
                <w:highlight w:val="none"/>
              </w:rPr>
            </w:pPr>
            <w:r>
              <w:rPr>
                <w:rFonts w:hint="eastAsia"/>
                <w:color w:val="auto"/>
                <w:highlight w:val="none"/>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26</w:t>
            </w:r>
          </w:p>
        </w:tc>
        <w:tc>
          <w:tcPr>
            <w:tcW w:w="1617" w:type="dxa"/>
            <w:tcBorders>
              <w:tl2br w:val="nil"/>
              <w:tr2bl w:val="nil"/>
            </w:tcBorders>
            <w:vAlign w:val="center"/>
          </w:tcPr>
          <w:p>
            <w:pPr>
              <w:spacing w:line="460" w:lineRule="exact"/>
              <w:ind w:firstLine="0" w:firstLineChars="0"/>
              <w:jc w:val="center"/>
              <w:rPr>
                <w:b/>
                <w:color w:val="auto"/>
                <w:highlight w:val="none"/>
              </w:rPr>
            </w:pPr>
            <w:r>
              <w:rPr>
                <w:rFonts w:hint="eastAsia" w:ascii="宋体" w:hAnsi="宋体" w:cs="宋体"/>
                <w:b/>
                <w:bCs/>
                <w:color w:val="auto"/>
                <w:sz w:val="21"/>
                <w:szCs w:val="21"/>
                <w:highlight w:val="none"/>
              </w:rPr>
              <w:t>活动现场确认声明</w:t>
            </w:r>
          </w:p>
        </w:tc>
        <w:tc>
          <w:tcPr>
            <w:tcW w:w="6383" w:type="dxa"/>
            <w:tcBorders>
              <w:tl2br w:val="nil"/>
              <w:tr2bl w:val="nil"/>
            </w:tcBorders>
            <w:vAlign w:val="center"/>
          </w:tcPr>
          <w:p>
            <w:pPr>
              <w:spacing w:line="460" w:lineRule="exact"/>
              <w:ind w:firstLine="0" w:firstLineChars="0"/>
              <w:rPr>
                <w:color w:val="auto"/>
                <w:highlight w:val="none"/>
              </w:rPr>
            </w:pPr>
            <w:r>
              <w:rPr>
                <w:rFonts w:hint="eastAsia" w:ascii="宋体" w:hAnsi="宋体" w:cs="宋体"/>
                <w:color w:val="auto"/>
                <w:sz w:val="21"/>
                <w:szCs w:val="21"/>
                <w:highlight w:val="none"/>
              </w:rPr>
              <w:t>投标人</w:t>
            </w:r>
            <w:r>
              <w:rPr>
                <w:rFonts w:ascii="宋体" w:hAnsi="宋体" w:cs="宋体"/>
                <w:color w:val="auto"/>
                <w:sz w:val="21"/>
                <w:szCs w:val="21"/>
                <w:highlight w:val="none"/>
              </w:rPr>
              <w:t>名单公布</w:t>
            </w:r>
            <w:r>
              <w:rPr>
                <w:rFonts w:hint="eastAsia" w:ascii="宋体" w:hAnsi="宋体" w:cs="宋体"/>
                <w:color w:val="auto"/>
                <w:sz w:val="21"/>
                <w:szCs w:val="21"/>
                <w:highlight w:val="none"/>
              </w:rPr>
              <w:t>后</w:t>
            </w:r>
            <w:r>
              <w:rPr>
                <w:rFonts w:hint="eastAsia" w:ascii="宋体" w:hAnsi="宋体" w:cs="宋体"/>
                <w:b/>
                <w:bCs/>
                <w:color w:val="auto"/>
                <w:sz w:val="21"/>
                <w:szCs w:val="21"/>
                <w:highlight w:val="none"/>
              </w:rPr>
              <w:t>30分钟内</w:t>
            </w:r>
            <w:r>
              <w:rPr>
                <w:rFonts w:hint="eastAsia" w:ascii="宋体" w:hAnsi="宋体" w:cs="宋体"/>
                <w:color w:val="auto"/>
                <w:sz w:val="21"/>
                <w:szCs w:val="21"/>
                <w:highlight w:val="none"/>
              </w:rPr>
              <w:t>，投标人通过邮件形式发送经授权代表签署的《政府采购活动现场确认声明书》（格式见附件），扫描件发至代理机构经办人邮箱：</w:t>
            </w:r>
            <w:r>
              <w:rPr>
                <w:rFonts w:hint="eastAsia" w:ascii="宋体" w:hAnsi="宋体" w:cs="宋体"/>
                <w:color w:val="auto"/>
                <w:sz w:val="21"/>
                <w:szCs w:val="21"/>
                <w:highlight w:val="none"/>
                <w:lang w:eastAsia="zh-CN"/>
              </w:rPr>
              <w:t>774582605</w:t>
            </w:r>
            <w:r>
              <w:rPr>
                <w:rFonts w:hint="eastAsia" w:ascii="宋体" w:hAnsi="宋体" w:cs="宋体"/>
                <w:color w:val="auto"/>
                <w:sz w:val="21"/>
                <w:szCs w:val="21"/>
                <w:highlight w:val="none"/>
              </w:rPr>
              <w:t>@qq.com，联系人：</w:t>
            </w:r>
            <w:r>
              <w:rPr>
                <w:rFonts w:hint="eastAsia" w:ascii="宋体" w:hAnsi="宋体" w:cs="宋体"/>
                <w:color w:val="auto"/>
                <w:sz w:val="21"/>
                <w:szCs w:val="21"/>
                <w:highlight w:val="none"/>
                <w:lang w:eastAsia="zh-CN"/>
              </w:rPr>
              <w:t>吴先生</w:t>
            </w: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eastAsia="zh-CN"/>
              </w:rPr>
              <w:t>18258954800</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未按规定发送的，视为无异议，后果由投标人承担。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27</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评标办法及评分标准</w:t>
            </w:r>
          </w:p>
        </w:tc>
        <w:tc>
          <w:tcPr>
            <w:tcW w:w="6383" w:type="dxa"/>
            <w:tcBorders>
              <w:tl2br w:val="nil"/>
              <w:tr2bl w:val="nil"/>
            </w:tcBorders>
            <w:vAlign w:val="center"/>
          </w:tcPr>
          <w:p>
            <w:pPr>
              <w:pStyle w:val="33"/>
              <w:rPr>
                <w:color w:val="auto"/>
                <w:highlight w:val="none"/>
              </w:rPr>
            </w:pPr>
            <w:r>
              <w:rPr>
                <w:rFonts w:hint="eastAsia"/>
                <w:color w:val="auto"/>
                <w:highlight w:val="none"/>
              </w:rPr>
              <w:t>综合评分法，具体标准详见第四部分内容。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28</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中标结果</w:t>
            </w:r>
          </w:p>
          <w:p>
            <w:pPr>
              <w:pStyle w:val="33"/>
              <w:jc w:val="center"/>
              <w:rPr>
                <w:b/>
                <w:bCs w:val="0"/>
                <w:color w:val="auto"/>
                <w:highlight w:val="none"/>
              </w:rPr>
            </w:pPr>
            <w:r>
              <w:rPr>
                <w:rFonts w:hint="eastAsia"/>
                <w:b/>
                <w:bCs w:val="0"/>
                <w:color w:val="auto"/>
                <w:highlight w:val="none"/>
              </w:rPr>
              <w:t>公告公示</w:t>
            </w:r>
          </w:p>
        </w:tc>
        <w:tc>
          <w:tcPr>
            <w:tcW w:w="6383" w:type="dxa"/>
            <w:tcBorders>
              <w:tl2br w:val="nil"/>
              <w:tr2bl w:val="nil"/>
            </w:tcBorders>
            <w:vAlign w:val="center"/>
          </w:tcPr>
          <w:p>
            <w:pPr>
              <w:pStyle w:val="33"/>
              <w:rPr>
                <w:color w:val="auto"/>
                <w:highlight w:val="none"/>
              </w:rPr>
            </w:pPr>
            <w:r>
              <w:rPr>
                <w:rFonts w:hint="eastAsia"/>
                <w:color w:val="auto"/>
                <w:highlight w:val="none"/>
              </w:rPr>
              <w:t>评标结束后，采购结果经采购人确认后，中标结果公告公示于浙江政府采购网(</w:t>
            </w:r>
            <w:r>
              <w:rPr>
                <w:rFonts w:hint="eastAsia"/>
                <w:color w:val="auto"/>
                <w:spacing w:val="0"/>
                <w:highlight w:val="none"/>
              </w:rPr>
              <w:t>http://zfcg.czt.zj.gov.cn/</w:t>
            </w:r>
            <w:r>
              <w:rPr>
                <w:rFonts w:hint="eastAsia"/>
                <w:color w:val="auto"/>
                <w:highlight w:val="none"/>
              </w:rPr>
              <w:t>)等网站或媒体。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29</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签订合同</w:t>
            </w:r>
          </w:p>
        </w:tc>
        <w:tc>
          <w:tcPr>
            <w:tcW w:w="6383" w:type="dxa"/>
            <w:tcBorders>
              <w:tl2br w:val="nil"/>
              <w:tr2bl w:val="nil"/>
            </w:tcBorders>
            <w:vAlign w:val="center"/>
          </w:tcPr>
          <w:p>
            <w:pPr>
              <w:pStyle w:val="33"/>
              <w:rPr>
                <w:color w:val="auto"/>
                <w:highlight w:val="none"/>
              </w:rPr>
            </w:pPr>
            <w:r>
              <w:rPr>
                <w:rFonts w:hint="eastAsia"/>
                <w:color w:val="auto"/>
                <w:highlight w:val="none"/>
              </w:rPr>
              <w:t>中标通知书发出后20日内，按照招标文件确定的事项、采购内容变更的规定、中标投标人的投标响应、中标投标人的投标承诺、中标通知书确定的规格、数量和金额、工期等签订合同。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30</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投标有效期</w:t>
            </w:r>
          </w:p>
        </w:tc>
        <w:tc>
          <w:tcPr>
            <w:tcW w:w="6383" w:type="dxa"/>
            <w:tcBorders>
              <w:tl2br w:val="nil"/>
              <w:tr2bl w:val="nil"/>
            </w:tcBorders>
            <w:vAlign w:val="center"/>
          </w:tcPr>
          <w:p>
            <w:pPr>
              <w:pStyle w:val="33"/>
              <w:rPr>
                <w:color w:val="auto"/>
                <w:highlight w:val="none"/>
              </w:rPr>
            </w:pPr>
            <w:r>
              <w:rPr>
                <w:rFonts w:hint="eastAsia"/>
                <w:color w:val="auto"/>
                <w:highlight w:val="none"/>
              </w:rPr>
              <w:t>自投标截止日起120天内有效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31</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▲履约保证金</w:t>
            </w:r>
          </w:p>
        </w:tc>
        <w:tc>
          <w:tcPr>
            <w:tcW w:w="6383" w:type="dxa"/>
            <w:tcBorders>
              <w:tl2br w:val="nil"/>
              <w:tr2bl w:val="nil"/>
            </w:tcBorders>
            <w:vAlign w:val="center"/>
          </w:tcPr>
          <w:p>
            <w:pPr>
              <w:pStyle w:val="33"/>
              <w:spacing w:line="312" w:lineRule="auto"/>
              <w:rPr>
                <w:color w:val="auto"/>
                <w:highlight w:val="none"/>
              </w:rPr>
            </w:pPr>
            <w:r>
              <w:rPr>
                <w:rFonts w:hint="eastAsia"/>
                <w:color w:val="auto"/>
                <w:highlight w:val="none"/>
              </w:rPr>
              <w:t>履约保证金的金额：按合同总金额的1%计取。</w:t>
            </w:r>
          </w:p>
          <w:p>
            <w:pPr>
              <w:pStyle w:val="33"/>
              <w:spacing w:line="312" w:lineRule="auto"/>
              <w:rPr>
                <w:color w:val="auto"/>
                <w:highlight w:val="none"/>
              </w:rPr>
            </w:pPr>
            <w:r>
              <w:rPr>
                <w:rFonts w:hint="eastAsia"/>
                <w:color w:val="auto"/>
                <w:highlight w:val="none"/>
              </w:rPr>
              <w:t>履约保证金退还时间：合同履行完毕，经验收合格后，并经招标人认可后30日内无息退还。</w:t>
            </w:r>
          </w:p>
          <w:p>
            <w:pPr>
              <w:pStyle w:val="33"/>
              <w:keepNext w:val="0"/>
              <w:keepLines w:val="0"/>
              <w:pageBreakBefore w:val="0"/>
              <w:widowControl w:val="0"/>
              <w:kinsoku/>
              <w:wordWrap/>
              <w:overflowPunct/>
              <w:topLinePunct w:val="0"/>
              <w:autoSpaceDE w:val="0"/>
              <w:autoSpaceDN w:val="0"/>
              <w:bidi w:val="0"/>
              <w:adjustRightInd/>
              <w:snapToGrid/>
              <w:spacing w:line="312" w:lineRule="auto"/>
              <w:textAlignment w:val="auto"/>
              <w:rPr>
                <w:color w:val="auto"/>
                <w:highlight w:val="none"/>
              </w:rPr>
            </w:pPr>
            <w:r>
              <w:rPr>
                <w:rFonts w:hint="eastAsia"/>
                <w:color w:val="auto"/>
                <w:highlight w:val="none"/>
              </w:rPr>
              <w:t>履约保证金的形式：投标人应当以支票或汇票或本票或者金融机构、担保机构出具的保函等非现金形式提交。</w:t>
            </w:r>
          </w:p>
          <w:p>
            <w:pPr>
              <w:pStyle w:val="33"/>
              <w:keepNext w:val="0"/>
              <w:keepLines w:val="0"/>
              <w:pageBreakBefore w:val="0"/>
              <w:widowControl w:val="0"/>
              <w:kinsoku/>
              <w:wordWrap/>
              <w:overflowPunct/>
              <w:topLinePunct w:val="0"/>
              <w:autoSpaceDE w:val="0"/>
              <w:autoSpaceDN w:val="0"/>
              <w:bidi w:val="0"/>
              <w:adjustRightInd/>
              <w:snapToGrid/>
              <w:spacing w:line="312" w:lineRule="auto"/>
              <w:textAlignment w:val="auto"/>
              <w:rPr>
                <w:color w:val="auto"/>
                <w:highlight w:val="none"/>
              </w:rPr>
            </w:pPr>
            <w:r>
              <w:rPr>
                <w:rFonts w:hint="eastAsia"/>
                <w:color w:val="auto"/>
                <w:highlight w:val="none"/>
              </w:rPr>
              <w:t>履约保证金形式为支票或汇票或本票（账户另行通知）的，履</w:t>
            </w:r>
          </w:p>
          <w:p>
            <w:pPr>
              <w:pStyle w:val="33"/>
              <w:keepNext w:val="0"/>
              <w:keepLines w:val="0"/>
              <w:pageBreakBefore w:val="0"/>
              <w:widowControl w:val="0"/>
              <w:kinsoku/>
              <w:wordWrap/>
              <w:overflowPunct/>
              <w:topLinePunct w:val="0"/>
              <w:autoSpaceDE w:val="0"/>
              <w:autoSpaceDN w:val="0"/>
              <w:bidi w:val="0"/>
              <w:adjustRightInd/>
              <w:snapToGrid/>
              <w:spacing w:line="312" w:lineRule="auto"/>
              <w:textAlignment w:val="auto"/>
              <w:rPr>
                <w:color w:val="auto"/>
                <w:highlight w:val="none"/>
              </w:rPr>
            </w:pPr>
            <w:r>
              <w:rPr>
                <w:rFonts w:hint="eastAsia"/>
                <w:color w:val="auto"/>
                <w:highlight w:val="none"/>
              </w:rPr>
              <w:t>约保证金待验收通过后视履约情况到采购人处办理履约保证</w:t>
            </w:r>
          </w:p>
          <w:p>
            <w:pPr>
              <w:pStyle w:val="33"/>
              <w:keepNext w:val="0"/>
              <w:keepLines w:val="0"/>
              <w:pageBreakBefore w:val="0"/>
              <w:widowControl w:val="0"/>
              <w:kinsoku/>
              <w:wordWrap/>
              <w:overflowPunct/>
              <w:topLinePunct w:val="0"/>
              <w:autoSpaceDE w:val="0"/>
              <w:autoSpaceDN w:val="0"/>
              <w:bidi w:val="0"/>
              <w:adjustRightInd/>
              <w:snapToGrid/>
              <w:spacing w:line="312" w:lineRule="auto"/>
              <w:textAlignment w:val="auto"/>
              <w:rPr>
                <w:color w:val="auto"/>
                <w:highlight w:val="none"/>
              </w:rPr>
            </w:pPr>
            <w:r>
              <w:rPr>
                <w:rFonts w:hint="eastAsia"/>
                <w:color w:val="auto"/>
                <w:highlight w:val="none"/>
              </w:rPr>
              <w:t>金的退还手续。</w:t>
            </w:r>
          </w:p>
          <w:p>
            <w:pPr>
              <w:pStyle w:val="33"/>
              <w:keepNext w:val="0"/>
              <w:keepLines w:val="0"/>
              <w:pageBreakBefore w:val="0"/>
              <w:widowControl w:val="0"/>
              <w:kinsoku/>
              <w:wordWrap/>
              <w:overflowPunct/>
              <w:topLinePunct w:val="0"/>
              <w:autoSpaceDE w:val="0"/>
              <w:autoSpaceDN w:val="0"/>
              <w:bidi w:val="0"/>
              <w:adjustRightInd/>
              <w:snapToGrid/>
              <w:spacing w:line="312" w:lineRule="auto"/>
              <w:textAlignment w:val="auto"/>
              <w:rPr>
                <w:color w:val="auto"/>
                <w:highlight w:val="none"/>
              </w:rPr>
            </w:pPr>
            <w:r>
              <w:rPr>
                <w:rFonts w:hint="eastAsia"/>
                <w:color w:val="auto"/>
                <w:highlight w:val="none"/>
              </w:rPr>
              <w:t>履约保证金形式为银行保函或者保险公司保证保险，履约保证金保函应在合同履约期限内有效，如出现工期延期等情况，及时办理续保手续，不得出现保函或保险时效失效的情况；如出现保函或保险时效失效的情况，则中标人需支付保函时效失效违约金，该违约金按500元/天计算。</w:t>
            </w:r>
          </w:p>
          <w:p>
            <w:pPr>
              <w:pStyle w:val="33"/>
              <w:spacing w:line="312" w:lineRule="auto"/>
              <w:rPr>
                <w:color w:val="auto"/>
                <w:highlight w:val="none"/>
              </w:rPr>
            </w:pPr>
            <w:r>
              <w:rPr>
                <w:rFonts w:hint="eastAsia"/>
                <w:color w:val="auto"/>
                <w:highlight w:val="none"/>
                <w:lang w:val="zh-CN"/>
              </w:rPr>
              <w:t>注：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400-903-9583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32</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是否允许采购进口产品</w:t>
            </w:r>
          </w:p>
        </w:tc>
        <w:tc>
          <w:tcPr>
            <w:tcW w:w="6383" w:type="dxa"/>
            <w:tcBorders>
              <w:tl2br w:val="nil"/>
              <w:tr2bl w:val="nil"/>
            </w:tcBorders>
            <w:vAlign w:val="center"/>
          </w:tcPr>
          <w:p>
            <w:pPr>
              <w:pStyle w:val="33"/>
              <w:rPr>
                <w:color w:val="auto"/>
                <w:highlight w:val="none"/>
              </w:rPr>
            </w:pPr>
            <w:r>
              <w:rPr>
                <w:rFonts w:hint="eastAsia"/>
                <w:color w:val="auto"/>
                <w:highlight w:val="none"/>
              </w:rPr>
              <w:t>☑ 本项目不允许采购进口产品。</w:t>
            </w:r>
          </w:p>
          <w:p>
            <w:pPr>
              <w:pStyle w:val="33"/>
              <w:rPr>
                <w:color w:val="auto"/>
                <w:highlight w:val="none"/>
              </w:rPr>
            </w:pPr>
            <w:r>
              <w:rPr>
                <w:rFonts w:hint="eastAsia"/>
                <w:color w:val="auto"/>
                <w:highlight w:val="none"/>
              </w:rPr>
              <w:t>□可以采购进口产品，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33</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中标文件</w:t>
            </w:r>
          </w:p>
        </w:tc>
        <w:tc>
          <w:tcPr>
            <w:tcW w:w="6383" w:type="dxa"/>
            <w:tcBorders>
              <w:tl2br w:val="nil"/>
              <w:tr2bl w:val="nil"/>
            </w:tcBorders>
            <w:vAlign w:val="center"/>
          </w:tcPr>
          <w:p>
            <w:pPr>
              <w:pStyle w:val="33"/>
              <w:rPr>
                <w:color w:val="auto"/>
                <w:highlight w:val="none"/>
              </w:rPr>
            </w:pPr>
            <w:r>
              <w:rPr>
                <w:rFonts w:hint="eastAsia"/>
                <w:color w:val="auto"/>
                <w:highlight w:val="none"/>
              </w:rPr>
              <w:t>中标人需在领取中标通知书前向招标代理机构提供与电子投标文件一致的纸质投标文件：正本一套、副本</w:t>
            </w:r>
            <w:r>
              <w:rPr>
                <w:rFonts w:hint="eastAsia"/>
                <w:color w:val="auto"/>
                <w:highlight w:val="none"/>
                <w:lang w:val="en-US" w:eastAsia="zh-CN"/>
              </w:rPr>
              <w:t>四</w:t>
            </w: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34</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询标澄清</w:t>
            </w:r>
          </w:p>
        </w:tc>
        <w:tc>
          <w:tcPr>
            <w:tcW w:w="6383" w:type="dxa"/>
            <w:tcBorders>
              <w:tl2br w:val="nil"/>
              <w:tr2bl w:val="nil"/>
            </w:tcBorders>
            <w:vAlign w:val="center"/>
          </w:tcPr>
          <w:p>
            <w:pPr>
              <w:pStyle w:val="33"/>
              <w:rPr>
                <w:color w:val="auto"/>
                <w:highlight w:val="none"/>
              </w:rPr>
            </w:pPr>
            <w:r>
              <w:rPr>
                <w:rFonts w:hint="eastAsia"/>
                <w:color w:val="auto"/>
                <w:highlight w:val="none"/>
              </w:rPr>
              <w:t>本项目不要求投标人到开标现场开标，但投标人应派法定代表人或委托代理人准时在线出席电子开标会议，随时关注开标进</w:t>
            </w:r>
          </w:p>
          <w:p>
            <w:pPr>
              <w:pStyle w:val="33"/>
              <w:rPr>
                <w:color w:val="auto"/>
                <w:highlight w:val="none"/>
              </w:rPr>
            </w:pPr>
            <w:r>
              <w:rPr>
                <w:rFonts w:hint="eastAsia"/>
                <w:color w:val="auto"/>
                <w:highlight w:val="none"/>
              </w:rPr>
              <w:t>度。如在评标过程中，评标委员会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投标人未按招标文件要求派代表参加电子开标会议的，视同认可开标结果，事后不得对开标过程及开标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35</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投诉</w:t>
            </w:r>
          </w:p>
        </w:tc>
        <w:tc>
          <w:tcPr>
            <w:tcW w:w="6383" w:type="dxa"/>
            <w:tcBorders>
              <w:tl2br w:val="nil"/>
              <w:tr2bl w:val="nil"/>
            </w:tcBorders>
            <w:vAlign w:val="center"/>
          </w:tcPr>
          <w:p>
            <w:pPr>
              <w:pStyle w:val="33"/>
              <w:rPr>
                <w:color w:val="auto"/>
                <w:highlight w:val="none"/>
              </w:rPr>
            </w:pPr>
            <w:r>
              <w:rPr>
                <w:rFonts w:hint="eastAsia"/>
                <w:color w:val="auto"/>
                <w:highlight w:val="none"/>
              </w:rPr>
              <w:t>根据《政府采购法》第五十五条的规定，质疑投标人对采购人、采购代理机构的答复不满意或者采购人、采购代理机构未在规定的时间内作出答复的，可以在答复期满后十五个工作日内向监督管理部门投诉。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exac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36</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质疑</w:t>
            </w:r>
          </w:p>
        </w:tc>
        <w:tc>
          <w:tcPr>
            <w:tcW w:w="6383" w:type="dxa"/>
            <w:tcBorders>
              <w:tl2br w:val="nil"/>
              <w:tr2bl w:val="nil"/>
            </w:tcBorders>
            <w:vAlign w:val="center"/>
          </w:tcPr>
          <w:p>
            <w:pPr>
              <w:pStyle w:val="33"/>
              <w:rPr>
                <w:color w:val="auto"/>
                <w:highlight w:val="none"/>
              </w:rPr>
            </w:pPr>
            <w:r>
              <w:rPr>
                <w:rFonts w:hint="eastAsia"/>
                <w:color w:val="auto"/>
                <w:highlight w:val="none"/>
              </w:rPr>
              <w:t>根据《中华人民共和国政府采购法》第五十二条、《中华人民共和国政府采购法实施条例》第五十三条、《政府采购质疑和投诉办法》的规定：投标人认为采购（招标）文件、采购过程、中标或者成交结果使自己的合法权益受到损害的，应当在知道或者应知其权益受到损害之日起7个工作日内，以书面形式向采购人、采购代理机构提出质疑；逾期提出的，采购组织机构可以不予受理、答复。本项目要求投标人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rFonts w:hint="eastAsia" w:eastAsia="宋体"/>
                <w:b/>
                <w:bCs w:val="0"/>
                <w:color w:val="auto"/>
                <w:highlight w:val="none"/>
                <w:lang w:eastAsia="zh-CN"/>
              </w:rPr>
            </w:pPr>
            <w:r>
              <w:rPr>
                <w:rFonts w:hint="eastAsia"/>
                <w:b/>
                <w:bCs w:val="0"/>
                <w:color w:val="auto"/>
                <w:highlight w:val="none"/>
              </w:rPr>
              <w:t>3</w:t>
            </w:r>
            <w:r>
              <w:rPr>
                <w:rFonts w:hint="eastAsia"/>
                <w:b/>
                <w:bCs w:val="0"/>
                <w:color w:val="auto"/>
                <w:highlight w:val="none"/>
                <w:lang w:val="en-US" w:eastAsia="zh-CN"/>
              </w:rPr>
              <w:t>7</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本项目落实的政府采购政策</w:t>
            </w:r>
          </w:p>
        </w:tc>
        <w:tc>
          <w:tcPr>
            <w:tcW w:w="6383" w:type="dxa"/>
            <w:tcBorders>
              <w:tl2br w:val="nil"/>
              <w:tr2bl w:val="nil"/>
            </w:tcBorders>
            <w:vAlign w:val="center"/>
          </w:tcPr>
          <w:p>
            <w:pPr>
              <w:pStyle w:val="33"/>
              <w:rPr>
                <w:color w:val="auto"/>
                <w:highlight w:val="none"/>
              </w:rPr>
            </w:pPr>
            <w:r>
              <w:rPr>
                <w:rFonts w:hint="eastAsia"/>
                <w:color w:val="auto"/>
                <w:highlight w:val="none"/>
              </w:rPr>
              <w:t>1、扶持中小企业（监狱企业、残疾人福利性单位）：</w:t>
            </w:r>
          </w:p>
          <w:p>
            <w:pPr>
              <w:pStyle w:val="33"/>
              <w:rPr>
                <w:color w:val="auto"/>
                <w:highlight w:val="none"/>
              </w:rPr>
            </w:pPr>
            <w:r>
              <w:rPr>
                <w:rFonts w:hint="eastAsia"/>
                <w:color w:val="auto"/>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pStyle w:val="33"/>
              <w:rPr>
                <w:color w:val="auto"/>
                <w:highlight w:val="none"/>
                <w:u w:val="single"/>
              </w:rPr>
            </w:pPr>
            <w:r>
              <w:rPr>
                <w:rFonts w:hint="eastAsia"/>
                <w:color w:val="auto"/>
                <w:highlight w:val="none"/>
              </w:rPr>
              <w:t>（1）项目预算：</w:t>
            </w:r>
            <w:r>
              <w:rPr>
                <w:rFonts w:hint="eastAsia"/>
                <w:color w:val="auto"/>
                <w:highlight w:val="none"/>
                <w:u w:val="single"/>
                <w:lang w:val="en-US" w:eastAsia="zh-CN"/>
              </w:rPr>
              <w:t>1039</w:t>
            </w:r>
            <w:r>
              <w:rPr>
                <w:rFonts w:hint="eastAsia"/>
                <w:color w:val="auto"/>
                <w:highlight w:val="none"/>
                <w:u w:val="single"/>
              </w:rPr>
              <w:t>万元</w:t>
            </w:r>
          </w:p>
          <w:p>
            <w:pPr>
              <w:pStyle w:val="33"/>
              <w:rPr>
                <w:color w:val="auto"/>
                <w:highlight w:val="none"/>
              </w:rPr>
            </w:pPr>
            <w:r>
              <w:rPr>
                <w:rFonts w:hint="eastAsia"/>
                <w:color w:val="auto"/>
                <w:highlight w:val="none"/>
              </w:rPr>
              <w:t>（2）项目属性：</w:t>
            </w:r>
            <w:r>
              <w:rPr>
                <w:rFonts w:hint="eastAsia"/>
                <w:color w:val="auto"/>
                <w:highlight w:val="none"/>
                <w:u w:val="single"/>
              </w:rPr>
              <w:t>①货物类</w:t>
            </w:r>
            <w:r>
              <w:rPr>
                <w:rFonts w:hint="eastAsia"/>
                <w:color w:val="auto"/>
                <w:highlight w:val="none"/>
              </w:rPr>
              <w:t>（①货物类/②服务类/③工程类）</w:t>
            </w:r>
          </w:p>
          <w:p>
            <w:pPr>
              <w:pStyle w:val="33"/>
              <w:rPr>
                <w:color w:val="auto"/>
                <w:highlight w:val="none"/>
              </w:rPr>
            </w:pPr>
            <w:r>
              <w:rPr>
                <w:rFonts w:hint="eastAsia"/>
                <w:color w:val="auto"/>
                <w:highlight w:val="none"/>
              </w:rPr>
              <w:t>（3）项目对应的中小企业划分标准所属行业：</w:t>
            </w:r>
            <w:r>
              <w:rPr>
                <w:rFonts w:hint="eastAsia"/>
                <w:b/>
                <w:bCs w:val="0"/>
                <w:color w:val="auto"/>
                <w:highlight w:val="none"/>
                <w:u w:val="single"/>
              </w:rPr>
              <w:t>（二）工业</w:t>
            </w:r>
            <w:r>
              <w:rPr>
                <w:rFonts w:hint="eastAsia"/>
                <w:color w:val="auto"/>
                <w:highlight w:val="none"/>
              </w:rPr>
              <w:t>（具体根据《中小企业划型标准规定》执行）</w:t>
            </w:r>
          </w:p>
          <w:p>
            <w:pPr>
              <w:pStyle w:val="33"/>
              <w:rPr>
                <w:color w:val="auto"/>
                <w:highlight w:val="none"/>
              </w:rPr>
            </w:pPr>
            <w:r>
              <w:rPr>
                <w:rFonts w:hint="eastAsia"/>
                <w:color w:val="auto"/>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pStyle w:val="33"/>
              <w:rPr>
                <w:color w:val="auto"/>
                <w:highlight w:val="none"/>
              </w:rPr>
            </w:pPr>
            <w:r>
              <w:rPr>
                <w:rFonts w:hint="eastAsia"/>
                <w:color w:val="auto"/>
                <w:highlight w:val="none"/>
              </w:rPr>
              <w:t>（4）本项目</w:t>
            </w:r>
            <w:r>
              <w:rPr>
                <w:rFonts w:hint="eastAsia"/>
                <w:color w:val="auto"/>
                <w:highlight w:val="none"/>
                <w:u w:val="single"/>
              </w:rPr>
              <w:t>否</w:t>
            </w:r>
            <w:r>
              <w:rPr>
                <w:rFonts w:hint="eastAsia"/>
                <w:color w:val="auto"/>
                <w:highlight w:val="none"/>
              </w:rPr>
              <w:t>（是/否）属于预留份额专门面向中小企业采购的项目。</w:t>
            </w:r>
          </w:p>
          <w:p>
            <w:pPr>
              <w:pStyle w:val="33"/>
              <w:rPr>
                <w:color w:val="auto"/>
                <w:highlight w:val="none"/>
              </w:rPr>
            </w:pPr>
            <w:r>
              <w:rPr>
                <w:rFonts w:hint="eastAsia"/>
                <w:color w:val="auto"/>
                <w:highlight w:val="none"/>
              </w:rPr>
              <w:t>（5）上述第4项中确定为“是”的采购项目，预留份额通过（①）措施进行：</w:t>
            </w:r>
          </w:p>
          <w:p>
            <w:pPr>
              <w:pStyle w:val="33"/>
              <w:rPr>
                <w:color w:val="auto"/>
                <w:highlight w:val="none"/>
              </w:rPr>
            </w:pPr>
            <w:r>
              <w:rPr>
                <w:rFonts w:hint="eastAsia"/>
                <w:color w:val="auto"/>
                <w:highlight w:val="none"/>
              </w:rPr>
              <w:t xml:space="preserve">①将采购项目整体或者设置采购包专门面向中小企业采购； </w:t>
            </w:r>
          </w:p>
          <w:p>
            <w:pPr>
              <w:pStyle w:val="33"/>
              <w:rPr>
                <w:color w:val="auto"/>
                <w:highlight w:val="none"/>
              </w:rPr>
            </w:pPr>
            <w:r>
              <w:rPr>
                <w:rFonts w:hint="eastAsia"/>
                <w:color w:val="auto"/>
                <w:highlight w:val="none"/>
              </w:rPr>
              <w:t>②要求供应商以联合体形式参加采购活动，且联合体中中小企业承担的部分达到</w:t>
            </w:r>
            <w:r>
              <w:rPr>
                <w:rFonts w:hint="eastAsia"/>
                <w:color w:val="auto"/>
                <w:highlight w:val="none"/>
                <w:u w:val="single"/>
              </w:rPr>
              <w:t>/%</w:t>
            </w:r>
            <w:r>
              <w:rPr>
                <w:rFonts w:hint="eastAsia"/>
                <w:color w:val="auto"/>
                <w:highlight w:val="none"/>
              </w:rPr>
              <w:t xml:space="preserve">(比例)； </w:t>
            </w:r>
          </w:p>
          <w:p>
            <w:pPr>
              <w:pStyle w:val="33"/>
              <w:rPr>
                <w:color w:val="auto"/>
                <w:highlight w:val="none"/>
              </w:rPr>
            </w:pPr>
            <w:r>
              <w:rPr>
                <w:rFonts w:hint="eastAsia"/>
                <w:color w:val="auto"/>
                <w:highlight w:val="none"/>
              </w:rPr>
              <w:t>③要求获得采购合同的供应商将采购项目中的</w:t>
            </w:r>
            <w:r>
              <w:rPr>
                <w:rFonts w:hint="eastAsia"/>
                <w:color w:val="auto"/>
                <w:highlight w:val="none"/>
                <w:u w:val="single"/>
              </w:rPr>
              <w:t xml:space="preserve"> /%</w:t>
            </w:r>
            <w:r>
              <w:rPr>
                <w:rFonts w:hint="eastAsia"/>
                <w:color w:val="auto"/>
                <w:highlight w:val="none"/>
              </w:rPr>
              <w:t>(比例)分包给一家或者多家中小企业。</w:t>
            </w:r>
          </w:p>
          <w:p>
            <w:pPr>
              <w:pStyle w:val="33"/>
              <w:rPr>
                <w:color w:val="auto"/>
                <w:highlight w:val="none"/>
              </w:rPr>
            </w:pPr>
            <w:r>
              <w:rPr>
                <w:rFonts w:hint="eastAsia"/>
                <w:color w:val="auto"/>
                <w:highlight w:val="none"/>
              </w:rPr>
              <w:t>（6）对于经主管预算单位统筹后未预留份额专门面向中小企业采购的采购项目，以及预留份额项目中的非预留部分采购包，对小微企业报价给予</w:t>
            </w:r>
            <w:r>
              <w:rPr>
                <w:rFonts w:hint="eastAsia"/>
                <w:color w:val="auto"/>
                <w:highlight w:val="none"/>
                <w:u w:val="single"/>
                <w:lang w:val="en-US" w:eastAsia="zh-CN"/>
              </w:rPr>
              <w:t>1</w:t>
            </w:r>
            <w:r>
              <w:rPr>
                <w:rFonts w:hint="eastAsia"/>
                <w:color w:val="auto"/>
                <w:highlight w:val="none"/>
                <w:u w:val="single"/>
              </w:rPr>
              <w:t>0%</w:t>
            </w:r>
            <w:r>
              <w:rPr>
                <w:rFonts w:hint="eastAsia"/>
                <w:color w:val="auto"/>
                <w:highlight w:val="none"/>
              </w:rPr>
              <w:t xml:space="preserve">的扣除，用扣除后的价格参加评审。 </w:t>
            </w:r>
          </w:p>
          <w:p>
            <w:pPr>
              <w:pStyle w:val="33"/>
              <w:rPr>
                <w:color w:val="auto"/>
                <w:highlight w:val="none"/>
              </w:rPr>
            </w:pPr>
            <w:r>
              <w:rPr>
                <w:rFonts w:hint="eastAsia"/>
                <w:color w:val="auto"/>
                <w:highlight w:val="none"/>
              </w:rPr>
              <w:t>注：货物和服务项目中未预留份额专门面向中小企业采购的，以及预留份额项目中的非预留部分采购包，采购单位、采购代理机构应结合项目实际，对符合规定的小微企业报价原则上按最高优惠幅度</w:t>
            </w:r>
            <w:r>
              <w:rPr>
                <w:rFonts w:hint="eastAsia"/>
                <w:color w:val="auto"/>
                <w:highlight w:val="none"/>
                <w:lang w:val="en-US" w:eastAsia="zh-CN"/>
              </w:rPr>
              <w:t>1</w:t>
            </w:r>
            <w:r>
              <w:rPr>
                <w:rFonts w:hint="eastAsia"/>
                <w:color w:val="auto"/>
                <w:highlight w:val="none"/>
              </w:rPr>
              <w:t>0%给予扣除，用扣除后的价格参加评审。自2022年7月1日起至2022年12月31日期间发布采购公告或者发出采购邀请的货物、服务采购项目按照此《浙江省财政厅关于进一步加大政府采购支持中小企业力度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pStyle w:val="33"/>
              <w:rPr>
                <w:color w:val="auto"/>
                <w:highlight w:val="none"/>
              </w:rPr>
            </w:pPr>
            <w:r>
              <w:rPr>
                <w:rFonts w:hint="eastAsia"/>
                <w:color w:val="auto"/>
                <w:highlight w:val="none"/>
              </w:rPr>
              <w:t>2、节能产品、环境标志产品的强制采购政策</w:t>
            </w:r>
          </w:p>
          <w:p>
            <w:pPr>
              <w:pStyle w:val="33"/>
              <w:rPr>
                <w:color w:val="auto"/>
                <w:highlight w:val="none"/>
              </w:rPr>
            </w:pPr>
            <w:r>
              <w:rPr>
                <w:rFonts w:hint="eastAsia"/>
                <w:color w:val="auto"/>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pStyle w:val="33"/>
              <w:rPr>
                <w:color w:val="auto"/>
                <w:highlight w:val="none"/>
              </w:rPr>
            </w:pPr>
            <w:r>
              <w:rPr>
                <w:rFonts w:hint="eastAsia"/>
                <w:color w:val="auto"/>
                <w:highlight w:val="none"/>
              </w:rPr>
              <w:t>3、节能产品、环境标志产品的优先采购政策</w:t>
            </w:r>
          </w:p>
          <w:p>
            <w:pPr>
              <w:pStyle w:val="33"/>
              <w:rPr>
                <w:color w:val="auto"/>
                <w:highlight w:val="none"/>
              </w:rPr>
            </w:pPr>
            <w:r>
              <w:rPr>
                <w:rFonts w:hint="eastAsia"/>
                <w:color w:val="auto"/>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39</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节能产品</w:t>
            </w:r>
          </w:p>
          <w:p>
            <w:pPr>
              <w:pStyle w:val="33"/>
              <w:jc w:val="center"/>
              <w:rPr>
                <w:b/>
                <w:bCs w:val="0"/>
                <w:color w:val="auto"/>
                <w:highlight w:val="none"/>
              </w:rPr>
            </w:pPr>
            <w:r>
              <w:rPr>
                <w:rFonts w:hint="eastAsia"/>
                <w:b/>
                <w:bCs w:val="0"/>
                <w:color w:val="auto"/>
                <w:highlight w:val="none"/>
              </w:rPr>
              <w:t>环境标志</w:t>
            </w:r>
          </w:p>
          <w:p>
            <w:pPr>
              <w:pStyle w:val="33"/>
              <w:jc w:val="center"/>
              <w:rPr>
                <w:b/>
                <w:bCs w:val="0"/>
                <w:color w:val="auto"/>
                <w:highlight w:val="none"/>
              </w:rPr>
            </w:pPr>
            <w:r>
              <w:rPr>
                <w:rFonts w:hint="eastAsia"/>
                <w:b/>
                <w:bCs w:val="0"/>
                <w:color w:val="auto"/>
                <w:highlight w:val="none"/>
              </w:rPr>
              <w:t>产品政策</w:t>
            </w:r>
          </w:p>
        </w:tc>
        <w:tc>
          <w:tcPr>
            <w:tcW w:w="6383" w:type="dxa"/>
            <w:tcBorders>
              <w:tl2br w:val="nil"/>
              <w:tr2bl w:val="nil"/>
            </w:tcBorders>
            <w:vAlign w:val="center"/>
          </w:tcPr>
          <w:p>
            <w:pPr>
              <w:pStyle w:val="33"/>
              <w:rPr>
                <w:color w:val="auto"/>
                <w:highlight w:val="none"/>
              </w:rPr>
            </w:pPr>
            <w:r>
              <w:rPr>
                <w:rFonts w:hint="eastAsia"/>
                <w:color w:val="auto"/>
                <w:highlight w:val="none"/>
              </w:rPr>
              <w:t>□本项目为服务项目，不适用节能环保政策。</w:t>
            </w:r>
          </w:p>
          <w:p>
            <w:pPr>
              <w:pStyle w:val="33"/>
              <w:rPr>
                <w:color w:val="auto"/>
                <w:highlight w:val="none"/>
              </w:rPr>
            </w:pPr>
            <w:r>
              <w:rPr>
                <w:rFonts w:hint="eastAsia"/>
                <w:color w:val="auto"/>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pPr>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提供中国政府采购网（www.ccgp.gov.cn）网页查询打印材料等说明材料。</w:t>
            </w:r>
          </w:p>
          <w:p>
            <w:pPr>
              <w:ind w:firstLine="0" w:firstLineChars="0"/>
              <w:rPr>
                <w:color w:val="auto"/>
                <w:highlight w:val="none"/>
              </w:rPr>
            </w:pPr>
            <w:r>
              <w:rPr>
                <w:rFonts w:hint="eastAsia" w:ascii="宋体" w:hAnsi="宋体" w:cs="宋体"/>
                <w:b/>
                <w:bCs/>
                <w:color w:val="auto"/>
                <w:spacing w:val="-11"/>
                <w:w w:val="90"/>
                <w:sz w:val="21"/>
                <w:szCs w:val="21"/>
                <w:highlight w:val="none"/>
              </w:rPr>
              <w:t>注：</w:t>
            </w:r>
            <w:r>
              <w:rPr>
                <w:rFonts w:hint="eastAsia" w:ascii="宋体" w:hAnsi="宋体" w:cs="宋体"/>
                <w:b/>
                <w:bCs/>
                <w:color w:val="auto"/>
                <w:w w:val="90"/>
                <w:sz w:val="21"/>
                <w:szCs w:val="21"/>
                <w:highlight w:val="none"/>
              </w:rPr>
              <w:t>属于强制采购品目清单中的产品如未获得证书，其投标将被拒绝。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40</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信用记录查询</w:t>
            </w:r>
          </w:p>
        </w:tc>
        <w:tc>
          <w:tcPr>
            <w:tcW w:w="6383" w:type="dxa"/>
            <w:tcBorders>
              <w:tl2br w:val="nil"/>
              <w:tr2bl w:val="nil"/>
            </w:tcBorders>
            <w:vAlign w:val="center"/>
          </w:tcPr>
          <w:p>
            <w:pPr>
              <w:pStyle w:val="33"/>
              <w:rPr>
                <w:color w:val="auto"/>
                <w:highlight w:val="none"/>
              </w:rPr>
            </w:pPr>
            <w:r>
              <w:rPr>
                <w:rFonts w:hint="eastAsia"/>
                <w:color w:val="auto"/>
                <w:highlight w:val="none"/>
              </w:rPr>
              <w:t>根据《关于在政府采购活动中查询及使用信用记录有关问题的通知》财库[2016]125号的规定：</w:t>
            </w:r>
          </w:p>
          <w:p>
            <w:pPr>
              <w:pStyle w:val="33"/>
              <w:rPr>
                <w:color w:val="auto"/>
                <w:highlight w:val="none"/>
              </w:rPr>
            </w:pPr>
            <w:r>
              <w:rPr>
                <w:rFonts w:hint="eastAsia"/>
                <w:color w:val="auto"/>
                <w:highlight w:val="none"/>
              </w:rPr>
              <w:t>1.采购人或采购代理机构将对本项目投标人的信用记录进行查询。查询渠道为信用中国网站（www.creditchina.gov.cn）、中国政府采购网（www.ccgp.gov.cn）。</w:t>
            </w:r>
          </w:p>
          <w:p>
            <w:pPr>
              <w:pStyle w:val="33"/>
              <w:rPr>
                <w:color w:val="auto"/>
                <w:highlight w:val="none"/>
              </w:rPr>
            </w:pPr>
            <w:r>
              <w:rPr>
                <w:rFonts w:hint="eastAsia"/>
                <w:color w:val="auto"/>
                <w:highlight w:val="none"/>
              </w:rPr>
              <w:t>2.截止时点：提交投标文件（响应文件）截止时间前3年内。</w:t>
            </w:r>
          </w:p>
          <w:p>
            <w:pPr>
              <w:pStyle w:val="33"/>
              <w:rPr>
                <w:color w:val="auto"/>
                <w:highlight w:val="none"/>
              </w:rPr>
            </w:pPr>
            <w:r>
              <w:rPr>
                <w:rFonts w:hint="eastAsia"/>
                <w:color w:val="auto"/>
                <w:highlight w:val="none"/>
              </w:rPr>
              <w:t>3.查询记录和证据的留存：采购代理机构开标当天查询投标人</w:t>
            </w:r>
          </w:p>
          <w:p>
            <w:pPr>
              <w:pStyle w:val="33"/>
              <w:rPr>
                <w:color w:val="auto"/>
                <w:highlight w:val="none"/>
              </w:rPr>
            </w:pPr>
            <w:r>
              <w:rPr>
                <w:rFonts w:hint="eastAsia"/>
                <w:color w:val="auto"/>
                <w:highlight w:val="none"/>
              </w:rPr>
              <w:t>的信用记录，查询结果经确认后与采购文件一起存档。</w:t>
            </w:r>
          </w:p>
          <w:p>
            <w:pPr>
              <w:pStyle w:val="33"/>
              <w:numPr>
                <w:ilvl w:val="0"/>
                <w:numId w:val="3"/>
              </w:numPr>
              <w:rPr>
                <w:color w:val="auto"/>
                <w:highlight w:val="none"/>
              </w:rPr>
            </w:pPr>
            <w:r>
              <w:rPr>
                <w:rFonts w:hint="eastAsia"/>
                <w:color w:val="auto"/>
                <w:highlight w:val="none"/>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41</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特别说明</w:t>
            </w:r>
          </w:p>
        </w:tc>
        <w:tc>
          <w:tcPr>
            <w:tcW w:w="6383" w:type="dxa"/>
            <w:tcBorders>
              <w:tl2br w:val="nil"/>
              <w:tr2bl w:val="nil"/>
            </w:tcBorders>
            <w:vAlign w:val="center"/>
          </w:tcPr>
          <w:p>
            <w:pPr>
              <w:pStyle w:val="33"/>
              <w:spacing w:before="120"/>
              <w:rPr>
                <w:color w:val="auto"/>
                <w:highlight w:val="none"/>
              </w:rPr>
            </w:pPr>
            <w:r>
              <w:rPr>
                <w:rFonts w:hint="eastAsia"/>
                <w:color w:val="auto"/>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招标需求、第五部分拟签订的合同文本等各项内容进行确认，如有偏离，应如实填写响应偏离表。</w:t>
            </w:r>
          </w:p>
          <w:p>
            <w:pPr>
              <w:pStyle w:val="33"/>
              <w:spacing w:line="336" w:lineRule="auto"/>
              <w:rPr>
                <w:color w:val="auto"/>
                <w:highlight w:val="none"/>
              </w:rPr>
            </w:pPr>
            <w:r>
              <w:rPr>
                <w:rFonts w:hint="eastAsia"/>
                <w:color w:val="auto"/>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33"/>
              <w:spacing w:line="336" w:lineRule="auto"/>
              <w:rPr>
                <w:color w:val="auto"/>
                <w:highlight w:val="none"/>
              </w:rPr>
            </w:pPr>
            <w:r>
              <w:rPr>
                <w:rFonts w:hint="eastAsia"/>
                <w:color w:val="auto"/>
                <w:highlight w:val="none"/>
              </w:rPr>
              <w:t>（3）质疑、投诉人未规定进行质疑、投诉（申诉）、举报等，</w:t>
            </w:r>
          </w:p>
          <w:p>
            <w:pPr>
              <w:pStyle w:val="33"/>
              <w:spacing w:line="336" w:lineRule="auto"/>
              <w:rPr>
                <w:color w:val="auto"/>
                <w:highlight w:val="none"/>
              </w:rPr>
            </w:pPr>
            <w:r>
              <w:rPr>
                <w:rFonts w:hint="eastAsia"/>
                <w:color w:val="auto"/>
                <w:highlight w:val="none"/>
              </w:rPr>
              <w:t>均属于扰乱政府采购市场不良行为。</w:t>
            </w:r>
          </w:p>
          <w:p>
            <w:pPr>
              <w:pStyle w:val="33"/>
              <w:spacing w:line="336" w:lineRule="auto"/>
              <w:rPr>
                <w:color w:val="auto"/>
                <w:highlight w:val="none"/>
              </w:rPr>
            </w:pPr>
            <w:r>
              <w:rPr>
                <w:rFonts w:hint="eastAsia"/>
                <w:color w:val="auto"/>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33"/>
              <w:spacing w:line="336" w:lineRule="auto"/>
              <w:rPr>
                <w:color w:val="auto"/>
                <w:highlight w:val="none"/>
              </w:rPr>
            </w:pPr>
            <w:r>
              <w:rPr>
                <w:rFonts w:hint="eastAsia"/>
                <w:color w:val="auto"/>
                <w:highlight w:val="none"/>
              </w:rPr>
              <w:t>（5）采购文件中凡标注“▲”的条款均为实质性要求，不响应的投标文件将作无效标处理。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42</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中小企业信用融资</w:t>
            </w:r>
          </w:p>
        </w:tc>
        <w:tc>
          <w:tcPr>
            <w:tcW w:w="6383" w:type="dxa"/>
            <w:tcBorders>
              <w:tl2br w:val="nil"/>
              <w:tr2bl w:val="nil"/>
            </w:tcBorders>
            <w:vAlign w:val="center"/>
          </w:tcPr>
          <w:p>
            <w:pPr>
              <w:pStyle w:val="33"/>
              <w:spacing w:line="336" w:lineRule="auto"/>
              <w:rPr>
                <w:color w:val="auto"/>
                <w:highlight w:val="none"/>
              </w:rPr>
            </w:pPr>
            <w:r>
              <w:rPr>
                <w:rFonts w:hint="eastAsia"/>
                <w:color w:val="auto"/>
                <w:highlight w:val="none"/>
              </w:rPr>
              <w:t xml:space="preserve">投标人中标后也可在“政采云”平台申请政采贷：操作路径：登录政采云平台-金融服务中心-【融资服务】，可在热门申请中选择产品直接申请，也可点击云智贷匹配适合产品进行申请，或者在可申请项目中根据该项目进行申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43</w:t>
            </w:r>
          </w:p>
        </w:tc>
        <w:tc>
          <w:tcPr>
            <w:tcW w:w="1617" w:type="dxa"/>
            <w:tcBorders>
              <w:tl2br w:val="nil"/>
              <w:tr2bl w:val="nil"/>
            </w:tcBorders>
            <w:vAlign w:val="center"/>
          </w:tcPr>
          <w:p>
            <w:pPr>
              <w:pStyle w:val="33"/>
              <w:spacing w:line="288" w:lineRule="auto"/>
              <w:jc w:val="center"/>
              <w:rPr>
                <w:b/>
                <w:bCs w:val="0"/>
                <w:color w:val="auto"/>
                <w:highlight w:val="none"/>
              </w:rPr>
            </w:pPr>
            <w:r>
              <w:rPr>
                <w:rFonts w:hint="eastAsia"/>
                <w:b/>
                <w:bCs w:val="0"/>
                <w:color w:val="auto"/>
                <w:highlight w:val="none"/>
              </w:rPr>
              <w:t>项目属性与核心产品</w:t>
            </w:r>
          </w:p>
        </w:tc>
        <w:tc>
          <w:tcPr>
            <w:tcW w:w="6383" w:type="dxa"/>
            <w:tcBorders>
              <w:tl2br w:val="nil"/>
              <w:tr2bl w:val="nil"/>
            </w:tcBorders>
            <w:vAlign w:val="center"/>
          </w:tcPr>
          <w:p>
            <w:pPr>
              <w:pStyle w:val="33"/>
              <w:spacing w:line="288" w:lineRule="auto"/>
              <w:rPr>
                <w:color w:val="auto"/>
                <w:highlight w:val="none"/>
              </w:rPr>
            </w:pPr>
            <w:r>
              <w:rPr>
                <w:rFonts w:hint="eastAsia"/>
                <w:color w:val="auto"/>
                <w:highlight w:val="none"/>
              </w:rPr>
              <w:t>☑ 1.货物类，核心产品为：</w:t>
            </w:r>
            <w:r>
              <w:rPr>
                <w:rFonts w:hint="eastAsia"/>
                <w:color w:val="auto"/>
                <w:highlight w:val="none"/>
                <w:u w:val="single"/>
              </w:rPr>
              <w:t xml:space="preserve"> 闸门 </w:t>
            </w:r>
            <w:r>
              <w:rPr>
                <w:rFonts w:hint="eastAsia"/>
                <w:color w:val="auto"/>
                <w:highlight w:val="none"/>
              </w:rPr>
              <w:t xml:space="preserve">  。</w:t>
            </w:r>
          </w:p>
          <w:p>
            <w:pPr>
              <w:pStyle w:val="33"/>
              <w:spacing w:line="288" w:lineRule="auto"/>
              <w:rPr>
                <w:color w:val="auto"/>
                <w:highlight w:val="none"/>
              </w:rPr>
            </w:pPr>
            <w:r>
              <w:rPr>
                <w:rFonts w:hint="eastAsia"/>
                <w:color w:val="auto"/>
                <w:highlight w:val="none"/>
              </w:rPr>
              <w:t>□ 2.服务类。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44</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代理服务费</w:t>
            </w:r>
          </w:p>
        </w:tc>
        <w:tc>
          <w:tcPr>
            <w:tcW w:w="6383" w:type="dxa"/>
            <w:tcBorders>
              <w:tl2br w:val="nil"/>
              <w:tr2bl w:val="nil"/>
            </w:tcBorders>
            <w:vAlign w:val="center"/>
          </w:tcPr>
          <w:p>
            <w:pPr>
              <w:pStyle w:val="33"/>
              <w:spacing w:line="336" w:lineRule="auto"/>
              <w:rPr>
                <w:color w:val="auto"/>
                <w:highlight w:val="none"/>
              </w:rPr>
            </w:pPr>
            <w:r>
              <w:rPr>
                <w:rFonts w:hint="eastAsia"/>
                <w:color w:val="auto"/>
                <w:highlight w:val="none"/>
              </w:rPr>
              <w:t>本项目</w:t>
            </w:r>
            <w:r>
              <w:rPr>
                <w:rFonts w:hint="eastAsia"/>
                <w:color w:val="auto"/>
                <w:highlight w:val="none"/>
                <w:lang w:val="en-US" w:eastAsia="zh-CN"/>
              </w:rPr>
              <w:t>不收取</w:t>
            </w:r>
            <w:r>
              <w:rPr>
                <w:rFonts w:hint="eastAsia"/>
                <w:color w:val="auto"/>
                <w:highlight w:val="none"/>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45</w:t>
            </w:r>
          </w:p>
        </w:tc>
        <w:tc>
          <w:tcPr>
            <w:tcW w:w="1617" w:type="dxa"/>
            <w:tcBorders>
              <w:tl2br w:val="nil"/>
              <w:tr2bl w:val="nil"/>
            </w:tcBorders>
            <w:vAlign w:val="center"/>
          </w:tcPr>
          <w:p>
            <w:pPr>
              <w:pStyle w:val="33"/>
              <w:jc w:val="center"/>
              <w:rPr>
                <w:b/>
                <w:bCs w:val="0"/>
                <w:color w:val="auto"/>
                <w:highlight w:val="none"/>
              </w:rPr>
            </w:pPr>
            <w:r>
              <w:rPr>
                <w:rFonts w:hint="eastAsia"/>
                <w:b/>
                <w:bCs w:val="0"/>
                <w:color w:val="auto"/>
                <w:highlight w:val="none"/>
              </w:rPr>
              <w:t>解释权</w:t>
            </w:r>
          </w:p>
        </w:tc>
        <w:tc>
          <w:tcPr>
            <w:tcW w:w="6383" w:type="dxa"/>
            <w:tcBorders>
              <w:tl2br w:val="nil"/>
              <w:tr2bl w:val="nil"/>
            </w:tcBorders>
            <w:vAlign w:val="center"/>
          </w:tcPr>
          <w:p>
            <w:pPr>
              <w:pStyle w:val="33"/>
              <w:spacing w:line="384" w:lineRule="auto"/>
              <w:rPr>
                <w:color w:val="auto"/>
                <w:highlight w:val="none"/>
              </w:rPr>
            </w:pPr>
            <w:r>
              <w:rPr>
                <w:rFonts w:hint="eastAsia"/>
                <w:color w:val="auto"/>
                <w:highlight w:val="none"/>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4" w:type="dxa"/>
            <w:tcBorders>
              <w:tl2br w:val="nil"/>
              <w:tr2bl w:val="nil"/>
            </w:tcBorders>
            <w:vAlign w:val="center"/>
          </w:tcPr>
          <w:p>
            <w:pPr>
              <w:pStyle w:val="33"/>
              <w:jc w:val="center"/>
              <w:rPr>
                <w:b/>
                <w:bCs w:val="0"/>
                <w:color w:val="auto"/>
                <w:highlight w:val="none"/>
              </w:rPr>
            </w:pPr>
            <w:r>
              <w:rPr>
                <w:rFonts w:hint="eastAsia"/>
                <w:b/>
                <w:bCs w:val="0"/>
                <w:color w:val="auto"/>
                <w:highlight w:val="none"/>
              </w:rPr>
              <w:t>46</w:t>
            </w:r>
          </w:p>
        </w:tc>
        <w:tc>
          <w:tcPr>
            <w:tcW w:w="1617" w:type="dxa"/>
            <w:tcBorders>
              <w:tl2br w:val="nil"/>
              <w:tr2bl w:val="nil"/>
            </w:tcBorders>
            <w:vAlign w:val="center"/>
          </w:tcPr>
          <w:p>
            <w:pPr>
              <w:pStyle w:val="33"/>
              <w:jc w:val="center"/>
              <w:rPr>
                <w:color w:val="auto"/>
                <w:highlight w:val="none"/>
              </w:rPr>
            </w:pPr>
            <w:r>
              <w:rPr>
                <w:rFonts w:hint="eastAsia"/>
                <w:b/>
                <w:bCs w:val="0"/>
                <w:color w:val="auto"/>
                <w:highlight w:val="none"/>
              </w:rPr>
              <w:t>其他</w:t>
            </w:r>
          </w:p>
        </w:tc>
        <w:tc>
          <w:tcPr>
            <w:tcW w:w="6383" w:type="dxa"/>
            <w:tcBorders>
              <w:tl2br w:val="nil"/>
              <w:tr2bl w:val="nil"/>
            </w:tcBorders>
            <w:vAlign w:val="center"/>
          </w:tcPr>
          <w:p>
            <w:pPr>
              <w:pStyle w:val="33"/>
              <w:rPr>
                <w:color w:val="auto"/>
                <w:highlight w:val="none"/>
              </w:rPr>
            </w:pPr>
            <w:r>
              <w:rPr>
                <w:rFonts w:hint="eastAsia"/>
                <w:color w:val="auto"/>
                <w:highlight w:val="none"/>
              </w:rPr>
              <w:t>本招标文件规定如有与法律法规冲突的，以法律法规为准。</w:t>
            </w:r>
          </w:p>
        </w:tc>
      </w:tr>
    </w:tbl>
    <w:p>
      <w:pPr>
        <w:spacing w:before="164" w:beforeLines="50"/>
        <w:ind w:firstLine="0" w:firstLineChars="0"/>
        <w:rPr>
          <w:rFonts w:ascii="宋体" w:hAnsi="宋体" w:cs="宋体"/>
          <w:b/>
          <w:color w:val="auto"/>
          <w:highlight w:val="none"/>
        </w:rPr>
      </w:pPr>
      <w:r>
        <w:rPr>
          <w:rFonts w:hint="eastAsia" w:ascii="宋体" w:hAnsi="宋体" w:cs="宋体"/>
          <w:b/>
          <w:color w:val="auto"/>
          <w:highlight w:val="none"/>
        </w:rPr>
        <w:t>注</w:t>
      </w:r>
      <w:r>
        <w:rPr>
          <w:rFonts w:hint="eastAsia" w:cs="宋体"/>
          <w:b/>
          <w:color w:val="auto"/>
          <w:highlight w:val="none"/>
        </w:rPr>
        <w:t>：</w:t>
      </w:r>
      <w:r>
        <w:rPr>
          <w:rFonts w:hint="eastAsia" w:ascii="宋体" w:hAnsi="宋体" w:cs="宋体"/>
          <w:b/>
          <w:color w:val="auto"/>
          <w:highlight w:val="none"/>
        </w:rPr>
        <w:t>本项目通用总则条款与前附表等专用特别规定有冲突之处，以专用条款（特别规定）为准。</w:t>
      </w:r>
    </w:p>
    <w:p>
      <w:pPr>
        <w:ind w:firstLine="482"/>
        <w:rPr>
          <w:rFonts w:ascii="宋体" w:hAnsi="宋体" w:cs="宋体"/>
          <w:b/>
          <w:color w:val="auto"/>
          <w:highlight w:val="none"/>
        </w:rPr>
      </w:pPr>
      <w:r>
        <w:rPr>
          <w:rFonts w:hint="eastAsia" w:ascii="宋体" w:hAnsi="宋体" w:cs="宋体"/>
          <w:b/>
          <w:color w:val="auto"/>
          <w:highlight w:val="none"/>
        </w:rPr>
        <w:br w:type="page"/>
      </w:r>
    </w:p>
    <w:p>
      <w:pPr>
        <w:pStyle w:val="4"/>
        <w:ind w:firstLine="482"/>
        <w:rPr>
          <w:color w:val="auto"/>
          <w:highlight w:val="none"/>
        </w:rPr>
      </w:pPr>
      <w:bookmarkStart w:id="31" w:name="_Toc24158"/>
      <w:r>
        <w:rPr>
          <w:rFonts w:hint="eastAsia"/>
          <w:color w:val="auto"/>
          <w:highlight w:val="none"/>
        </w:rPr>
        <w:t>一、总则</w:t>
      </w:r>
      <w:bookmarkEnd w:id="31"/>
    </w:p>
    <w:p>
      <w:pPr>
        <w:ind w:firstLine="482"/>
        <w:rPr>
          <w:b/>
          <w:bCs/>
          <w:color w:val="auto"/>
          <w:highlight w:val="none"/>
        </w:rPr>
      </w:pPr>
      <w:r>
        <w:rPr>
          <w:rFonts w:hint="eastAsia"/>
          <w:b/>
          <w:bCs/>
          <w:color w:val="auto"/>
          <w:highlight w:val="none"/>
        </w:rPr>
        <w:t>1. 适用范围</w:t>
      </w:r>
    </w:p>
    <w:p>
      <w:pPr>
        <w:ind w:firstLine="480"/>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ind w:firstLine="482"/>
        <w:rPr>
          <w:b/>
          <w:bCs/>
          <w:color w:val="auto"/>
          <w:highlight w:val="none"/>
        </w:rPr>
      </w:pPr>
      <w:r>
        <w:rPr>
          <w:rFonts w:hint="eastAsia"/>
          <w:b/>
          <w:bCs/>
          <w:color w:val="auto"/>
          <w:highlight w:val="none"/>
        </w:rPr>
        <w:t>2.定义</w:t>
      </w:r>
    </w:p>
    <w:p>
      <w:pPr>
        <w:ind w:firstLine="480"/>
        <w:rPr>
          <w:color w:val="auto"/>
          <w:highlight w:val="none"/>
        </w:rPr>
      </w:pPr>
      <w:r>
        <w:rPr>
          <w:rFonts w:hint="eastAsia"/>
          <w:color w:val="auto"/>
          <w:highlight w:val="none"/>
        </w:rPr>
        <w:t>2.1 “采购人”系指招标公告中载明的本项目的采购人。</w:t>
      </w:r>
    </w:p>
    <w:p>
      <w:pPr>
        <w:ind w:firstLine="480"/>
        <w:rPr>
          <w:color w:val="auto"/>
          <w:highlight w:val="none"/>
        </w:rPr>
      </w:pPr>
      <w:r>
        <w:rPr>
          <w:rFonts w:hint="eastAsia"/>
          <w:color w:val="auto"/>
          <w:highlight w:val="none"/>
        </w:rPr>
        <w:t>2.2 “采购代理机构”系指招标公告中载明的本项目的采购代理机构。</w:t>
      </w:r>
    </w:p>
    <w:p>
      <w:pPr>
        <w:ind w:firstLine="480"/>
        <w:rPr>
          <w:color w:val="auto"/>
          <w:highlight w:val="none"/>
        </w:rPr>
      </w:pPr>
      <w:r>
        <w:rPr>
          <w:rFonts w:hint="eastAsia"/>
          <w:color w:val="auto"/>
          <w:highlight w:val="none"/>
        </w:rPr>
        <w:t>2.3 “投标人”系指是指响应招标、参加投标竞争的法人、其他组织或者自然人。</w:t>
      </w:r>
    </w:p>
    <w:p>
      <w:pPr>
        <w:ind w:firstLine="480"/>
        <w:rPr>
          <w:color w:val="auto"/>
          <w:highlight w:val="none"/>
        </w:rPr>
      </w:pPr>
      <w:r>
        <w:rPr>
          <w:rFonts w:hint="eastAsia"/>
          <w:color w:val="auto"/>
          <w:highlight w:val="none"/>
        </w:rPr>
        <w:t>2.4 “负责人”系指法人企业的法定负责人，或其他组织为法律、行政法规规定代表单位行使职权的主要负责人，或自然人本人。</w:t>
      </w:r>
    </w:p>
    <w:p>
      <w:pPr>
        <w:ind w:firstLine="480"/>
        <w:rPr>
          <w:color w:val="auto"/>
          <w:highlight w:val="none"/>
        </w:rPr>
      </w:pPr>
      <w:r>
        <w:rPr>
          <w:rFonts w:hint="eastAsia"/>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color w:val="auto"/>
          <w:highlight w:val="none"/>
        </w:rPr>
      </w:pPr>
      <w:r>
        <w:rPr>
          <w:rFonts w:hint="eastAsia"/>
          <w:color w:val="auto"/>
          <w:highlight w:val="none"/>
        </w:rPr>
        <w:t>2.6“电子交易平台”系指本项目政府采购活动所依托的政府采购云平台（https://www.zcygov.cn/）。</w:t>
      </w:r>
    </w:p>
    <w:p>
      <w:pPr>
        <w:ind w:firstLine="480"/>
        <w:rPr>
          <w:color w:val="auto"/>
          <w:highlight w:val="none"/>
        </w:rPr>
      </w:pPr>
      <w:r>
        <w:rPr>
          <w:rFonts w:hint="eastAsia"/>
          <w:color w:val="auto"/>
          <w:highlight w:val="none"/>
        </w:rPr>
        <w:t xml:space="preserve">2.7 </w:t>
      </w:r>
      <w:r>
        <w:rPr>
          <w:rFonts w:hint="eastAsia" w:ascii="宋体" w:hAnsi="宋体" w:cs="宋体"/>
          <w:color w:val="auto"/>
          <w:highlight w:val="none"/>
        </w:rPr>
        <w:t>“▲” 系指实质性要求条款，“★”系产品采购项目中重要技术参数，“</w:t>
      </w:r>
      <w:r>
        <w:rPr>
          <w:rFonts w:hint="eastAsia" w:ascii="宋体" w:hAnsi="宋体" w:cs="宋体"/>
          <w:color w:val="auto"/>
          <w:highlight w:val="none"/>
        </w:rPr>
        <w:sym w:font="Wingdings" w:char="00FE"/>
      </w:r>
      <w:r>
        <w:rPr>
          <w:rFonts w:hint="eastAsia" w:ascii="宋体" w:hAnsi="宋体" w:cs="宋体"/>
          <w:color w:val="auto"/>
          <w:highlight w:val="none"/>
        </w:rPr>
        <w:t>” 系指适用本项目的要求，“☐” 系指不适用本项目的要求</w:t>
      </w:r>
      <w:r>
        <w:rPr>
          <w:rFonts w:hint="eastAsia"/>
          <w:color w:val="auto"/>
          <w:highlight w:val="none"/>
        </w:rPr>
        <w:t>。</w:t>
      </w:r>
    </w:p>
    <w:p>
      <w:pPr>
        <w:ind w:firstLine="482"/>
        <w:rPr>
          <w:b/>
          <w:bCs/>
          <w:color w:val="auto"/>
          <w:highlight w:val="none"/>
        </w:rPr>
      </w:pPr>
      <w:r>
        <w:rPr>
          <w:rFonts w:hint="eastAsia"/>
          <w:b/>
          <w:bCs/>
          <w:color w:val="auto"/>
          <w:highlight w:val="none"/>
        </w:rPr>
        <w:t>3. 采购项目需要落实的政府采购政策</w:t>
      </w:r>
    </w:p>
    <w:p>
      <w:pPr>
        <w:ind w:firstLine="480"/>
        <w:rPr>
          <w:color w:val="auto"/>
          <w:highlight w:val="none"/>
        </w:rPr>
      </w:pPr>
      <w:r>
        <w:rPr>
          <w:rFonts w:hint="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ind w:firstLine="480"/>
        <w:rPr>
          <w:color w:val="auto"/>
          <w:highlight w:val="none"/>
        </w:rPr>
      </w:pPr>
      <w:r>
        <w:rPr>
          <w:rFonts w:hint="eastAsia"/>
          <w:color w:val="auto"/>
          <w:highlight w:val="none"/>
        </w:rPr>
        <w:t>3.2 支持绿色发展</w:t>
      </w:r>
    </w:p>
    <w:p>
      <w:pPr>
        <w:ind w:firstLine="480"/>
        <w:rPr>
          <w:color w:val="auto"/>
          <w:highlight w:val="none"/>
        </w:rPr>
      </w:pPr>
      <w:r>
        <w:rPr>
          <w:rFonts w:hint="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ind w:firstLine="480"/>
        <w:rPr>
          <w:color w:val="auto"/>
          <w:highlight w:val="none"/>
        </w:rPr>
      </w:pPr>
      <w:r>
        <w:rPr>
          <w:rFonts w:hint="eastAsia"/>
          <w:color w:val="auto"/>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color w:val="auto"/>
          <w:highlight w:val="none"/>
        </w:rPr>
      </w:pPr>
      <w:r>
        <w:rPr>
          <w:rFonts w:hint="eastAsia"/>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ind w:firstLine="480"/>
        <w:rPr>
          <w:color w:val="auto"/>
          <w:highlight w:val="none"/>
        </w:rPr>
      </w:pPr>
      <w:r>
        <w:rPr>
          <w:rFonts w:hint="eastAsia"/>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ind w:firstLine="480"/>
        <w:rPr>
          <w:color w:val="auto"/>
          <w:highlight w:val="none"/>
        </w:rPr>
      </w:pPr>
      <w:r>
        <w:rPr>
          <w:rFonts w:hint="eastAsia"/>
          <w:color w:val="auto"/>
          <w:highlight w:val="none"/>
        </w:rPr>
        <w:t>3.3支持中小企业发展</w:t>
      </w:r>
    </w:p>
    <w:p>
      <w:pPr>
        <w:ind w:firstLine="480"/>
        <w:rPr>
          <w:color w:val="auto"/>
          <w:highlight w:val="none"/>
        </w:rPr>
      </w:pPr>
      <w:r>
        <w:rPr>
          <w:rFonts w:hint="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highlight w:val="none"/>
        </w:rPr>
      </w:pPr>
      <w:r>
        <w:rPr>
          <w:rFonts w:hint="eastAsia"/>
          <w:color w:val="auto"/>
          <w:highlight w:val="none"/>
        </w:rPr>
        <w:t>符合中小企业划分标准的个体工商户，在政府采购活动中视同中小企业。</w:t>
      </w:r>
    </w:p>
    <w:p>
      <w:pPr>
        <w:ind w:firstLine="480"/>
        <w:rPr>
          <w:color w:val="auto"/>
          <w:highlight w:val="none"/>
        </w:rPr>
      </w:pPr>
      <w:r>
        <w:rPr>
          <w:rFonts w:hint="eastAsia"/>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ind w:firstLine="480"/>
        <w:rPr>
          <w:color w:val="auto"/>
          <w:highlight w:val="none"/>
        </w:rPr>
      </w:pPr>
      <w:r>
        <w:rPr>
          <w:rFonts w:hint="eastAsia"/>
          <w:color w:val="auto"/>
          <w:highlight w:val="none"/>
        </w:rPr>
        <w:t>3.3.3对于未预留份额专门面向中小企业的政府采购货物项目，以及预留份额政府采购货物项目中的非预留部分标项，对小型和微型企业的投标报价给予10%的扣除，用扣除后的价格参与评审。</w:t>
      </w:r>
    </w:p>
    <w:p>
      <w:pPr>
        <w:ind w:firstLine="480"/>
        <w:rPr>
          <w:color w:val="auto"/>
          <w:highlight w:val="none"/>
        </w:rPr>
      </w:pPr>
      <w:r>
        <w:rPr>
          <w:rFonts w:hint="eastAsia"/>
          <w:color w:val="auto"/>
          <w:highlight w:val="none"/>
        </w:rPr>
        <w:t>3.3.4符合《关于促进残疾人就业政府采购政策的通知》（财库〔2017〕141号）规定的条件并提供《残疾人福利性单位声明函》（附件1）的残疾人福利性单位视同小型、微型企业；</w:t>
      </w:r>
    </w:p>
    <w:p>
      <w:pPr>
        <w:ind w:firstLine="480"/>
        <w:rPr>
          <w:color w:val="auto"/>
          <w:highlight w:val="none"/>
        </w:rPr>
      </w:pPr>
      <w:r>
        <w:rPr>
          <w:rFonts w:hint="eastAsia"/>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highlight w:val="none"/>
        </w:rPr>
      </w:pPr>
      <w:r>
        <w:rPr>
          <w:rFonts w:hint="eastAsia"/>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highlight w:val="none"/>
        </w:rPr>
      </w:pPr>
      <w:r>
        <w:rPr>
          <w:rFonts w:hint="eastAsia"/>
          <w:color w:val="auto"/>
          <w:highlight w:val="none"/>
        </w:rPr>
        <w:t>3.3.7中小企业享受扶持政策获得政府采购合同的，小微企业不得将合同分包给大中型企业，中型企业不得将合同分包给大型企业。</w:t>
      </w:r>
    </w:p>
    <w:p>
      <w:pPr>
        <w:ind w:firstLine="480"/>
        <w:rPr>
          <w:color w:val="auto"/>
          <w:highlight w:val="none"/>
        </w:rPr>
      </w:pPr>
      <w:r>
        <w:rPr>
          <w:rFonts w:hint="eastAsia"/>
          <w:color w:val="auto"/>
          <w:highlight w:val="none"/>
        </w:rPr>
        <w:t>3.4支持创新发展</w:t>
      </w:r>
    </w:p>
    <w:p>
      <w:pPr>
        <w:ind w:firstLine="480"/>
        <w:rPr>
          <w:color w:val="auto"/>
          <w:highlight w:val="none"/>
        </w:rPr>
      </w:pPr>
      <w:r>
        <w:rPr>
          <w:rFonts w:hint="eastAsia"/>
          <w:color w:val="auto"/>
          <w:highlight w:val="none"/>
        </w:rPr>
        <w:t>3.4.1 采购人优先采购被认定为首台套产品和“制造精品”的自主创新产品。</w:t>
      </w:r>
    </w:p>
    <w:p>
      <w:pPr>
        <w:ind w:firstLine="480"/>
        <w:rPr>
          <w:color w:val="auto"/>
          <w:highlight w:val="none"/>
        </w:rPr>
      </w:pPr>
      <w:r>
        <w:rPr>
          <w:rFonts w:hint="eastAsia"/>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ind w:firstLine="480"/>
        <w:rPr>
          <w:color w:val="auto"/>
          <w:highlight w:val="none"/>
        </w:rPr>
      </w:pPr>
      <w:r>
        <w:rPr>
          <w:rFonts w:hint="eastAsia"/>
          <w:color w:val="auto"/>
          <w:highlight w:val="none"/>
        </w:rPr>
        <w:t>3.5平等对待内外资企业和符合条件的破产重整企业</w:t>
      </w:r>
    </w:p>
    <w:p>
      <w:pPr>
        <w:ind w:firstLine="480"/>
        <w:rPr>
          <w:color w:val="auto"/>
          <w:highlight w:val="none"/>
        </w:rPr>
      </w:pPr>
      <w:r>
        <w:rPr>
          <w:rFonts w:hint="eastAsia"/>
          <w:color w:val="auto"/>
          <w:highlight w:val="none"/>
        </w:rPr>
        <w:t>平等对待内外资企业和符合条件的破产重整企业，切实保障企业公平竞争，平等维护企业的合法利益。</w:t>
      </w:r>
    </w:p>
    <w:p>
      <w:pPr>
        <w:ind w:firstLine="482"/>
        <w:rPr>
          <w:color w:val="auto"/>
          <w:highlight w:val="none"/>
        </w:rPr>
      </w:pPr>
      <w:r>
        <w:rPr>
          <w:rFonts w:hint="eastAsia"/>
          <w:b/>
          <w:bCs/>
          <w:color w:val="auto"/>
          <w:highlight w:val="none"/>
        </w:rPr>
        <w:t>4. 询问、质疑、投诉</w:t>
      </w:r>
    </w:p>
    <w:p>
      <w:pPr>
        <w:ind w:firstLine="480"/>
        <w:rPr>
          <w:color w:val="auto"/>
          <w:highlight w:val="none"/>
        </w:rPr>
      </w:pPr>
      <w:r>
        <w:rPr>
          <w:rFonts w:hint="eastAsia"/>
          <w:color w:val="auto"/>
          <w:highlight w:val="none"/>
        </w:rPr>
        <w:t>4.1在线询问、质疑、投诉</w:t>
      </w:r>
    </w:p>
    <w:p>
      <w:pPr>
        <w:ind w:firstLine="480"/>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auto"/>
          <w:highlight w:val="none"/>
        </w:rPr>
      </w:pPr>
      <w:r>
        <w:rPr>
          <w:rFonts w:hint="eastAsia"/>
          <w:color w:val="auto"/>
          <w:highlight w:val="none"/>
        </w:rPr>
        <w:t>4.2供应商询问</w:t>
      </w:r>
    </w:p>
    <w:p>
      <w:pPr>
        <w:ind w:firstLine="480"/>
        <w:rPr>
          <w:color w:val="auto"/>
          <w:highlight w:val="none"/>
        </w:rPr>
      </w:pPr>
      <w:r>
        <w:rPr>
          <w:rFonts w:hint="eastAsia"/>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highlight w:val="none"/>
        </w:rPr>
      </w:pPr>
      <w:r>
        <w:rPr>
          <w:rFonts w:hint="eastAsia"/>
          <w:color w:val="auto"/>
          <w:highlight w:val="none"/>
        </w:rPr>
        <w:t>4.3供应商质疑</w:t>
      </w:r>
    </w:p>
    <w:p>
      <w:pPr>
        <w:ind w:firstLine="480"/>
        <w:rPr>
          <w:color w:val="auto"/>
          <w:highlight w:val="none"/>
        </w:rPr>
      </w:pPr>
      <w:r>
        <w:rPr>
          <w:rFonts w:hint="eastAsia"/>
          <w:color w:val="auto"/>
          <w:highlight w:val="none"/>
        </w:rPr>
        <w:t>4.3.1提出质疑的供应商应当是参与所质疑项目采购活动的供应商。潜在供应商已依法获取其可质疑的招标文件的，可以对该文件提出质疑。</w:t>
      </w:r>
    </w:p>
    <w:p>
      <w:pPr>
        <w:ind w:firstLine="480"/>
        <w:rPr>
          <w:color w:val="auto"/>
          <w:highlight w:val="none"/>
        </w:rPr>
      </w:pPr>
      <w:r>
        <w:rPr>
          <w:rFonts w:hint="eastAsia"/>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color w:val="auto"/>
          <w:highlight w:val="none"/>
        </w:rPr>
      </w:pPr>
      <w:r>
        <w:rPr>
          <w:rFonts w:hint="eastAsia"/>
          <w:color w:val="auto"/>
          <w:highlight w:val="none"/>
        </w:rPr>
        <w:t>4.3.2.1对招标文件提出质疑的，质疑期限为供应商获得招标文件之日或者招标文件公告期限届满之日起计算。</w:t>
      </w:r>
    </w:p>
    <w:p>
      <w:pPr>
        <w:ind w:firstLine="480"/>
        <w:rPr>
          <w:color w:val="auto"/>
          <w:highlight w:val="none"/>
        </w:rPr>
      </w:pPr>
      <w:r>
        <w:rPr>
          <w:rFonts w:hint="eastAsia"/>
          <w:color w:val="auto"/>
          <w:highlight w:val="none"/>
        </w:rPr>
        <w:t>4.3.2.2对采购过程提出质疑的，质疑期限为各采购程序环节结束之日起计算。</w:t>
      </w:r>
    </w:p>
    <w:p>
      <w:pPr>
        <w:ind w:firstLine="480"/>
        <w:rPr>
          <w:color w:val="auto"/>
          <w:highlight w:val="none"/>
        </w:rPr>
      </w:pPr>
      <w:r>
        <w:rPr>
          <w:rFonts w:hint="eastAsia"/>
          <w:color w:val="auto"/>
          <w:highlight w:val="none"/>
        </w:rPr>
        <w:t>4.3.2.3对采购结果提出质疑的，质疑期限自采购结果公告期限届满之日起计算。</w:t>
      </w:r>
    </w:p>
    <w:p>
      <w:pPr>
        <w:ind w:firstLine="480"/>
        <w:rPr>
          <w:color w:val="auto"/>
          <w:highlight w:val="none"/>
        </w:rPr>
      </w:pPr>
      <w:r>
        <w:rPr>
          <w:rFonts w:hint="eastAsia"/>
          <w:color w:val="auto"/>
          <w:highlight w:val="none"/>
        </w:rPr>
        <w:t>4.3.3供应商提出质疑应当提交质疑函和必要的证明材料。质疑函应当包括下列内容：</w:t>
      </w:r>
    </w:p>
    <w:p>
      <w:pPr>
        <w:ind w:firstLine="480"/>
        <w:rPr>
          <w:color w:val="auto"/>
          <w:highlight w:val="none"/>
        </w:rPr>
      </w:pPr>
      <w:r>
        <w:rPr>
          <w:rFonts w:hint="eastAsia"/>
          <w:color w:val="auto"/>
          <w:highlight w:val="none"/>
        </w:rPr>
        <w:t>4.3.3.1供应商的姓名或者名称、地址、邮编、联系人及联系电话；</w:t>
      </w:r>
    </w:p>
    <w:p>
      <w:pPr>
        <w:ind w:firstLine="480"/>
        <w:rPr>
          <w:color w:val="auto"/>
          <w:highlight w:val="none"/>
        </w:rPr>
      </w:pPr>
      <w:r>
        <w:rPr>
          <w:rFonts w:hint="eastAsia"/>
          <w:color w:val="auto"/>
          <w:highlight w:val="none"/>
        </w:rPr>
        <w:t>4.3.3.2质疑项目的名称、编号；</w:t>
      </w:r>
    </w:p>
    <w:p>
      <w:pPr>
        <w:ind w:firstLine="480"/>
        <w:rPr>
          <w:color w:val="auto"/>
          <w:highlight w:val="none"/>
        </w:rPr>
      </w:pPr>
      <w:r>
        <w:rPr>
          <w:rFonts w:hint="eastAsia"/>
          <w:color w:val="auto"/>
          <w:highlight w:val="none"/>
        </w:rPr>
        <w:t>4.3.3.3具体、明确的质疑事项和与质疑事项相关的请求；</w:t>
      </w:r>
    </w:p>
    <w:p>
      <w:pPr>
        <w:ind w:firstLine="480"/>
        <w:rPr>
          <w:color w:val="auto"/>
          <w:highlight w:val="none"/>
        </w:rPr>
      </w:pPr>
      <w:r>
        <w:rPr>
          <w:rFonts w:hint="eastAsia"/>
          <w:color w:val="auto"/>
          <w:highlight w:val="none"/>
        </w:rPr>
        <w:t>4.3.3.4事实依据；</w:t>
      </w:r>
    </w:p>
    <w:p>
      <w:pPr>
        <w:ind w:firstLine="480"/>
        <w:rPr>
          <w:color w:val="auto"/>
          <w:highlight w:val="none"/>
        </w:rPr>
      </w:pPr>
      <w:r>
        <w:rPr>
          <w:rFonts w:hint="eastAsia"/>
          <w:color w:val="auto"/>
          <w:highlight w:val="none"/>
        </w:rPr>
        <w:t>4.3.3.5必要的法律依据；</w:t>
      </w:r>
    </w:p>
    <w:p>
      <w:pPr>
        <w:ind w:firstLine="480"/>
        <w:rPr>
          <w:color w:val="auto"/>
          <w:highlight w:val="none"/>
        </w:rPr>
      </w:pPr>
      <w:r>
        <w:rPr>
          <w:rFonts w:hint="eastAsia"/>
          <w:color w:val="auto"/>
          <w:highlight w:val="none"/>
        </w:rPr>
        <w:t>4.3.3.6提出质疑的日期。</w:t>
      </w:r>
    </w:p>
    <w:p>
      <w:pPr>
        <w:ind w:firstLine="480"/>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highlight w:val="none"/>
        </w:rPr>
      </w:pPr>
      <w:r>
        <w:rPr>
          <w:rFonts w:hint="eastAsia"/>
          <w:color w:val="auto"/>
          <w:highlight w:val="none"/>
        </w:rPr>
        <w:t>质疑函范本及制作说明详见附件。</w:t>
      </w:r>
    </w:p>
    <w:p>
      <w:pPr>
        <w:ind w:firstLine="480"/>
        <w:rPr>
          <w:color w:val="auto"/>
          <w:highlight w:val="none"/>
        </w:rPr>
      </w:pPr>
      <w:r>
        <w:rPr>
          <w:rFonts w:hint="eastAsia"/>
          <w:color w:val="auto"/>
          <w:highlight w:val="none"/>
        </w:rPr>
        <w:t>4.3.4对同一采购程序环节的质疑，供应商须在法定质疑期内一次性提出。</w:t>
      </w:r>
    </w:p>
    <w:p>
      <w:pPr>
        <w:ind w:firstLine="480"/>
        <w:rPr>
          <w:color w:val="auto"/>
          <w:highlight w:val="none"/>
        </w:rPr>
      </w:pPr>
      <w:r>
        <w:rPr>
          <w:rFonts w:hint="eastAsia"/>
          <w:color w:val="auto"/>
          <w:highlight w:val="none"/>
        </w:rPr>
        <w:t>4.3.5</w:t>
      </w:r>
      <w:r>
        <w:rPr>
          <w:rFonts w:hint="eastAsia" w:ascii="宋体" w:hAnsi="宋体" w:cs="宋体"/>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ind w:firstLine="480"/>
        <w:rPr>
          <w:color w:val="auto"/>
          <w:highlight w:val="none"/>
        </w:rPr>
      </w:pPr>
      <w:r>
        <w:rPr>
          <w:rFonts w:hint="eastAsia"/>
          <w:color w:val="auto"/>
          <w:highlight w:val="none"/>
        </w:rPr>
        <w:t>4.3.6询问或者质疑事项可能影响采购结果的，采购人应当暂停签订合同，已经签订合同的，应当中止履行合同。</w:t>
      </w:r>
    </w:p>
    <w:p>
      <w:pPr>
        <w:ind w:firstLine="480"/>
        <w:rPr>
          <w:color w:val="auto"/>
          <w:highlight w:val="none"/>
        </w:rPr>
      </w:pPr>
      <w:r>
        <w:rPr>
          <w:rFonts w:hint="eastAsia"/>
          <w:color w:val="auto"/>
          <w:highlight w:val="none"/>
        </w:rPr>
        <w:t>4.4供应商投诉</w:t>
      </w:r>
    </w:p>
    <w:p>
      <w:pPr>
        <w:ind w:firstLine="480"/>
        <w:rPr>
          <w:color w:val="auto"/>
          <w:highlight w:val="none"/>
        </w:rPr>
      </w:pPr>
      <w:r>
        <w:rPr>
          <w:rFonts w:hint="eastAsia"/>
          <w:color w:val="auto"/>
          <w:highlight w:val="none"/>
        </w:rPr>
        <w:t>4.4.1</w:t>
      </w:r>
      <w:r>
        <w:rPr>
          <w:rFonts w:hint="eastAsia" w:ascii="宋体" w:hAnsi="宋体" w:cs="宋体"/>
          <w:color w:val="auto"/>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pPr>
        <w:ind w:firstLine="480"/>
        <w:rPr>
          <w:color w:val="auto"/>
          <w:highlight w:val="none"/>
        </w:rPr>
      </w:pPr>
      <w:r>
        <w:rPr>
          <w:rFonts w:hint="eastAsia"/>
          <w:color w:val="auto"/>
          <w:highlight w:val="none"/>
        </w:rPr>
        <w:t>4.4.2供应商投诉的事项不得超出已质疑事项的范围，基于质疑答复内容提出的投诉事项除外。</w:t>
      </w:r>
    </w:p>
    <w:p>
      <w:pPr>
        <w:ind w:firstLine="480"/>
        <w:rPr>
          <w:color w:val="auto"/>
          <w:highlight w:val="none"/>
        </w:rPr>
      </w:pPr>
      <w:r>
        <w:rPr>
          <w:rFonts w:hint="eastAsia"/>
          <w:color w:val="auto"/>
          <w:highlight w:val="none"/>
        </w:rPr>
        <w:t>4.4.3供应商投诉应当有明确的请求和必要的证明材料。</w:t>
      </w:r>
    </w:p>
    <w:p>
      <w:pPr>
        <w:ind w:firstLine="480"/>
        <w:rPr>
          <w:color w:val="auto"/>
          <w:highlight w:val="none"/>
        </w:rPr>
      </w:pPr>
      <w:r>
        <w:rPr>
          <w:rFonts w:hint="eastAsia"/>
          <w:color w:val="auto"/>
          <w:highlight w:val="none"/>
        </w:rPr>
        <w:t>4.4.4 以联合体形式参加政府采购活动的，其投诉应当由组成联合体的所有供应商共同提出。</w:t>
      </w:r>
    </w:p>
    <w:p>
      <w:pPr>
        <w:ind w:firstLine="480"/>
        <w:rPr>
          <w:color w:val="auto"/>
          <w:highlight w:val="none"/>
        </w:rPr>
      </w:pPr>
      <w:r>
        <w:rPr>
          <w:rFonts w:hint="eastAsia"/>
          <w:color w:val="auto"/>
          <w:highlight w:val="none"/>
        </w:rPr>
        <w:t>投诉书范本及制作说明详见附件。</w:t>
      </w:r>
    </w:p>
    <w:p>
      <w:pPr>
        <w:pStyle w:val="4"/>
        <w:ind w:firstLine="482"/>
        <w:rPr>
          <w:color w:val="auto"/>
          <w:highlight w:val="none"/>
        </w:rPr>
      </w:pPr>
      <w:bookmarkStart w:id="32" w:name="_Toc17738"/>
      <w:r>
        <w:rPr>
          <w:rFonts w:hint="eastAsia"/>
          <w:color w:val="auto"/>
          <w:highlight w:val="none"/>
        </w:rPr>
        <w:t>二、招标文件的构成、澄清、修改</w:t>
      </w:r>
      <w:bookmarkEnd w:id="32"/>
    </w:p>
    <w:p>
      <w:pPr>
        <w:ind w:firstLine="482"/>
        <w:rPr>
          <w:b/>
          <w:bCs/>
          <w:color w:val="auto"/>
          <w:highlight w:val="none"/>
        </w:rPr>
      </w:pPr>
      <w:r>
        <w:rPr>
          <w:rFonts w:hint="eastAsia"/>
          <w:b/>
          <w:bCs/>
          <w:color w:val="auto"/>
          <w:highlight w:val="none"/>
        </w:rPr>
        <w:t>5．招标文件的构成</w:t>
      </w:r>
    </w:p>
    <w:p>
      <w:pPr>
        <w:ind w:firstLine="480"/>
        <w:rPr>
          <w:color w:val="auto"/>
          <w:highlight w:val="none"/>
        </w:rPr>
      </w:pPr>
      <w:r>
        <w:rPr>
          <w:rFonts w:hint="eastAsia"/>
          <w:color w:val="auto"/>
          <w:highlight w:val="none"/>
        </w:rPr>
        <w:t>5.1 招标文件包括下列文件及附件：</w:t>
      </w:r>
    </w:p>
    <w:p>
      <w:pPr>
        <w:ind w:firstLine="480"/>
        <w:rPr>
          <w:color w:val="auto"/>
          <w:highlight w:val="none"/>
        </w:rPr>
      </w:pPr>
      <w:r>
        <w:rPr>
          <w:rFonts w:hint="eastAsia"/>
          <w:color w:val="auto"/>
          <w:highlight w:val="none"/>
        </w:rPr>
        <w:t>5.1.1招标公告；</w:t>
      </w:r>
    </w:p>
    <w:p>
      <w:pPr>
        <w:ind w:firstLine="480"/>
        <w:rPr>
          <w:color w:val="auto"/>
          <w:highlight w:val="none"/>
        </w:rPr>
      </w:pPr>
      <w:r>
        <w:rPr>
          <w:rFonts w:hint="eastAsia"/>
          <w:color w:val="auto"/>
          <w:highlight w:val="none"/>
        </w:rPr>
        <w:t>5.1.2投标人须知；</w:t>
      </w:r>
    </w:p>
    <w:p>
      <w:pPr>
        <w:ind w:firstLine="480"/>
        <w:rPr>
          <w:color w:val="auto"/>
          <w:highlight w:val="none"/>
        </w:rPr>
      </w:pPr>
      <w:r>
        <w:rPr>
          <w:rFonts w:hint="eastAsia"/>
          <w:color w:val="auto"/>
          <w:highlight w:val="none"/>
        </w:rPr>
        <w:t>5.1.3采购需求；</w:t>
      </w:r>
    </w:p>
    <w:p>
      <w:pPr>
        <w:ind w:firstLine="480"/>
        <w:rPr>
          <w:color w:val="auto"/>
          <w:highlight w:val="none"/>
        </w:rPr>
      </w:pPr>
      <w:r>
        <w:rPr>
          <w:rFonts w:hint="eastAsia"/>
          <w:color w:val="auto"/>
          <w:highlight w:val="none"/>
        </w:rPr>
        <w:t>5.1.4评标办法</w:t>
      </w:r>
      <w:r>
        <w:rPr>
          <w:rFonts w:hint="eastAsia"/>
          <w:color w:val="auto"/>
          <w:highlight w:val="none"/>
          <w:lang w:val="en-US" w:eastAsia="zh-CN"/>
        </w:rPr>
        <w:t>及标准</w:t>
      </w:r>
      <w:r>
        <w:rPr>
          <w:rFonts w:hint="eastAsia"/>
          <w:color w:val="auto"/>
          <w:highlight w:val="none"/>
        </w:rPr>
        <w:t>；</w:t>
      </w:r>
    </w:p>
    <w:p>
      <w:pPr>
        <w:ind w:firstLine="480"/>
        <w:rPr>
          <w:color w:val="auto"/>
          <w:highlight w:val="none"/>
        </w:rPr>
      </w:pPr>
      <w:r>
        <w:rPr>
          <w:rFonts w:hint="eastAsia"/>
          <w:color w:val="auto"/>
          <w:highlight w:val="none"/>
        </w:rPr>
        <w:t>5.1.5拟签订的合同文本；</w:t>
      </w:r>
    </w:p>
    <w:p>
      <w:pPr>
        <w:ind w:firstLine="480"/>
        <w:rPr>
          <w:rFonts w:hint="eastAsia"/>
          <w:color w:val="auto"/>
          <w:highlight w:val="none"/>
          <w:lang w:val="en-US" w:eastAsia="zh-CN"/>
        </w:rPr>
      </w:pPr>
      <w:r>
        <w:rPr>
          <w:rFonts w:hint="eastAsia"/>
          <w:color w:val="auto"/>
          <w:highlight w:val="none"/>
        </w:rPr>
        <w:t>5.1.6</w:t>
      </w:r>
      <w:r>
        <w:rPr>
          <w:rFonts w:hint="eastAsia"/>
          <w:color w:val="auto"/>
          <w:highlight w:val="none"/>
          <w:lang w:val="en-US" w:eastAsia="zh-CN"/>
        </w:rPr>
        <w:t>投标文件格式</w:t>
      </w:r>
    </w:p>
    <w:p>
      <w:pPr>
        <w:ind w:firstLine="480"/>
        <w:rPr>
          <w:color w:val="auto"/>
          <w:highlight w:val="none"/>
        </w:rPr>
      </w:pPr>
      <w:r>
        <w:rPr>
          <w:rFonts w:hint="eastAsia"/>
          <w:color w:val="auto"/>
          <w:highlight w:val="none"/>
          <w:lang w:val="en-US" w:eastAsia="zh-CN"/>
        </w:rPr>
        <w:t>5.1.7其他</w:t>
      </w:r>
      <w:r>
        <w:rPr>
          <w:rFonts w:hint="eastAsia"/>
          <w:color w:val="auto"/>
          <w:highlight w:val="none"/>
        </w:rPr>
        <w:t>。</w:t>
      </w:r>
    </w:p>
    <w:p>
      <w:pPr>
        <w:ind w:firstLine="480"/>
        <w:rPr>
          <w:color w:val="auto"/>
          <w:highlight w:val="none"/>
        </w:rPr>
      </w:pPr>
      <w:r>
        <w:rPr>
          <w:rFonts w:hint="eastAsia"/>
          <w:color w:val="auto"/>
          <w:highlight w:val="none"/>
        </w:rPr>
        <w:t>5.2与本项目有关的澄清或者修改的内容为招标文件的组成部分。</w:t>
      </w:r>
    </w:p>
    <w:p>
      <w:pPr>
        <w:ind w:firstLine="482"/>
        <w:rPr>
          <w:b/>
          <w:bCs/>
          <w:color w:val="auto"/>
          <w:highlight w:val="none"/>
        </w:rPr>
      </w:pPr>
      <w:r>
        <w:rPr>
          <w:rFonts w:hint="eastAsia"/>
          <w:b/>
          <w:bCs/>
          <w:color w:val="auto"/>
          <w:highlight w:val="none"/>
        </w:rPr>
        <w:t>6. 招标文件的澄清、修改</w:t>
      </w:r>
    </w:p>
    <w:p>
      <w:pPr>
        <w:ind w:firstLine="480"/>
        <w:rPr>
          <w:color w:val="auto"/>
          <w:highlight w:val="none"/>
        </w:rPr>
      </w:pPr>
      <w:r>
        <w:rPr>
          <w:rFonts w:hint="eastAsia"/>
          <w:color w:val="auto"/>
          <w:highlight w:val="none"/>
        </w:rPr>
        <w:t>6.1已获取招标文件的潜在投标人，若有问题需要澄清，应于投标截止时间前，以书面形式向采购代理机构提出。</w:t>
      </w:r>
    </w:p>
    <w:p>
      <w:pPr>
        <w:ind w:firstLine="480"/>
        <w:rPr>
          <w:color w:val="auto"/>
          <w:highlight w:val="none"/>
        </w:rPr>
      </w:pPr>
      <w:r>
        <w:rPr>
          <w:rFonts w:hint="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ind w:firstLine="482"/>
        <w:rPr>
          <w:color w:val="auto"/>
          <w:highlight w:val="none"/>
        </w:rPr>
      </w:pPr>
      <w:bookmarkStart w:id="33" w:name="_Toc25790"/>
      <w:r>
        <w:rPr>
          <w:rFonts w:hint="eastAsia"/>
          <w:color w:val="auto"/>
          <w:highlight w:val="none"/>
        </w:rPr>
        <w:t>三、投标</w:t>
      </w:r>
      <w:bookmarkEnd w:id="33"/>
    </w:p>
    <w:p>
      <w:pPr>
        <w:ind w:firstLine="482"/>
        <w:rPr>
          <w:b/>
          <w:bCs/>
          <w:color w:val="auto"/>
          <w:highlight w:val="none"/>
        </w:rPr>
      </w:pPr>
      <w:r>
        <w:rPr>
          <w:rFonts w:hint="eastAsia"/>
          <w:b/>
          <w:bCs/>
          <w:color w:val="auto"/>
          <w:highlight w:val="none"/>
        </w:rPr>
        <w:t>7.招标文件的获取</w:t>
      </w:r>
    </w:p>
    <w:p>
      <w:pPr>
        <w:ind w:firstLine="480"/>
        <w:rPr>
          <w:color w:val="auto"/>
          <w:highlight w:val="none"/>
        </w:rPr>
      </w:pPr>
      <w:r>
        <w:rPr>
          <w:rFonts w:hint="eastAsia"/>
          <w:color w:val="auto"/>
          <w:highlight w:val="none"/>
        </w:rPr>
        <w:t>详见招标公告中获取招标文件的时间期限、地点、方式及招标文件售价。</w:t>
      </w:r>
    </w:p>
    <w:p>
      <w:pPr>
        <w:ind w:firstLine="482"/>
        <w:rPr>
          <w:b/>
          <w:bCs/>
          <w:color w:val="auto"/>
          <w:highlight w:val="none"/>
        </w:rPr>
      </w:pPr>
      <w:r>
        <w:rPr>
          <w:rFonts w:hint="eastAsia"/>
          <w:b/>
          <w:bCs/>
          <w:color w:val="auto"/>
          <w:highlight w:val="none"/>
        </w:rPr>
        <w:t>8.开标前答疑会或现场考察</w:t>
      </w:r>
    </w:p>
    <w:p>
      <w:pPr>
        <w:ind w:firstLine="480"/>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ind w:firstLine="482"/>
        <w:rPr>
          <w:b/>
          <w:bCs/>
          <w:color w:val="auto"/>
          <w:highlight w:val="none"/>
        </w:rPr>
      </w:pPr>
      <w:r>
        <w:rPr>
          <w:rFonts w:hint="eastAsia"/>
          <w:b/>
          <w:bCs/>
          <w:color w:val="auto"/>
          <w:highlight w:val="none"/>
        </w:rPr>
        <w:t>9.投标保证金</w:t>
      </w:r>
    </w:p>
    <w:p>
      <w:pPr>
        <w:ind w:firstLine="480"/>
        <w:rPr>
          <w:color w:val="auto"/>
          <w:highlight w:val="none"/>
        </w:rPr>
      </w:pPr>
      <w:r>
        <w:rPr>
          <w:rFonts w:hint="eastAsia"/>
          <w:color w:val="auto"/>
          <w:highlight w:val="none"/>
        </w:rPr>
        <w:t>本项目不需缴纳投标保证金。</w:t>
      </w:r>
    </w:p>
    <w:p>
      <w:pPr>
        <w:ind w:firstLine="482"/>
        <w:rPr>
          <w:b/>
          <w:bCs/>
          <w:color w:val="auto"/>
          <w:highlight w:val="none"/>
        </w:rPr>
      </w:pPr>
      <w:r>
        <w:rPr>
          <w:rFonts w:hint="eastAsia"/>
          <w:b/>
          <w:bCs/>
          <w:color w:val="auto"/>
          <w:highlight w:val="none"/>
        </w:rPr>
        <w:t>10.投标文件的语言</w:t>
      </w:r>
    </w:p>
    <w:p>
      <w:pPr>
        <w:ind w:firstLine="480"/>
        <w:rPr>
          <w:color w:val="auto"/>
          <w:highlight w:val="none"/>
        </w:rPr>
      </w:pPr>
      <w:r>
        <w:rPr>
          <w:rFonts w:hint="eastAsia"/>
          <w:color w:val="auto"/>
          <w:highlight w:val="none"/>
        </w:rPr>
        <w:t>投标文件及投标人与采购有关的来往通知、函件和文件均应使用中文。</w:t>
      </w:r>
    </w:p>
    <w:p>
      <w:pPr>
        <w:ind w:firstLine="482"/>
        <w:rPr>
          <w:b/>
          <w:bCs/>
          <w:color w:val="auto"/>
          <w:highlight w:val="none"/>
        </w:rPr>
      </w:pPr>
      <w:r>
        <w:rPr>
          <w:rFonts w:hint="eastAsia"/>
          <w:b/>
          <w:bCs/>
          <w:color w:val="auto"/>
          <w:highlight w:val="none"/>
        </w:rPr>
        <w:t>11.投标文件的组成</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11.1 资格文件</w:t>
      </w:r>
    </w:p>
    <w:p>
      <w:pPr>
        <w:autoSpaceDE w:val="0"/>
        <w:autoSpaceDN w:val="0"/>
        <w:adjustRightInd w:val="0"/>
        <w:snapToGrid w:val="0"/>
        <w:ind w:firstLine="482"/>
        <w:textAlignment w:val="bottom"/>
        <w:rPr>
          <w:rFonts w:ascii="宋体" w:hAnsi="宋体" w:cs="宋体"/>
          <w:b/>
          <w:bCs/>
          <w:color w:val="auto"/>
          <w:highlight w:val="none"/>
        </w:rPr>
      </w:pPr>
      <w:r>
        <w:rPr>
          <w:rFonts w:hint="eastAsia" w:ascii="宋体" w:hAnsi="宋体" w:cs="宋体"/>
          <w:b/>
          <w:bCs/>
          <w:color w:val="auto"/>
          <w:highlight w:val="none"/>
        </w:rPr>
        <w:t>详见“第六部分 投标文件格式 ”要求</w:t>
      </w:r>
    </w:p>
    <w:p>
      <w:pPr>
        <w:autoSpaceDE w:val="0"/>
        <w:autoSpaceDN w:val="0"/>
        <w:adjustRightInd w:val="0"/>
        <w:snapToGrid w:val="0"/>
        <w:ind w:firstLine="482"/>
        <w:textAlignment w:val="bottom"/>
        <w:rPr>
          <w:rFonts w:ascii="宋体" w:hAnsi="宋体" w:cs="宋体"/>
          <w:b/>
          <w:bCs/>
          <w:color w:val="auto"/>
          <w:highlight w:val="none"/>
        </w:rPr>
      </w:pPr>
      <w:r>
        <w:rPr>
          <w:rFonts w:hint="eastAsia" w:ascii="宋体" w:hAnsi="宋体" w:cs="宋体"/>
          <w:b/>
          <w:color w:val="auto"/>
          <w:highlight w:val="none"/>
        </w:rPr>
        <w:t>11.2 商务技术文件</w:t>
      </w:r>
    </w:p>
    <w:p>
      <w:pPr>
        <w:tabs>
          <w:tab w:val="left" w:pos="900"/>
        </w:tabs>
        <w:adjustRightInd w:val="0"/>
        <w:snapToGrid w:val="0"/>
        <w:ind w:firstLine="482"/>
        <w:rPr>
          <w:rFonts w:ascii="宋体" w:hAnsi="宋体" w:cs="宋体"/>
          <w:b/>
          <w:color w:val="auto"/>
          <w:highlight w:val="none"/>
        </w:rPr>
      </w:pPr>
      <w:r>
        <w:rPr>
          <w:rFonts w:hint="eastAsia" w:ascii="宋体" w:hAnsi="宋体" w:cs="宋体"/>
          <w:b/>
          <w:color w:val="auto"/>
          <w:highlight w:val="none"/>
        </w:rPr>
        <w:t xml:space="preserve">详见“第六部分 </w:t>
      </w:r>
      <w:r>
        <w:rPr>
          <w:rFonts w:hint="eastAsia" w:ascii="宋体" w:hAnsi="宋体" w:cs="宋体"/>
          <w:b/>
          <w:bCs/>
          <w:color w:val="auto"/>
          <w:highlight w:val="none"/>
        </w:rPr>
        <w:t xml:space="preserve">投标文件格式 </w:t>
      </w:r>
      <w:r>
        <w:rPr>
          <w:rFonts w:hint="eastAsia" w:ascii="宋体" w:hAnsi="宋体" w:cs="宋体"/>
          <w:b/>
          <w:color w:val="auto"/>
          <w:highlight w:val="none"/>
        </w:rPr>
        <w:t>”要求</w:t>
      </w:r>
    </w:p>
    <w:p>
      <w:pPr>
        <w:tabs>
          <w:tab w:val="left" w:pos="900"/>
        </w:tabs>
        <w:adjustRightInd w:val="0"/>
        <w:snapToGrid w:val="0"/>
        <w:ind w:firstLine="482"/>
        <w:rPr>
          <w:rFonts w:ascii="宋体" w:hAnsi="宋体" w:cs="宋体"/>
          <w:b/>
          <w:color w:val="auto"/>
          <w:highlight w:val="none"/>
        </w:rPr>
      </w:pPr>
      <w:r>
        <w:rPr>
          <w:rFonts w:hint="eastAsia" w:ascii="宋体" w:hAnsi="宋体" w:cs="宋体"/>
          <w:b/>
          <w:color w:val="auto"/>
          <w:highlight w:val="none"/>
        </w:rPr>
        <w:t>11.3 报价文件</w:t>
      </w:r>
    </w:p>
    <w:p>
      <w:pPr>
        <w:tabs>
          <w:tab w:val="left" w:pos="900"/>
        </w:tabs>
        <w:adjustRightInd w:val="0"/>
        <w:snapToGrid w:val="0"/>
        <w:ind w:firstLine="482"/>
        <w:rPr>
          <w:rFonts w:ascii="宋体" w:hAnsi="宋体" w:cs="宋体"/>
          <w:b/>
          <w:color w:val="auto"/>
          <w:highlight w:val="none"/>
        </w:rPr>
      </w:pPr>
      <w:r>
        <w:rPr>
          <w:rFonts w:hint="eastAsia" w:ascii="宋体" w:hAnsi="宋体" w:cs="宋体"/>
          <w:b/>
          <w:color w:val="auto"/>
          <w:highlight w:val="none"/>
        </w:rPr>
        <w:t xml:space="preserve">详见“第六部分 </w:t>
      </w:r>
      <w:r>
        <w:rPr>
          <w:rFonts w:hint="eastAsia" w:ascii="宋体" w:hAnsi="宋体" w:cs="宋体"/>
          <w:b/>
          <w:bCs/>
          <w:color w:val="auto"/>
          <w:highlight w:val="none"/>
        </w:rPr>
        <w:t xml:space="preserve">投标文件格式 </w:t>
      </w:r>
      <w:r>
        <w:rPr>
          <w:rFonts w:hint="eastAsia" w:ascii="宋体" w:hAnsi="宋体" w:cs="宋体"/>
          <w:b/>
          <w:color w:val="auto"/>
          <w:highlight w:val="none"/>
        </w:rPr>
        <w:t>”要求</w:t>
      </w:r>
    </w:p>
    <w:p>
      <w:pPr>
        <w:tabs>
          <w:tab w:val="left" w:pos="900"/>
        </w:tabs>
        <w:adjustRightInd w:val="0"/>
        <w:snapToGrid w:val="0"/>
        <w:ind w:firstLine="482"/>
        <w:rPr>
          <w:rFonts w:ascii="宋体" w:hAnsi="宋体" w:cs="宋体"/>
          <w:b/>
          <w:color w:val="auto"/>
          <w:highlight w:val="none"/>
        </w:rPr>
      </w:pPr>
      <w:r>
        <w:rPr>
          <w:rFonts w:hint="eastAsia" w:ascii="宋体" w:hAnsi="宋体" w:cs="宋体"/>
          <w:b/>
          <w:color w:val="auto"/>
          <w:highlight w:val="none"/>
        </w:rPr>
        <w:t>投标文件含有采购人不能接受的附加条件的，投标无效；</w:t>
      </w:r>
    </w:p>
    <w:p>
      <w:pPr>
        <w:ind w:firstLine="482"/>
        <w:rPr>
          <w:color w:val="auto"/>
          <w:highlight w:val="none"/>
        </w:rPr>
      </w:pPr>
      <w:r>
        <w:rPr>
          <w:rFonts w:hint="eastAsia" w:ascii="宋体" w:hAnsi="宋体" w:cs="宋体"/>
          <w:b/>
          <w:color w:val="auto"/>
          <w:highlight w:val="none"/>
        </w:rPr>
        <w:t>投标人提供虚假材料投标的，投标无效。</w:t>
      </w:r>
    </w:p>
    <w:p>
      <w:pPr>
        <w:ind w:firstLine="482"/>
        <w:rPr>
          <w:b/>
          <w:bCs/>
          <w:color w:val="auto"/>
          <w:highlight w:val="none"/>
        </w:rPr>
      </w:pPr>
      <w:r>
        <w:rPr>
          <w:rFonts w:hint="eastAsia"/>
          <w:b/>
          <w:bCs/>
          <w:color w:val="auto"/>
          <w:highlight w:val="none"/>
        </w:rPr>
        <w:t>12.投标文件的编制</w:t>
      </w:r>
    </w:p>
    <w:p>
      <w:pPr>
        <w:ind w:firstLine="480"/>
        <w:rPr>
          <w:color w:val="auto"/>
          <w:highlight w:val="none"/>
        </w:rPr>
      </w:pPr>
      <w:r>
        <w:rPr>
          <w:rFonts w:hint="eastAsia"/>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color w:val="auto"/>
          <w:highlight w:val="none"/>
        </w:rPr>
      </w:pPr>
      <w:r>
        <w:rPr>
          <w:rFonts w:hint="eastAsia"/>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color w:val="auto"/>
          <w:highlight w:val="none"/>
        </w:rPr>
      </w:pPr>
      <w:r>
        <w:rPr>
          <w:rFonts w:hint="eastAsia"/>
          <w:color w:val="auto"/>
          <w:highlight w:val="none"/>
        </w:rPr>
        <w:t>12.3使用“政采云电子交易客户端”需要提前申领CA数字证书，申领流程请自行前往“浙江政府采购网-下载专区-电子交易客户端-CA驱动和申领流程”进行查阅。</w:t>
      </w:r>
    </w:p>
    <w:p>
      <w:pPr>
        <w:ind w:firstLine="482"/>
        <w:rPr>
          <w:b/>
          <w:bCs/>
          <w:color w:val="auto"/>
          <w:highlight w:val="none"/>
        </w:rPr>
      </w:pPr>
      <w:r>
        <w:rPr>
          <w:rFonts w:hint="eastAsia"/>
          <w:b/>
          <w:bCs/>
          <w:color w:val="auto"/>
          <w:highlight w:val="none"/>
        </w:rPr>
        <w:t>13.投标文件的签署、盖章</w:t>
      </w:r>
    </w:p>
    <w:p>
      <w:pPr>
        <w:ind w:firstLine="480"/>
        <w:rPr>
          <w:color w:val="auto"/>
          <w:highlight w:val="none"/>
        </w:rPr>
      </w:pPr>
      <w:r>
        <w:rPr>
          <w:rFonts w:hint="eastAsia"/>
          <w:color w:val="auto"/>
          <w:highlight w:val="none"/>
        </w:rPr>
        <w:t>13.1投标文件按照招标文件第六部分格式要求进行签署、盖章。▲投标人的投标文件未按照招标文件要求签署、盖章的，其投标无效。</w:t>
      </w:r>
    </w:p>
    <w:p>
      <w:pPr>
        <w:ind w:firstLine="480"/>
        <w:rPr>
          <w:color w:val="auto"/>
          <w:highlight w:val="none"/>
        </w:rPr>
      </w:pPr>
      <w:r>
        <w:rPr>
          <w:rFonts w:hint="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ind w:firstLine="480"/>
        <w:rPr>
          <w:color w:val="auto"/>
          <w:highlight w:val="none"/>
        </w:rPr>
      </w:pPr>
      <w:r>
        <w:rPr>
          <w:rFonts w:hint="eastAsia"/>
          <w:color w:val="auto"/>
          <w:highlight w:val="none"/>
        </w:rPr>
        <w:t>13.3招标文件对投标文件签署、盖章的要求适用于电子签名。</w:t>
      </w:r>
    </w:p>
    <w:p>
      <w:pPr>
        <w:ind w:firstLine="482"/>
        <w:rPr>
          <w:b/>
          <w:bCs/>
          <w:color w:val="auto"/>
          <w:highlight w:val="none"/>
        </w:rPr>
      </w:pPr>
      <w:r>
        <w:rPr>
          <w:rFonts w:hint="eastAsia"/>
          <w:b/>
          <w:bCs/>
          <w:color w:val="auto"/>
          <w:highlight w:val="none"/>
        </w:rPr>
        <w:t>14. 投标文件的提交、补充、修改、撤回</w:t>
      </w:r>
    </w:p>
    <w:p>
      <w:pPr>
        <w:ind w:firstLine="480"/>
        <w:rPr>
          <w:color w:val="auto"/>
          <w:highlight w:val="none"/>
        </w:rPr>
      </w:pPr>
      <w:r>
        <w:rPr>
          <w:rFonts w:hint="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rPr>
          <w:color w:val="auto"/>
          <w:highlight w:val="none"/>
        </w:rPr>
      </w:pPr>
      <w:r>
        <w:rPr>
          <w:rFonts w:hint="eastAsia"/>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ind w:firstLine="480"/>
        <w:rPr>
          <w:color w:val="auto"/>
          <w:highlight w:val="none"/>
        </w:rPr>
      </w:pPr>
      <w:r>
        <w:rPr>
          <w:rFonts w:hint="eastAsia"/>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ind w:firstLine="482"/>
        <w:rPr>
          <w:b/>
          <w:bCs/>
          <w:color w:val="auto"/>
          <w:highlight w:val="none"/>
        </w:rPr>
      </w:pPr>
      <w:r>
        <w:rPr>
          <w:rFonts w:hint="eastAsia"/>
          <w:b/>
          <w:bCs/>
          <w:color w:val="auto"/>
          <w:highlight w:val="none"/>
        </w:rPr>
        <w:t>15.备份投标文件</w:t>
      </w:r>
    </w:p>
    <w:p>
      <w:pPr>
        <w:ind w:firstLine="480"/>
        <w:rPr>
          <w:color w:val="auto"/>
          <w:highlight w:val="none"/>
        </w:rPr>
      </w:pPr>
      <w:r>
        <w:rPr>
          <w:rFonts w:hint="eastAsia"/>
          <w:color w:val="auto"/>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pPr>
        <w:ind w:firstLine="480"/>
        <w:rPr>
          <w:color w:val="auto"/>
          <w:highlight w:val="none"/>
        </w:rPr>
      </w:pPr>
      <w:r>
        <w:rPr>
          <w:rFonts w:hint="eastAsia"/>
          <w:color w:val="auto"/>
          <w:highlight w:val="none"/>
        </w:rPr>
        <w:t>15.2备份投标文件须在“政采云投标客户端”制作生成</w:t>
      </w:r>
      <w:r>
        <w:rPr>
          <w:rFonts w:hint="eastAsia" w:ascii="宋体" w:hAnsi="宋体" w:cs="宋体"/>
          <w:bCs/>
          <w:color w:val="auto"/>
          <w:highlight w:val="none"/>
        </w:rPr>
        <w:t>（后缀格式为.bfbs）</w:t>
      </w:r>
      <w:r>
        <w:rPr>
          <w:rFonts w:hint="eastAsia"/>
          <w:color w:val="auto"/>
          <w:highlight w:val="none"/>
        </w:rPr>
        <w:t>，并储存在DVD光盘等存储介质中。备份投标文件应当密封包装并在包装上加盖公章并注明投标项目名称，投标人名称。不符合上述制作、存储、密封规定的备份投标文件将被视为无效或者被拒绝接收。</w:t>
      </w:r>
    </w:p>
    <w:p>
      <w:pPr>
        <w:ind w:firstLine="480"/>
        <w:rPr>
          <w:color w:val="auto"/>
          <w:highlight w:val="none"/>
        </w:rPr>
      </w:pPr>
      <w:r>
        <w:rPr>
          <w:rFonts w:hint="eastAsia"/>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ind w:firstLine="480"/>
        <w:rPr>
          <w:color w:val="auto"/>
          <w:highlight w:val="none"/>
        </w:rPr>
      </w:pPr>
      <w:r>
        <w:rPr>
          <w:rFonts w:hint="eastAsia"/>
          <w:color w:val="auto"/>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ind w:firstLine="480"/>
        <w:rPr>
          <w:color w:val="auto"/>
          <w:highlight w:val="none"/>
        </w:rPr>
      </w:pPr>
      <w:r>
        <w:rPr>
          <w:rFonts w:hint="eastAsia"/>
          <w:color w:val="auto"/>
          <w:highlight w:val="none"/>
        </w:rPr>
        <w:t>15.5投标人仅提交备份投标文件，未在电子交易平台传输递交投标文件的，投标无效。</w:t>
      </w:r>
    </w:p>
    <w:p>
      <w:pPr>
        <w:ind w:firstLine="482"/>
        <w:rPr>
          <w:b/>
          <w:bCs/>
          <w:color w:val="auto"/>
          <w:highlight w:val="none"/>
        </w:rPr>
      </w:pPr>
      <w:r>
        <w:rPr>
          <w:rFonts w:hint="eastAsia"/>
          <w:b/>
          <w:bCs/>
          <w:color w:val="auto"/>
          <w:highlight w:val="none"/>
        </w:rPr>
        <w:t>16.投标文件的无效处理</w:t>
      </w:r>
    </w:p>
    <w:p>
      <w:pPr>
        <w:ind w:firstLine="480"/>
        <w:rPr>
          <w:color w:val="auto"/>
          <w:highlight w:val="none"/>
        </w:rPr>
      </w:pPr>
      <w:r>
        <w:rPr>
          <w:rFonts w:hint="eastAsia"/>
          <w:color w:val="auto"/>
          <w:highlight w:val="none"/>
        </w:rPr>
        <w:t>有招标文件第四部分4.2规定的情形之一的，投标无效：</w:t>
      </w:r>
    </w:p>
    <w:p>
      <w:pPr>
        <w:ind w:firstLine="482"/>
        <w:rPr>
          <w:b/>
          <w:bCs/>
          <w:color w:val="auto"/>
          <w:highlight w:val="none"/>
        </w:rPr>
      </w:pPr>
      <w:r>
        <w:rPr>
          <w:rFonts w:hint="eastAsia"/>
          <w:b/>
          <w:bCs/>
          <w:color w:val="auto"/>
          <w:highlight w:val="none"/>
        </w:rPr>
        <w:t>17.投标有效期</w:t>
      </w:r>
    </w:p>
    <w:p>
      <w:pPr>
        <w:ind w:firstLine="480"/>
        <w:rPr>
          <w:b/>
          <w:bCs/>
          <w:color w:val="auto"/>
          <w:highlight w:val="none"/>
        </w:rPr>
      </w:pPr>
      <w:r>
        <w:rPr>
          <w:rFonts w:hint="eastAsia"/>
          <w:color w:val="auto"/>
          <w:highlight w:val="none"/>
        </w:rPr>
        <w:t>17.1投标有效期为从提交投标文件的截止之日起120天。▲</w:t>
      </w:r>
      <w:r>
        <w:rPr>
          <w:rFonts w:hint="eastAsia"/>
          <w:b/>
          <w:bCs/>
          <w:color w:val="auto"/>
          <w:highlight w:val="none"/>
        </w:rPr>
        <w:t>投标人的投标文件中承诺的投标有效期少于招标文件中载明的投标有效期的，投标无效。</w:t>
      </w:r>
    </w:p>
    <w:p>
      <w:pPr>
        <w:ind w:firstLine="480"/>
        <w:rPr>
          <w:color w:val="auto"/>
          <w:highlight w:val="none"/>
        </w:rPr>
      </w:pPr>
      <w:r>
        <w:rPr>
          <w:rFonts w:hint="eastAsia"/>
          <w:color w:val="auto"/>
          <w:highlight w:val="none"/>
        </w:rPr>
        <w:t>17.2投标文件合格投递后，自投标截止日期起，在投标有效期内有效。</w:t>
      </w:r>
    </w:p>
    <w:p>
      <w:pPr>
        <w:ind w:firstLine="480"/>
        <w:rPr>
          <w:color w:val="auto"/>
          <w:highlight w:val="none"/>
        </w:rPr>
      </w:pPr>
      <w:r>
        <w:rPr>
          <w:rFonts w:hint="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4"/>
        <w:ind w:firstLine="482"/>
        <w:rPr>
          <w:color w:val="auto"/>
          <w:highlight w:val="none"/>
        </w:rPr>
      </w:pPr>
      <w:bookmarkStart w:id="34" w:name="_Toc6373"/>
      <w:r>
        <w:rPr>
          <w:rFonts w:hint="eastAsia"/>
          <w:color w:val="auto"/>
          <w:highlight w:val="none"/>
        </w:rPr>
        <w:t>四、开标、资格审查与信用信息查询</w:t>
      </w:r>
      <w:bookmarkEnd w:id="34"/>
    </w:p>
    <w:p>
      <w:pPr>
        <w:ind w:firstLine="482"/>
        <w:rPr>
          <w:color w:val="auto"/>
          <w:highlight w:val="none"/>
        </w:rPr>
      </w:pPr>
      <w:r>
        <w:rPr>
          <w:rFonts w:hint="eastAsia"/>
          <w:b/>
          <w:bCs/>
          <w:color w:val="auto"/>
          <w:highlight w:val="none"/>
        </w:rPr>
        <w:t>18.开标</w:t>
      </w:r>
      <w:r>
        <w:rPr>
          <w:rFonts w:hint="eastAsia"/>
          <w:color w:val="auto"/>
          <w:highlight w:val="none"/>
        </w:rPr>
        <w:t xml:space="preserve"> </w:t>
      </w:r>
    </w:p>
    <w:p>
      <w:pPr>
        <w:ind w:firstLine="480"/>
        <w:rPr>
          <w:color w:val="auto"/>
          <w:highlight w:val="none"/>
        </w:rPr>
      </w:pPr>
      <w:r>
        <w:rPr>
          <w:rFonts w:hint="eastAsia"/>
          <w:color w:val="auto"/>
          <w:highlight w:val="none"/>
        </w:rPr>
        <w:t>18.1采购代理机构按照招标文件规定的时间通过电子交易平台组织开标，所有投标人均应当准时在线参加。投标人不足3家的，不得开标。</w:t>
      </w:r>
    </w:p>
    <w:p>
      <w:pPr>
        <w:ind w:firstLine="480"/>
        <w:rPr>
          <w:color w:val="auto"/>
          <w:highlight w:val="none"/>
        </w:rPr>
      </w:pPr>
      <w:r>
        <w:rPr>
          <w:rFonts w:hint="eastAsia"/>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ind w:firstLine="480"/>
        <w:rPr>
          <w:color w:val="auto"/>
          <w:highlight w:val="none"/>
        </w:rPr>
      </w:pPr>
      <w:r>
        <w:rPr>
          <w:rFonts w:hint="eastAsia"/>
          <w:color w:val="auto"/>
          <w:highlight w:val="none"/>
        </w:rPr>
        <w:t>18.3投标文件未按时解密，投标人提供了备份投标文件的，以备份投标文件作为依据，否则视为投标文件撤回。投标文件已按时解密的，备份投标文件自动失效。</w:t>
      </w:r>
    </w:p>
    <w:p>
      <w:pPr>
        <w:ind w:firstLine="482"/>
        <w:rPr>
          <w:b/>
          <w:bCs/>
          <w:color w:val="auto"/>
          <w:highlight w:val="none"/>
        </w:rPr>
      </w:pPr>
      <w:r>
        <w:rPr>
          <w:rFonts w:hint="eastAsia"/>
          <w:b/>
          <w:bCs/>
          <w:color w:val="auto"/>
          <w:highlight w:val="none"/>
        </w:rPr>
        <w:t>19、资格审查</w:t>
      </w:r>
    </w:p>
    <w:p>
      <w:pPr>
        <w:ind w:firstLine="480"/>
        <w:rPr>
          <w:color w:val="auto"/>
          <w:highlight w:val="none"/>
        </w:rPr>
      </w:pPr>
      <w:r>
        <w:rPr>
          <w:rFonts w:hint="eastAsia"/>
          <w:color w:val="auto"/>
          <w:highlight w:val="none"/>
        </w:rPr>
        <w:t>19.1采购人或采购代理机构依据法律法规和招标文件的规定，对投标人的资格进行审查。</w:t>
      </w:r>
    </w:p>
    <w:p>
      <w:pPr>
        <w:ind w:firstLine="480"/>
        <w:rPr>
          <w:color w:val="auto"/>
          <w:highlight w:val="none"/>
        </w:rPr>
      </w:pPr>
      <w:r>
        <w:rPr>
          <w:rFonts w:hint="eastAsia"/>
          <w:color w:val="auto"/>
          <w:highlight w:val="none"/>
        </w:rPr>
        <w:t>19.2投标人未按照招标文件要求提供与资格条件相应的有效资格证明材料的，视为投标人不具备招标文件中规定的资格要求，其投标无效。</w:t>
      </w:r>
    </w:p>
    <w:p>
      <w:pPr>
        <w:ind w:firstLine="480"/>
        <w:rPr>
          <w:color w:val="auto"/>
          <w:highlight w:val="none"/>
        </w:rPr>
      </w:pPr>
      <w:r>
        <w:rPr>
          <w:rFonts w:hint="eastAsia"/>
          <w:color w:val="auto"/>
          <w:highlight w:val="none"/>
        </w:rPr>
        <w:t>19.3对未通过资格审查的投标人，采购人或采购代理机构告知其未通过的原因。</w:t>
      </w:r>
    </w:p>
    <w:p>
      <w:pPr>
        <w:ind w:firstLine="480"/>
        <w:rPr>
          <w:color w:val="auto"/>
          <w:highlight w:val="none"/>
        </w:rPr>
      </w:pPr>
      <w:r>
        <w:rPr>
          <w:rFonts w:hint="eastAsia"/>
          <w:color w:val="auto"/>
          <w:highlight w:val="none"/>
        </w:rPr>
        <w:t>19.4合格投标人不足3家的，不再评标。</w:t>
      </w:r>
    </w:p>
    <w:p>
      <w:pPr>
        <w:ind w:firstLine="482"/>
        <w:rPr>
          <w:b/>
          <w:bCs/>
          <w:color w:val="auto"/>
          <w:highlight w:val="none"/>
        </w:rPr>
      </w:pPr>
      <w:r>
        <w:rPr>
          <w:rFonts w:hint="eastAsia"/>
          <w:b/>
          <w:bCs/>
          <w:color w:val="auto"/>
          <w:highlight w:val="none"/>
        </w:rPr>
        <w:t>20、信用信息查询</w:t>
      </w:r>
    </w:p>
    <w:p>
      <w:pPr>
        <w:ind w:firstLine="480"/>
        <w:rPr>
          <w:color w:val="auto"/>
          <w:highlight w:val="none"/>
        </w:rPr>
      </w:pPr>
      <w:r>
        <w:rPr>
          <w:rFonts w:hint="eastAsia"/>
          <w:color w:val="auto"/>
          <w:highlight w:val="none"/>
        </w:rPr>
        <w:t>20.1</w:t>
      </w:r>
      <w:r>
        <w:rPr>
          <w:rFonts w:hint="eastAsia" w:ascii="宋体" w:hAnsi="宋体" w:cs="宋体"/>
          <w:color w:val="auto"/>
          <w:kern w:val="0"/>
          <w:highlight w:val="none"/>
        </w:rPr>
        <w:t>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r>
        <w:rPr>
          <w:rFonts w:hint="eastAsia"/>
          <w:color w:val="auto"/>
          <w:highlight w:val="none"/>
        </w:rPr>
        <w:t>。</w:t>
      </w:r>
    </w:p>
    <w:p>
      <w:pPr>
        <w:ind w:firstLine="480"/>
        <w:rPr>
          <w:color w:val="auto"/>
          <w:highlight w:val="none"/>
        </w:rPr>
      </w:pPr>
      <w:r>
        <w:rPr>
          <w:rFonts w:hint="eastAsia"/>
          <w:color w:val="auto"/>
          <w:highlight w:val="none"/>
        </w:rPr>
        <w:t>20.2信用信息查询记录和证据留存的具体方式：现场查询的投标人的信用记录、查询结果经确认后将与采购文件一起存档。</w:t>
      </w:r>
    </w:p>
    <w:p>
      <w:pPr>
        <w:ind w:firstLine="480"/>
        <w:rPr>
          <w:color w:val="auto"/>
          <w:highlight w:val="none"/>
        </w:rPr>
      </w:pPr>
      <w:r>
        <w:rPr>
          <w:rFonts w:hint="eastAsia"/>
          <w:color w:val="auto"/>
          <w:highlight w:val="none"/>
        </w:rPr>
        <w:t>20.3信用信息的使用规则：经查询列入失信被执行人名单、重大税收违法案件当事人名单、政府采购严重违法失信行为记录名单的投标人将被拒绝参与政府采购活动。</w:t>
      </w:r>
    </w:p>
    <w:p>
      <w:pPr>
        <w:pStyle w:val="4"/>
        <w:ind w:firstLine="482"/>
        <w:rPr>
          <w:color w:val="auto"/>
          <w:highlight w:val="none"/>
        </w:rPr>
      </w:pPr>
      <w:bookmarkStart w:id="35" w:name="_Toc22362"/>
      <w:r>
        <w:rPr>
          <w:rFonts w:hint="eastAsia"/>
          <w:color w:val="auto"/>
          <w:highlight w:val="none"/>
        </w:rPr>
        <w:t>五、评标</w:t>
      </w:r>
      <w:bookmarkEnd w:id="35"/>
    </w:p>
    <w:p>
      <w:pPr>
        <w:ind w:firstLine="480"/>
        <w:rPr>
          <w:color w:val="auto"/>
          <w:highlight w:val="none"/>
        </w:rPr>
      </w:pPr>
      <w:r>
        <w:rPr>
          <w:rFonts w:hint="eastAsia"/>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bCs/>
          <w:color w:val="auto"/>
          <w:highlight w:val="none"/>
        </w:rPr>
        <w:t>详见招标文件第四部分评标办法</w:t>
      </w:r>
      <w:r>
        <w:rPr>
          <w:rFonts w:hint="eastAsia"/>
          <w:color w:val="auto"/>
          <w:highlight w:val="none"/>
        </w:rPr>
        <w:t>。</w:t>
      </w:r>
    </w:p>
    <w:p>
      <w:pPr>
        <w:pStyle w:val="4"/>
        <w:ind w:firstLine="482"/>
        <w:rPr>
          <w:color w:val="auto"/>
          <w:highlight w:val="none"/>
        </w:rPr>
      </w:pPr>
      <w:bookmarkStart w:id="36" w:name="_Toc5099"/>
      <w:r>
        <w:rPr>
          <w:rFonts w:hint="eastAsia"/>
          <w:color w:val="auto"/>
          <w:highlight w:val="none"/>
        </w:rPr>
        <w:t>六、定标</w:t>
      </w:r>
      <w:bookmarkEnd w:id="36"/>
    </w:p>
    <w:p>
      <w:pPr>
        <w:ind w:firstLine="482"/>
        <w:rPr>
          <w:b/>
          <w:bCs/>
          <w:color w:val="auto"/>
          <w:highlight w:val="none"/>
        </w:rPr>
      </w:pPr>
      <w:r>
        <w:rPr>
          <w:rFonts w:hint="eastAsia"/>
          <w:b/>
          <w:bCs/>
          <w:color w:val="auto"/>
          <w:highlight w:val="none"/>
        </w:rPr>
        <w:t>22.确定中标供应商</w:t>
      </w:r>
    </w:p>
    <w:p>
      <w:pPr>
        <w:ind w:firstLine="480"/>
        <w:rPr>
          <w:color w:val="auto"/>
          <w:highlight w:val="none"/>
        </w:rPr>
      </w:pPr>
      <w:r>
        <w:rPr>
          <w:rFonts w:hint="eastAsia"/>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ind w:firstLine="480"/>
        <w:rPr>
          <w:color w:val="auto"/>
          <w:highlight w:val="none"/>
        </w:rPr>
      </w:pPr>
      <w:r>
        <w:rPr>
          <w:rFonts w:hint="eastAsia"/>
          <w:color w:val="auto"/>
          <w:highlight w:val="none"/>
        </w:rPr>
        <w:t>23.中标通知与中标结果公告</w:t>
      </w:r>
    </w:p>
    <w:p>
      <w:pPr>
        <w:ind w:firstLine="480"/>
        <w:rPr>
          <w:color w:val="auto"/>
          <w:highlight w:val="none"/>
        </w:rPr>
      </w:pPr>
      <w:r>
        <w:rPr>
          <w:rFonts w:hint="eastAsia"/>
          <w:color w:val="auto"/>
          <w:highlight w:val="none"/>
        </w:rPr>
        <w:t>23.1自中标人确定之日起2个工作日内，采购代理机构通过电子交易平台向中标人发出中标通知书，同时编制发布采购结果公告。采购代理机构也可以以纸质形式进行中标通知。</w:t>
      </w:r>
    </w:p>
    <w:p>
      <w:pPr>
        <w:ind w:firstLine="480"/>
        <w:rPr>
          <w:color w:val="auto"/>
          <w:highlight w:val="none"/>
        </w:rPr>
      </w:pPr>
      <w:r>
        <w:rPr>
          <w:rFonts w:hint="eastAsia"/>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ind w:firstLine="480"/>
        <w:rPr>
          <w:color w:val="auto"/>
          <w:highlight w:val="none"/>
        </w:rPr>
      </w:pPr>
      <w:r>
        <w:rPr>
          <w:rFonts w:hint="eastAsia"/>
          <w:color w:val="auto"/>
          <w:highlight w:val="none"/>
        </w:rPr>
        <w:t>23.3公告期限为1个工作日。</w:t>
      </w:r>
    </w:p>
    <w:p>
      <w:pPr>
        <w:pStyle w:val="4"/>
        <w:ind w:firstLine="482"/>
        <w:rPr>
          <w:color w:val="auto"/>
          <w:highlight w:val="none"/>
        </w:rPr>
      </w:pPr>
      <w:bookmarkStart w:id="37" w:name="_Toc7255"/>
      <w:r>
        <w:rPr>
          <w:rFonts w:hint="eastAsia"/>
          <w:color w:val="auto"/>
          <w:highlight w:val="none"/>
        </w:rPr>
        <w:t>七、合同授予</w:t>
      </w:r>
      <w:bookmarkEnd w:id="37"/>
    </w:p>
    <w:p>
      <w:pPr>
        <w:ind w:firstLine="482"/>
        <w:rPr>
          <w:b/>
          <w:bCs/>
          <w:color w:val="auto"/>
          <w:highlight w:val="none"/>
        </w:rPr>
      </w:pPr>
      <w:r>
        <w:rPr>
          <w:rFonts w:hint="eastAsia"/>
          <w:b/>
          <w:bCs/>
          <w:color w:val="auto"/>
          <w:highlight w:val="none"/>
        </w:rPr>
        <w:t>24. 合同主要条款详见第五部分拟签订的合同文本。</w:t>
      </w:r>
    </w:p>
    <w:p>
      <w:pPr>
        <w:ind w:firstLine="482"/>
        <w:rPr>
          <w:b/>
          <w:bCs/>
          <w:color w:val="auto"/>
          <w:highlight w:val="none"/>
        </w:rPr>
      </w:pPr>
      <w:r>
        <w:rPr>
          <w:rFonts w:hint="eastAsia"/>
          <w:b/>
          <w:bCs/>
          <w:color w:val="auto"/>
          <w:highlight w:val="none"/>
        </w:rPr>
        <w:t>25. 合同的签订</w:t>
      </w:r>
    </w:p>
    <w:p>
      <w:pPr>
        <w:ind w:firstLine="480"/>
        <w:rPr>
          <w:color w:val="auto"/>
          <w:highlight w:val="none"/>
        </w:rPr>
      </w:pPr>
      <w:r>
        <w:rPr>
          <w:rFonts w:hint="eastAsia"/>
          <w:color w:val="auto"/>
          <w:highlight w:val="none"/>
        </w:rPr>
        <w:t>25.1 采购人与中标人应当通过电子交易平台在中标通知书发出之日起二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20个工作日内，与中标供应商按照采购文件确定的事项签订政府采购合同。</w:t>
      </w:r>
    </w:p>
    <w:p>
      <w:pPr>
        <w:ind w:firstLine="480"/>
        <w:rPr>
          <w:color w:val="auto"/>
          <w:highlight w:val="none"/>
        </w:rPr>
      </w:pPr>
      <w:r>
        <w:rPr>
          <w:rFonts w:hint="eastAsia"/>
          <w:color w:val="auto"/>
          <w:highlight w:val="none"/>
        </w:rPr>
        <w:t>25.2中标人按规定的日期、时间、地点，由法定代表人或其授权代表与采购人代表签订合同。</w:t>
      </w:r>
    </w:p>
    <w:p>
      <w:pPr>
        <w:ind w:firstLine="480"/>
        <w:rPr>
          <w:color w:val="auto"/>
          <w:highlight w:val="none"/>
        </w:rPr>
      </w:pPr>
      <w:r>
        <w:rPr>
          <w:rFonts w:hint="eastAsia"/>
          <w:color w:val="auto"/>
          <w:highlight w:val="none"/>
        </w:rPr>
        <w:t>25.3如签订合同并生效后，供应商无故拒绝或延期，除按照合同条款处理外，列入不良行为记录一次，并给予通报。</w:t>
      </w:r>
    </w:p>
    <w:p>
      <w:pPr>
        <w:ind w:firstLine="480"/>
        <w:rPr>
          <w:color w:val="auto"/>
          <w:highlight w:val="none"/>
        </w:rPr>
      </w:pPr>
      <w:r>
        <w:rPr>
          <w:rFonts w:hint="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ind w:firstLine="480"/>
        <w:rPr>
          <w:color w:val="auto"/>
          <w:highlight w:val="none"/>
        </w:rPr>
      </w:pPr>
      <w:r>
        <w:rPr>
          <w:rFonts w:hint="eastAsia"/>
          <w:color w:val="auto"/>
          <w:highlight w:val="none"/>
        </w:rPr>
        <w:t>25.5采购合同由采购人与中标供应商根据招标文件、投标文件等内容通过政府采购电子交易平台在线签订，自动备案。</w:t>
      </w:r>
    </w:p>
    <w:p>
      <w:pPr>
        <w:ind w:firstLine="480"/>
        <w:rPr>
          <w:color w:val="auto"/>
          <w:highlight w:val="none"/>
        </w:rPr>
      </w:pPr>
      <w:r>
        <w:rPr>
          <w:rFonts w:hint="eastAsia"/>
          <w:color w:val="auto"/>
          <w:highlight w:val="none"/>
        </w:rPr>
        <w:t>25.6政府采购货物和服务项目不得收取质量保证金。政府采购工程以及与工程建设有关的货物、服务，采用招标方式采购的，按国家和省有关规定执行。</w:t>
      </w:r>
    </w:p>
    <w:p>
      <w:pPr>
        <w:ind w:firstLine="482"/>
        <w:rPr>
          <w:b/>
          <w:bCs/>
          <w:color w:val="auto"/>
          <w:highlight w:val="none"/>
        </w:rPr>
      </w:pPr>
      <w:r>
        <w:rPr>
          <w:rFonts w:hint="eastAsia"/>
          <w:b/>
          <w:bCs/>
          <w:color w:val="auto"/>
          <w:highlight w:val="none"/>
        </w:rPr>
        <w:t>26. 履约保证金</w:t>
      </w:r>
    </w:p>
    <w:p>
      <w:pPr>
        <w:ind w:firstLine="480"/>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ind w:firstLine="480"/>
        <w:rPr>
          <w:color w:val="auto"/>
          <w:highlight w:val="none"/>
        </w:rPr>
      </w:pPr>
      <w:r>
        <w:rPr>
          <w:rFonts w:hint="eastAsia"/>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ind w:firstLine="482"/>
        <w:rPr>
          <w:b/>
          <w:bCs/>
          <w:color w:val="auto"/>
          <w:highlight w:val="none"/>
        </w:rPr>
      </w:pPr>
      <w:r>
        <w:rPr>
          <w:rFonts w:hint="eastAsia"/>
          <w:b/>
          <w:bCs/>
          <w:color w:val="auto"/>
          <w:highlight w:val="none"/>
        </w:rPr>
        <w:t>27.预付款</w:t>
      </w:r>
    </w:p>
    <w:p>
      <w:pPr>
        <w:ind w:firstLine="480"/>
        <w:rPr>
          <w:color w:val="auto"/>
          <w:highlight w:val="none"/>
        </w:rPr>
      </w:pPr>
      <w:r>
        <w:rPr>
          <w:rFonts w:hint="eastAsia"/>
          <w:color w:val="auto"/>
          <w:highlight w:val="none"/>
        </w:rPr>
        <w:t>采购单位应当在政府采购合同中约定预付款，</w:t>
      </w:r>
      <w:r>
        <w:rPr>
          <w:rFonts w:hint="eastAsia"/>
          <w:b w:val="0"/>
          <w:bCs w:val="0"/>
          <w:color w:val="auto"/>
          <w:highlight w:val="none"/>
        </w:rPr>
        <w:t>对中小企业合同预付款比例原则上不低于合同金额的40％</w:t>
      </w:r>
      <w:r>
        <w:rPr>
          <w:rFonts w:hint="eastAsia"/>
          <w:color w:val="auto"/>
          <w:highlight w:val="none"/>
        </w:rPr>
        <w:t>，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ind w:firstLine="482"/>
        <w:rPr>
          <w:b/>
          <w:bCs/>
          <w:color w:val="auto"/>
          <w:highlight w:val="none"/>
        </w:rPr>
      </w:pPr>
      <w:r>
        <w:rPr>
          <w:rFonts w:hint="eastAsia"/>
          <w:b/>
          <w:bCs/>
          <w:color w:val="auto"/>
          <w:highlight w:val="none"/>
        </w:rPr>
        <w:t>28资金支付</w:t>
      </w:r>
    </w:p>
    <w:p>
      <w:pPr>
        <w:ind w:firstLine="480"/>
        <w:rPr>
          <w:color w:val="auto"/>
          <w:highlight w:val="none"/>
        </w:rPr>
      </w:pPr>
      <w:r>
        <w:rPr>
          <w:color w:val="auto"/>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ind w:firstLine="482"/>
        <w:rPr>
          <w:rStyle w:val="38"/>
          <w:bCs/>
          <w:color w:val="auto"/>
          <w:highlight w:val="none"/>
        </w:rPr>
      </w:pPr>
      <w:bookmarkStart w:id="38" w:name="_Toc5865"/>
      <w:r>
        <w:rPr>
          <w:rStyle w:val="38"/>
          <w:rFonts w:hint="eastAsia"/>
          <w:bCs/>
          <w:color w:val="auto"/>
          <w:highlight w:val="none"/>
        </w:rPr>
        <w:t>八、电子交易活动的中止</w:t>
      </w:r>
    </w:p>
    <w:bookmarkEnd w:id="38"/>
    <w:p>
      <w:pPr>
        <w:ind w:firstLine="480"/>
        <w:rPr>
          <w:color w:val="auto"/>
          <w:highlight w:val="none"/>
        </w:rPr>
      </w:pPr>
      <w:r>
        <w:rPr>
          <w:rFonts w:hint="eastAsia"/>
          <w:color w:val="auto"/>
          <w:highlight w:val="none"/>
        </w:rPr>
        <w:t>29.电子交易活动的中止。采购过程中出现以下情形，导致电子交易平台无法正常运行，或者无法保证电子交易的公平、公正和安全时，采购代理机构可中止电子交易活动：</w:t>
      </w:r>
    </w:p>
    <w:p>
      <w:pPr>
        <w:ind w:firstLine="480"/>
        <w:rPr>
          <w:color w:val="auto"/>
          <w:highlight w:val="none"/>
        </w:rPr>
      </w:pPr>
      <w:r>
        <w:rPr>
          <w:rFonts w:hint="eastAsia"/>
          <w:color w:val="auto"/>
          <w:highlight w:val="none"/>
        </w:rPr>
        <w:t xml:space="preserve">29.1电子交易平台发生故障而无法登录访问的； </w:t>
      </w:r>
    </w:p>
    <w:p>
      <w:pPr>
        <w:ind w:firstLine="480"/>
        <w:rPr>
          <w:color w:val="auto"/>
          <w:highlight w:val="none"/>
        </w:rPr>
      </w:pPr>
      <w:r>
        <w:rPr>
          <w:rFonts w:hint="eastAsia"/>
          <w:color w:val="auto"/>
          <w:highlight w:val="none"/>
        </w:rPr>
        <w:t>29.2电子交易平台应用或数据库出现错误，不能进行正常操作的；</w:t>
      </w:r>
    </w:p>
    <w:p>
      <w:pPr>
        <w:ind w:firstLine="480"/>
        <w:rPr>
          <w:color w:val="auto"/>
          <w:highlight w:val="none"/>
        </w:rPr>
      </w:pPr>
      <w:r>
        <w:rPr>
          <w:rFonts w:hint="eastAsia"/>
          <w:color w:val="auto"/>
          <w:highlight w:val="none"/>
        </w:rPr>
        <w:t>29.3电子交易平台发现严重安全漏洞，有潜在泄密危险的；</w:t>
      </w:r>
    </w:p>
    <w:p>
      <w:pPr>
        <w:ind w:firstLine="480"/>
        <w:rPr>
          <w:color w:val="auto"/>
          <w:highlight w:val="none"/>
        </w:rPr>
      </w:pPr>
      <w:r>
        <w:rPr>
          <w:rFonts w:hint="eastAsia"/>
          <w:color w:val="auto"/>
          <w:highlight w:val="none"/>
        </w:rPr>
        <w:t xml:space="preserve">29.4病毒发作导致不能进行正常操作的； </w:t>
      </w:r>
    </w:p>
    <w:p>
      <w:pPr>
        <w:ind w:firstLine="480"/>
        <w:rPr>
          <w:color w:val="auto"/>
          <w:highlight w:val="none"/>
        </w:rPr>
      </w:pPr>
      <w:r>
        <w:rPr>
          <w:rFonts w:hint="eastAsia"/>
          <w:color w:val="auto"/>
          <w:highlight w:val="none"/>
        </w:rPr>
        <w:t>29.5其他无法保证电子交易的公平、公正和安全的情况。</w:t>
      </w:r>
    </w:p>
    <w:p>
      <w:pPr>
        <w:ind w:firstLine="480"/>
        <w:rPr>
          <w:color w:val="auto"/>
          <w:highlight w:val="none"/>
        </w:rPr>
      </w:pPr>
      <w:r>
        <w:rPr>
          <w:rFonts w:hint="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pStyle w:val="4"/>
        <w:ind w:firstLine="482"/>
        <w:rPr>
          <w:color w:val="auto"/>
          <w:highlight w:val="none"/>
        </w:rPr>
      </w:pPr>
      <w:bookmarkStart w:id="39" w:name="_Toc16673"/>
      <w:r>
        <w:rPr>
          <w:rFonts w:hint="eastAsia"/>
          <w:color w:val="auto"/>
          <w:highlight w:val="none"/>
        </w:rPr>
        <w:t>九、验收</w:t>
      </w:r>
      <w:bookmarkEnd w:id="39"/>
    </w:p>
    <w:p>
      <w:pPr>
        <w:ind w:firstLine="482"/>
        <w:rPr>
          <w:b/>
          <w:bCs/>
          <w:color w:val="auto"/>
          <w:highlight w:val="none"/>
        </w:rPr>
      </w:pPr>
      <w:r>
        <w:rPr>
          <w:rFonts w:hint="eastAsia"/>
          <w:b/>
          <w:bCs/>
          <w:color w:val="auto"/>
          <w:highlight w:val="none"/>
        </w:rPr>
        <w:t>31.验收</w:t>
      </w:r>
    </w:p>
    <w:p>
      <w:pPr>
        <w:ind w:firstLine="480"/>
        <w:rPr>
          <w:color w:val="auto"/>
          <w:highlight w:val="none"/>
        </w:rPr>
      </w:pPr>
      <w:r>
        <w:rPr>
          <w:rFonts w:hint="eastAsia"/>
          <w:color w:val="auto"/>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80"/>
        <w:rPr>
          <w:color w:val="auto"/>
          <w:highlight w:val="none"/>
        </w:rPr>
      </w:pPr>
      <w:r>
        <w:rPr>
          <w:rFonts w:hint="eastAsia"/>
          <w:color w:val="auto"/>
          <w:highlight w:val="none"/>
        </w:rPr>
        <w:t>31.2采购人可以邀请参加本项目的其他投标人或者第三方机构参与验收。参与验收的投标人或者第三方机构的意见作为验收书的参考资料一并存档。</w:t>
      </w:r>
    </w:p>
    <w:p>
      <w:pPr>
        <w:ind w:firstLine="480"/>
        <w:rPr>
          <w:color w:val="auto"/>
          <w:highlight w:val="none"/>
        </w:rPr>
      </w:pPr>
      <w:r>
        <w:rPr>
          <w:rFonts w:hint="eastAsia"/>
          <w:color w:val="auto"/>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80"/>
        <w:rPr>
          <w:color w:val="auto"/>
          <w:highlight w:val="none"/>
        </w:rPr>
      </w:pPr>
      <w:r>
        <w:rPr>
          <w:rFonts w:hint="eastAsia"/>
          <w:color w:val="auto"/>
          <w:highlight w:val="none"/>
        </w:rPr>
        <w:t>31.4采购人原则上应当在履约验收之日起2个工作日内，将履约验收结果在浙江政府采购网上公告。</w:t>
      </w:r>
    </w:p>
    <w:p>
      <w:pPr>
        <w:ind w:firstLine="480"/>
        <w:rPr>
          <w:color w:val="auto"/>
          <w:highlight w:val="none"/>
        </w:rPr>
      </w:pPr>
      <w:r>
        <w:rPr>
          <w:rFonts w:hint="eastAsia"/>
          <w:color w:val="auto"/>
          <w:highlight w:val="none"/>
        </w:rPr>
        <w:t>31.5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ind w:firstLine="480"/>
        <w:rPr>
          <w:color w:val="auto"/>
          <w:highlight w:val="none"/>
        </w:rPr>
        <w:sectPr>
          <w:headerReference r:id="rId15" w:type="default"/>
          <w:footerReference r:id="rId16" w:type="default"/>
          <w:footerReference r:id="rId17" w:type="even"/>
          <w:pgSz w:w="11906" w:h="16838"/>
          <w:pgMar w:top="1474" w:right="1417" w:bottom="1247" w:left="1417" w:header="567" w:footer="567" w:gutter="0"/>
          <w:cols w:space="0" w:num="1"/>
          <w:docGrid w:type="lines" w:linePitch="328" w:charSpace="0"/>
        </w:sectPr>
      </w:pPr>
    </w:p>
    <w:bookmarkEnd w:id="28"/>
    <w:p>
      <w:pPr>
        <w:pStyle w:val="3"/>
        <w:numPr>
          <w:ilvl w:val="0"/>
          <w:numId w:val="4"/>
        </w:numPr>
        <w:rPr>
          <w:color w:val="auto"/>
          <w:highlight w:val="none"/>
        </w:rPr>
      </w:pPr>
      <w:r>
        <w:rPr>
          <w:rFonts w:hint="eastAsia"/>
          <w:color w:val="auto"/>
          <w:highlight w:val="none"/>
        </w:rPr>
        <w:t xml:space="preserve">  </w:t>
      </w:r>
      <w:bookmarkStart w:id="40" w:name="_Toc13412"/>
      <w:r>
        <w:rPr>
          <w:rFonts w:hint="eastAsia"/>
          <w:color w:val="auto"/>
          <w:highlight w:val="none"/>
        </w:rPr>
        <w:t>采购需求</w:t>
      </w:r>
      <w:bookmarkEnd w:id="40"/>
    </w:p>
    <w:p>
      <w:pPr>
        <w:ind w:firstLine="482"/>
        <w:jc w:val="center"/>
        <w:rPr>
          <w:rFonts w:ascii="宋体" w:hAnsi="宋体" w:cs="宋体"/>
          <w:b/>
          <w:color w:val="auto"/>
          <w:highlight w:val="none"/>
        </w:rPr>
      </w:pPr>
      <w:r>
        <w:rPr>
          <w:rFonts w:hint="eastAsia" w:ascii="宋体" w:hAnsi="宋体" w:cs="宋体"/>
          <w:b/>
          <w:color w:val="auto"/>
          <w:highlight w:val="none"/>
        </w:rPr>
        <w:t>（标注“▲”的指实质性要求条款，标注“★”的为重要技术参数）</w:t>
      </w:r>
    </w:p>
    <w:p>
      <w:pPr>
        <w:spacing w:before="161"/>
        <w:ind w:firstLine="562" w:firstLineChars="200"/>
        <w:outlineLvl w:val="2"/>
        <w:rPr>
          <w:rFonts w:hint="eastAsia" w:ascii="仿宋" w:hAnsi="仿宋" w:eastAsia="仿宋" w:cs="仿宋"/>
          <w:b/>
          <w:bCs/>
          <w:color w:val="auto"/>
          <w:kern w:val="44"/>
          <w:sz w:val="28"/>
          <w:szCs w:val="28"/>
          <w:highlight w:val="none"/>
        </w:rPr>
      </w:pPr>
      <w:bookmarkStart w:id="41" w:name="_Toc1480"/>
      <w:r>
        <w:rPr>
          <w:rFonts w:hint="eastAsia" w:ascii="仿宋" w:hAnsi="仿宋" w:eastAsia="仿宋" w:cs="仿宋"/>
          <w:b/>
          <w:bCs/>
          <w:color w:val="auto"/>
          <w:kern w:val="44"/>
          <w:sz w:val="28"/>
          <w:szCs w:val="28"/>
          <w:highlight w:val="none"/>
        </w:rPr>
        <w:t>一、项目背景</w:t>
      </w:r>
    </w:p>
    <w:p>
      <w:pPr>
        <w:spacing w:before="161"/>
        <w:ind w:firstLine="44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2"/>
          <w:szCs w:val="22"/>
          <w:highlight w:val="none"/>
          <w:lang w:val="en-US" w:eastAsia="zh-CN" w:bidi="ar-SA"/>
        </w:rPr>
        <w:t>浦江县通济桥水库灌区位于浦阳江盆地、浦阳江两岸，依据“2021年浦江县国土第三次土地类型普查”结果，核定现状设计灌溉面积8.9万亩、现状有效灌溉面积8.7万亩。灌区范围覆盖浦阳、浦南、仙华3个街道及岩头、郑宅、黄宅3个镇，灌区人口占全县人口总数的66%，通济桥水库灌区是全县粮食及商品粮主产区，也是浦江最重要的农业综合开发项目区，更是浦江区域乡村振兴、融合发展的重要组成部分。</w:t>
      </w:r>
    </w:p>
    <w:p>
      <w:pPr>
        <w:numPr>
          <w:ilvl w:val="0"/>
          <w:numId w:val="5"/>
        </w:numPr>
        <w:spacing w:before="161"/>
        <w:ind w:firstLine="562" w:firstLineChars="200"/>
        <w:outlineLvl w:val="2"/>
        <w:rPr>
          <w:rFonts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建设内容</w:t>
      </w:r>
    </w:p>
    <w:p>
      <w:pPr>
        <w:spacing w:line="360" w:lineRule="auto"/>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浦江县通济桥水库灌区续建配套与节水改造项目（2023-2024年）（金属结构）项目建设内容如下：</w:t>
      </w:r>
    </w:p>
    <w:p>
      <w:pPr>
        <w:spacing w:before="161"/>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1、改造（新建）水闸49座，其中拆除重建水闸24座，设置工作闸门及启闭机24套，22座水闸仅更换启闭机22套，新建3座水闸共设置工作闸门及启闭机3套。水闸名称、闸门尺寸见表1.2-1。</w:t>
      </w:r>
    </w:p>
    <w:p>
      <w:pPr>
        <w:spacing w:before="161"/>
        <w:ind w:firstLine="440" w:firstLineChars="200"/>
        <w:rPr>
          <w:rFonts w:hint="eastAsia" w:ascii="宋体" w:hAnsi="宋体" w:eastAsia="宋体" w:cs="宋体"/>
          <w:b/>
          <w:bCs/>
          <w:color w:val="auto"/>
          <w:kern w:val="44"/>
          <w:sz w:val="22"/>
          <w:szCs w:val="22"/>
          <w:highlight w:val="none"/>
        </w:rPr>
      </w:pPr>
      <w:r>
        <w:rPr>
          <w:rFonts w:hint="eastAsia" w:ascii="宋体" w:hAnsi="宋体" w:eastAsia="宋体" w:cs="宋体"/>
          <w:color w:val="auto"/>
          <w:kern w:val="0"/>
          <w:sz w:val="22"/>
          <w:szCs w:val="22"/>
          <w:highlight w:val="none"/>
          <w:lang w:val="en-US" w:eastAsia="zh-CN"/>
        </w:rPr>
        <w:t>对于泄洪闸采用测控一体化闸门的，应采用市电+太阳能供电，技术要求详见表1.2-3。仅更换启闭机的水闸，手动启闭机改成QL-50kN手电两用螺杆启闭机，扬程根据现场实际情况确定。</w:t>
      </w:r>
    </w:p>
    <w:p>
      <w:pPr>
        <w:pStyle w:val="10"/>
        <w:spacing w:after="156"/>
        <w:ind w:left="48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表 1.2-1    闸门及启闭机更换统计表</w:t>
      </w:r>
    </w:p>
    <w:tbl>
      <w:tblPr>
        <w:tblStyle w:val="26"/>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2"/>
        <w:gridCol w:w="618"/>
        <w:gridCol w:w="1172"/>
        <w:gridCol w:w="706"/>
        <w:gridCol w:w="1084"/>
        <w:gridCol w:w="957"/>
        <w:gridCol w:w="1321"/>
        <w:gridCol w:w="915"/>
        <w:gridCol w:w="480"/>
        <w:gridCol w:w="478"/>
        <w:gridCol w:w="480"/>
        <w:gridCol w:w="10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blHeader/>
        </w:trPr>
        <w:tc>
          <w:tcPr>
            <w:tcW w:w="280"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序</w:t>
            </w:r>
            <w:r>
              <w:rPr>
                <w:rFonts w:hint="eastAsia" w:ascii="宋体" w:hAnsi="宋体" w:eastAsia="宋体" w:cs="宋体"/>
                <w:b/>
                <w:bCs/>
                <w:color w:val="auto"/>
                <w:kern w:val="0"/>
                <w:sz w:val="22"/>
                <w:szCs w:val="22"/>
                <w:highlight w:val="none"/>
              </w:rPr>
              <w:t>号</w:t>
            </w:r>
          </w:p>
        </w:tc>
        <w:tc>
          <w:tcPr>
            <w:tcW w:w="313"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渠道名称</w:t>
            </w:r>
          </w:p>
        </w:tc>
        <w:tc>
          <w:tcPr>
            <w:tcW w:w="594"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水闸名称</w:t>
            </w:r>
          </w:p>
        </w:tc>
        <w:tc>
          <w:tcPr>
            <w:tcW w:w="358"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闸门孔数</w:t>
            </w:r>
          </w:p>
        </w:tc>
        <w:tc>
          <w:tcPr>
            <w:tcW w:w="55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规格尺寸（m）</w:t>
            </w:r>
          </w:p>
        </w:tc>
        <w:tc>
          <w:tcPr>
            <w:tcW w:w="485"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设计水头（m）</w:t>
            </w:r>
          </w:p>
        </w:tc>
        <w:tc>
          <w:tcPr>
            <w:tcW w:w="670"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闸门型式</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闸门启闭方式</w:t>
            </w:r>
          </w:p>
        </w:tc>
        <w:tc>
          <w:tcPr>
            <w:tcW w:w="729" w:type="pct"/>
            <w:gridSpan w:val="3"/>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闸门功能</w:t>
            </w:r>
          </w:p>
        </w:tc>
        <w:tc>
          <w:tcPr>
            <w:tcW w:w="553" w:type="pct"/>
            <w:vMerge w:val="restar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blHeader/>
        </w:trPr>
        <w:tc>
          <w:tcPr>
            <w:tcW w:w="280"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313"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594"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358"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55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宽X高</w:t>
            </w:r>
          </w:p>
        </w:tc>
        <w:tc>
          <w:tcPr>
            <w:tcW w:w="485"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670"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电动</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节制</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排洪</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分水</w:t>
            </w:r>
          </w:p>
        </w:tc>
        <w:tc>
          <w:tcPr>
            <w:tcW w:w="553"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13" w:type="pct"/>
            <w:vMerge w:val="restar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总干渠</w:t>
            </w: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总南节制闸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4.0×1.8</w:t>
            </w:r>
          </w:p>
        </w:tc>
        <w:tc>
          <w:tcPr>
            <w:tcW w:w="485"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13"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总南进水闸</w:t>
            </w:r>
          </w:p>
        </w:tc>
        <w:tc>
          <w:tcPr>
            <w:tcW w:w="358"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2.6×2.0</w:t>
            </w:r>
          </w:p>
        </w:tc>
        <w:tc>
          <w:tcPr>
            <w:tcW w:w="485"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露顶式平面上翻钢闸门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553"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闸门更换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溪塍头泄洪闸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2.25×1.8</w:t>
            </w:r>
          </w:p>
        </w:tc>
        <w:tc>
          <w:tcPr>
            <w:tcW w:w="485"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13" w:type="pct"/>
            <w:vMerge w:val="restar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北干渠</w:t>
            </w: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西溪泄洪闸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露顶式平面上翻钢闸门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后溪进水闸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2.4×1.9</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闸门及启闭更换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东庄泄洪闸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1.2×2.0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蔡横塘泄洪闸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0.6×1.5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三步石泄洪闸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露顶式平面上翻钢闸门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廊下头泄洪闸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中渠进水闸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2.25×1.8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金冠样泄洪闸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1.4×2.2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牛扼歪泄洪闸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红梅岭泄洪闸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2.2×1.3</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313" w:type="pct"/>
            <w:vMerge w:val="restar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中干渠</w:t>
            </w: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上山节制闸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露顶式平面下卧钢闸门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黄龙溪泄洪闸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1.2×2.0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中埂溪泄洪闸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湖山泄洪闸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取消不做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下方店泄洪闸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取消不做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丁埠头泄洪闸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屠村泄洪闸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0.5×0.6</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0.6</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岳塘水库进水闸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2.0×2.6</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邵店泄洪闸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1.55×1.5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蜈蚣溪泄洪闸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白虎塘节制闸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后桑节制闸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2.0×2.68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后江节制闸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1.5×0.85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0.85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27</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徐司泄洪闸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2.0×1.1</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w:t>
            </w:r>
          </w:p>
        </w:tc>
        <w:tc>
          <w:tcPr>
            <w:tcW w:w="313" w:type="pct"/>
            <w:vMerge w:val="restar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南干渠72线</w:t>
            </w: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赤山殿节制闸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露顶式平面上翻钢闸门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2"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29</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赤山殿泄洪闸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露顶式平面上翻钢闸门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老山岗泄洪闸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2线巧溪泄洪闸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刘溪塍泄洪闸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里坞泄洪闸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后隆泄洪闸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1.6×2.8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孟堰泄洪闸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大板堰泄洪闸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w:t>
            </w:r>
          </w:p>
        </w:tc>
        <w:tc>
          <w:tcPr>
            <w:tcW w:w="313" w:type="pct"/>
            <w:vMerge w:val="restar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南干渠80线</w:t>
            </w: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横山溪泄洪闸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38</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小四村泄洪闸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1.8×1.8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39</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丽水泄洪闸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拆除重建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马塘泄洪闸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3.0×1.8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41</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张官泄洪闸</w:t>
            </w:r>
          </w:p>
        </w:tc>
        <w:tc>
          <w:tcPr>
            <w:tcW w:w="35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测控一体化闸门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石台盘泄洪闸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1.8×1.8</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闸门及启闭更换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小乌龟头泄洪闸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2.2×2.2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露顶式平面滑动钢闸门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闸门更换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石陵泄洪闸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洪溪泄洪闸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厚下塘泄洪闸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1.75×1.0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47</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巧溪泄洪闸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1.20×1.70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48</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塘下畈泄洪闸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1.74×1.00</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手动改电动QL-50KN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9</w:t>
            </w:r>
          </w:p>
        </w:tc>
        <w:tc>
          <w:tcPr>
            <w:tcW w:w="313" w:type="pct"/>
            <w:vMerge w:val="continue"/>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p>
        </w:tc>
        <w:tc>
          <w:tcPr>
            <w:tcW w:w="594"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水阁溪泄洪闸</w:t>
            </w:r>
          </w:p>
        </w:tc>
        <w:tc>
          <w:tcPr>
            <w:tcW w:w="358"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50" w:type="pct"/>
            <w:shd w:val="clear" w:color="auto" w:fill="auto"/>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1.75×1.22</w:t>
            </w:r>
          </w:p>
        </w:tc>
        <w:tc>
          <w:tcPr>
            <w:tcW w:w="485"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1.22</w:t>
            </w:r>
          </w:p>
        </w:tc>
        <w:tc>
          <w:tcPr>
            <w:tcW w:w="670"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露顶式平面滑动砼闸门</w:t>
            </w:r>
          </w:p>
        </w:tc>
        <w:tc>
          <w:tcPr>
            <w:tcW w:w="464" w:type="pct"/>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p>
        </w:tc>
        <w:tc>
          <w:tcPr>
            <w:tcW w:w="242"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243"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p>
        </w:tc>
        <w:tc>
          <w:tcPr>
            <w:tcW w:w="553" w:type="pct"/>
            <w:noWrap/>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手改电动QL-50KN</w:t>
            </w:r>
          </w:p>
        </w:tc>
      </w:tr>
    </w:tbl>
    <w:p>
      <w:pPr>
        <w:spacing w:line="360" w:lineRule="auto"/>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通济桥水库灌区沿线渠道分布有112座分水口，为了对沿线口门进行有效管理，对其中的98座分水口设置一体化闸门。采用风能+太阳能+蓄电池供电，若附近有低压电源，则就近从农户处接入低压电源，技术要求详见表1.2-2。</w:t>
      </w:r>
    </w:p>
    <w:p>
      <w:pPr>
        <w:pStyle w:val="8"/>
        <w:rPr>
          <w:rFonts w:hint="eastAsia" w:ascii="宋体" w:hAnsi="宋体" w:eastAsia="宋体" w:cs="宋体"/>
          <w:color w:val="auto"/>
          <w:sz w:val="22"/>
          <w:szCs w:val="22"/>
          <w:highlight w:val="none"/>
        </w:rPr>
      </w:pPr>
    </w:p>
    <w:tbl>
      <w:tblPr>
        <w:tblStyle w:val="26"/>
        <w:tblW w:w="5000" w:type="pct"/>
        <w:tblInd w:w="0" w:type="dxa"/>
        <w:tblLayout w:type="autofit"/>
        <w:tblCellMar>
          <w:top w:w="0" w:type="dxa"/>
          <w:left w:w="108" w:type="dxa"/>
          <w:bottom w:w="0" w:type="dxa"/>
          <w:right w:w="108" w:type="dxa"/>
        </w:tblCellMar>
      </w:tblPr>
      <w:tblGrid>
        <w:gridCol w:w="658"/>
        <w:gridCol w:w="1253"/>
        <w:gridCol w:w="1702"/>
        <w:gridCol w:w="1100"/>
        <w:gridCol w:w="1138"/>
        <w:gridCol w:w="1236"/>
        <w:gridCol w:w="1667"/>
        <w:gridCol w:w="1100"/>
      </w:tblGrid>
      <w:tr>
        <w:tblPrEx>
          <w:tblCellMar>
            <w:top w:w="0" w:type="dxa"/>
            <w:left w:w="108" w:type="dxa"/>
            <w:bottom w:w="0" w:type="dxa"/>
            <w:right w:w="108" w:type="dxa"/>
          </w:tblCellMar>
        </w:tblPrEx>
        <w:trPr>
          <w:trHeight w:val="285" w:hRule="atLeast"/>
          <w:tblHeader/>
        </w:trPr>
        <w:tc>
          <w:tcPr>
            <w:tcW w:w="3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69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渠道</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9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支渠名称</w:t>
            </w:r>
          </w:p>
        </w:tc>
        <w:tc>
          <w:tcPr>
            <w:tcW w:w="56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孔口尺寸</w:t>
            </w:r>
          </w:p>
        </w:tc>
        <w:tc>
          <w:tcPr>
            <w:tcW w:w="31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69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渠道名称</w:t>
            </w:r>
          </w:p>
        </w:tc>
        <w:tc>
          <w:tcPr>
            <w:tcW w:w="9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支渠名称</w:t>
            </w:r>
          </w:p>
        </w:tc>
        <w:tc>
          <w:tcPr>
            <w:tcW w:w="53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孔口尺寸</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696" w:type="pct"/>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北干渠</w:t>
            </w: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后屋支渠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w:t>
            </w:r>
          </w:p>
        </w:tc>
        <w:tc>
          <w:tcPr>
            <w:tcW w:w="696" w:type="pct"/>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南干渠</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80线</w:t>
            </w: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老于农场下游支渠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柳塘支渠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毛阳岗2支渠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西支渠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邵店支渠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十四支渠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十里头屋后支渠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四村楼宅支渠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金冠样支渠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洛山岗西支渠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洛山岗东支渠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马岭头出口支渠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新店支渠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牛轭歪支渠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琴头支渠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40*40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协力桥支渠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平白路支渠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山头店支渠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平二支渠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山头店2支渠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宋溪支渠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下杨</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宋溪东支渠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下宅口</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上余支渠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姓应</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樟山头西支渠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三郑支渠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樟山头东支渠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岩三</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桐青殿支渠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696" w:type="pct"/>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中干渠</w:t>
            </w: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溪下支渠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五村支渠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章店支渠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丽水支渠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山支头支渠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山头荷支渠上游</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山支头2支渠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老鼠山支渠1</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邵店支渠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老鼠山支渠2</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丁埠头回归水口</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100*100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张官支渠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150*80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荷田畈支渠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张官引水闸</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100*90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渠南支渠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张官泄洪闸</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骆村支渠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红山泄洪闸</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六联支渠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邵店东支渠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群联支渠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烟塘支渠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上市1支渠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刘铁东支渠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上市2支渠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79</w:t>
            </w:r>
          </w:p>
        </w:tc>
        <w:tc>
          <w:tcPr>
            <w:tcW w:w="696" w:type="pct"/>
            <w:vMerge w:val="restart"/>
            <w:tcBorders>
              <w:top w:val="nil"/>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line="400" w:lineRule="exact"/>
              <w:ind w:right="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南干渠</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72线</w:t>
            </w: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苗木园一体化</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上市3支渠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盖板前</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石宅1支渠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81</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前于西支渠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石宅2支渠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82</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尖塘山脚支渠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朱家弄支渠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邵店八米道支渠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后弄支渠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84</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新店西支渠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40*40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乌塘支渠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60*60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85</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平一支渠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40*40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后陈支渠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86</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巧溪1支渠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瓦沿塘</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巧溪2支渠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岳塘水库出口支渠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88</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朱云东渠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大地来</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89</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毛都支渠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41</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合心</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90</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店来支渠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后店</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91</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潘宅支渠1</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前陈大塘</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潘宅支渠2</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屠村</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93</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中央宅支渠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w:t>
            </w:r>
          </w:p>
        </w:tc>
        <w:tc>
          <w:tcPr>
            <w:tcW w:w="696" w:type="pct"/>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南干渠</w:t>
            </w:r>
          </w:p>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80线</w:t>
            </w: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魏店支渠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94</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麻车支渠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前于八米路支渠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95</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朱云西支渠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47</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前于电灌下游一号</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96</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应店支渠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48</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小四村支渠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97</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何村支渠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49</w:t>
            </w:r>
          </w:p>
        </w:tc>
        <w:tc>
          <w:tcPr>
            <w:tcW w:w="69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24"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毛阳岗支渠</w:t>
            </w:r>
          </w:p>
        </w:tc>
        <w:tc>
          <w:tcPr>
            <w:tcW w:w="56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50*50</w:t>
            </w:r>
          </w:p>
        </w:tc>
        <w:tc>
          <w:tcPr>
            <w:tcW w:w="31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w:t>
            </w:r>
          </w:p>
        </w:tc>
        <w:tc>
          <w:tcPr>
            <w:tcW w:w="69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p>
        </w:tc>
        <w:tc>
          <w:tcPr>
            <w:tcW w:w="955"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刘铁支渠</w:t>
            </w:r>
          </w:p>
        </w:tc>
        <w:tc>
          <w:tcPr>
            <w:tcW w:w="53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30*30</w:t>
            </w:r>
          </w:p>
        </w:tc>
      </w:tr>
    </w:tbl>
    <w:p>
      <w:pPr>
        <w:spacing w:line="360" w:lineRule="auto"/>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3、丁埠头回归水堰坝和上山节制闸工作闸门及启闭设备</w:t>
      </w:r>
    </w:p>
    <w:p>
      <w:pPr>
        <w:spacing w:line="360" w:lineRule="auto"/>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丁埠头回归水堰坝和上山节制闸工作闸门采用液压卧床式翻板坝，丁埠头回归水堰坝工作闸门共设置4扇钢板闸门，每扇闸门尺寸2.5m×1.4m；上山节制闸工作闸门共设置1扇钢板闸门，每扇闸门尺寸2.0m×1.5m。每扇闸门顶部设有破水器，破水器的高度为30cm宽度为25cm。单扇闸门设有1个启闭油缸和1个支撑杆，闸门常态状态下由支撑杆支撑闸门蓄水，支撑杆的解锁及锁定由启闭油缸实现，启闭时间5-10分钟，启闭速度为0.2m/min。设计对原底板进行开挖，单扇闸门开挖铰座2处，联动机构孔一处（详见图纸）。闸门下游侧联动机构孔4m处设有油管沟槽，液压系统油管埋设在油管沟槽内，油管沟槽宽0.4m，深0.4m。每一扇面板既可单独启闭，也可以一起同时启闭，蓄水位可通过控制系统根据要求任意调节；门叶主材采用Q235B，止水均采用预压紧单向止水方式，止水材料选用SF6474橡胶止水橡皮，闸门侧面止水区间采用4mm厚2.5m×5m的12Cr18Ni9Si3不锈钢板贴面，应平整、光洁，不锈钢板与桥墩之间采用锚固连接并用防渗材料填满；考虑到闸门的运行可靠性，不仅在液压系统控制上增设了油压检测系统、稳定可靠的保压装置和进口的重要控制元件，还在以下方面提供保障：所有管道均采用不锈钢高压硬管连接，油缸连接部份采用先进可靠的不锈钢接头，代替高压软管，杜绝了液压系统因高压软管老化而造成油渗漏或爆管等大事故发生。油缸密封件采用进口品牌，密封结构合理，使密封性能可靠，使用寿命长，油缸缸筒、活塞杆采用45#或40Cr材质调质处理，活塞杆采用镍铬复合镀层工艺，镀层厚度80um以上，能有效的提高防腐能力，延长油缸的使用寿命。控制房内设监控平台，每扇闸门安装监控摄像头，以便进行对闸门进行及时的观察。闸门检修需由专业工人进行检修，如遇油管破损，油缸破坏，可在正常蓄水状态下进行检修，如遇大量渗水，需放空或临时围堰进行检修。</w:t>
      </w:r>
    </w:p>
    <w:p>
      <w:pPr>
        <w:widowControl/>
        <w:spacing w:before="100" w:beforeAutospacing="1" w:after="240" w:line="276" w:lineRule="auto"/>
        <w:jc w:val="center"/>
        <w:rPr>
          <w:rFonts w:ascii="黑体" w:hAnsi="黑体" w:eastAsia="黑体" w:cs="宋体"/>
          <w:b/>
          <w:bCs/>
          <w:color w:val="auto"/>
          <w:kern w:val="0"/>
          <w:szCs w:val="21"/>
          <w:highlight w:val="none"/>
        </w:rPr>
      </w:pPr>
      <w:r>
        <w:rPr>
          <w:rFonts w:hint="eastAsia" w:ascii="宋体" w:hAnsi="宋体" w:eastAsia="宋体" w:cs="宋体"/>
          <w:b/>
          <w:bCs/>
          <w:color w:val="auto"/>
          <w:sz w:val="22"/>
          <w:szCs w:val="22"/>
          <w:highlight w:val="none"/>
        </w:rPr>
        <w:t xml:space="preserve">表1.2-2    </w:t>
      </w:r>
      <w:r>
        <w:rPr>
          <w:rFonts w:hint="eastAsia" w:ascii="黑体" w:hAnsi="黑体" w:eastAsia="黑体" w:cs="宋体"/>
          <w:b/>
          <w:bCs/>
          <w:color w:val="auto"/>
          <w:kern w:val="0"/>
          <w:szCs w:val="21"/>
          <w:highlight w:val="none"/>
        </w:rPr>
        <w:t>0</w:t>
      </w:r>
      <w:r>
        <w:rPr>
          <w:rFonts w:ascii="黑体" w:hAnsi="黑体" w:eastAsia="黑体" w:cs="宋体"/>
          <w:b/>
          <w:bCs/>
          <w:color w:val="auto"/>
          <w:kern w:val="0"/>
          <w:szCs w:val="21"/>
          <w:highlight w:val="none"/>
        </w:rPr>
        <w:t>.3-1.0m</w:t>
      </w:r>
      <w:r>
        <w:rPr>
          <w:rFonts w:hint="eastAsia" w:ascii="黑体" w:hAnsi="黑体" w:eastAsia="黑体" w:cs="宋体"/>
          <w:b/>
          <w:bCs/>
          <w:color w:val="auto"/>
          <w:kern w:val="0"/>
          <w:szCs w:val="21"/>
          <w:highlight w:val="none"/>
        </w:rPr>
        <w:t>测控一体化闸门技术参数</w:t>
      </w:r>
    </w:p>
    <w:tbl>
      <w:tblPr>
        <w:tblStyle w:val="26"/>
        <w:tblW w:w="5129" w:type="pct"/>
        <w:tblInd w:w="-150" w:type="dxa"/>
        <w:tblLayout w:type="autofit"/>
        <w:tblCellMar>
          <w:top w:w="0" w:type="dxa"/>
          <w:left w:w="0" w:type="dxa"/>
          <w:bottom w:w="0" w:type="dxa"/>
          <w:right w:w="0" w:type="dxa"/>
        </w:tblCellMar>
      </w:tblPr>
      <w:tblGrid>
        <w:gridCol w:w="1849"/>
        <w:gridCol w:w="8253"/>
      </w:tblGrid>
      <w:tr>
        <w:tblPrEx>
          <w:tblCellMar>
            <w:top w:w="0" w:type="dxa"/>
            <w:left w:w="0" w:type="dxa"/>
            <w:bottom w:w="0" w:type="dxa"/>
            <w:right w:w="0" w:type="dxa"/>
          </w:tblCellMar>
        </w:tblPrEx>
        <w:trPr>
          <w:trHeight w:val="340" w:hRule="atLeast"/>
        </w:trPr>
        <w:tc>
          <w:tcPr>
            <w:tcW w:w="91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项目</w:t>
            </w:r>
          </w:p>
        </w:tc>
        <w:tc>
          <w:tcPr>
            <w:tcW w:w="4084"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　常规参数</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数据存储</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NANDFALSH固态存储，SD卡，云端存储。</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控制模式</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可通过本地或者远程控制</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闸门框架</w:t>
            </w:r>
            <w:r>
              <w:rPr>
                <w:rFonts w:hint="eastAsia" w:asciiTheme="minorEastAsia" w:hAnsiTheme="minorEastAsia" w:eastAsiaTheme="minorEastAsia" w:cstheme="minorEastAsia"/>
                <w:b w:val="0"/>
                <w:bCs w:val="0"/>
                <w:color w:val="auto"/>
                <w:szCs w:val="20"/>
                <w:highlight w:val="none"/>
                <w:lang w:val="en-US"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rFonts w:hint="eastAsia" w:eastAsiaTheme="minorEastAsia"/>
                <w:color w:val="auto"/>
                <w:szCs w:val="21"/>
                <w:highlight w:val="none"/>
                <w:lang w:eastAsia="zh-CN"/>
              </w:rPr>
            </w:pPr>
            <w:r>
              <w:rPr>
                <w:rFonts w:hint="eastAsia"/>
                <w:color w:val="auto"/>
                <w:szCs w:val="21"/>
                <w:highlight w:val="none"/>
              </w:rPr>
              <w:t>框架采用</w:t>
            </w:r>
            <w:r>
              <w:rPr>
                <w:color w:val="auto"/>
                <w:szCs w:val="21"/>
                <w:highlight w:val="none"/>
              </w:rPr>
              <w:t>6061-T6</w:t>
            </w:r>
            <w:r>
              <w:rPr>
                <w:rFonts w:hint="eastAsia"/>
                <w:color w:val="auto"/>
                <w:szCs w:val="21"/>
                <w:highlight w:val="none"/>
              </w:rPr>
              <w:t>及以上级别的高强度铝合金型材，面板可采用内置蜂窝铝或焊接板，要求刚性好，强度高、不易变形（0</w:t>
            </w:r>
            <w:r>
              <w:rPr>
                <w:color w:val="auto"/>
                <w:szCs w:val="21"/>
                <w:highlight w:val="none"/>
              </w:rPr>
              <w:t>.3</w:t>
            </w:r>
            <w:r>
              <w:rPr>
                <w:rFonts w:hint="eastAsia"/>
                <w:color w:val="auto"/>
                <w:szCs w:val="21"/>
                <w:highlight w:val="none"/>
              </w:rPr>
              <w:t>m~</w:t>
            </w:r>
            <w:r>
              <w:rPr>
                <w:color w:val="auto"/>
                <w:szCs w:val="21"/>
                <w:highlight w:val="none"/>
              </w:rPr>
              <w:t>.0.7</w:t>
            </w:r>
            <w:r>
              <w:rPr>
                <w:rFonts w:hint="eastAsia"/>
                <w:color w:val="auto"/>
                <w:szCs w:val="21"/>
                <w:highlight w:val="none"/>
              </w:rPr>
              <w:t>框架型材：宽度≥1</w:t>
            </w:r>
            <w:r>
              <w:rPr>
                <w:color w:val="auto"/>
                <w:szCs w:val="21"/>
                <w:highlight w:val="none"/>
              </w:rPr>
              <w:t>0</w:t>
            </w:r>
            <w:r>
              <w:rPr>
                <w:rFonts w:hint="eastAsia"/>
                <w:color w:val="auto"/>
                <w:szCs w:val="21"/>
                <w:highlight w:val="none"/>
              </w:rPr>
              <w:t>0mm、厚度≥4</w:t>
            </w:r>
            <w:r>
              <w:rPr>
                <w:color w:val="auto"/>
                <w:szCs w:val="21"/>
                <w:highlight w:val="none"/>
              </w:rPr>
              <w:t>5</w:t>
            </w:r>
            <w:r>
              <w:rPr>
                <w:rFonts w:hint="eastAsia"/>
                <w:color w:val="auto"/>
                <w:szCs w:val="21"/>
                <w:highlight w:val="none"/>
              </w:rPr>
              <w:t>mm；闸板厚度满足强度要求；0</w:t>
            </w:r>
            <w:r>
              <w:rPr>
                <w:color w:val="auto"/>
                <w:szCs w:val="21"/>
                <w:highlight w:val="none"/>
              </w:rPr>
              <w:t>.8</w:t>
            </w:r>
            <w:r>
              <w:rPr>
                <w:rFonts w:hint="eastAsia"/>
                <w:color w:val="auto"/>
                <w:szCs w:val="21"/>
                <w:highlight w:val="none"/>
              </w:rPr>
              <w:t>m~</w:t>
            </w:r>
            <w:r>
              <w:rPr>
                <w:color w:val="auto"/>
                <w:szCs w:val="21"/>
                <w:highlight w:val="none"/>
              </w:rPr>
              <w:t>.1</w:t>
            </w:r>
            <w:r>
              <w:rPr>
                <w:rFonts w:hint="eastAsia"/>
                <w:color w:val="auto"/>
                <w:szCs w:val="21"/>
                <w:highlight w:val="none"/>
              </w:rPr>
              <w:t>m框架型材：宽度≥190mm、厚度≥7</w:t>
            </w:r>
            <w:r>
              <w:rPr>
                <w:color w:val="auto"/>
                <w:szCs w:val="21"/>
                <w:highlight w:val="none"/>
              </w:rPr>
              <w:t>5</w:t>
            </w:r>
            <w:r>
              <w:rPr>
                <w:rFonts w:hint="eastAsia"/>
                <w:color w:val="auto"/>
                <w:szCs w:val="21"/>
                <w:highlight w:val="none"/>
              </w:rPr>
              <w:t>mm；闸板厚度≥4</w:t>
            </w:r>
            <w:r>
              <w:rPr>
                <w:color w:val="auto"/>
                <w:szCs w:val="21"/>
                <w:highlight w:val="none"/>
              </w:rPr>
              <w:t>4</w:t>
            </w:r>
            <w:r>
              <w:rPr>
                <w:rFonts w:hint="eastAsia"/>
                <w:color w:val="auto"/>
                <w:szCs w:val="21"/>
                <w:highlight w:val="none"/>
              </w:rPr>
              <w:t>mm）</w:t>
            </w:r>
            <w:r>
              <w:rPr>
                <w:rFonts w:hint="eastAsia"/>
                <w:color w:val="auto"/>
                <w:szCs w:val="21"/>
                <w:highlight w:val="none"/>
                <w:lang w:eastAsia="zh-CN"/>
              </w:rPr>
              <w:t>。</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传动方式</w:t>
            </w:r>
            <w:r>
              <w:rPr>
                <w:rFonts w:hint="eastAsia" w:asciiTheme="minorEastAsia" w:hAnsiTheme="minorEastAsia" w:eastAsiaTheme="minorEastAsia" w:cstheme="minorEastAsia"/>
                <w:b w:val="0"/>
                <w:bCs w:val="0"/>
                <w:color w:val="auto"/>
                <w:szCs w:val="20"/>
                <w:highlight w:val="none"/>
                <w:lang w:val="en-US"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线性驱动装置或涡轮蜗杆（304不锈钢螺杆），需配手摇机构</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闸门开度</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输出电压脉冲或编码器读数，通过脉冲计数或编码器数据换算，实现位移测量，有上、下限位装置，触发下限位后闸门开度自动置零。</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密封</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需用E</w:t>
            </w:r>
            <w:r>
              <w:rPr>
                <w:color w:val="auto"/>
                <w:szCs w:val="21"/>
                <w:highlight w:val="none"/>
              </w:rPr>
              <w:t>PDM</w:t>
            </w:r>
            <w:r>
              <w:rPr>
                <w:rFonts w:hint="eastAsia"/>
                <w:color w:val="auto"/>
                <w:szCs w:val="21"/>
                <w:highlight w:val="none"/>
              </w:rPr>
              <w:t>唇边</w:t>
            </w:r>
            <w:r>
              <w:rPr>
                <w:color w:val="auto"/>
                <w:szCs w:val="21"/>
                <w:highlight w:val="none"/>
              </w:rPr>
              <w:t>型,</w:t>
            </w:r>
            <w:r>
              <w:rPr>
                <w:rFonts w:hint="eastAsia"/>
                <w:color w:val="auto"/>
                <w:szCs w:val="21"/>
                <w:highlight w:val="none"/>
              </w:rPr>
              <w:t xml:space="preserve"> 橡胶座与门框集成为一体，减少零部件数量和泄漏面</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止水方式</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双向止水</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滑轨</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超高分子聚乙烯材质</w:t>
            </w:r>
            <w:r>
              <w:rPr>
                <w:rFonts w:hint="eastAsia"/>
                <w:color w:val="auto"/>
                <w:szCs w:val="21"/>
                <w:highlight w:val="none"/>
                <w:lang w:eastAsia="zh-Hans"/>
              </w:rPr>
              <w:t>，</w:t>
            </w:r>
            <w:r>
              <w:rPr>
                <w:rFonts w:hint="eastAsia"/>
                <w:color w:val="auto"/>
                <w:szCs w:val="21"/>
                <w:highlight w:val="none"/>
              </w:rPr>
              <w:t>全行程轨道，闸板滑槽和密封件安装槽采用整体结构，耐老化、耐摩擦、自润滑型好。</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驱动选择</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asciiTheme="minorHAnsi" w:hAnsiTheme="minorHAnsi" w:eastAsiaTheme="minorEastAsia"/>
                <w:color w:val="auto"/>
                <w:sz w:val="21"/>
                <w:szCs w:val="21"/>
                <w:highlight w:val="none"/>
              </w:rPr>
              <w:t>数字式集成</w:t>
            </w:r>
            <w:r>
              <w:rPr>
                <w:rFonts w:hint="eastAsia" w:asciiTheme="minorHAnsi" w:hAnsiTheme="minorHAnsi" w:eastAsiaTheme="minorEastAsia"/>
                <w:color w:val="auto"/>
                <w:sz w:val="21"/>
                <w:szCs w:val="21"/>
                <w:highlight w:val="none"/>
              </w:rPr>
              <w:t>或组合式启闭机（电机需配2级减速机）</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测流方式</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100" w:beforeAutospacing="1" w:after="100" w:afterAutospacing="1" w:line="276" w:lineRule="auto"/>
              <w:ind w:left="0" w:right="0"/>
              <w:jc w:val="left"/>
              <w:rPr>
                <w:rFonts w:hint="eastAsia" w:asciiTheme="minorHAnsi" w:hAnsiTheme="minorHAnsi" w:eastAsiaTheme="minorEastAsia"/>
                <w:color w:val="auto"/>
                <w:sz w:val="21"/>
                <w:szCs w:val="21"/>
                <w:highlight w:val="none"/>
                <w:lang w:eastAsia="zh-CN"/>
              </w:rPr>
            </w:pPr>
            <w:r>
              <w:rPr>
                <w:rFonts w:hint="eastAsia" w:asciiTheme="minorHAnsi" w:hAnsiTheme="minorHAnsi" w:eastAsiaTheme="minorEastAsia"/>
                <w:color w:val="auto"/>
                <w:sz w:val="21"/>
                <w:szCs w:val="21"/>
                <w:highlight w:val="none"/>
              </w:rPr>
              <w:t>采用超声波测流箱</w:t>
            </w:r>
            <w:r>
              <w:rPr>
                <w:rFonts w:hint="eastAsia"/>
                <w:color w:val="auto"/>
                <w:sz w:val="21"/>
                <w:szCs w:val="21"/>
                <w:highlight w:val="none"/>
                <w:lang w:eastAsia="zh-CN"/>
              </w:rPr>
              <w:t>：</w:t>
            </w:r>
          </w:p>
          <w:p>
            <w:pPr>
              <w:keepNext w:val="0"/>
              <w:keepLines w:val="0"/>
              <w:widowControl/>
              <w:suppressLineNumbers w:val="0"/>
              <w:spacing w:before="100" w:beforeAutospacing="1" w:after="100" w:afterAutospacing="1" w:line="276" w:lineRule="auto"/>
              <w:ind w:left="0" w:right="0"/>
              <w:jc w:val="left"/>
              <w:rPr>
                <w:rFonts w:hint="eastAsia" w:asciiTheme="minorHAnsi" w:hAnsiTheme="minorHAnsi" w:eastAsiaTheme="minorEastAsia"/>
                <w:color w:val="auto"/>
                <w:sz w:val="21"/>
                <w:szCs w:val="21"/>
                <w:highlight w:val="none"/>
                <w:lang w:eastAsia="zh-CN"/>
              </w:rPr>
            </w:pPr>
            <w:r>
              <w:rPr>
                <w:color w:val="auto"/>
                <w:szCs w:val="20"/>
                <w:highlight w:val="none"/>
              </w:rPr>
              <w:t>1.流速测量原理</w:t>
            </w:r>
            <w:r>
              <w:rPr>
                <w:rFonts w:hint="eastAsia"/>
                <w:color w:val="auto"/>
                <w:szCs w:val="20"/>
                <w:highlight w:val="none"/>
              </w:rPr>
              <w:t>：</w:t>
            </w:r>
            <w:r>
              <w:rPr>
                <w:color w:val="auto"/>
                <w:szCs w:val="20"/>
                <w:highlight w:val="none"/>
              </w:rPr>
              <w:t>超声波时差法；</w:t>
            </w:r>
            <w:r>
              <w:rPr>
                <w:color w:val="auto"/>
                <w:szCs w:val="20"/>
                <w:highlight w:val="none"/>
              </w:rPr>
              <w:br w:type="textWrapping"/>
            </w:r>
            <w:r>
              <w:rPr>
                <w:color w:val="auto"/>
                <w:szCs w:val="20"/>
                <w:highlight w:val="none"/>
              </w:rPr>
              <w:t>2.换能器工作频率：1MHz；</w:t>
            </w:r>
            <w:r>
              <w:rPr>
                <w:color w:val="auto"/>
                <w:szCs w:val="20"/>
                <w:highlight w:val="none"/>
              </w:rPr>
              <w:br w:type="textWrapping"/>
            </w:r>
            <w:r>
              <w:rPr>
                <w:color w:val="auto"/>
                <w:szCs w:val="20"/>
                <w:highlight w:val="none"/>
              </w:rPr>
              <w:t>3.精度等级：2级；</w:t>
            </w:r>
            <w:bookmarkStart w:id="181" w:name="_GoBack"/>
            <w:bookmarkEnd w:id="181"/>
            <w:r>
              <w:rPr>
                <w:color w:val="auto"/>
                <w:szCs w:val="20"/>
                <w:highlight w:val="none"/>
              </w:rPr>
              <w:br w:type="textWrapping"/>
            </w:r>
            <w:r>
              <w:rPr>
                <w:color w:val="auto"/>
                <w:szCs w:val="20"/>
                <w:highlight w:val="none"/>
              </w:rPr>
              <w:t>4.流量计量精度：±2％；</w:t>
            </w:r>
            <w:r>
              <w:rPr>
                <w:color w:val="auto"/>
                <w:szCs w:val="20"/>
                <w:highlight w:val="none"/>
              </w:rPr>
              <w:br w:type="textWrapping"/>
            </w:r>
            <w:r>
              <w:rPr>
                <w:color w:val="auto"/>
                <w:szCs w:val="20"/>
                <w:highlight w:val="none"/>
              </w:rPr>
              <w:t>5.液位测量精度：±3％；</w:t>
            </w:r>
            <w:r>
              <w:rPr>
                <w:color w:val="auto"/>
                <w:szCs w:val="20"/>
                <w:highlight w:val="none"/>
              </w:rPr>
              <w:br w:type="textWrapping"/>
            </w:r>
            <w:r>
              <w:rPr>
                <w:color w:val="auto"/>
                <w:szCs w:val="20"/>
                <w:highlight w:val="none"/>
              </w:rPr>
              <w:t>6.供电电压：DC5-24V；</w:t>
            </w:r>
            <w:r>
              <w:rPr>
                <w:color w:val="auto"/>
                <w:szCs w:val="20"/>
                <w:highlight w:val="none"/>
              </w:rPr>
              <w:br w:type="textWrapping"/>
            </w:r>
            <w:r>
              <w:rPr>
                <w:color w:val="auto"/>
                <w:szCs w:val="20"/>
                <w:highlight w:val="none"/>
              </w:rPr>
              <w:t>7.防护等级:IP68;</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报警方式</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报警模式</w:t>
            </w:r>
            <w:r>
              <w:rPr>
                <w:rFonts w:asciiTheme="minorHAnsi" w:hAnsiTheme="minorHAnsi" w:eastAsiaTheme="minorEastAsia"/>
                <w:color w:val="auto"/>
                <w:sz w:val="21"/>
                <w:szCs w:val="21"/>
                <w:highlight w:val="none"/>
              </w:rPr>
              <w:t>：</w:t>
            </w:r>
            <w:r>
              <w:rPr>
                <w:rFonts w:hint="eastAsia" w:asciiTheme="minorHAnsi" w:hAnsiTheme="minorHAnsi" w:eastAsiaTheme="minorEastAsia"/>
                <w:color w:val="auto"/>
                <w:sz w:val="21"/>
                <w:szCs w:val="21"/>
                <w:highlight w:val="none"/>
              </w:rPr>
              <w:t>开箱报警、过载报警、低压报警</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测流校准方法</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工厂预校准，现场率定。</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供电方式</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风光互补，使用24伏直流供电（太阳能），可接入交流电（暂按3</w:t>
            </w:r>
            <w:r>
              <w:rPr>
                <w:rFonts w:asciiTheme="minorHAnsi" w:hAnsiTheme="minorHAnsi" w:eastAsiaTheme="minorEastAsia"/>
                <w:color w:val="auto"/>
                <w:sz w:val="21"/>
                <w:szCs w:val="21"/>
                <w:highlight w:val="none"/>
              </w:rPr>
              <w:t>5</w:t>
            </w:r>
            <w:r>
              <w:rPr>
                <w:rFonts w:hint="eastAsia" w:asciiTheme="minorHAnsi" w:hAnsiTheme="minorHAnsi" w:eastAsiaTheme="minorEastAsia"/>
                <w:color w:val="auto"/>
                <w:sz w:val="21"/>
                <w:szCs w:val="21"/>
                <w:highlight w:val="none"/>
              </w:rPr>
              <w:t>扇闸门接入交流电）。交流电需</w:t>
            </w:r>
            <w:r>
              <w:rPr>
                <w:rFonts w:asciiTheme="minorHAnsi" w:hAnsiTheme="minorHAnsi" w:eastAsiaTheme="minorEastAsia"/>
                <w:color w:val="auto"/>
                <w:sz w:val="21"/>
                <w:szCs w:val="21"/>
                <w:highlight w:val="none"/>
              </w:rPr>
              <w:t>Ø32</w:t>
            </w:r>
            <w:r>
              <w:rPr>
                <w:rFonts w:hint="eastAsia" w:asciiTheme="minorHAnsi" w:hAnsiTheme="minorHAnsi" w:eastAsiaTheme="minorEastAsia"/>
                <w:color w:val="auto"/>
                <w:sz w:val="21"/>
                <w:szCs w:val="21"/>
                <w:highlight w:val="none"/>
              </w:rPr>
              <w:t>镀锌钢管埋设，电缆规格Z</w:t>
            </w:r>
            <w:r>
              <w:rPr>
                <w:rFonts w:asciiTheme="minorHAnsi" w:hAnsiTheme="minorHAnsi" w:eastAsiaTheme="minorEastAsia"/>
                <w:color w:val="auto"/>
                <w:sz w:val="21"/>
                <w:szCs w:val="21"/>
                <w:highlight w:val="none"/>
              </w:rPr>
              <w:t>B-Y</w:t>
            </w:r>
            <w:r>
              <w:rPr>
                <w:rFonts w:hint="eastAsia" w:asciiTheme="minorHAnsi" w:hAnsiTheme="minorHAnsi" w:eastAsiaTheme="minorEastAsia"/>
                <w:color w:val="auto"/>
                <w:sz w:val="21"/>
                <w:szCs w:val="21"/>
                <w:highlight w:val="none"/>
              </w:rPr>
              <w:t>JV</w:t>
            </w:r>
            <w:r>
              <w:rPr>
                <w:rFonts w:asciiTheme="minorHAnsi" w:hAnsiTheme="minorHAnsi" w:eastAsiaTheme="minorEastAsia"/>
                <w:color w:val="auto"/>
                <w:sz w:val="21"/>
                <w:szCs w:val="21"/>
                <w:highlight w:val="none"/>
              </w:rPr>
              <w:t>-0.6/1kV-</w:t>
            </w:r>
            <w:r>
              <w:rPr>
                <w:rFonts w:hint="eastAsia" w:asciiTheme="minorHAnsi" w:hAnsiTheme="minorHAnsi" w:eastAsiaTheme="minorEastAsia"/>
                <w:color w:val="auto"/>
                <w:sz w:val="21"/>
                <w:szCs w:val="21"/>
                <w:highlight w:val="none"/>
              </w:rPr>
              <w:t>3X</w:t>
            </w:r>
            <w:r>
              <w:rPr>
                <w:rFonts w:asciiTheme="minorHAnsi" w:hAnsiTheme="minorHAnsi" w:eastAsiaTheme="minorEastAsia"/>
                <w:color w:val="auto"/>
                <w:sz w:val="21"/>
                <w:szCs w:val="21"/>
                <w:highlight w:val="none"/>
              </w:rPr>
              <w:t>6mm</w:t>
            </w:r>
            <w:r>
              <w:rPr>
                <w:rFonts w:asciiTheme="minorHAnsi" w:hAnsiTheme="minorHAnsi" w:eastAsiaTheme="minorEastAsia"/>
                <w:color w:val="auto"/>
                <w:sz w:val="21"/>
                <w:szCs w:val="21"/>
                <w:highlight w:val="none"/>
                <w:vertAlign w:val="superscript"/>
              </w:rPr>
              <w:t>2</w:t>
            </w:r>
            <w:r>
              <w:rPr>
                <w:rFonts w:hint="eastAsia" w:asciiTheme="minorHAnsi" w:hAnsiTheme="minorHAnsi" w:eastAsiaTheme="minorEastAsia"/>
                <w:color w:val="auto"/>
                <w:sz w:val="21"/>
                <w:szCs w:val="21"/>
                <w:highlight w:val="none"/>
              </w:rPr>
              <w:t>，线路长度暂定5</w:t>
            </w:r>
            <w:r>
              <w:rPr>
                <w:rFonts w:asciiTheme="minorHAnsi" w:hAnsiTheme="minorHAnsi" w:eastAsiaTheme="minorEastAsia"/>
                <w:color w:val="auto"/>
                <w:sz w:val="21"/>
                <w:szCs w:val="21"/>
                <w:highlight w:val="none"/>
              </w:rPr>
              <w:t>00m</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风力发电机</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风力发电机应采用小型离网型风力发电机，发电机型式为三相交流永磁同步发电机，叶片采用优质尼龙纤维片。单台小型风力发电机额定功率为</w:t>
            </w:r>
            <w:r>
              <w:rPr>
                <w:rFonts w:asciiTheme="minorHAnsi" w:hAnsiTheme="minorHAnsi" w:eastAsiaTheme="minorEastAsia"/>
                <w:color w:val="auto"/>
                <w:sz w:val="21"/>
                <w:szCs w:val="21"/>
                <w:highlight w:val="none"/>
              </w:rPr>
              <w:t>1</w:t>
            </w:r>
            <w:r>
              <w:rPr>
                <w:rFonts w:hint="eastAsia" w:asciiTheme="minorHAnsi" w:hAnsiTheme="minorHAnsi" w:eastAsiaTheme="minorEastAsia"/>
                <w:color w:val="auto"/>
                <w:sz w:val="21"/>
                <w:szCs w:val="21"/>
                <w:highlight w:val="none"/>
              </w:rPr>
              <w:t>00W，电机绝缘等级为F级。</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太阳能板</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采用1</w:t>
            </w:r>
            <w:r>
              <w:rPr>
                <w:rFonts w:asciiTheme="minorHAnsi" w:hAnsiTheme="minorHAnsi" w:eastAsiaTheme="minorEastAsia"/>
                <w:color w:val="auto"/>
                <w:sz w:val="21"/>
                <w:szCs w:val="21"/>
                <w:highlight w:val="none"/>
              </w:rPr>
              <w:t>0</w:t>
            </w:r>
            <w:r>
              <w:rPr>
                <w:rFonts w:hint="eastAsia" w:asciiTheme="minorHAnsi" w:hAnsiTheme="minorHAnsi" w:eastAsiaTheme="minorEastAsia"/>
                <w:color w:val="auto"/>
                <w:sz w:val="21"/>
                <w:szCs w:val="21"/>
                <w:highlight w:val="none"/>
              </w:rPr>
              <w:t>0瓦以上单晶硅，太阳能光伏电池板应为成熟的标准规格产品。光电效率不低于20%。组件应有良好的弱光效应，在光照直射和散射以及在清晨、傍晚和阴雨天都能有效转换。</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rFonts w:hint="eastAsia" w:eastAsia="宋体"/>
                <w:color w:val="auto"/>
                <w:szCs w:val="21"/>
                <w:highlight w:val="none"/>
                <w:lang w:eastAsia="zh-CN"/>
              </w:rPr>
            </w:pPr>
            <w:r>
              <w:rPr>
                <w:rFonts w:hint="eastAsia"/>
                <w:color w:val="auto"/>
                <w:szCs w:val="21"/>
                <w:highlight w:val="none"/>
              </w:rPr>
              <w:t>电池</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胶体蓄电池（需带充电控制器保护装置），防水等级不低于</w:t>
            </w:r>
            <w:r>
              <w:rPr>
                <w:rFonts w:hint="eastAsia" w:asciiTheme="minorHAnsi" w:hAnsiTheme="minorHAnsi" w:eastAsiaTheme="minorEastAsia"/>
                <w:color w:val="auto"/>
                <w:sz w:val="21"/>
                <w:szCs w:val="21"/>
                <w:highlight w:val="none"/>
                <w:lang w:eastAsia="zh-CN"/>
              </w:rPr>
              <w:t>IP54</w:t>
            </w:r>
            <w:r>
              <w:rPr>
                <w:rFonts w:hint="eastAsia" w:asciiTheme="minorHAnsi" w:hAnsiTheme="minorHAnsi" w:eastAsiaTheme="minorEastAsia"/>
                <w:color w:val="auto"/>
                <w:sz w:val="21"/>
                <w:szCs w:val="21"/>
                <w:highlight w:val="none"/>
              </w:rPr>
              <w:t>，电池容量保证一体化闸门（或者相关用电设备）在连续7天的阴雨天气内能可靠工作。</w:t>
            </w:r>
            <w:r>
              <w:rPr>
                <w:rFonts w:hint="eastAsia" w:cs="宋体" w:asciiTheme="minorHAnsi" w:hAnsiTheme="minorHAnsi" w:eastAsiaTheme="minorEastAsia"/>
                <w:b/>
                <w:bCs/>
                <w:color w:val="auto"/>
                <w:sz w:val="21"/>
                <w:szCs w:val="21"/>
                <w:highlight w:val="none"/>
                <w:lang w:val="en-US" w:eastAsia="zh-CN"/>
              </w:rPr>
              <w:t>提供投标产品第三方检测报告复印件并加盖投标人公章。</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立杆</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碳钢材质，表面镀锌喷塑，高度4~</w:t>
            </w:r>
            <w:r>
              <w:rPr>
                <w:rFonts w:asciiTheme="minorHAnsi" w:hAnsiTheme="minorHAnsi" w:eastAsiaTheme="minorEastAsia"/>
                <w:color w:val="auto"/>
                <w:sz w:val="21"/>
                <w:szCs w:val="21"/>
                <w:highlight w:val="none"/>
              </w:rPr>
              <w:t>6</w:t>
            </w:r>
            <w:r>
              <w:rPr>
                <w:rFonts w:hint="eastAsia" w:asciiTheme="minorHAnsi" w:hAnsiTheme="minorHAnsi" w:eastAsiaTheme="minorEastAsia"/>
                <w:color w:val="auto"/>
                <w:sz w:val="21"/>
                <w:szCs w:val="21"/>
                <w:highlight w:val="none"/>
              </w:rPr>
              <w:t>米，配避雷针、接地桩。</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rFonts w:hint="eastAsia" w:eastAsia="宋体"/>
                <w:color w:val="auto"/>
                <w:szCs w:val="21"/>
                <w:highlight w:val="none"/>
                <w:lang w:eastAsia="zh-CN"/>
              </w:rPr>
            </w:pPr>
            <w:r>
              <w:rPr>
                <w:rFonts w:hint="eastAsia"/>
                <w:color w:val="auto"/>
                <w:szCs w:val="21"/>
                <w:highlight w:val="none"/>
              </w:rPr>
              <w:t>控制柜</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户外双层3</w:t>
            </w:r>
            <w:r>
              <w:rPr>
                <w:rFonts w:asciiTheme="minorHAnsi" w:hAnsiTheme="minorHAnsi" w:eastAsiaTheme="minorEastAsia"/>
                <w:color w:val="auto"/>
                <w:sz w:val="21"/>
                <w:szCs w:val="21"/>
                <w:highlight w:val="none"/>
              </w:rPr>
              <w:t>04</w:t>
            </w:r>
            <w:r>
              <w:rPr>
                <w:rFonts w:hint="eastAsia" w:asciiTheme="minorHAnsi" w:hAnsiTheme="minorHAnsi" w:eastAsiaTheme="minorEastAsia"/>
                <w:color w:val="auto"/>
                <w:sz w:val="21"/>
                <w:szCs w:val="21"/>
                <w:highlight w:val="none"/>
              </w:rPr>
              <w:t>不锈钢柜体，板材厚度不低于1</w:t>
            </w:r>
            <w:r>
              <w:rPr>
                <w:rFonts w:asciiTheme="minorHAnsi" w:hAnsiTheme="minorHAnsi" w:eastAsiaTheme="minorEastAsia"/>
                <w:color w:val="auto"/>
                <w:sz w:val="21"/>
                <w:szCs w:val="21"/>
                <w:highlight w:val="none"/>
              </w:rPr>
              <w:t>.5</w:t>
            </w:r>
            <w:r>
              <w:rPr>
                <w:rFonts w:hint="eastAsia" w:asciiTheme="minorHAnsi" w:hAnsiTheme="minorHAnsi" w:eastAsiaTheme="minorEastAsia"/>
                <w:color w:val="auto"/>
                <w:sz w:val="21"/>
                <w:szCs w:val="21"/>
                <w:highlight w:val="none"/>
              </w:rPr>
              <w:t>mm。设置人机交互界，10.0寸及以上液晶显示屏；具有良好的防尘、防潮、防屏蔽性能，防护等级IP54，电器元器件模块化设计，便于升级和检修。</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运行温度</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-10°C至70°C</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运行湿度</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0%至100%</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控制方式</w:t>
            </w:r>
            <w:r>
              <w:rPr>
                <w:rFonts w:hint="eastAsia" w:ascii="微软雅黑" w:hAnsi="微软雅黑" w:eastAsia="微软雅黑" w:cs="微软雅黑"/>
                <w:color w:val="auto"/>
                <w:szCs w:val="21"/>
                <w:highlight w:val="none"/>
                <w:lang w:eastAsia="zh-CN"/>
              </w:rPr>
              <w:t>★</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1"/>
              <w:keepNext w:val="0"/>
              <w:keepLines w:val="0"/>
              <w:suppressLineNumbers w:val="0"/>
              <w:spacing w:before="0" w:beforeAutospacing="0" w:after="0" w:afterAutospacing="0" w:line="280" w:lineRule="exact"/>
              <w:ind w:left="0" w:right="0"/>
              <w:rPr>
                <w:rFonts w:asciiTheme="minorHAnsi" w:hAnsiTheme="minorHAnsi" w:eastAsiaTheme="minorEastAsia"/>
                <w:color w:val="auto"/>
                <w:sz w:val="21"/>
                <w:szCs w:val="21"/>
                <w:highlight w:val="none"/>
              </w:rPr>
            </w:pPr>
            <w:r>
              <w:rPr>
                <w:rFonts w:hint="eastAsia" w:asciiTheme="minorHAnsi" w:hAnsiTheme="minorHAnsi" w:eastAsiaTheme="minorEastAsia"/>
                <w:color w:val="auto"/>
                <w:sz w:val="21"/>
                <w:szCs w:val="21"/>
                <w:highlight w:val="none"/>
              </w:rPr>
              <w:t>支持开度、流量、水位、时间等控制方式。闸控器控制通过就地旋钮、手机APP和</w:t>
            </w:r>
            <w:r>
              <w:rPr>
                <w:rFonts w:asciiTheme="minorHAnsi" w:hAnsiTheme="minorHAnsi" w:eastAsiaTheme="minorEastAsia"/>
                <w:color w:val="auto"/>
                <w:sz w:val="21"/>
                <w:szCs w:val="21"/>
                <w:highlight w:val="none"/>
              </w:rPr>
              <w:t>W</w:t>
            </w:r>
            <w:r>
              <w:rPr>
                <w:rFonts w:hint="eastAsia" w:asciiTheme="minorHAnsi" w:hAnsiTheme="minorHAnsi" w:eastAsiaTheme="minorEastAsia"/>
                <w:color w:val="auto"/>
                <w:sz w:val="21"/>
                <w:szCs w:val="21"/>
                <w:highlight w:val="none"/>
              </w:rPr>
              <w:t>eb界面及程序自动控制实现闸门开关。并完成数据接入信息化平台。</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通信方式</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同时兼容以太网、</w:t>
            </w:r>
            <w:r>
              <w:rPr>
                <w:rFonts w:hint="eastAsia" w:cs="宋体"/>
                <w:color w:val="auto"/>
                <w:kern w:val="0"/>
                <w:szCs w:val="21"/>
                <w:highlight w:val="none"/>
              </w:rPr>
              <w:t>WIFI、4G</w:t>
            </w:r>
            <w:r>
              <w:rPr>
                <w:rFonts w:hint="eastAsia" w:cs="宋体"/>
                <w:color w:val="auto"/>
                <w:kern w:val="0"/>
                <w:szCs w:val="21"/>
                <w:highlight w:val="none"/>
                <w:lang w:val="en-US" w:eastAsia="zh-CN"/>
              </w:rPr>
              <w:t>/5G/光纤</w:t>
            </w:r>
            <w:r>
              <w:rPr>
                <w:rFonts w:hint="eastAsia" w:cs="宋体"/>
                <w:color w:val="auto"/>
                <w:kern w:val="0"/>
                <w:szCs w:val="21"/>
                <w:highlight w:val="none"/>
              </w:rPr>
              <w:t>(全网通)，满足后续信息化平台使用需求（数据接入灌区管理平台）</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本地操作</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同时支持触摸屏、就地旋钮按键操作和纯手动操作功能</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保护</w:t>
            </w:r>
          </w:p>
        </w:tc>
        <w:tc>
          <w:tcPr>
            <w:tcW w:w="408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过流、过压保护，闸门卡滞保护</w:t>
            </w:r>
          </w:p>
        </w:tc>
      </w:tr>
      <w:tr>
        <w:tblPrEx>
          <w:tblCellMar>
            <w:top w:w="0" w:type="dxa"/>
            <w:left w:w="0" w:type="dxa"/>
            <w:bottom w:w="0" w:type="dxa"/>
            <w:right w:w="0" w:type="dxa"/>
          </w:tblCellMar>
        </w:tblPrEx>
        <w:trPr>
          <w:trHeight w:val="340" w:hRule="atLeast"/>
        </w:trPr>
        <w:tc>
          <w:tcPr>
            <w:tcW w:w="915" w:type="pct"/>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控制器</w:t>
            </w:r>
          </w:p>
        </w:tc>
        <w:tc>
          <w:tcPr>
            <w:tcW w:w="4084"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高度集成数字量输出、模拟量输出、pwm输出、实时监控电机电流、多路脉冲信号捕捉、多路4</w:t>
            </w:r>
            <w:r>
              <w:rPr>
                <w:color w:val="auto"/>
                <w:szCs w:val="21"/>
                <w:highlight w:val="none"/>
              </w:rPr>
              <w:t>85</w:t>
            </w:r>
            <w:r>
              <w:rPr>
                <w:rFonts w:hint="eastAsia"/>
                <w:color w:val="auto"/>
                <w:szCs w:val="21"/>
                <w:highlight w:val="none"/>
              </w:rPr>
              <w:t>通讯接口；数据断电保存</w:t>
            </w:r>
          </w:p>
        </w:tc>
      </w:tr>
      <w:tr>
        <w:tblPrEx>
          <w:tblCellMar>
            <w:top w:w="0" w:type="dxa"/>
            <w:left w:w="0" w:type="dxa"/>
            <w:bottom w:w="0" w:type="dxa"/>
            <w:right w:w="0" w:type="dxa"/>
          </w:tblCellMar>
        </w:tblPrEx>
        <w:trPr>
          <w:trHeight w:val="340" w:hRule="atLeast"/>
        </w:trPr>
        <w:tc>
          <w:tcPr>
            <w:tcW w:w="91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管理平台</w:t>
            </w:r>
          </w:p>
        </w:tc>
        <w:tc>
          <w:tcPr>
            <w:tcW w:w="408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手机APP、WEB平台</w:t>
            </w:r>
          </w:p>
        </w:tc>
      </w:tr>
      <w:tr>
        <w:tblPrEx>
          <w:tblCellMar>
            <w:top w:w="0" w:type="dxa"/>
            <w:left w:w="0" w:type="dxa"/>
            <w:bottom w:w="0" w:type="dxa"/>
            <w:right w:w="0" w:type="dxa"/>
          </w:tblCellMar>
        </w:tblPrEx>
        <w:trPr>
          <w:trHeight w:val="371" w:hRule="atLeast"/>
        </w:trPr>
        <w:tc>
          <w:tcPr>
            <w:tcW w:w="91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质量检测</w:t>
            </w:r>
            <w:r>
              <w:rPr>
                <w:rFonts w:hint="eastAsia" w:asciiTheme="minorEastAsia" w:hAnsiTheme="minorEastAsia" w:eastAsiaTheme="minorEastAsia" w:cstheme="minorEastAsia"/>
                <w:b w:val="0"/>
                <w:bCs w:val="0"/>
                <w:color w:val="auto"/>
                <w:szCs w:val="20"/>
                <w:highlight w:val="none"/>
                <w:lang w:val="en-US" w:eastAsia="zh-CN"/>
              </w:rPr>
              <w:t>▲</w:t>
            </w:r>
          </w:p>
        </w:tc>
        <w:tc>
          <w:tcPr>
            <w:tcW w:w="408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rFonts w:hint="eastAsia" w:eastAsia="等线"/>
                <w:color w:val="auto"/>
                <w:szCs w:val="21"/>
                <w:highlight w:val="none"/>
                <w:lang w:eastAsia="zh-CN"/>
              </w:rPr>
            </w:pPr>
            <w:r>
              <w:rPr>
                <w:rFonts w:hint="eastAsia"/>
                <w:color w:val="auto"/>
                <w:szCs w:val="21"/>
                <w:highlight w:val="none"/>
                <w:lang w:eastAsia="zh-CN"/>
              </w:rPr>
              <w:t>测控一体化闸门提供具有第三方检测单位出具的CMA检验报告。</w:t>
            </w:r>
          </w:p>
        </w:tc>
      </w:tr>
    </w:tbl>
    <w:p>
      <w:pPr>
        <w:rPr>
          <w:rFonts w:hint="eastAsia" w:ascii="宋体" w:hAnsi="宋体" w:eastAsia="宋体" w:cs="宋体"/>
          <w:color w:val="auto"/>
          <w:sz w:val="22"/>
          <w:szCs w:val="22"/>
          <w:highlight w:val="none"/>
        </w:rPr>
      </w:pPr>
    </w:p>
    <w:p>
      <w:pPr>
        <w:pStyle w:val="10"/>
        <w:spacing w:after="156"/>
        <w:ind w:left="480"/>
        <w:rPr>
          <w:rFonts w:hint="eastAsia" w:ascii="宋体" w:hAnsi="宋体" w:eastAsia="宋体" w:cs="宋体"/>
          <w:color w:val="auto"/>
          <w:sz w:val="22"/>
          <w:szCs w:val="22"/>
          <w:highlight w:val="none"/>
        </w:rPr>
      </w:pPr>
    </w:p>
    <w:p>
      <w:pPr>
        <w:widowControl/>
        <w:spacing w:before="100" w:beforeAutospacing="1" w:after="240" w:line="276" w:lineRule="auto"/>
        <w:jc w:val="center"/>
        <w:rPr>
          <w:rFonts w:ascii="黑体" w:hAnsi="黑体" w:eastAsia="黑体" w:cs="宋体"/>
          <w:b/>
          <w:bCs/>
          <w:color w:val="auto"/>
          <w:kern w:val="0"/>
          <w:szCs w:val="21"/>
          <w:highlight w:val="none"/>
        </w:rPr>
      </w:pPr>
      <w:r>
        <w:rPr>
          <w:rFonts w:hint="eastAsia" w:ascii="宋体" w:hAnsi="宋体" w:eastAsia="宋体" w:cs="宋体"/>
          <w:b/>
          <w:bCs/>
          <w:color w:val="auto"/>
          <w:sz w:val="22"/>
          <w:szCs w:val="22"/>
          <w:highlight w:val="none"/>
        </w:rPr>
        <w:t xml:space="preserve">表1.2-3    </w:t>
      </w:r>
      <w:r>
        <w:rPr>
          <w:rFonts w:hint="eastAsia" w:ascii="黑体" w:hAnsi="黑体" w:eastAsia="黑体" w:cs="宋体"/>
          <w:b/>
          <w:bCs/>
          <w:color w:val="auto"/>
          <w:kern w:val="0"/>
          <w:szCs w:val="21"/>
          <w:highlight w:val="none"/>
        </w:rPr>
        <w:t>1</w:t>
      </w:r>
      <w:r>
        <w:rPr>
          <w:rFonts w:ascii="黑体" w:hAnsi="黑体" w:eastAsia="黑体" w:cs="宋体"/>
          <w:b/>
          <w:bCs/>
          <w:color w:val="auto"/>
          <w:kern w:val="0"/>
          <w:szCs w:val="21"/>
          <w:highlight w:val="none"/>
        </w:rPr>
        <w:t>.1-1.8m</w:t>
      </w:r>
      <w:r>
        <w:rPr>
          <w:rFonts w:hint="eastAsia" w:ascii="黑体" w:hAnsi="黑体" w:eastAsia="黑体" w:cs="宋体"/>
          <w:b/>
          <w:bCs/>
          <w:color w:val="auto"/>
          <w:kern w:val="0"/>
          <w:szCs w:val="21"/>
          <w:highlight w:val="none"/>
        </w:rPr>
        <w:t>测控一体化闸门技术参数</w:t>
      </w:r>
    </w:p>
    <w:tbl>
      <w:tblPr>
        <w:tblStyle w:val="26"/>
        <w:tblW w:w="5000" w:type="pct"/>
        <w:tblInd w:w="0" w:type="dxa"/>
        <w:tblLayout w:type="autofit"/>
        <w:tblCellMar>
          <w:top w:w="0" w:type="dxa"/>
          <w:left w:w="0" w:type="dxa"/>
          <w:bottom w:w="0" w:type="dxa"/>
          <w:right w:w="0" w:type="dxa"/>
        </w:tblCellMar>
      </w:tblPr>
      <w:tblGrid>
        <w:gridCol w:w="1873"/>
        <w:gridCol w:w="7975"/>
      </w:tblGrid>
      <w:tr>
        <w:tblPrEx>
          <w:tblCellMar>
            <w:top w:w="0" w:type="dxa"/>
            <w:left w:w="0" w:type="dxa"/>
            <w:bottom w:w="0" w:type="dxa"/>
            <w:right w:w="0" w:type="dxa"/>
          </w:tblCellMar>
        </w:tblPrEx>
        <w:trPr>
          <w:trHeight w:val="340" w:hRule="atLeast"/>
        </w:trPr>
        <w:tc>
          <w:tcPr>
            <w:tcW w:w="95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项目</w:t>
            </w:r>
          </w:p>
        </w:tc>
        <w:tc>
          <w:tcPr>
            <w:tcW w:w="404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　常规参数</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数据存储</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NANDFALSH固态存储，SD卡，云端存储。</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控制模式</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可通过本地或者远程控制</w:t>
            </w:r>
          </w:p>
        </w:tc>
      </w:tr>
      <w:tr>
        <w:tblPrEx>
          <w:tblCellMar>
            <w:top w:w="0" w:type="dxa"/>
            <w:left w:w="0" w:type="dxa"/>
            <w:bottom w:w="0" w:type="dxa"/>
            <w:right w:w="0" w:type="dxa"/>
          </w:tblCellMar>
        </w:tblPrEx>
        <w:trPr>
          <w:trHeight w:val="778"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闸门框架及闸板</w:t>
            </w:r>
            <w:r>
              <w:rPr>
                <w:rFonts w:hint="eastAsia" w:asciiTheme="minorEastAsia" w:hAnsiTheme="minorEastAsia" w:eastAsiaTheme="minorEastAsia" w:cstheme="minorEastAsia"/>
                <w:b w:val="0"/>
                <w:bCs w:val="0"/>
                <w:color w:val="auto"/>
                <w:szCs w:val="20"/>
                <w:highlight w:val="none"/>
                <w:lang w:val="en-US"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304不锈钢焊接件（框架型材：宽度≥190mm、厚度≥7</w:t>
            </w:r>
            <w:r>
              <w:rPr>
                <w:color w:val="auto"/>
                <w:szCs w:val="21"/>
                <w:highlight w:val="none"/>
              </w:rPr>
              <w:t>5</w:t>
            </w:r>
            <w:r>
              <w:rPr>
                <w:rFonts w:hint="eastAsia"/>
                <w:color w:val="auto"/>
                <w:szCs w:val="21"/>
                <w:highlight w:val="none"/>
              </w:rPr>
              <w:t>mm；闸板厚度≥4</w:t>
            </w:r>
            <w:r>
              <w:rPr>
                <w:color w:val="auto"/>
                <w:szCs w:val="21"/>
                <w:highlight w:val="none"/>
              </w:rPr>
              <w:t>4</w:t>
            </w:r>
            <w:r>
              <w:rPr>
                <w:rFonts w:hint="eastAsia"/>
                <w:color w:val="auto"/>
                <w:szCs w:val="21"/>
                <w:highlight w:val="none"/>
              </w:rPr>
              <w:t>mm）。</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辅助结构及覆盖件</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6061-T6铝合金或3</w:t>
            </w:r>
            <w:r>
              <w:rPr>
                <w:color w:val="auto"/>
                <w:szCs w:val="21"/>
                <w:highlight w:val="none"/>
              </w:rPr>
              <w:t>04</w:t>
            </w:r>
            <w:r>
              <w:rPr>
                <w:rFonts w:hint="eastAsia"/>
                <w:color w:val="auto"/>
                <w:szCs w:val="21"/>
                <w:highlight w:val="none"/>
              </w:rPr>
              <w:t>不锈钢</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传动方式</w:t>
            </w:r>
            <w:r>
              <w:rPr>
                <w:rFonts w:hint="eastAsia" w:asciiTheme="minorEastAsia" w:hAnsiTheme="minorEastAsia" w:eastAsiaTheme="minorEastAsia" w:cstheme="minorEastAsia"/>
                <w:b w:val="0"/>
                <w:bCs w:val="0"/>
                <w:color w:val="auto"/>
                <w:szCs w:val="20"/>
                <w:highlight w:val="none"/>
                <w:lang w:val="en-US"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线性驱动装置或涡轮蜗杆（3</w:t>
            </w:r>
            <w:r>
              <w:rPr>
                <w:color w:val="auto"/>
                <w:szCs w:val="21"/>
                <w:highlight w:val="none"/>
              </w:rPr>
              <w:t>04</w:t>
            </w:r>
            <w:r>
              <w:rPr>
                <w:rFonts w:hint="eastAsia"/>
                <w:color w:val="auto"/>
                <w:szCs w:val="21"/>
                <w:highlight w:val="none"/>
              </w:rPr>
              <w:t>不锈钢），需配手摇机构</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闸门开度</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输出电压脉冲或编码器读数，通过脉冲计数或编码器数据换算，实现位移测量，有上、下限位装置，触发下限位后闸门开度自动置零。</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密封</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需用E</w:t>
            </w:r>
            <w:r>
              <w:rPr>
                <w:color w:val="auto"/>
                <w:szCs w:val="21"/>
                <w:highlight w:val="none"/>
              </w:rPr>
              <w:t>PDM</w:t>
            </w:r>
            <w:r>
              <w:rPr>
                <w:rFonts w:hint="eastAsia"/>
                <w:color w:val="auto"/>
                <w:szCs w:val="21"/>
                <w:highlight w:val="none"/>
              </w:rPr>
              <w:t xml:space="preserve"> P</w:t>
            </w:r>
            <w:r>
              <w:rPr>
                <w:color w:val="auto"/>
                <w:szCs w:val="21"/>
                <w:highlight w:val="none"/>
              </w:rPr>
              <w:t>型</w:t>
            </w:r>
            <w:r>
              <w:rPr>
                <w:rFonts w:hint="eastAsia"/>
                <w:color w:val="auto"/>
                <w:szCs w:val="21"/>
                <w:highlight w:val="none"/>
              </w:rPr>
              <w:t>橡胶</w:t>
            </w:r>
            <w:r>
              <w:rPr>
                <w:color w:val="auto"/>
                <w:szCs w:val="21"/>
                <w:highlight w:val="none"/>
              </w:rPr>
              <w:t>,</w:t>
            </w:r>
            <w:r>
              <w:rPr>
                <w:rFonts w:hint="eastAsia"/>
                <w:color w:val="auto"/>
                <w:szCs w:val="21"/>
                <w:highlight w:val="none"/>
              </w:rPr>
              <w:t xml:space="preserve"> 橡胶座与门框集成为一体，减少零部件数量和泄漏面</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止水方式</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双向止水</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滑轨</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超高分子聚乙烯材质，全行程轨道，闸板滑槽和密封件安装槽采用整体结构，耐老化、耐摩擦、自润滑型好。</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驱动选择</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color w:val="auto"/>
                <w:szCs w:val="21"/>
                <w:highlight w:val="none"/>
              </w:rPr>
              <w:t>数字式集成</w:t>
            </w:r>
            <w:r>
              <w:rPr>
                <w:rFonts w:hint="eastAsia"/>
                <w:color w:val="auto"/>
                <w:szCs w:val="21"/>
                <w:highlight w:val="none"/>
              </w:rPr>
              <w:t>或组合式启闭机（电机需配2级减速机）</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测流方式</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100" w:beforeAutospacing="1" w:after="100" w:afterAutospacing="1" w:line="240" w:lineRule="auto"/>
              <w:ind w:left="0" w:right="0"/>
              <w:jc w:val="left"/>
              <w:rPr>
                <w:rFonts w:hint="eastAsia"/>
                <w:color w:val="auto"/>
                <w:szCs w:val="21"/>
                <w:highlight w:val="none"/>
              </w:rPr>
            </w:pPr>
            <w:r>
              <w:rPr>
                <w:rFonts w:hint="eastAsia"/>
                <w:color w:val="auto"/>
                <w:szCs w:val="21"/>
                <w:highlight w:val="none"/>
              </w:rPr>
              <w:t>张官支渠闸门采用超声波测流箱，其他泄洪闸闸门不设流量测控装置，</w:t>
            </w:r>
          </w:p>
          <w:p>
            <w:pPr>
              <w:keepNext w:val="0"/>
              <w:keepLines w:val="0"/>
              <w:widowControl/>
              <w:suppressLineNumbers w:val="0"/>
              <w:spacing w:before="100" w:beforeAutospacing="1" w:after="100" w:afterAutospacing="1" w:line="240" w:lineRule="auto"/>
              <w:ind w:left="0" w:right="0"/>
              <w:jc w:val="left"/>
              <w:rPr>
                <w:color w:val="auto"/>
                <w:szCs w:val="21"/>
                <w:highlight w:val="none"/>
              </w:rPr>
            </w:pPr>
            <w:r>
              <w:rPr>
                <w:color w:val="auto"/>
                <w:szCs w:val="20"/>
                <w:highlight w:val="none"/>
              </w:rPr>
              <w:t>1.流速测量原理</w:t>
            </w:r>
            <w:r>
              <w:rPr>
                <w:rFonts w:hint="eastAsia"/>
                <w:color w:val="auto"/>
                <w:szCs w:val="20"/>
                <w:highlight w:val="none"/>
              </w:rPr>
              <w:t>：</w:t>
            </w:r>
            <w:r>
              <w:rPr>
                <w:color w:val="auto"/>
                <w:szCs w:val="20"/>
                <w:highlight w:val="none"/>
              </w:rPr>
              <w:t>超声波时差法；</w:t>
            </w:r>
            <w:r>
              <w:rPr>
                <w:color w:val="auto"/>
                <w:szCs w:val="20"/>
                <w:highlight w:val="none"/>
              </w:rPr>
              <w:br w:type="textWrapping"/>
            </w:r>
            <w:r>
              <w:rPr>
                <w:color w:val="auto"/>
                <w:szCs w:val="20"/>
                <w:highlight w:val="none"/>
              </w:rPr>
              <w:t>2.换能器工作频率：1MHz；</w:t>
            </w:r>
            <w:r>
              <w:rPr>
                <w:color w:val="auto"/>
                <w:szCs w:val="20"/>
                <w:highlight w:val="none"/>
              </w:rPr>
              <w:br w:type="textWrapping"/>
            </w:r>
            <w:r>
              <w:rPr>
                <w:color w:val="auto"/>
                <w:szCs w:val="20"/>
                <w:highlight w:val="none"/>
              </w:rPr>
              <w:t>3.精度等级：2级；</w:t>
            </w:r>
            <w:r>
              <w:rPr>
                <w:color w:val="auto"/>
                <w:szCs w:val="20"/>
                <w:highlight w:val="none"/>
              </w:rPr>
              <w:br w:type="textWrapping"/>
            </w:r>
            <w:r>
              <w:rPr>
                <w:color w:val="auto"/>
                <w:szCs w:val="20"/>
                <w:highlight w:val="none"/>
              </w:rPr>
              <w:t>4.流量计量精度：±2％；</w:t>
            </w:r>
            <w:r>
              <w:rPr>
                <w:color w:val="auto"/>
                <w:szCs w:val="20"/>
                <w:highlight w:val="none"/>
              </w:rPr>
              <w:br w:type="textWrapping"/>
            </w:r>
            <w:r>
              <w:rPr>
                <w:color w:val="auto"/>
                <w:szCs w:val="20"/>
                <w:highlight w:val="none"/>
              </w:rPr>
              <w:t>5.液位测量精度：±3％；</w:t>
            </w:r>
            <w:r>
              <w:rPr>
                <w:color w:val="auto"/>
                <w:szCs w:val="20"/>
                <w:highlight w:val="none"/>
              </w:rPr>
              <w:br w:type="textWrapping"/>
            </w:r>
            <w:r>
              <w:rPr>
                <w:color w:val="auto"/>
                <w:szCs w:val="20"/>
                <w:highlight w:val="none"/>
              </w:rPr>
              <w:t>6.供电电压：DC5-24V；</w:t>
            </w:r>
            <w:r>
              <w:rPr>
                <w:color w:val="auto"/>
                <w:szCs w:val="20"/>
                <w:highlight w:val="none"/>
              </w:rPr>
              <w:br w:type="textWrapping"/>
            </w:r>
            <w:r>
              <w:rPr>
                <w:color w:val="auto"/>
                <w:szCs w:val="20"/>
                <w:highlight w:val="none"/>
              </w:rPr>
              <w:t>7.防护等级:IP68;</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报警方式</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开箱报警、过载报警、低压报警</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测流校准方法</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工厂预校准和现场率定。</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供电方式</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交流电+太阳能。交流电需</w:t>
            </w:r>
            <w:r>
              <w:rPr>
                <w:color w:val="auto"/>
                <w:szCs w:val="21"/>
                <w:highlight w:val="none"/>
              </w:rPr>
              <w:t>Ø32</w:t>
            </w:r>
            <w:r>
              <w:rPr>
                <w:rFonts w:hint="eastAsia"/>
                <w:color w:val="auto"/>
                <w:szCs w:val="21"/>
                <w:highlight w:val="none"/>
              </w:rPr>
              <w:t>镀锌钢管埋设，电缆规格Z</w:t>
            </w:r>
            <w:r>
              <w:rPr>
                <w:color w:val="auto"/>
                <w:szCs w:val="21"/>
                <w:highlight w:val="none"/>
              </w:rPr>
              <w:t>B-Y</w:t>
            </w:r>
            <w:r>
              <w:rPr>
                <w:rFonts w:hint="eastAsia"/>
                <w:color w:val="auto"/>
                <w:szCs w:val="21"/>
                <w:highlight w:val="none"/>
              </w:rPr>
              <w:t>JV</w:t>
            </w:r>
            <w:r>
              <w:rPr>
                <w:color w:val="auto"/>
                <w:szCs w:val="21"/>
                <w:highlight w:val="none"/>
              </w:rPr>
              <w:t>-0.6/1kV-</w:t>
            </w:r>
            <w:r>
              <w:rPr>
                <w:rFonts w:hint="eastAsia"/>
                <w:color w:val="auto"/>
                <w:szCs w:val="21"/>
                <w:highlight w:val="none"/>
              </w:rPr>
              <w:t>3X</w:t>
            </w:r>
            <w:r>
              <w:rPr>
                <w:color w:val="auto"/>
                <w:szCs w:val="21"/>
                <w:highlight w:val="none"/>
              </w:rPr>
              <w:t>6mm2</w:t>
            </w:r>
            <w:r>
              <w:rPr>
                <w:rFonts w:hint="eastAsia"/>
                <w:color w:val="auto"/>
                <w:szCs w:val="21"/>
                <w:highlight w:val="none"/>
              </w:rPr>
              <w:t>，线路长度暂定5</w:t>
            </w:r>
            <w:r>
              <w:rPr>
                <w:color w:val="auto"/>
                <w:szCs w:val="21"/>
                <w:highlight w:val="none"/>
              </w:rPr>
              <w:t>00m</w:t>
            </w:r>
            <w:r>
              <w:rPr>
                <w:rFonts w:hint="eastAsia"/>
                <w:color w:val="auto"/>
                <w:szCs w:val="21"/>
                <w:highlight w:val="none"/>
              </w:rPr>
              <w:t>（暂按1</w:t>
            </w:r>
            <w:r>
              <w:rPr>
                <w:color w:val="auto"/>
                <w:szCs w:val="21"/>
                <w:highlight w:val="none"/>
              </w:rPr>
              <w:t>0</w:t>
            </w:r>
            <w:r>
              <w:rPr>
                <w:rFonts w:hint="eastAsia"/>
                <w:color w:val="auto"/>
                <w:szCs w:val="21"/>
                <w:highlight w:val="none"/>
              </w:rPr>
              <w:t>扇闸门接入交流电）</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color w:val="auto"/>
                <w:szCs w:val="21"/>
                <w:highlight w:val="none"/>
              </w:rPr>
            </w:pPr>
            <w:r>
              <w:rPr>
                <w:rFonts w:hint="eastAsia"/>
                <w:color w:val="auto"/>
                <w:szCs w:val="21"/>
                <w:highlight w:val="none"/>
              </w:rPr>
              <w:t>太阳能板</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采用2X</w:t>
            </w:r>
            <w:r>
              <w:rPr>
                <w:color w:val="auto"/>
                <w:szCs w:val="21"/>
                <w:highlight w:val="none"/>
              </w:rPr>
              <w:t>80</w:t>
            </w:r>
            <w:r>
              <w:rPr>
                <w:rFonts w:hint="eastAsia"/>
                <w:color w:val="auto"/>
                <w:szCs w:val="21"/>
                <w:highlight w:val="none"/>
              </w:rPr>
              <w:t>瓦单晶硅，太阳能光伏电池板应为成熟的标准规格产品。光电效率不低于20%。组件应有良好的弱光效应，在光照直射和散射以及在清晨、傍晚和阴雨天都能有效转换。</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eastAsia="宋体"/>
                <w:color w:val="auto"/>
                <w:szCs w:val="21"/>
                <w:highlight w:val="none"/>
                <w:lang w:eastAsia="zh-CN"/>
              </w:rPr>
            </w:pPr>
            <w:r>
              <w:rPr>
                <w:rFonts w:hint="eastAsia"/>
                <w:color w:val="auto"/>
                <w:szCs w:val="21"/>
                <w:highlight w:val="none"/>
              </w:rPr>
              <w:t>电池</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rFonts w:hint="default" w:eastAsiaTheme="minorEastAsia"/>
                <w:color w:val="auto"/>
                <w:szCs w:val="21"/>
                <w:highlight w:val="none"/>
                <w:lang w:val="en-US" w:eastAsia="zh-CN"/>
              </w:rPr>
            </w:pPr>
            <w:r>
              <w:rPr>
                <w:rFonts w:hint="eastAsia"/>
                <w:color w:val="auto"/>
                <w:szCs w:val="21"/>
                <w:highlight w:val="none"/>
              </w:rPr>
              <w:t>胶体蓄电池（需带充电控制器保护装置），防水等级不低于</w:t>
            </w:r>
            <w:r>
              <w:rPr>
                <w:rFonts w:hint="eastAsia"/>
                <w:color w:val="auto"/>
                <w:szCs w:val="21"/>
                <w:highlight w:val="none"/>
                <w:lang w:eastAsia="zh-CN"/>
              </w:rPr>
              <w:t>IP54</w:t>
            </w:r>
            <w:r>
              <w:rPr>
                <w:rFonts w:hint="eastAsia"/>
                <w:color w:val="auto"/>
                <w:szCs w:val="21"/>
                <w:highlight w:val="none"/>
              </w:rPr>
              <w:t>，电池容量保证一体化闸门（或者相关用电设备）在连续7天的阴雨天气内能可靠工作。</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立杆</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碳钢材质，表面镀锌喷塑，高度4~</w:t>
            </w:r>
            <w:r>
              <w:rPr>
                <w:color w:val="auto"/>
                <w:szCs w:val="21"/>
                <w:highlight w:val="none"/>
              </w:rPr>
              <w:t>6</w:t>
            </w:r>
            <w:r>
              <w:rPr>
                <w:rFonts w:hint="eastAsia"/>
                <w:color w:val="auto"/>
                <w:szCs w:val="21"/>
                <w:highlight w:val="none"/>
              </w:rPr>
              <w:t>米，配避雷针、接地桩。</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color w:val="auto"/>
                <w:szCs w:val="21"/>
                <w:highlight w:val="none"/>
              </w:rPr>
            </w:pPr>
            <w:r>
              <w:rPr>
                <w:rFonts w:hint="eastAsia"/>
                <w:color w:val="auto"/>
                <w:szCs w:val="21"/>
                <w:highlight w:val="none"/>
              </w:rPr>
              <w:t>控制柜</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户外双层3</w:t>
            </w:r>
            <w:r>
              <w:rPr>
                <w:color w:val="auto"/>
                <w:szCs w:val="21"/>
                <w:highlight w:val="none"/>
              </w:rPr>
              <w:t>04</w:t>
            </w:r>
            <w:r>
              <w:rPr>
                <w:rFonts w:hint="eastAsia"/>
                <w:color w:val="auto"/>
                <w:szCs w:val="21"/>
                <w:highlight w:val="none"/>
              </w:rPr>
              <w:t>不锈钢柜体，板材厚度不低于1</w:t>
            </w:r>
            <w:r>
              <w:rPr>
                <w:color w:val="auto"/>
                <w:szCs w:val="21"/>
                <w:highlight w:val="none"/>
              </w:rPr>
              <w:t>.5</w:t>
            </w:r>
            <w:r>
              <w:rPr>
                <w:rFonts w:hint="eastAsia"/>
                <w:color w:val="auto"/>
                <w:szCs w:val="21"/>
                <w:highlight w:val="none"/>
              </w:rPr>
              <w:t>mm。设置人机交互界，10.0寸及以上液晶显示屏；具有良好的防尘、防潮、防屏蔽性能，防护等级IP54，电器元器件模块化设计，便于升级和检修。</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运行温度</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-10°C至70°C</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运行湿度</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0%至100%</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rFonts w:hint="eastAsia" w:eastAsia="宋体"/>
                <w:color w:val="auto"/>
                <w:szCs w:val="21"/>
                <w:highlight w:val="none"/>
                <w:lang w:eastAsia="zh-CN"/>
              </w:rPr>
            </w:pPr>
            <w:r>
              <w:rPr>
                <w:rFonts w:hint="eastAsia"/>
                <w:color w:val="auto"/>
                <w:szCs w:val="21"/>
                <w:highlight w:val="none"/>
              </w:rPr>
              <w:t>控制方式</w:t>
            </w:r>
            <w:r>
              <w:rPr>
                <w:rFonts w:hint="eastAsia" w:ascii="微软雅黑" w:hAnsi="微软雅黑" w:eastAsia="微软雅黑" w:cs="微软雅黑"/>
                <w:color w:val="auto"/>
                <w:szCs w:val="21"/>
                <w:highlight w:val="none"/>
                <w:lang w:eastAsia="zh-CN"/>
              </w:rPr>
              <w:t>★</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支持开度、流量、水位、时间等控制方式。闸控器控制通过就地旋钮、手机APP和</w:t>
            </w:r>
            <w:r>
              <w:rPr>
                <w:color w:val="auto"/>
                <w:szCs w:val="21"/>
                <w:highlight w:val="none"/>
              </w:rPr>
              <w:t>W</w:t>
            </w:r>
            <w:r>
              <w:rPr>
                <w:rFonts w:hint="eastAsia"/>
                <w:color w:val="auto"/>
                <w:szCs w:val="21"/>
                <w:highlight w:val="none"/>
              </w:rPr>
              <w:t>eb界面及程序自动控制实现闸门开关。并完成数据接入信息化平台。</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通信方式</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同时兼容以太网、WIFI、</w:t>
            </w:r>
            <w:r>
              <w:rPr>
                <w:rFonts w:hint="eastAsia" w:cs="宋体"/>
                <w:color w:val="auto"/>
                <w:kern w:val="0"/>
                <w:szCs w:val="21"/>
                <w:highlight w:val="none"/>
              </w:rPr>
              <w:t>4G</w:t>
            </w:r>
            <w:r>
              <w:rPr>
                <w:rFonts w:hint="eastAsia" w:cs="宋体"/>
                <w:color w:val="auto"/>
                <w:kern w:val="0"/>
                <w:szCs w:val="21"/>
                <w:highlight w:val="none"/>
                <w:lang w:val="en-US" w:eastAsia="zh-CN"/>
              </w:rPr>
              <w:t>/5G/光纤</w:t>
            </w:r>
            <w:r>
              <w:rPr>
                <w:rFonts w:hint="eastAsia" w:cs="宋体"/>
                <w:color w:val="auto"/>
                <w:kern w:val="0"/>
                <w:szCs w:val="21"/>
                <w:highlight w:val="none"/>
              </w:rPr>
              <w:t>(全网通)</w:t>
            </w:r>
            <w:r>
              <w:rPr>
                <w:rFonts w:hint="eastAsia"/>
                <w:color w:val="auto"/>
                <w:szCs w:val="21"/>
                <w:highlight w:val="none"/>
              </w:rPr>
              <w:t>，满足后续信息化平台使用需求（数据接入灌区管理平台）</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本地操作</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同时支持触摸屏、就地旋钮按键操作和纯手动操作功能</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保护</w:t>
            </w:r>
          </w:p>
        </w:tc>
        <w:tc>
          <w:tcPr>
            <w:tcW w:w="404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过流、过压保护，闸门卡滞保护</w:t>
            </w:r>
          </w:p>
        </w:tc>
      </w:tr>
      <w:tr>
        <w:tblPrEx>
          <w:tblCellMar>
            <w:top w:w="0" w:type="dxa"/>
            <w:left w:w="0" w:type="dxa"/>
            <w:bottom w:w="0" w:type="dxa"/>
            <w:right w:w="0" w:type="dxa"/>
          </w:tblCellMar>
        </w:tblPrEx>
        <w:trPr>
          <w:trHeight w:val="340" w:hRule="atLeast"/>
        </w:trPr>
        <w:tc>
          <w:tcPr>
            <w:tcW w:w="951" w:type="pct"/>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控制器</w:t>
            </w:r>
          </w:p>
        </w:tc>
        <w:tc>
          <w:tcPr>
            <w:tcW w:w="4049"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高度集成数字量输出、模拟量输出、pwm输出、实时监控电机电流、多路脉冲信号捕捉、多路4</w:t>
            </w:r>
            <w:r>
              <w:rPr>
                <w:color w:val="auto"/>
                <w:szCs w:val="21"/>
                <w:highlight w:val="none"/>
              </w:rPr>
              <w:t>85</w:t>
            </w:r>
            <w:r>
              <w:rPr>
                <w:rFonts w:hint="eastAsia"/>
                <w:color w:val="auto"/>
                <w:szCs w:val="21"/>
                <w:highlight w:val="none"/>
              </w:rPr>
              <w:t>通讯接口；数据断电保存</w:t>
            </w:r>
          </w:p>
        </w:tc>
      </w:tr>
      <w:tr>
        <w:tblPrEx>
          <w:tblCellMar>
            <w:top w:w="0" w:type="dxa"/>
            <w:left w:w="0" w:type="dxa"/>
            <w:bottom w:w="0" w:type="dxa"/>
            <w:right w:w="0" w:type="dxa"/>
          </w:tblCellMar>
        </w:tblPrEx>
        <w:trPr>
          <w:trHeight w:val="340" w:hRule="atLeast"/>
        </w:trPr>
        <w:tc>
          <w:tcPr>
            <w:tcW w:w="951"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管理平台</w:t>
            </w:r>
          </w:p>
        </w:tc>
        <w:tc>
          <w:tcPr>
            <w:tcW w:w="404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color w:val="auto"/>
                <w:szCs w:val="21"/>
                <w:highlight w:val="none"/>
              </w:rPr>
            </w:pPr>
            <w:r>
              <w:rPr>
                <w:rFonts w:hint="eastAsia"/>
                <w:color w:val="auto"/>
                <w:szCs w:val="21"/>
                <w:highlight w:val="none"/>
              </w:rPr>
              <w:t>手机APP、WEB平台</w:t>
            </w:r>
          </w:p>
        </w:tc>
      </w:tr>
      <w:tr>
        <w:tblPrEx>
          <w:tblCellMar>
            <w:top w:w="0" w:type="dxa"/>
            <w:left w:w="0" w:type="dxa"/>
            <w:bottom w:w="0" w:type="dxa"/>
            <w:right w:w="0" w:type="dxa"/>
          </w:tblCellMar>
        </w:tblPrEx>
        <w:trPr>
          <w:trHeight w:val="340" w:hRule="atLeast"/>
        </w:trPr>
        <w:tc>
          <w:tcPr>
            <w:tcW w:w="951"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leftChars="0" w:right="0" w:firstLine="0" w:firstLineChars="0"/>
              <w:jc w:val="center"/>
              <w:rPr>
                <w:color w:val="auto"/>
                <w:szCs w:val="21"/>
                <w:highlight w:val="none"/>
              </w:rPr>
            </w:pPr>
            <w:r>
              <w:rPr>
                <w:rFonts w:hint="eastAsia"/>
                <w:color w:val="auto"/>
                <w:szCs w:val="21"/>
                <w:highlight w:val="none"/>
              </w:rPr>
              <w:t>质量检测</w:t>
            </w:r>
            <w:r>
              <w:rPr>
                <w:rFonts w:hint="eastAsia" w:asciiTheme="minorEastAsia" w:hAnsiTheme="minorEastAsia" w:eastAsiaTheme="minorEastAsia" w:cstheme="minorEastAsia"/>
                <w:b w:val="0"/>
                <w:bCs w:val="0"/>
                <w:color w:val="auto"/>
                <w:szCs w:val="20"/>
                <w:highlight w:val="none"/>
                <w:lang w:val="en-US" w:eastAsia="zh-CN"/>
              </w:rPr>
              <w:t>▲</w:t>
            </w:r>
          </w:p>
        </w:tc>
        <w:tc>
          <w:tcPr>
            <w:tcW w:w="404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280" w:lineRule="exact"/>
              <w:ind w:left="0" w:right="0"/>
              <w:rPr>
                <w:rFonts w:hint="eastAsia" w:eastAsia="等线"/>
                <w:color w:val="auto"/>
                <w:szCs w:val="21"/>
                <w:highlight w:val="none"/>
                <w:lang w:eastAsia="zh-CN"/>
              </w:rPr>
            </w:pPr>
            <w:r>
              <w:rPr>
                <w:rFonts w:hint="eastAsia"/>
                <w:color w:val="auto"/>
                <w:szCs w:val="21"/>
                <w:highlight w:val="none"/>
                <w:lang w:eastAsia="zh-CN"/>
              </w:rPr>
              <w:t>测控一体化闸门提供具有第三方检测单位出具的CMA检验报告。</w:t>
            </w:r>
          </w:p>
        </w:tc>
      </w:tr>
    </w:tbl>
    <w:p>
      <w:pPr>
        <w:pStyle w:val="8"/>
        <w:rPr>
          <w:rFonts w:hint="eastAsia" w:ascii="宋体" w:hAnsi="宋体" w:eastAsia="宋体" w:cs="宋体"/>
          <w:color w:val="auto"/>
          <w:sz w:val="22"/>
          <w:szCs w:val="22"/>
          <w:highlight w:val="none"/>
        </w:rPr>
      </w:pPr>
    </w:p>
    <w:p>
      <w:pPr>
        <w:pStyle w:val="10"/>
        <w:spacing w:after="156"/>
        <w:ind w:left="48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表1.2-4    超声波测流箱参数表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5600"/>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参数及技术要求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流速测量原理</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超声波时差法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换能器工作频率</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精度等级</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流量计量精度</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液位测量精度</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供电电压</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DC5-24V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防护等级</w:t>
            </w:r>
          </w:p>
        </w:tc>
        <w:tc>
          <w:tcPr>
            <w:tcW w:w="33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IP68</w:t>
            </w:r>
          </w:p>
        </w:tc>
      </w:tr>
    </w:tbl>
    <w:p>
      <w:pPr>
        <w:rPr>
          <w:rFonts w:hint="eastAsia"/>
          <w:lang w:val="en-US" w:eastAsia="zh-CN"/>
        </w:rPr>
      </w:pPr>
      <w:r>
        <w:rPr>
          <w:rFonts w:hint="eastAsia"/>
          <w:lang w:val="en-US" w:eastAsia="zh-CN"/>
        </w:rPr>
        <w:br w:type="page"/>
      </w:r>
    </w:p>
    <w:p>
      <w:pPr>
        <w:pStyle w:val="4"/>
        <w:jc w:val="center"/>
        <w:rPr>
          <w:rFonts w:hint="eastAsia"/>
          <w:lang w:val="en-US" w:eastAsia="zh-CN"/>
        </w:rPr>
      </w:pPr>
      <w:r>
        <w:rPr>
          <w:rFonts w:hint="eastAsia"/>
          <w:lang w:val="en-US" w:eastAsia="zh-CN"/>
        </w:rPr>
        <w:t>采购设备清单表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99"/>
        <w:gridCol w:w="4114"/>
        <w:gridCol w:w="625"/>
        <w:gridCol w:w="68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499"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项目名称</w:t>
            </w:r>
          </w:p>
        </w:tc>
        <w:tc>
          <w:tcPr>
            <w:tcW w:w="4114"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项目描述</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单位</w:t>
            </w:r>
          </w:p>
        </w:tc>
        <w:tc>
          <w:tcPr>
            <w:tcW w:w="687"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数量</w:t>
            </w:r>
          </w:p>
        </w:tc>
        <w:tc>
          <w:tcPr>
            <w:tcW w:w="770" w:type="dxa"/>
            <w:tcBorders>
              <w:tl2br w:val="nil"/>
              <w:tr2bl w:val="nil"/>
            </w:tcBorders>
          </w:tcPr>
          <w:p>
            <w:pPr>
              <w:ind w:left="0" w:leftChars="0" w:firstLine="0" w:firstLineChars="0"/>
              <w:jc w:val="center"/>
              <w:rPr>
                <w:rFonts w:hint="eastAsia" w:asciiTheme="minorEastAsia" w:hAnsiTheme="minorEastAsia" w:eastAsiaTheme="minorEastAsia" w:cstheme="minorEastAsia"/>
                <w:b/>
                <w:color w:val="auto"/>
                <w:sz w:val="20"/>
                <w:szCs w:val="20"/>
                <w:highlight w:val="none"/>
                <w:vertAlign w:val="baseline"/>
                <w:lang w:val="en-US" w:eastAsia="zh-CN"/>
              </w:rPr>
            </w:pPr>
            <w:r>
              <w:rPr>
                <w:rFonts w:hint="eastAsia" w:asciiTheme="minorEastAsia" w:hAnsiTheme="minorEastAsia" w:eastAsiaTheme="minorEastAsia" w:cstheme="minorEastAsia"/>
                <w:b/>
                <w:color w:val="auto"/>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499"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手电两用螺杆启闭机</w:t>
            </w:r>
          </w:p>
        </w:tc>
        <w:tc>
          <w:tcPr>
            <w:tcW w:w="4114"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QL-50kN，功率2.2kw</w:t>
            </w:r>
          </w:p>
        </w:tc>
        <w:tc>
          <w:tcPr>
            <w:tcW w:w="62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台</w:t>
            </w:r>
          </w:p>
        </w:tc>
        <w:tc>
          <w:tcPr>
            <w:tcW w:w="687"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26</w:t>
            </w:r>
          </w:p>
        </w:tc>
        <w:tc>
          <w:tcPr>
            <w:tcW w:w="770" w:type="dxa"/>
            <w:tcBorders>
              <w:tl2br w:val="nil"/>
              <w:tr2bl w:val="nil"/>
            </w:tcBorders>
          </w:tcPr>
          <w:p>
            <w:pPr>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rPr>
            </w:pPr>
            <w:r>
              <w:rPr>
                <w:rFonts w:hint="eastAsia" w:asciiTheme="minorEastAsia" w:hAnsiTheme="minorEastAsia" w:eastAsiaTheme="minorEastAsia" w:cstheme="minorEastAsia"/>
                <w:color w:val="auto"/>
                <w:kern w:val="0"/>
                <w:sz w:val="20"/>
                <w:szCs w:val="20"/>
                <w:highlight w:val="none"/>
              </w:rPr>
              <w:t>测控一体化闸门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50*50cm，框架采用6061-T6及以上级别的高强度铝合金型材，含超声波测流箱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42</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color w:val="auto"/>
                <w:kern w:val="0"/>
                <w:sz w:val="20"/>
                <w:szCs w:val="20"/>
                <w:highlight w:val="none"/>
              </w:rPr>
              <w:t>30*30cm，框架采用6061-T6及以上级别的高强度铝合金型材，含超声波测流箱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color w:val="auto"/>
                <w:kern w:val="0"/>
                <w:sz w:val="20"/>
                <w:szCs w:val="20"/>
                <w:highlight w:val="none"/>
              </w:rPr>
              <w:t>33</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60*60cm，框架采用6061-T6及以上级别的高强度铝合金型材，含超声波测流箱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16</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100*100cm，框架采用 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100*90cm，框架采用6061-T6及以上级别的高强度铝合金型材，含超声波测流箱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6</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150*80cm，框架采用304不锈钢焊接件，含超声波测流箱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default"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2"/>
                <w:sz w:val="20"/>
                <w:szCs w:val="20"/>
                <w:highlight w:val="none"/>
                <w:u w:val="none"/>
                <w:lang w:val="en-US" w:eastAsia="zh-CN" w:bidi="ar-SA"/>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7</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80*60cm，框架采用6061-T6及以上级别的高强度铝合金型材，含超声波测流箱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8</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支渠口</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40*40cm，框架采用6061-T6及以上级别的高强度铝合金型材，含超声波测流箱</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9</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东庄泄洪闸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120*200cm，304不锈钢焊接件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10</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蔡横塘泄洪闸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60*150cm，304不锈钢焊接件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廊下头泄洪闸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120*120cm，304不锈钢焊接件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黄龙溪泄洪闸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120*200cm，304不锈钢焊接件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中埂溪泄洪闸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150*150cm，304不锈钢焊接件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丁埠头泄洪闸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120*120cm，304不锈钢焊接件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15</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屠村泄洪闸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50*60cm，框架采用6061-T6及以上级别的高强度铝合金型材</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16</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72线巧溪泄洪闸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150*150cm，304不锈钢焊接件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17</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小四村泄洪闸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180*180cm，304不锈钢焊接件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18</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张官泄洪闸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120*120cm，304不锈钢焊接件</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rPr>
            </w:pPr>
            <w:r>
              <w:rPr>
                <w:rFonts w:hint="eastAsia" w:asciiTheme="minorEastAsia" w:hAnsiTheme="minorEastAsia" w:eastAsiaTheme="minorEastAsia" w:cstheme="minorEastAsia"/>
                <w:color w:val="auto"/>
                <w:kern w:val="0"/>
                <w:sz w:val="20"/>
                <w:szCs w:val="20"/>
                <w:highlight w:val="none"/>
              </w:rPr>
              <w:t>集成式液压启闭机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集成式液压启闭机</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2"/>
                <w:sz w:val="20"/>
                <w:szCs w:val="20"/>
                <w:highlight w:val="none"/>
                <w:u w:val="none"/>
                <w:lang w:val="en-US" w:eastAsia="zh-CN" w:bidi="ar-SA"/>
              </w:rPr>
              <w:t>QRWY-100kN-1.25m，功率5.5kW，活塞杆316L，缸体45号钢，配置手动泵SK-DRII1套</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套</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集成式液压启闭机</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QRWY-100KN-1.6m，功率4kW，活塞杆316L，缸体45号钢，配置手动泵SK-DRII1套</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套</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集成式液压启闭机</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QRWY-80KN-1.15m，功率4kW，活塞杆316L，缸体45号钢，配置手动泵SK-DRII1套</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套</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集成式液压启闭机</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QRWY-100kN-1.5m，功率5.5kW，活塞杆316L，缸体45号钢，配置手动泵SK-DRII1套</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rPr>
            </w:pPr>
            <w:r>
              <w:rPr>
                <w:rFonts w:hint="eastAsia" w:asciiTheme="minorEastAsia" w:hAnsiTheme="minorEastAsia" w:eastAsiaTheme="minorEastAsia" w:cstheme="minorEastAsia"/>
                <w:color w:val="auto"/>
                <w:kern w:val="0"/>
                <w:sz w:val="20"/>
                <w:szCs w:val="20"/>
                <w:highlight w:val="none"/>
              </w:rPr>
              <w:t>露顶式平面上翻钢闸门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总南进水闸</w:t>
            </w:r>
          </w:p>
        </w:tc>
        <w:tc>
          <w:tcPr>
            <w:tcW w:w="4114" w:type="dxa"/>
            <w:tcBorders>
              <w:tl2br w:val="nil"/>
              <w:tr2bl w:val="nil"/>
            </w:tcBorders>
            <w:vAlign w:val="center"/>
          </w:tcPr>
          <w:p>
            <w:pPr>
              <w:pStyle w:val="79"/>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孔口尺寸2.6×2.5m，材质Q235B/12Cr18Ni9，含拦污栅一套</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西溪泄洪闸</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孔口尺寸2.0×1.9m，材质Q235B/12Cr18Ni9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三步石泄洪闸</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孔口尺寸2.0×1.9m，材质Q235B/12Cr18Ni9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赤山殿节制闸</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孔口尺寸2.0×1.9m，材质Q235B/12Cr18Ni9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赤山殿泄洪闸</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孔口尺寸2.0×2.3m，材质Q235B/12Cr18Ni9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2</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rPr>
            </w:pPr>
            <w:r>
              <w:rPr>
                <w:rFonts w:hint="eastAsia" w:asciiTheme="minorEastAsia" w:hAnsiTheme="minorEastAsia" w:eastAsiaTheme="minorEastAsia" w:cstheme="minorEastAsia"/>
                <w:color w:val="auto"/>
                <w:kern w:val="0"/>
                <w:sz w:val="20"/>
                <w:szCs w:val="20"/>
                <w:highlight w:val="none"/>
              </w:rPr>
              <w:t>露顶式平面钢闸门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马塘泄洪闸工作闸门</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孔口尺寸3.0×1.8m，材质Q235B/12Cr18Ni9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横山溪泄洪闸工作闸门</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孔口尺寸3.0×1.5m，材质Q235B/12Cr18Ni9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老山岗泄洪闸工作闸门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孔口尺寸3.2×1.2m，材质Q235B/12Cr18Ni9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刘溪塍泄洪闸工作闸门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孔口尺寸2.0×1.5m，材质Q235B/12Cr18Ni9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丽水泄洪闸工作闸门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孔口尺寸3.0×1.1m，材质Q235B/12Cr18Ni9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6</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后溪进水闸工作闸门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孔口尺寸2.4×1.9m，材质Q235B/12Cr18Ni9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7</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五里倒虹吸节制闸工作闸门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孔口尺寸1.8×1.5m，材质Q235B/12Cr18Ni9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8</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丁埠头堰坝下卧闸门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孔口尺寸2.5×1.4m，材质Q235B/12Cr18Ni9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4</w:t>
            </w:r>
          </w:p>
        </w:tc>
        <w:tc>
          <w:tcPr>
            <w:tcW w:w="770" w:type="dxa"/>
            <w:tcBorders>
              <w:tl2br w:val="nil"/>
              <w:tr2bl w:val="nil"/>
            </w:tcBorders>
          </w:tcPr>
          <w:p>
            <w:pPr>
              <w:ind w:left="0" w:leftChars="0" w:firstLine="0" w:firstLineChars="0"/>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9</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上山节制闸下卧闸门</w:t>
            </w:r>
          </w:p>
        </w:tc>
        <w:tc>
          <w:tcPr>
            <w:tcW w:w="4114"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孔口尺寸2.0×1.5m，材质Q235B/12Cr18Ni9</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扇</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tcBorders>
              <w:tl2br w:val="nil"/>
              <w:tr2bl w:val="nil"/>
            </w:tcBorders>
            <w:vAlign w:val="center"/>
          </w:tcPr>
          <w:p>
            <w:pPr>
              <w:jc w:val="center"/>
              <w:rPr>
                <w:rFonts w:hint="eastAsia" w:asciiTheme="minorEastAsia" w:hAnsiTheme="minorEastAsia" w:eastAsiaTheme="minorEastAsia" w:cstheme="minorEastAsia"/>
                <w:b/>
                <w:color w:val="auto"/>
                <w:sz w:val="20"/>
                <w:szCs w:val="20"/>
                <w:highlight w:val="none"/>
                <w:vertAlign w:val="baseline"/>
              </w:rPr>
            </w:pPr>
            <w:r>
              <w:rPr>
                <w:rFonts w:hint="eastAsia" w:asciiTheme="minorEastAsia" w:hAnsiTheme="minorEastAsia" w:eastAsiaTheme="minorEastAsia" w:cstheme="minorEastAsia"/>
                <w:color w:val="auto"/>
                <w:kern w:val="0"/>
                <w:sz w:val="20"/>
                <w:szCs w:val="20"/>
                <w:highlight w:val="none"/>
              </w:rPr>
              <w:t>金狮回归水堰坝引水工程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钢管DN500</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壁厚10mm，材Q235C</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m</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587</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2</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闸阀</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Z945Q-6型（带PLC）</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只</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kern w:val="0"/>
                <w:sz w:val="20"/>
                <w:szCs w:val="20"/>
                <w:highlight w:val="none"/>
              </w:rPr>
              <w:t>2</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3</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限位伸缩接头DN500</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VSSJA-2型双法兰式，PN=0.6MPa</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只</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4</w:t>
            </w:r>
          </w:p>
        </w:tc>
        <w:tc>
          <w:tcPr>
            <w:tcW w:w="1499"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进人孔</w:t>
            </w:r>
          </w:p>
        </w:tc>
        <w:tc>
          <w:tcPr>
            <w:tcW w:w="4114"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直径1000，材质Q235B</w:t>
            </w:r>
          </w:p>
        </w:tc>
        <w:tc>
          <w:tcPr>
            <w:tcW w:w="625"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只</w:t>
            </w:r>
          </w:p>
        </w:tc>
        <w:tc>
          <w:tcPr>
            <w:tcW w:w="687" w:type="dxa"/>
            <w:tcBorders>
              <w:tl2br w:val="nil"/>
              <w:tr2bl w:val="nil"/>
            </w:tcBorders>
            <w:vAlign w:val="center"/>
          </w:tcPr>
          <w:p>
            <w:pPr>
              <w:widowControl/>
              <w:spacing w:line="240" w:lineRule="auto"/>
              <w:ind w:left="0" w:leftChars="0" w:firstLine="0" w:firstLineChars="0"/>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kern w:val="0"/>
                <w:sz w:val="20"/>
                <w:szCs w:val="20"/>
                <w:highlight w:val="none"/>
              </w:rPr>
              <w:t>1</w:t>
            </w:r>
          </w:p>
        </w:tc>
        <w:tc>
          <w:tcPr>
            <w:tcW w:w="770" w:type="dxa"/>
            <w:tcBorders>
              <w:tl2br w:val="nil"/>
              <w:tr2bl w:val="nil"/>
            </w:tcBorders>
          </w:tcPr>
          <w:p>
            <w:pPr>
              <w:jc w:val="center"/>
              <w:rPr>
                <w:rFonts w:hint="eastAsia" w:asciiTheme="minorEastAsia" w:hAnsiTheme="minorEastAsia" w:eastAsiaTheme="minorEastAsia" w:cstheme="minorEastAsia"/>
                <w:b/>
                <w:color w:val="auto"/>
                <w:sz w:val="20"/>
                <w:szCs w:val="20"/>
                <w:highlight w:val="none"/>
                <w:vertAlign w:val="baseline"/>
              </w:rPr>
            </w:pPr>
          </w:p>
        </w:tc>
      </w:tr>
    </w:tbl>
    <w:p>
      <w:pPr>
        <w:pStyle w:val="4"/>
        <w:spacing w:before="0" w:after="0" w:line="240" w:lineRule="auto"/>
        <w:rPr>
          <w:rFonts w:hint="eastAsia" w:ascii="宋体" w:hAnsi="宋体" w:eastAsia="宋体" w:cs="宋体"/>
          <w:b/>
          <w:color w:val="auto"/>
          <w:sz w:val="24"/>
          <w:szCs w:val="24"/>
          <w:highlight w:val="none"/>
        </w:rPr>
      </w:pPr>
    </w:p>
    <w:p>
      <w:pPr>
        <w:pStyle w:val="4"/>
        <w:spacing w:before="0" w:after="0" w:line="240" w:lineRule="auto"/>
        <w:rPr>
          <w:rFonts w:hint="eastAsia" w:ascii="宋体" w:hAnsi="宋体" w:eastAsia="宋体" w:cs="宋体"/>
          <w:b/>
          <w:color w:val="auto"/>
          <w:sz w:val="24"/>
          <w:szCs w:val="24"/>
          <w:highlight w:val="none"/>
        </w:rPr>
      </w:pPr>
    </w:p>
    <w:p>
      <w:pPr>
        <w:pStyle w:val="4"/>
        <w:spacing w:before="0" w:after="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主要规范和依据</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（1）《水利水电工程钢闸门设计规范》（SL74-2019）；</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（2）《水利水电工程钢闸门制造、安装及验收规范》（GB/T 14173-2008）；</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（3）《水利水电工程启闭机设计规范》（SL41-2018）；</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（4）《水利水电工程启闭机制造、安装及验收规范》（SL381-2021）；</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（5）《水工</w:t>
      </w:r>
      <w:r>
        <w:rPr>
          <w:rFonts w:hint="eastAsia" w:ascii="宋体" w:hAnsi="宋体" w:eastAsia="宋体" w:cs="宋体"/>
          <w:color w:val="auto"/>
          <w:sz w:val="24"/>
          <w:szCs w:val="24"/>
          <w:highlight w:val="none"/>
          <w:lang w:eastAsia="zh-CN"/>
        </w:rPr>
        <w:t>（金属结构）</w:t>
      </w:r>
      <w:r>
        <w:rPr>
          <w:rFonts w:hint="eastAsia" w:ascii="宋体" w:hAnsi="宋体" w:eastAsia="宋体" w:cs="宋体"/>
          <w:color w:val="auto"/>
          <w:sz w:val="24"/>
          <w:szCs w:val="24"/>
          <w:highlight w:val="none"/>
        </w:rPr>
        <w:t>防腐蚀规范》（SL105-2007）；</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（6）《钢结构设计规范》（GB 50017-2017）；</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（7）《铝合金及不锈钢闸门》（CJ/T 257-2014)；</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（8）《机械设计手册》；</w:t>
      </w:r>
    </w:p>
    <w:p>
      <w:pPr>
        <w:pStyle w:val="4"/>
        <w:spacing w:before="0" w:after="0" w:line="240" w:lineRule="auto"/>
        <w:rPr>
          <w:rFonts w:hint="eastAsia" w:ascii="宋体" w:hAnsi="宋体" w:eastAsia="宋体" w:cs="宋体"/>
          <w:b/>
          <w:color w:val="auto"/>
          <w:sz w:val="24"/>
          <w:szCs w:val="24"/>
          <w:highlight w:val="none"/>
        </w:rPr>
      </w:pPr>
      <w:bookmarkStart w:id="42" w:name="_Toc234395076"/>
      <w:bookmarkStart w:id="43" w:name="_Toc304539000"/>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钢闸门</w:t>
      </w:r>
      <w:r>
        <w:rPr>
          <w:rFonts w:hint="eastAsia" w:ascii="宋体" w:hAnsi="宋体" w:eastAsia="宋体" w:cs="宋体"/>
          <w:b/>
          <w:color w:val="auto"/>
          <w:sz w:val="24"/>
          <w:szCs w:val="24"/>
          <w:highlight w:val="none"/>
        </w:rPr>
        <w:t>施工</w:t>
      </w:r>
      <w:bookmarkEnd w:id="42"/>
      <w:bookmarkEnd w:id="43"/>
      <w:r>
        <w:rPr>
          <w:rFonts w:hint="eastAsia" w:ascii="宋体" w:hAnsi="宋体" w:eastAsia="宋体" w:cs="宋体"/>
          <w:b/>
          <w:color w:val="auto"/>
          <w:sz w:val="24"/>
          <w:szCs w:val="24"/>
          <w:highlight w:val="none"/>
        </w:rPr>
        <w:t>要求</w:t>
      </w:r>
    </w:p>
    <w:p>
      <w:pPr>
        <w:pStyle w:val="5"/>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.1总体要求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1、闸门出厂必须具备“四证”，既产品合格证、质量检验报告、焊缝探伤报告和防腐检验报告。</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2、闸门的制作和安装应符合《水利水电工程钢闸门制造、安装及验收规范》（GB/T 14173-2008）的有关规定。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3、闸门的防腐要求应符合《水工</w:t>
      </w:r>
      <w:r>
        <w:rPr>
          <w:rFonts w:hint="eastAsia" w:ascii="宋体" w:hAnsi="宋体" w:eastAsia="宋体" w:cs="宋体"/>
          <w:color w:val="auto"/>
          <w:sz w:val="24"/>
          <w:szCs w:val="24"/>
          <w:highlight w:val="none"/>
          <w:lang w:eastAsia="zh-CN"/>
        </w:rPr>
        <w:t>（金属结构）</w:t>
      </w:r>
      <w:r>
        <w:rPr>
          <w:rFonts w:hint="eastAsia" w:ascii="宋体" w:hAnsi="宋体" w:eastAsia="宋体" w:cs="宋体"/>
          <w:color w:val="auto"/>
          <w:sz w:val="24"/>
          <w:szCs w:val="24"/>
          <w:highlight w:val="none"/>
        </w:rPr>
        <w:t>防腐蚀规范》。</w:t>
      </w:r>
    </w:p>
    <w:p>
      <w:pPr>
        <w:pStyle w:val="5"/>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.2材质要求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钢闸门采用钢结构，所用型钢、钢材采用Q235B级钢。钢材应具有出厂证明书和质量证明书，其质量标准应符合国家标准规定的要求。如果制作单位要求用其它钢种或钢号进行代换时，必须是以优代劣，取得设计单位的同意，制作的施工承包商在翻样时，必须按规程要求通过1：1足尺放样号料。</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2、焊条Q235钢用 E43XX型。焊条、焊丝、焊剂均应有质量证明书，并符合设计的要求和相应技术标准的规定。手工焊接用的焊条，应符合现行标准《碳钢焊条》的规定，焊条型号应与母材金属强度相适应。自动焊接和半自动焊接用的焊丝和焊剂，应与主体金属相适应；焊丝应符合现行标准《焊接用焊丝》的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3、一体化闸门</w:t>
      </w:r>
    </w:p>
    <w:p>
      <w:pPr>
        <w:pStyle w:val="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0.3米~1.0米孔径测控一体化闸门材质采用铝合金；大于1.0m的孔径测控一体化闸门材质采用不锈钢（304）。</w:t>
      </w:r>
    </w:p>
    <w:p>
      <w:pPr>
        <w:pStyle w:val="5"/>
        <w:spacing w:before="0" w:after="0" w:line="240" w:lineRule="auto"/>
        <w:rPr>
          <w:rFonts w:hint="eastAsia" w:ascii="宋体" w:hAnsi="宋体" w:eastAsia="宋体" w:cs="宋体"/>
          <w:color w:val="auto"/>
          <w:sz w:val="24"/>
          <w:szCs w:val="24"/>
          <w:highlight w:val="none"/>
        </w:rPr>
      </w:pPr>
      <w:bookmarkStart w:id="44" w:name="_Toc23439508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.3钢闸门制作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确保闸门的制造质量，首先要理解设计意图，作好工艺性审图，找出闸门的技术特点和难点，制定切实可行的工艺方案（零件下料卡、部件装焊卡、门叶整体装焊卡、防腐工艺卡、出厂验收大纲、包装工艺卡等）。</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留焊接收缩工艺余量是控制闸门结构尺寸的主要因素之一，闸门零件在下料时应考虑焊接收缩余量，常规按构件长度的1/1000留余量，面板可适当预留20～50mm焊接和整体尺寸修正余量；为便于装配，隔板宜按负偏差控制下料；对于有机械加工要求的零件应留一定的切削余量，保证构件加工后厚度符合设计要求。钢板的拼接焊缝应避开构件应力集中断面，钢板对接坡口宜用刨边机加工，保证拼接焊缝质量，拼接缝要求应符合相关规范。</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门叶隔板下料的宽度误差及两直角边角度误差直接影响单节门叶组装间隙及几何尺寸，为保证闸门制造质量及隔板的精确性，隔板下料宜采用数控切割机下料，严格控制隔板的几何尺寸及对角线。主梁腹板、边柱腹板用半自动切割后，宜用刨边机或其他机加工设备加工腹板两长边，控制腹板高度尺寸一致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4、主梁、边梁通常设计为工字梁或T型梁，宜单件成形后再与门体拼焊。</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a．主梁、边梁部件制造质量将直接影响门体制造质量，根据主梁、边梁的几何尺寸设计拼焊胎具，控制拼装质量及几何尺寸。</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构件要求顶紧施焊，采用埋弧自动焊进行焊接，焊缝外观成型好质量易保证，同时能提高工效。对于变截面的主梁，如斜翼与腹板组合焊缝较大且翼板较厚，焊接后角变形矫正困难，可采用反变形法装配斜翼，再手工对称施焊，减少矫正工作量。</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c．主梁、边梁部件控制关键项目包括翼缘板角变形、腹板中心对翼缘板中心位置的偏移及扭曲。</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5、门叶拼装主要控制好几何尺寸、拼装间隙及拼装顺序，控制不当将影响焊接变形及门体结构尺寸超差</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a．门叶拼装的钢平台的平面度宜≤2mm，在有条件的情况下钢平台表面应进行加工。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b．面板放样应预留焊接收缩余量，一般为焊缝长度的1/1000，对于刚性不大的门叶，应适当考虑焊后火焰矫正的收缩余量。</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控制主梁腹板、边柱腹板与面板的垂直度，隔板与面板、主梁腹板的垂直度。控制好隔板相互错位，如隔板错位超差将会引起一定的偏心力矩，影响闸门的受力变化。主梁前翼与面板拼装间隙达到规范要求，否则易引起面板局部变形超差。</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闸门焊接变形是影响闸门结构尺寸的主要因素之一。通常闸门厚度方向结构不对称，主梁、边梁和隔板与面板连续焊缝，焊缝集中，焊接量大，因而焊接收缩变形较大。要适当控制焊接顺序和方向，利用焊接变形规律减小焊接变形，达到控制闸门焊接变形目的。</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a．对首次采用的钢材、焊接材料、焊接方法、焊后热处理等，首先应进行焊接工艺评定，并根据工艺评定报告及门叶结构确定焊接工艺措施。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b．为保证门体均匀收缩，在焊接工艺安排上应采取对称施焊，并力求焊接方向、速度和线能量的一致，这是保证闸门对角线相对差、边梁平行度、门体扭曲等门体几何尺寸的重要工艺措施。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c．正式焊前，将面板固定在钢平台上，对焊缝进行工艺性加固焊，以免在焊接中由于焊接应力把点焊处拉开，造成门叶变形超差。为有效控制焊接变形，提高工效，采用CO2气体保护焊，定人、定区域焊接。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d．焊接原则是焊接走向应从固定的点开始，向有较大位移的部位移动；先焊收缩量较大的接头，后焊收缩量较小的接头，焊接要尽可能减少约束力。</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e．门叶焊接应采用由里向外对称施焊的原则，在焊接面板与梁系的连续焊缝时，应按分中分段退焊法，尽量采用小焊接线能量。为有效控制焊接变形，提高工效，宜用CO2气体保护焊，定人、定区域焊接。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f．对于薄面板（δ≤14mm）、门厚较小（门叶厚度小于8mm）的闸门，因其刚性小，焊接时宜采取分段退步跳焊法，有利于变形控制。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g．不同材质的普通低合金结构钢的焊接时，按强度较高、合金元素含量较高的母村进行焊接材料的选择。</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h．对于板厚大于36mm的低合金结构钢厚板结构，在常温环境下施焊时，应考虑焊前预热措施，对于焊后热处理工艺的选择，在水工</w:t>
      </w:r>
      <w:r>
        <w:rPr>
          <w:rFonts w:hint="eastAsia" w:ascii="宋体" w:hAnsi="宋体" w:eastAsia="宋体" w:cs="宋体"/>
          <w:color w:val="auto"/>
          <w:sz w:val="24"/>
          <w:szCs w:val="24"/>
          <w:highlight w:val="none"/>
          <w:lang w:eastAsia="zh-CN"/>
        </w:rPr>
        <w:t>（金属结构）</w:t>
      </w:r>
      <w:r>
        <w:rPr>
          <w:rFonts w:hint="eastAsia" w:ascii="宋体" w:hAnsi="宋体" w:eastAsia="宋体" w:cs="宋体"/>
          <w:color w:val="auto"/>
          <w:sz w:val="24"/>
          <w:szCs w:val="24"/>
          <w:highlight w:val="none"/>
        </w:rPr>
        <w:t>焊接中，以防止焊接裂纹、降低焊接应力为主，故一般选择焊后保温缓冷，但在母材碳当量较高、板材较厚、焊接拘束应力较大等特殊情况下，应考虑焊后退火处理。不同材质的普通低合金结构钢的焊接时，以强度较高、合金元素含量较高的母材为基准进行焊接预热与焊后热处理工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钢闸门止水座面、支承座面、节间连接面、边柱承压面均通过机加工来保证工作面平面度满足设计要求。闸门机加工—般采用专用的平面铣床，也可使用移动式平面铣床或立面铣床，能满足闸门门体加工需要。选择确定闸门机加工的基准面是关键，它关系到闸门加工后几何尺寸能否满足设计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平面闸门在出厂前进行整体组装（包括支承滑道、滚轮等附件的组装），检查组合处的错位（面板、边梁）、止水座面的平面度、滚轮和支承滑道的跨度、滚轮和滑道的平面度、闸门整体几何尺寸、节间接合面间隙等项目。</w:t>
      </w:r>
    </w:p>
    <w:p>
      <w:pPr>
        <w:pStyle w:val="5"/>
        <w:spacing w:before="0" w:after="0" w:line="240" w:lineRule="auto"/>
        <w:rPr>
          <w:rFonts w:hint="eastAsia" w:ascii="宋体" w:hAnsi="宋体" w:eastAsia="宋体" w:cs="宋体"/>
          <w:color w:val="auto"/>
          <w:sz w:val="24"/>
          <w:szCs w:val="24"/>
          <w:highlight w:val="none"/>
        </w:rPr>
      </w:pPr>
      <w:bookmarkStart w:id="45" w:name="_Toc30453900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bookmarkEnd w:id="44"/>
      <w:bookmarkEnd w:id="45"/>
      <w:bookmarkStart w:id="46" w:name="_Toc234395083"/>
      <w:r>
        <w:rPr>
          <w:rFonts w:hint="eastAsia" w:ascii="宋体" w:hAnsi="宋体" w:eastAsia="宋体" w:cs="宋体"/>
          <w:color w:val="auto"/>
          <w:sz w:val="24"/>
          <w:szCs w:val="24"/>
          <w:highlight w:val="none"/>
        </w:rPr>
        <w:t>4闸门安装</w:t>
      </w:r>
    </w:p>
    <w:bookmarkEnd w:id="46"/>
    <w:p>
      <w:pPr>
        <w:spacing w:line="240" w:lineRule="auto"/>
        <w:ind w:firstLine="480" w:firstLineChars="200"/>
        <w:rPr>
          <w:rFonts w:hint="eastAsia" w:ascii="宋体" w:hAnsi="宋体" w:eastAsia="宋体" w:cs="宋体"/>
          <w:color w:val="auto"/>
          <w:sz w:val="24"/>
          <w:szCs w:val="24"/>
          <w:highlight w:val="none"/>
        </w:rPr>
      </w:pPr>
      <w:bookmarkStart w:id="47" w:name="_Toc234395087"/>
      <w:bookmarkStart w:id="48" w:name="_Toc304539009"/>
      <w:r>
        <w:rPr>
          <w:rFonts w:hint="eastAsia" w:ascii="宋体" w:hAnsi="宋体" w:eastAsia="宋体" w:cs="宋体"/>
          <w:color w:val="auto"/>
          <w:sz w:val="24"/>
          <w:szCs w:val="24"/>
          <w:highlight w:val="none"/>
        </w:rPr>
        <w:t>1、门叶组装成整体后，其各项尺寸应符合DI/T5018《水利水电工程启闭机制造、安装及验收规范》中7.4.1的有关规定要求。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2、节间如采用螺栓连接，则螺栓应均匀拧紧，节间橡皮的压缩量应符合设计要求。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3、节间如采用焊接，则应采用已经评定合格的焊接工艺，焊接并检验，焊接应采取措施控制变形。</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4、闸门滚轮和滑道应在同一平面内，其平面度应符合规范要求，滚轮转动灵活，无卡滞现象。其安装要求详见《水利水电工程启闭机制造、安装及验收规范》中7.4.7～7.4.9之规定。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7.4.7闸门的主支承行走装置或反向支承装置组装时，应以止水座面为基准面进行调整。所有滚轮或支承滑道营造同一平面内，其平面度允许公差为：当滚轮或滑道的跨度小于或等于10m时，应不大于2.0mm。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7.4.8滑道支撑与止水座基准面的平行度允许公差为：当滑道长度小于或等于500mm时，应不大于0.5mm。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7.4.9滚轮或滑道支承跨度的允许偏差应符合表7.4.9的规定，跨度不大于5m的，支承跨度滑道极限偏差值为±2mm，同侧滑道的中心线进行偏差应不大于2.0mm。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闸门入槽前应作静平衡试验，试验方法：将闸门吊离地面100mm，通过滚轮的中心测量上、下游与左、右方向的倾斜，一般单吊点平面闸门的倾斜不应超过门高1/1000，且不大于8.0mm；当超过上述规定时，应通过配重进行调整。</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6、止水橡皮的螺孔位置应与门叶或止水压板上螺孔位置一致，孔径应比螺径直径小1.0mm，严禁使用烫孔，当均匀拧紧螺栓后，螺栓端部至少应低于止水橡皮自由表面8.0mm：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7、止水橡皮接头可采用生胶热压等方法胶合，胶合接头处不得有错位、凹凸不平和疏松现象。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8、止水橡皮安装后，两侧止水中心距离和顶止水中心至底止水底缘距离的允许偏差为± 3.0mm，止水表面的平面度为2.0mm，闸门处于工作状态时，止水橡皮压缩量应符合图样规定，其允许偏差为-1.0~2.0mm。并进行透光试验检查或其他方法检查橡胶水封的压缩程度，不应有透亮或间隙。如闸门为上游止水，则应在支承装置和轨道接触后检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9、闸门安装好后，应在无水情况下作全行程启闭试验。有条件时，工作闸门应作动水启闭试验。</w:t>
      </w:r>
    </w:p>
    <w:p>
      <w:pPr>
        <w:pStyle w:val="5"/>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.5闸门防腐</w:t>
      </w:r>
      <w:bookmarkEnd w:id="47"/>
      <w:bookmarkEnd w:id="48"/>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（金属结构）</w:t>
      </w:r>
      <w:r>
        <w:rPr>
          <w:rFonts w:hint="eastAsia" w:ascii="宋体" w:hAnsi="宋体" w:eastAsia="宋体" w:cs="宋体"/>
          <w:color w:val="auto"/>
          <w:sz w:val="24"/>
          <w:szCs w:val="24"/>
          <w:highlight w:val="none"/>
        </w:rPr>
        <w:t>闸门防腐主要采用金属热喷锌的方式。金属表面清洁度等级不低于GB8923-2011《涂装前钢材表面锈蚀等级和除锈等级》中规定的Sa2.5级；表面粗糙度值应在Ry60～100m的范围之内，然后热喷锌层最小厚度160μm，再采用涂料保护。</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喷涂材料及涂料型号、漆膜厚度等应符合下表的规定。</w:t>
      </w:r>
    </w:p>
    <w:p>
      <w:pPr>
        <w:pStyle w:val="10"/>
        <w:spacing w:after="156" w:line="24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 3.5</w:t>
      </w:r>
      <w:r>
        <w:rPr>
          <w:rFonts w:hint="eastAsia" w:ascii="宋体" w:hAnsi="宋体" w:eastAsia="宋体" w:cs="宋体"/>
          <w:color w:val="auto"/>
          <w:sz w:val="24"/>
          <w:szCs w:val="24"/>
          <w:highlight w:val="none"/>
        </w:rPr>
        <w:noBreakHyphen/>
      </w:r>
      <w:r>
        <w:rPr>
          <w:rFonts w:hint="eastAsia" w:ascii="宋体" w:hAnsi="宋体" w:eastAsia="宋体" w:cs="宋体"/>
          <w:color w:val="auto"/>
          <w:sz w:val="24"/>
          <w:szCs w:val="24"/>
          <w:highlight w:val="none"/>
        </w:rPr>
        <w:t>1    喷涂材料及涂料型号、漆膜厚度规定</w:t>
      </w:r>
    </w:p>
    <w:tbl>
      <w:tblPr>
        <w:tblStyle w:val="26"/>
        <w:tblW w:w="85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695"/>
        <w:gridCol w:w="2947"/>
        <w:gridCol w:w="28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695"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涂层系统</w:t>
            </w:r>
          </w:p>
        </w:tc>
        <w:tc>
          <w:tcPr>
            <w:tcW w:w="2947"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涂料牌号及名称</w:t>
            </w:r>
          </w:p>
        </w:tc>
        <w:tc>
          <w:tcPr>
            <w:tcW w:w="2862"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漆膜总厚度(μm)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695"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金属涂层</w:t>
            </w:r>
          </w:p>
        </w:tc>
        <w:tc>
          <w:tcPr>
            <w:tcW w:w="2947"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喷涂锌</w:t>
            </w:r>
          </w:p>
        </w:tc>
        <w:tc>
          <w:tcPr>
            <w:tcW w:w="2862"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695"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底层</w:t>
            </w:r>
          </w:p>
        </w:tc>
        <w:tc>
          <w:tcPr>
            <w:tcW w:w="2947"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环氧(水性无机)富锌底漆</w:t>
            </w:r>
          </w:p>
        </w:tc>
        <w:tc>
          <w:tcPr>
            <w:tcW w:w="2862"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695"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中间层</w:t>
            </w:r>
          </w:p>
        </w:tc>
        <w:tc>
          <w:tcPr>
            <w:tcW w:w="2947"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环氧云铁中间漆</w:t>
            </w:r>
          </w:p>
        </w:tc>
        <w:tc>
          <w:tcPr>
            <w:tcW w:w="2862"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695"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面层</w:t>
            </w:r>
          </w:p>
        </w:tc>
        <w:tc>
          <w:tcPr>
            <w:tcW w:w="2947"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环氧面漆</w:t>
            </w:r>
          </w:p>
        </w:tc>
        <w:tc>
          <w:tcPr>
            <w:tcW w:w="2862" w:type="dxa"/>
            <w:noWrap w:val="0"/>
            <w:vAlign w:val="center"/>
          </w:tcPr>
          <w:p>
            <w:pPr>
              <w:keepNext w:val="0"/>
              <w:keepLines w:val="0"/>
              <w:suppressLineNumbers w:val="0"/>
              <w:spacing w:before="0" w:beforeAutospacing="0" w:after="0" w:afterAutospacing="0" w:line="240"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r>
    </w:tbl>
    <w:p>
      <w:pPr>
        <w:pStyle w:val="4"/>
        <w:spacing w:before="0" w:after="0" w:line="24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 xml:space="preserve">2 </w:t>
      </w:r>
      <w:r>
        <w:rPr>
          <w:rFonts w:hint="eastAsia" w:ascii="宋体" w:hAnsi="宋体" w:eastAsia="宋体" w:cs="宋体"/>
          <w:b/>
          <w:color w:val="auto"/>
          <w:sz w:val="24"/>
          <w:szCs w:val="24"/>
          <w:highlight w:val="none"/>
          <w:lang w:eastAsia="zh-CN"/>
        </w:rPr>
        <w:t>液压启闭机施工要求</w:t>
      </w:r>
    </w:p>
    <w:p>
      <w:pPr>
        <w:pStyle w:val="5"/>
        <w:spacing w:before="0"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2.1用途</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本机用于操作</w:t>
      </w:r>
      <w:r>
        <w:rPr>
          <w:rFonts w:hint="eastAsia" w:ascii="宋体" w:hAnsi="宋体" w:eastAsia="宋体" w:cs="宋体"/>
          <w:color w:val="auto"/>
          <w:sz w:val="24"/>
          <w:szCs w:val="24"/>
          <w:highlight w:val="none"/>
          <w:lang w:eastAsia="zh-CN"/>
        </w:rPr>
        <w:t>丁埠头堰坝下卧闸门、上山节制闸下卧闸门和总南进水闸、西溪泄洪闸、三步石泄洪闸、赤山殿节制闸、赤山殿泄洪闸上翻式闸门</w:t>
      </w:r>
      <w:r>
        <w:rPr>
          <w:rFonts w:hint="eastAsia" w:ascii="宋体" w:hAnsi="宋体" w:eastAsia="宋体" w:cs="宋体"/>
          <w:color w:val="auto"/>
          <w:sz w:val="24"/>
          <w:szCs w:val="24"/>
          <w:highlight w:val="none"/>
        </w:rPr>
        <w:t>，动水启闭</w:t>
      </w:r>
      <w:r>
        <w:rPr>
          <w:rFonts w:hint="eastAsia" w:ascii="宋体" w:hAnsi="宋体" w:eastAsia="宋体" w:cs="宋体"/>
          <w:color w:val="auto"/>
          <w:sz w:val="24"/>
          <w:szCs w:val="24"/>
          <w:highlight w:val="none"/>
          <w:lang w:eastAsia="zh-CN"/>
        </w:rPr>
        <w:t>工况</w:t>
      </w:r>
      <w:r>
        <w:rPr>
          <w:rFonts w:hint="eastAsia" w:ascii="宋体" w:hAnsi="宋体" w:eastAsia="宋体" w:cs="宋体"/>
          <w:color w:val="auto"/>
          <w:sz w:val="24"/>
          <w:szCs w:val="24"/>
          <w:highlight w:val="none"/>
        </w:rPr>
        <w:t>。</w:t>
      </w:r>
    </w:p>
    <w:p>
      <w:pPr>
        <w:pStyle w:val="5"/>
        <w:spacing w:before="0"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2.2主要技术参数</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闸门位置：丁埠头堰坝下卧闸门、上山节制闸下卧闸门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型式：</w:t>
      </w:r>
      <w:r>
        <w:rPr>
          <w:rFonts w:hint="eastAsia" w:ascii="宋体" w:hAnsi="宋体" w:eastAsia="宋体" w:cs="宋体"/>
          <w:color w:val="auto"/>
          <w:sz w:val="24"/>
          <w:szCs w:val="24"/>
          <w:highlight w:val="none"/>
          <w:lang w:eastAsia="zh-CN"/>
        </w:rPr>
        <w:t>分体</w:t>
      </w:r>
      <w:r>
        <w:rPr>
          <w:rFonts w:hint="eastAsia" w:ascii="宋体" w:hAnsi="宋体" w:eastAsia="宋体" w:cs="宋体"/>
          <w:color w:val="auto"/>
          <w:sz w:val="24"/>
          <w:szCs w:val="24"/>
          <w:highlight w:val="none"/>
        </w:rPr>
        <w:t>式液压启闭机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启门力：</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kN</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工作行程：</w:t>
      </w:r>
      <w:r>
        <w:rPr>
          <w:rFonts w:hint="eastAsia" w:ascii="宋体" w:hAnsi="宋体" w:eastAsia="宋体" w:cs="宋体"/>
          <w:color w:val="auto"/>
          <w:sz w:val="24"/>
          <w:szCs w:val="24"/>
          <w:highlight w:val="none"/>
          <w:lang w:val="en-US" w:eastAsia="zh-CN"/>
        </w:rPr>
        <w:t>1.25</w:t>
      </w:r>
      <w:r>
        <w:rPr>
          <w:rFonts w:hint="eastAsia" w:ascii="宋体" w:hAnsi="宋体" w:eastAsia="宋体" w:cs="宋体"/>
          <w:color w:val="auto"/>
          <w:sz w:val="24"/>
          <w:szCs w:val="24"/>
          <w:highlight w:val="none"/>
        </w:rPr>
        <w:t>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启闭速度：</w:t>
      </w:r>
      <w:r>
        <w:rPr>
          <w:rFonts w:hint="eastAsia" w:ascii="宋体" w:hAnsi="宋体" w:eastAsia="宋体" w:cs="宋体"/>
          <w:color w:val="auto"/>
          <w:sz w:val="24"/>
          <w:szCs w:val="24"/>
          <w:highlight w:val="none"/>
          <w:lang w:val="en-US" w:eastAsia="zh-CN"/>
        </w:rPr>
        <w:t>0.15</w:t>
      </w:r>
      <w:r>
        <w:rPr>
          <w:rFonts w:hint="eastAsia" w:ascii="宋体" w:hAnsi="宋体" w:eastAsia="宋体" w:cs="宋体"/>
          <w:color w:val="auto"/>
          <w:sz w:val="24"/>
          <w:szCs w:val="24"/>
          <w:highlight w:val="none"/>
        </w:rPr>
        <w:t>m/min</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电机功率：</w:t>
      </w:r>
      <w:r>
        <w:rPr>
          <w:rFonts w:hint="eastAsia" w:ascii="宋体" w:hAnsi="宋体" w:eastAsia="宋体" w:cs="宋体"/>
          <w:color w:val="auto"/>
          <w:sz w:val="24"/>
          <w:szCs w:val="24"/>
          <w:highlight w:val="none"/>
          <w:lang w:val="en-US" w:eastAsia="zh-CN"/>
        </w:rPr>
        <w:t>5.5kW</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闸门位置：总南进水闸</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型式：</w:t>
      </w:r>
      <w:r>
        <w:rPr>
          <w:rFonts w:hint="eastAsia" w:ascii="宋体" w:hAnsi="宋体" w:eastAsia="宋体" w:cs="宋体"/>
          <w:color w:val="auto"/>
          <w:sz w:val="24"/>
          <w:szCs w:val="24"/>
          <w:highlight w:val="none"/>
          <w:lang w:eastAsia="zh-CN"/>
        </w:rPr>
        <w:t>集成式</w:t>
      </w:r>
      <w:r>
        <w:rPr>
          <w:rFonts w:hint="eastAsia" w:ascii="宋体" w:hAnsi="宋体" w:eastAsia="宋体" w:cs="宋体"/>
          <w:color w:val="auto"/>
          <w:sz w:val="24"/>
          <w:szCs w:val="24"/>
          <w:highlight w:val="none"/>
        </w:rPr>
        <w:t>液压启闭机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启门力：</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kN</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工作行程：</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启闭速度：</w:t>
      </w:r>
      <w:r>
        <w:rPr>
          <w:rFonts w:hint="eastAsia" w:ascii="宋体" w:hAnsi="宋体" w:eastAsia="宋体" w:cs="宋体"/>
          <w:color w:val="auto"/>
          <w:sz w:val="24"/>
          <w:szCs w:val="24"/>
          <w:highlight w:val="none"/>
          <w:lang w:val="en-US" w:eastAsia="zh-CN"/>
        </w:rPr>
        <w:t>~0.55</w:t>
      </w:r>
      <w:r>
        <w:rPr>
          <w:rFonts w:hint="eastAsia" w:ascii="宋体" w:hAnsi="宋体" w:eastAsia="宋体" w:cs="宋体"/>
          <w:color w:val="auto"/>
          <w:sz w:val="24"/>
          <w:szCs w:val="24"/>
          <w:highlight w:val="none"/>
        </w:rPr>
        <w:t>m/min</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电机功率：</w:t>
      </w:r>
      <w:r>
        <w:rPr>
          <w:rFonts w:hint="eastAsia" w:ascii="宋体" w:hAnsi="宋体" w:eastAsia="宋体" w:cs="宋体"/>
          <w:color w:val="auto"/>
          <w:sz w:val="24"/>
          <w:szCs w:val="24"/>
          <w:highlight w:val="none"/>
          <w:lang w:val="en-US" w:eastAsia="zh-CN"/>
        </w:rPr>
        <w:t>4kW</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闸门位置：西溪泄洪闸、三步石泄洪闸、赤山殿节制闸、赤山殿泄洪闸上翻式闸门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型式：</w:t>
      </w:r>
      <w:r>
        <w:rPr>
          <w:rFonts w:hint="eastAsia" w:ascii="宋体" w:hAnsi="宋体" w:eastAsia="宋体" w:cs="宋体"/>
          <w:color w:val="auto"/>
          <w:sz w:val="24"/>
          <w:szCs w:val="24"/>
          <w:highlight w:val="none"/>
          <w:lang w:eastAsia="zh-CN"/>
        </w:rPr>
        <w:t>集成式</w:t>
      </w:r>
      <w:r>
        <w:rPr>
          <w:rFonts w:hint="eastAsia" w:ascii="宋体" w:hAnsi="宋体" w:eastAsia="宋体" w:cs="宋体"/>
          <w:color w:val="auto"/>
          <w:sz w:val="24"/>
          <w:szCs w:val="24"/>
          <w:highlight w:val="none"/>
        </w:rPr>
        <w:t>液压启闭机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启门力：</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kN</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工作行程：</w:t>
      </w:r>
      <w:r>
        <w:rPr>
          <w:rFonts w:hint="eastAsia" w:ascii="宋体" w:hAnsi="宋体" w:eastAsia="宋体" w:cs="宋体"/>
          <w:color w:val="auto"/>
          <w:sz w:val="24"/>
          <w:szCs w:val="24"/>
          <w:highlight w:val="none"/>
          <w:lang w:val="en-US" w:eastAsia="zh-CN"/>
        </w:rPr>
        <w:t>1.15</w:t>
      </w:r>
      <w:r>
        <w:rPr>
          <w:rFonts w:hint="eastAsia" w:ascii="宋体" w:hAnsi="宋体" w:eastAsia="宋体" w:cs="宋体"/>
          <w:color w:val="auto"/>
          <w:sz w:val="24"/>
          <w:szCs w:val="24"/>
          <w:highlight w:val="none"/>
        </w:rPr>
        <w:t>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启闭速度：</w:t>
      </w:r>
      <w:r>
        <w:rPr>
          <w:rFonts w:hint="eastAsia" w:ascii="宋体" w:hAnsi="宋体" w:eastAsia="宋体" w:cs="宋体"/>
          <w:color w:val="auto"/>
          <w:sz w:val="24"/>
          <w:szCs w:val="24"/>
          <w:highlight w:val="none"/>
          <w:lang w:val="en-US" w:eastAsia="zh-CN"/>
        </w:rPr>
        <w:t>~0.55</w:t>
      </w:r>
      <w:r>
        <w:rPr>
          <w:rFonts w:hint="eastAsia" w:ascii="宋体" w:hAnsi="宋体" w:eastAsia="宋体" w:cs="宋体"/>
          <w:color w:val="auto"/>
          <w:sz w:val="24"/>
          <w:szCs w:val="24"/>
          <w:highlight w:val="none"/>
        </w:rPr>
        <w:t>m/min</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电机功率：</w:t>
      </w:r>
      <w:r>
        <w:rPr>
          <w:rFonts w:hint="eastAsia" w:ascii="宋体" w:hAnsi="宋体" w:eastAsia="宋体" w:cs="宋体"/>
          <w:color w:val="auto"/>
          <w:sz w:val="24"/>
          <w:szCs w:val="24"/>
          <w:highlight w:val="none"/>
          <w:lang w:val="en-US" w:eastAsia="zh-CN"/>
        </w:rPr>
        <w:t>4kW</w:t>
      </w:r>
    </w:p>
    <w:p>
      <w:pPr>
        <w:pStyle w:val="5"/>
        <w:spacing w:before="0"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布置与结构要求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液压启闭机</w:t>
      </w:r>
      <w:r>
        <w:rPr>
          <w:rFonts w:hint="eastAsia" w:ascii="宋体" w:hAnsi="宋体" w:eastAsia="宋体" w:cs="宋体"/>
          <w:color w:val="auto"/>
          <w:sz w:val="24"/>
          <w:szCs w:val="24"/>
          <w:highlight w:val="none"/>
        </w:rPr>
        <w:t>组成包括：液压缸、油泵、变频电机、滤油器、液压双向控制阀组合的总成，溢流阀、调速阀、液控单向阀等液压控制阀组，内部连接油管，外筒体及中间铰轴、支座、行程检测和指示装置，专用检修工具以及相应的预埋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液压启闭机</w:t>
      </w:r>
      <w:r>
        <w:rPr>
          <w:rFonts w:hint="eastAsia" w:ascii="宋体" w:hAnsi="宋体" w:eastAsia="宋体" w:cs="宋体"/>
          <w:color w:val="auto"/>
          <w:sz w:val="24"/>
          <w:szCs w:val="24"/>
          <w:highlight w:val="none"/>
        </w:rPr>
        <w:t>的活塞杆上端应设有吊头，与闸门门叶吊耳相连，吊头的支承采用自润滑球面滑动轴承。</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液压启闭机</w:t>
      </w:r>
      <w:r>
        <w:rPr>
          <w:rFonts w:hint="eastAsia" w:ascii="宋体" w:hAnsi="宋体" w:eastAsia="宋体" w:cs="宋体"/>
          <w:color w:val="auto"/>
          <w:sz w:val="24"/>
          <w:szCs w:val="24"/>
          <w:highlight w:val="none"/>
        </w:rPr>
        <w:t>油缸装设于启闭机室设备机架上，支承采用自润滑球面滑动轴承，油缸应能沿水流方向摆动。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（4）在油缸摇摆的工作平面内，油缸的摆动范围应满足闸门启闭全过程的要求，进、出油管及管接头应满足运行要求。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（5）动力电缆的连接结构应满足闸门启闭运行的要求。</w:t>
      </w:r>
    </w:p>
    <w:p>
      <w:pPr>
        <w:pStyle w:val="5"/>
        <w:spacing w:before="0" w:after="0" w:line="240" w:lineRule="auto"/>
        <w:rPr>
          <w:rFonts w:hint="eastAsia" w:ascii="宋体" w:hAnsi="宋体" w:eastAsia="宋体" w:cs="宋体"/>
          <w:color w:val="auto"/>
          <w:sz w:val="24"/>
          <w:szCs w:val="24"/>
          <w:highlight w:val="none"/>
          <w:lang w:val="en-US" w:eastAsia="zh-CN"/>
        </w:rPr>
      </w:pPr>
      <w:bookmarkStart w:id="49" w:name="_Toc203820879"/>
      <w:bookmarkStart w:id="50" w:name="_Toc202692409"/>
      <w:bookmarkStart w:id="51" w:name="_Toc187565105"/>
      <w:bookmarkStart w:id="52" w:name="_Toc34205515"/>
      <w:bookmarkStart w:id="53" w:name="_Toc187556494"/>
      <w:bookmarkStart w:id="54" w:name="_Toc187556411"/>
      <w:r>
        <w:rPr>
          <w:rFonts w:hint="eastAsia" w:ascii="宋体" w:hAnsi="宋体" w:eastAsia="宋体" w:cs="宋体"/>
          <w:color w:val="auto"/>
          <w:sz w:val="24"/>
          <w:szCs w:val="24"/>
          <w:highlight w:val="none"/>
          <w:lang w:val="en-US" w:eastAsia="zh-CN"/>
        </w:rPr>
        <w:t>2.4 液压系统设计要求</w:t>
      </w:r>
      <w:bookmarkEnd w:id="49"/>
      <w:bookmarkEnd w:id="50"/>
      <w:bookmarkEnd w:id="51"/>
      <w:bookmarkEnd w:id="52"/>
      <w:bookmarkEnd w:id="53"/>
      <w:bookmarkEnd w:id="54"/>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（1）液压系统公称压力应按GB/T2346选取，油缸公称压力应按GB7938选取，管接头及其附件公称压力应按GB7937选取，油箱公称容量应按JB/T7938选取。</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（2）液压系统应进行压力损失计算，液压系统中溢流阀的调整压力应不小于液压系统中的工作压力与压力损失之和。</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（3）必要时，液压系统应进行容积损失计算，并应控制液压元件的公差与配合间隙来控制泄漏量数值和液压系统容积效率。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（4）必要时，液压系统应进行液压冲击计算，在设计油管与管接头时应考虑液压冲击影响，并在结构上采取缓冲措施。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（5）当工作频繁时，应对液压系统进行发热计算，并使液压油的油温不超过各类油泵允许工作油温，但最高不应大于60℃。在工作环境温度最低时，设备必须能正常工作。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（6）系统应有完善的监视、测量、控制与保护装置。在有杆腔出口处设置可靠的安全锁锭阀组，在系统中压力油出口处应设置PQT测试接头。</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（7）系统应尽量避免与减少振动、液压冲击、噪声、气穴、污染、进气与泄漏等不利现象。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（8）系统应满足油泵空载起动与稳压的要求。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（9）系统应满足闸门处于任一开度时，油缸下腔油路闭锁要求。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（10）对单作用油缸，为安装方便，系统设计应有对油缸上腔加压的回路，此压力只需满足推动活塞杆空载时伸出，宜尽量小。在活塞杆与闸门吊耳连接后，该回路应能闭锁。</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（11）系统应便于现场操作，亦便于远控。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（12）系统图绘制应符合GB786规定。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（13）系统设计应满足GB3766中第1.2条安全要求。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（14）压力表应采用耐震型。</w:t>
      </w:r>
    </w:p>
    <w:p>
      <w:pPr>
        <w:pStyle w:val="5"/>
        <w:spacing w:before="0" w:after="0" w:line="240" w:lineRule="auto"/>
        <w:rPr>
          <w:rFonts w:hint="eastAsia" w:ascii="宋体" w:hAnsi="宋体" w:eastAsia="宋体" w:cs="宋体"/>
          <w:color w:val="auto"/>
          <w:sz w:val="24"/>
          <w:szCs w:val="24"/>
          <w:highlight w:val="none"/>
          <w:lang w:val="en-US" w:eastAsia="zh-CN"/>
        </w:rPr>
      </w:pPr>
      <w:bookmarkStart w:id="55" w:name="_Toc187556412"/>
      <w:bookmarkStart w:id="56" w:name="_Toc187565106"/>
      <w:bookmarkStart w:id="57" w:name="_Toc203820880"/>
      <w:bookmarkStart w:id="58" w:name="_Toc187556495"/>
      <w:bookmarkStart w:id="59" w:name="_Toc202692410"/>
      <w:bookmarkStart w:id="60" w:name="_Toc34205516"/>
      <w:r>
        <w:rPr>
          <w:rFonts w:hint="eastAsia" w:ascii="宋体" w:hAnsi="宋体" w:eastAsia="宋体" w:cs="宋体"/>
          <w:color w:val="auto"/>
          <w:sz w:val="24"/>
          <w:szCs w:val="24"/>
          <w:highlight w:val="none"/>
          <w:lang w:val="en-US" w:eastAsia="zh-CN"/>
        </w:rPr>
        <w:t>2.5液压部件及元件设计要求</w:t>
      </w:r>
      <w:bookmarkEnd w:id="55"/>
      <w:bookmarkEnd w:id="56"/>
      <w:bookmarkEnd w:id="57"/>
      <w:bookmarkEnd w:id="58"/>
      <w:bookmarkEnd w:id="59"/>
      <w:bookmarkEnd w:id="60"/>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液压油</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液压油选择应符合SL41-93中8.4.3条规定。</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（1）油泵型式、规格选择应符合SL41中5.4.3条规定。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（2）油泵与油箱相对布置高差应满足油泵吸油要求。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（3）油泵与电动机之间连接、油泵与电动机安装底座及进油管路设计等应满足GB3766第2.1.1条至第2.1.5条要求。电动机与油泵应优先采用机电组合装置，立式装配。</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（4）油泵应采用原装进口力士乐、派克或威格士产品。油泵电动机组的最大噪音在距电机外壳1m处检测应小于85dBA。</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（5）在油泵的进口处设有滤网，在油泵的出油口和回油箱处设有滤油器。滤油器为旁通式并设过滤报警装置。</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控制阀与阀组</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（1）各类控制阀的选择应符合SL41中5.4.5条规定。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（2）二通插装阀的连接尺寸应符合GB2877的规定，插装阀的制造应符合GB7934的规定。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控制阀应满足液压系统工作要求，其压力和流量应按通过该控制阀的最高压力和最大流量进行选取，节流阀和调速阀尚应考虑最小稳定流量，溢流阀的容量应足以排出油泵的流量而无震动，其压力最大不超过最大系统压力的120%。各类液控阀应采用原装进口力士乐、派克或威格士阀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（4）控制阀线圈电压等级：直流24V。</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（5）各类阀组采用集成式阀块组装，块体必须经镀镍、磷等防腐处理。高压球阀、压力变送器等元件应采用进口产品。</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（6）方向控制阀应具备反馈阀芯所处位置的功能。</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油缸和活塞杆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（1）活塞杆强度、稳定性计算及油缸内径、活塞宽度、导向套长度等确定应符合SL41中有关条款规定。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（2）如油缸下部长期浸泡在水中，应考虑有关零部件防腐措施，</w:t>
      </w:r>
      <w:r>
        <w:rPr>
          <w:rFonts w:hint="eastAsia" w:ascii="宋体" w:hAnsi="宋体" w:eastAsia="宋体" w:cs="宋体"/>
          <w:color w:val="auto"/>
          <w:sz w:val="24"/>
          <w:szCs w:val="24"/>
          <w:highlight w:val="none"/>
          <w:lang w:eastAsia="zh-CN"/>
        </w:rPr>
        <w:t>活塞杆采用镍铬复合镀层工艺或活塞</w:t>
      </w:r>
      <w:r>
        <w:rPr>
          <w:rFonts w:hint="eastAsia" w:ascii="宋体" w:hAnsi="宋体" w:eastAsia="宋体" w:cs="宋体"/>
          <w:color w:val="auto"/>
          <w:sz w:val="24"/>
          <w:szCs w:val="24"/>
          <w:highlight w:val="none"/>
        </w:rPr>
        <w:t>杆材质为316L。</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（3）油缸缸体上端与埋件、活塞杆下端与闸门连接应采用金属基自润滑材料的球面滑动轴承，选用DEVA或SKF公司原装进口产品。</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密封与密封件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（1）油缸各固定密封部位宜选用材料为耐油橡胶的O型密封圈，其胶料硬度、间隙大小及沟槽尺寸均可从GB1236中选取。采用原装进口德国麦克、力士乐密封件。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（2）油缸的动密封在高压32MPa，低压0.5MPa时，均应有良好的密封性能和较低的启动压力。</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（3）油缸的动、静密封件采用进口密封件，应有足够的抗撕裂强度，耐压32MPa，并应具有耐油、防水、永久变形小、摩阻力小、无粘着，抗老化等良好性能。使用寿命应保证在10年以上。</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（4）活塞杆与下缸盖之间应装设防尘圈及刮污圈。</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（5）耐压性：当滤油器入口压力在10%公称压力与公称压力之间，快速上升下降反复作用，滤油器不应有永久变形、漏油和其它缺陷。</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油管与管接头</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（1）油管应选用不锈钢无缝钢管。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（2）应根据管中油的流速计算油管内径。管中油的允许流速及油管壁厚计算应满足SL41中附录H的有关条款规定，确定壁厚时，还应考虑螺纹对强度的削弱。</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（3）外径大于50mm的金属管应采用法兰连接，对于小直径油管，宜采用管接头连接。两种接头连接均应符合有关标准。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（4）油管应尽量短、布管整齐、转弯小，避免过大的弯曲并要保证必要的伸缩变形。油管悬伸太长应设支架，设置活接头时，应使装拆方便。主要油管应能单独装拆而不影响其它元件。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（5）油管最好平行布置，少交叉，平行或交叉的油管之间至少应有10cm间隙，以防接触和振动。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（6）管接头（法兰）应采用不锈钢制造，除焊接法兰外，压力油管不应进行焊接。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（7）油箱和管路的冲洗工艺，必须按有关技术文件和安装、使用说明书的规定执行。</w:t>
      </w:r>
    </w:p>
    <w:p>
      <w:pPr>
        <w:pStyle w:val="5"/>
        <w:spacing w:before="0" w:after="0" w:line="240" w:lineRule="auto"/>
        <w:rPr>
          <w:rFonts w:hint="eastAsia" w:ascii="宋体" w:hAnsi="宋体" w:eastAsia="宋体" w:cs="宋体"/>
          <w:color w:val="auto"/>
          <w:sz w:val="24"/>
          <w:szCs w:val="24"/>
          <w:highlight w:val="none"/>
          <w:lang w:val="en-US" w:eastAsia="zh-CN"/>
        </w:rPr>
      </w:pPr>
      <w:bookmarkStart w:id="61" w:name="_Toc187565107"/>
      <w:bookmarkStart w:id="62" w:name="_Toc203820881"/>
      <w:bookmarkStart w:id="63" w:name="_Toc202692411"/>
      <w:bookmarkStart w:id="64" w:name="_Toc187556496"/>
      <w:bookmarkStart w:id="65" w:name="_Toc187556413"/>
      <w:bookmarkStart w:id="66" w:name="_Toc34205517"/>
      <w:r>
        <w:rPr>
          <w:rFonts w:hint="eastAsia" w:ascii="宋体" w:hAnsi="宋体" w:eastAsia="宋体" w:cs="宋体"/>
          <w:color w:val="auto"/>
          <w:sz w:val="24"/>
          <w:szCs w:val="24"/>
          <w:highlight w:val="none"/>
          <w:lang w:val="en-US" w:eastAsia="zh-CN"/>
        </w:rPr>
        <w:t>2.6主要部件制造要求</w:t>
      </w:r>
      <w:bookmarkEnd w:id="61"/>
      <w:bookmarkEnd w:id="62"/>
      <w:bookmarkEnd w:id="63"/>
      <w:bookmarkEnd w:id="64"/>
      <w:bookmarkEnd w:id="65"/>
      <w:bookmarkEnd w:id="66"/>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缸体</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缸体毛坯优先采用整段无缝钢管或整体锻件，材质应符合或相当于GB/T699的45号钢。当分段焊接时，缸体应经高温回火处理、焊缝按二级焊缝要求，100%焊缝长度进行超声波探伤及外观检查合格，并符合JB1151《高压无缝钢管超声波探伤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（2）缸体法兰材料宜采用GB699中的35号钢或45号钢。</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（3）缸体与法兰焊接时，焊缝应为二级焊缝并符合JB928规定。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（4）缸体粗加工后应进行正火处理。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（5）缸体内径尺寸公差不低于GB1801～1802中的H9，缸体内径圆度公差不低于GB1184中的9级，内表面母线的直线度公差不大于1000:0.2。</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（6）缸体法兰端面圆跳动公差不低于GB1184中的9级，缸体法兰端面与缸体轴线垂直公差不低于GB1184中的7级。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（7）缸体内表面粗糙度Ra≤0.4μm。</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活塞</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（1）活塞材料为316L。</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（2）活塞外径公差不低于GB1801～1802的f8。</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（3）活塞外径对内孔的同轴度公差应不低于GB1184中的8级。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（4）活塞外径圆柱度公差应不低于GB1189中的7级。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（5）活塞端面对轴线的垂直度公差不低于GB1184中的7级。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（6）活塞外圆柱面粗糙度Ra≤1.6μm。</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活塞杆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（1）活塞杆材料为316L。</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（2）活塞杆导向段外径公差应不低于GB1801中的e8。</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（3）活塞杆导向段圆度公差不低于GB1184中的9级，导向段母线直线度公差不大于1000:0.1。</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（4）与活塞接触之活塞杆端面对轴心线垂直度公差应不低于GB1184中的7级。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（5）活塞杆螺纹采用GB197中的6级精度。</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（6）活塞杆导向段外径的表面粗糙度Ra≤0.3μm。</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导向套</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（1）导向套材料宜选用GB1176中的ZCuSn5pb5Zn5（ZQSn5-5-5）或ZCuAL 10Fe3（ZQAL 9-4）。</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（2）导向套的导向面配合尺寸公差应不低于GB1801中的H9/e8。</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（3）导向套的导向面、配合面的圆柱度公差应不低于GB1184中的10级。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（4）导向套的导向面与配合面的同轴度公差低于GB1184中的8级。</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（5）导向套导向面粗糙度Ra≤0.4μm。</w:t>
      </w:r>
    </w:p>
    <w:p>
      <w:pPr>
        <w:pStyle w:val="80"/>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机架技术要求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（1）机架采用板焊结构，材料性能不低于Q355B的技术性能要求。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（2）机架主要的受力焊缝为一类焊缝，进行100%超声波探伤，并达到GB11345B I级要求。焊后机架整体进行消除内应力处理。</w:t>
      </w:r>
    </w:p>
    <w:p>
      <w:pPr>
        <w:pStyle w:val="5"/>
        <w:spacing w:before="0" w:after="0" w:line="240" w:lineRule="auto"/>
        <w:rPr>
          <w:rFonts w:hint="eastAsia" w:ascii="宋体" w:hAnsi="宋体" w:eastAsia="宋体" w:cs="宋体"/>
          <w:color w:val="auto"/>
          <w:sz w:val="24"/>
          <w:szCs w:val="24"/>
          <w:highlight w:val="none"/>
          <w:lang w:val="en-US" w:eastAsia="zh-CN"/>
        </w:rPr>
      </w:pPr>
      <w:bookmarkStart w:id="67" w:name="_Toc34205518"/>
      <w:bookmarkStart w:id="68" w:name="_Toc187556497"/>
      <w:bookmarkStart w:id="69" w:name="_Toc202692412"/>
      <w:bookmarkStart w:id="70" w:name="_Toc187556414"/>
      <w:bookmarkStart w:id="71" w:name="_Toc203820882"/>
      <w:bookmarkStart w:id="72" w:name="_Toc187565108"/>
      <w:r>
        <w:rPr>
          <w:rFonts w:hint="eastAsia" w:ascii="宋体" w:hAnsi="宋体" w:eastAsia="宋体" w:cs="宋体"/>
          <w:color w:val="auto"/>
          <w:sz w:val="24"/>
          <w:szCs w:val="24"/>
          <w:highlight w:val="none"/>
          <w:lang w:val="en-US" w:eastAsia="zh-CN"/>
        </w:rPr>
        <w:t>2.7行程指示及位置控制</w:t>
      </w:r>
      <w:bookmarkEnd w:id="67"/>
      <w:bookmarkEnd w:id="68"/>
      <w:bookmarkEnd w:id="69"/>
      <w:bookmarkEnd w:id="70"/>
      <w:bookmarkEnd w:id="71"/>
      <w:bookmarkEnd w:id="72"/>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套油缸应根据结构型式装有一套内置式行程指示及位置控制器，其输出信号直接由PLC接收并处理后与有关电气部分控制。传感器采用进口直线型光电绝对编码传感器，输出为4-20mA模拟量。传感器的检测范围应大于油缸行程，传感器的检测精度：电气分辨率≤1mm，精度误差≤3mm。</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（2）行程指示可在现场电控柜和远方控制室分别以数字直接显示闸门开度，读数精度1cm。在断电情况下应能跟踪闸门位置。</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（3）位置控制器除应具备对上、下极限位置控制进行保护外，并应有至少二个位置开度预置的功能，同时应加设机械控制上、下极限作为备用。</w:t>
      </w:r>
    </w:p>
    <w:p>
      <w:pPr>
        <w:pStyle w:val="5"/>
        <w:spacing w:before="0" w:after="0" w:line="240" w:lineRule="auto"/>
        <w:rPr>
          <w:rFonts w:hint="eastAsia" w:ascii="宋体" w:hAnsi="宋体" w:eastAsia="宋体" w:cs="宋体"/>
          <w:color w:val="auto"/>
          <w:sz w:val="24"/>
          <w:szCs w:val="24"/>
          <w:highlight w:val="none"/>
          <w:lang w:val="en-US" w:eastAsia="zh-CN"/>
        </w:rPr>
      </w:pPr>
      <w:bookmarkStart w:id="73" w:name="_Toc187565109"/>
      <w:bookmarkStart w:id="74" w:name="_Toc187556498"/>
      <w:bookmarkStart w:id="75" w:name="_Toc187556415"/>
      <w:bookmarkStart w:id="76" w:name="_Toc203820883"/>
      <w:bookmarkStart w:id="77" w:name="_Toc202692413"/>
      <w:bookmarkStart w:id="78" w:name="_Toc34205519"/>
      <w:r>
        <w:rPr>
          <w:rFonts w:hint="eastAsia" w:ascii="宋体" w:hAnsi="宋体" w:eastAsia="宋体" w:cs="宋体"/>
          <w:color w:val="auto"/>
          <w:sz w:val="24"/>
          <w:szCs w:val="24"/>
          <w:highlight w:val="none"/>
          <w:lang w:val="en-US" w:eastAsia="zh-CN"/>
        </w:rPr>
        <w:t>2.8电气</w:t>
      </w:r>
      <w:bookmarkEnd w:id="73"/>
      <w:bookmarkEnd w:id="74"/>
      <w:bookmarkEnd w:id="75"/>
      <w:bookmarkEnd w:id="76"/>
      <w:bookmarkEnd w:id="77"/>
      <w:bookmarkEnd w:id="78"/>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（1）启闭机的电气设计应符合SL41中的第10节的有关规定。</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（2）启闭机应有短路保护、过流保护、失压保护、零位保护与紧急开关、油压差保护及高、低油位保护等。</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（3）一次、二次回路的绝缘电阻不小于2MΩ。</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（4）电气设备的接地应符合SL41中10.9条规定。电控设备中的电路对地绝缘电阻应不小于1.0MΩ，在潮湿环境中应不小于0.5MΩ（500V兆欧表在冷态下测量）。</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（5）电器元件应采用进口或中外合资企业的优良产品，如电动机、交流接触器、中间继电器、控制按钮、电源开关、接线端子、信号灯、传感器，在投标文件中予以明确生产厂家和产地。</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（6）所有电气设备均应适应95%～98%相对湿度冷表面结露的工作环境条件。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（7）电动机的主回路采用变频起动器软起动，并应设置带辅助接点的进线电源开关。控制回路应采用PLC控制，PLC选用西门子、施耐德、AB等国际产品，其中Di10点，DO15点，Ai5点，配带485通讯接口和UPS。</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（8）油泵电动机的动力电源采用三相380V交流电源，50Hz±2Hz，运行范围为AC 380V±15%。</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控制柜内的控制电源采用</w:t>
      </w:r>
      <w:r>
        <w:rPr>
          <w:rFonts w:hint="eastAsia" w:ascii="宋体" w:hAnsi="宋体" w:eastAsia="宋体" w:cs="宋体"/>
          <w:color w:val="auto"/>
          <w:sz w:val="24"/>
          <w:szCs w:val="24"/>
          <w:highlight w:val="none"/>
          <w:lang w:eastAsia="zh-CN"/>
        </w:rPr>
        <w:t>三相</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0V交流电源，50Hz±2Hz，运行范围为AC</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0V±15%。</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电磁阀、控制器及温度计等自动化元件采用24V直流电源，因此，承包人应提供24V直流开关电源装置，直流24V开关电源由交流</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0V供电。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（9）输出信号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启闭设备配设输出信号（但不限于）：温度、液位、滤网压差、杆控压力、油泵出口压力、行程显示、闸门下滑报警、启闭机过负荷报警等其它保护信号，信号输出均要求按4～20mA模拟量输出。</w:t>
      </w:r>
    </w:p>
    <w:p>
      <w:pPr>
        <w:pStyle w:val="5"/>
        <w:spacing w:before="0" w:after="0" w:line="240" w:lineRule="auto"/>
        <w:rPr>
          <w:rFonts w:hint="eastAsia" w:ascii="宋体" w:hAnsi="宋体" w:eastAsia="宋体" w:cs="宋体"/>
          <w:color w:val="auto"/>
          <w:sz w:val="24"/>
          <w:szCs w:val="24"/>
          <w:highlight w:val="none"/>
          <w:lang w:val="en-US" w:eastAsia="zh-CN"/>
        </w:rPr>
      </w:pPr>
      <w:bookmarkStart w:id="79" w:name="_Toc202692414"/>
      <w:bookmarkStart w:id="80" w:name="_Toc187565110"/>
      <w:bookmarkStart w:id="81" w:name="_Toc187556416"/>
      <w:bookmarkStart w:id="82" w:name="_Toc203820884"/>
      <w:bookmarkStart w:id="83" w:name="_Toc34205520"/>
      <w:bookmarkStart w:id="84" w:name="_Toc187556499"/>
      <w:r>
        <w:rPr>
          <w:rFonts w:hint="eastAsia" w:ascii="宋体" w:hAnsi="宋体" w:eastAsia="宋体" w:cs="宋体"/>
          <w:color w:val="auto"/>
          <w:sz w:val="24"/>
          <w:szCs w:val="24"/>
          <w:highlight w:val="none"/>
          <w:lang w:val="en-US" w:eastAsia="zh-CN"/>
        </w:rPr>
        <w:t>2.9 外购件及专业配套件</w:t>
      </w:r>
      <w:bookmarkEnd w:id="79"/>
      <w:bookmarkEnd w:id="80"/>
      <w:bookmarkEnd w:id="81"/>
      <w:bookmarkEnd w:id="82"/>
      <w:bookmarkEnd w:id="83"/>
      <w:bookmarkEnd w:id="84"/>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（1）外购件和专业配套件系指各种标准组件、零件，或专业厂生产的产品及标准设备。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（2）所采用的外购件应符合设计图纸的型号、技术参数、性能指标等级等要求，并须随件附有出厂合格证明。外购进口件还需附有产品原产地生产厂家的证明。</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（3）所采用的专业配套件应严格按设计图纸指定的、技术文件上规定的专业配套厂制造的零件和组件配套，除非经监理人认可，方可对零件和组件进行替换。</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（4）外购件采购时应进行必要的检验及测试，认定合格后才可采购。</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（5）在所购外购件或专业配套件的使用寿命期限内或保管期内，承包人应对其质量负责。</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（6）对发包人专门指定的特殊外购件或专业配套件，承包人应予以满足。</w:t>
      </w:r>
    </w:p>
    <w:p>
      <w:pPr>
        <w:pStyle w:val="80"/>
        <w:spacing w:line="240" w:lineRule="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2.10控制与操作要求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（1）本机应能现地和远方操作闸门，闸门的控制采用逻辑智能控制装置完成。</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（2）闸门LCU发出的“启门”、“闭门”、“停止”命令，通过光缆以通讯方式送至现地控制柜。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（3）向集控室控制上送以下信号，并引入柜内端子排（但不限于）</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1）闸门的工作状态：运行、停止、故障；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2）闸门开关次数信号；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3）控制电源故障信号；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4）启闭机过负荷报警信号；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5）闸门开关到位信号；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6）切换开关位置信号；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7）开度传感器模拟信号；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8）油泵出口液压油压力信号；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9）闸门下滑报警信号。</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（4）闸门关闭操作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1）闸门的启、闭命令既可由远方控制室，也可以由现地控制柜发出。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2）本机操作闸门至上、下极限位置，油泵电动机应自动切断电源，特别是当闸门到达下极限位置时，应确保可靠运行。</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（5）系统应满足闸门全关位机械锁锭的运行要求。</w:t>
      </w:r>
    </w:p>
    <w:p>
      <w:pPr>
        <w:pStyle w:val="5"/>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启闭机安装</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机安装质量的好环，直接影响机器的使用寿命和工程质量。如闸墩，门槽垂直质量，吊点准确位置等，对机器的使用，有着密切联系，故要求在安装启闭机前，先详细检查各项工程质量，保证闸门能够顺利升降无卡阻现象时，才允许与启闭机连接，作正式试验运转。</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启闭机安装时，应注意下列事项：</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1、启闭机安装的地基，房架及其他建筑物，必须牢固安全；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2、安装前应仔细检查机器是否因包装，运输过程有损坏，锈及缺件等情况；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3、安装时基础螺栓应与承重梁钢筋扎牢，浇灌混凝土浆后，待混凝土达设计强度后才允许试车。</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机器在试运转前，必须检查下列各项：</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1、转动轴是否平行，垂直和灵活；</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2、各连接处是否紧固；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3、联轴节的间隙及偏移情况；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4、电器设备及线路是否正确可靠，动作是否可靠，机组接地良好；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5、摇手柄必须脱开，以防引起人身伤害。</w:t>
      </w:r>
    </w:p>
    <w:p>
      <w:pPr>
        <w:adjustRightInd w:val="0"/>
        <w:snapToGrid w:val="0"/>
        <w:spacing w:line="240" w:lineRule="auto"/>
        <w:ind w:firstLine="482" w:firstLineChars="20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 手电两用螺杆启闭机施工要求</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现场共计</w:t>
      </w:r>
      <w:r>
        <w:rPr>
          <w:rFonts w:hint="eastAsia" w:ascii="宋体" w:hAnsi="宋体" w:eastAsia="宋体" w:cs="宋体"/>
          <w:color w:val="auto"/>
          <w:sz w:val="24"/>
          <w:szCs w:val="24"/>
          <w:highlight w:val="none"/>
          <w:lang w:val="en-US" w:eastAsia="zh-CN"/>
        </w:rPr>
        <w:t>10处平面滑动钢闸门配备手电两用螺杆启闭机，</w:t>
      </w:r>
      <w:r>
        <w:rPr>
          <w:rFonts w:hint="eastAsia" w:ascii="宋体" w:hAnsi="宋体" w:eastAsia="宋体" w:cs="宋体"/>
          <w:color w:val="auto"/>
          <w:sz w:val="24"/>
          <w:szCs w:val="24"/>
          <w:highlight w:val="none"/>
          <w:lang w:val="zh-CN"/>
        </w:rPr>
        <w:t>手电两用螺杆启闭机为380V供电，电机功率根据现场闸门大小及启闭力而定，详见施工图纸。通过人机交互界面设置，为非侵入式设计，所有部件安装在双密封防水外壳内，使得内部器件完全免受外部环境影响。</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配有专用手柄，手动时通过手柄操作连锁机构自动切断电源，确保手柄操作安全可靠。手柄的轮缘上应有明显的“开”“关”样式及开关方向指示的箭头，以指示手柄转动后闸门的启闭方向。通常情况下顺时针旋转手柄时关闭闸门。</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具有过载、过流、堵转、漏电闭锁、防雷等多重保护功能，并且内置通讯模块，可通过软件平台（网页端、手机端）来对启闭机进行远程控制及监控数据。其他性能参数如下：</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★行程和力矩测量精确、可靠，免开盖调试及标定，输出信号组态编程</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全面数据记录，自诊断、自适应功能</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★远距离无线控制功能，采用GPRS技术保持设备和服务器长途连接</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★Modbus/ProfiBus总线控制及网络传输功能</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防护等级：IP68</w:t>
      </w:r>
    </w:p>
    <w:p>
      <w:pPr>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工作制：S2-10/15短时工作制，F级绝缘，防雷</w:t>
      </w:r>
    </w:p>
    <w:p>
      <w:pPr>
        <w:spacing w:line="24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zh-CN"/>
        </w:rPr>
        <w:t>设备需在云平台后端控制，显示设备状态</w:t>
      </w:r>
    </w:p>
    <w:p>
      <w:pPr>
        <w:pStyle w:val="4"/>
        <w:spacing w:before="0" w:after="0" w:line="24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 一体化闸门施工要求</w:t>
      </w:r>
    </w:p>
    <w:p>
      <w:pPr>
        <w:pStyle w:val="5"/>
        <w:spacing w:before="0" w:after="0" w:line="240" w:lineRule="auto"/>
        <w:rPr>
          <w:rFonts w:hint="eastAsia" w:ascii="宋体" w:hAnsi="宋体" w:eastAsia="宋体" w:cs="宋体"/>
          <w:color w:val="auto"/>
          <w:sz w:val="24"/>
          <w:szCs w:val="24"/>
          <w:highlight w:val="none"/>
          <w:lang w:val="en-US" w:eastAsia="zh-CN"/>
        </w:rPr>
      </w:pPr>
      <w:bookmarkStart w:id="85" w:name="1.2.1 结构形式"/>
      <w:bookmarkEnd w:id="85"/>
      <w:bookmarkStart w:id="86" w:name="1.2 具体要求"/>
      <w:bookmarkEnd w:id="86"/>
      <w:bookmarkStart w:id="87" w:name="_Toc525650839"/>
      <w:r>
        <w:rPr>
          <w:rFonts w:hint="eastAsia" w:ascii="宋体" w:hAnsi="宋体" w:eastAsia="宋体" w:cs="宋体"/>
          <w:color w:val="auto"/>
          <w:sz w:val="24"/>
          <w:szCs w:val="24"/>
          <w:highlight w:val="none"/>
          <w:lang w:val="en-US" w:eastAsia="zh-CN"/>
        </w:rPr>
        <w:t>3.1 结构形式</w:t>
      </w:r>
      <w:bookmarkEnd w:id="87"/>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体化闸门由进水扩口、计量箱（含超声波传感器）、内框（配有超声波水位计）、闸板（闸槽）、输出传动装置、驱动组件、传动箱（包括马达、齿轮箱和控制设备）、外部框架、闸门密封件、供电装置、通讯设备等组成。</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闸门驱动可采用钢索驱动与丝杠丝母驱动两种型式，若采用丝杠丝母驱动型式，丝杆必须采用马氏体不锈钢，丝母采用高韧性螺栓用钢，防止在长期使用过程中出现螺杆螺母间隙增大问题。</w:t>
      </w:r>
    </w:p>
    <w:p>
      <w:pPr>
        <w:pStyle w:val="5"/>
        <w:spacing w:before="0" w:after="0" w:line="240" w:lineRule="auto"/>
        <w:rPr>
          <w:rFonts w:hint="eastAsia" w:ascii="宋体" w:hAnsi="宋体" w:eastAsia="宋体" w:cs="宋体"/>
          <w:color w:val="auto"/>
          <w:sz w:val="24"/>
          <w:szCs w:val="24"/>
          <w:highlight w:val="none"/>
          <w:lang w:val="en-US" w:eastAsia="zh-CN"/>
        </w:rPr>
      </w:pPr>
      <w:bookmarkStart w:id="88" w:name="_Toc525650840"/>
      <w:r>
        <w:rPr>
          <w:rFonts w:hint="eastAsia" w:ascii="宋体" w:hAnsi="宋体" w:eastAsia="宋体" w:cs="宋体"/>
          <w:color w:val="auto"/>
          <w:sz w:val="24"/>
          <w:szCs w:val="24"/>
          <w:highlight w:val="none"/>
          <w:lang w:val="en-US" w:eastAsia="zh-CN"/>
        </w:rPr>
        <w:t>3.2 材质要求</w:t>
      </w:r>
      <w:bookmarkEnd w:id="88"/>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（1）框架闸板（闸槽）所采用的材料应具有不锈性，在正常使用过程中不得出现影响测控一体化闸门安全运行的形变；在冬季或进水口出现柴草淤堵情况下，其主要结构的变形≤2mm。</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（2）门板、门框及轴件采用铝合金、奥氏体不锈钢、吊杆、紧固件马氏体不锈钢，不锈钢的化学成分和力学性能应符合GB/T 3280、GB/T 4237、GB/T 1220的规定，铝合金的化学成分符合GB/T 3190、GB/T 3880.1的规定</w:t>
      </w:r>
      <w:r>
        <w:rPr>
          <w:rFonts w:hint="eastAsia" w:ascii="宋体" w:hAnsi="宋体" w:eastAsia="宋体" w:cs="宋体"/>
          <w:color w:val="auto"/>
          <w:sz w:val="24"/>
          <w:szCs w:val="24"/>
          <w:highlight w:val="none"/>
          <w:lang w:val="en-US" w:eastAsia="zh-CN"/>
        </w:rPr>
        <w:t>。</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（3）密封条EDPM（三元乙丙）橡胶，硬度不低于50，允许泄漏量不大于0.02L/（min·m）。</w:t>
      </w:r>
    </w:p>
    <w:p>
      <w:pPr>
        <w:pStyle w:val="5"/>
        <w:spacing w:before="0" w:after="0" w:line="240" w:lineRule="auto"/>
        <w:rPr>
          <w:rFonts w:hint="eastAsia" w:ascii="宋体" w:hAnsi="宋体" w:eastAsia="宋体" w:cs="宋体"/>
          <w:color w:val="auto"/>
          <w:sz w:val="24"/>
          <w:szCs w:val="24"/>
          <w:highlight w:val="none"/>
          <w:lang w:val="en-US" w:eastAsia="zh-CN"/>
        </w:rPr>
      </w:pPr>
      <w:bookmarkStart w:id="89" w:name="_Toc525650841"/>
      <w:r>
        <w:rPr>
          <w:rFonts w:hint="eastAsia" w:ascii="宋体" w:hAnsi="宋体" w:eastAsia="宋体" w:cs="宋体"/>
          <w:color w:val="auto"/>
          <w:sz w:val="24"/>
          <w:szCs w:val="24"/>
          <w:highlight w:val="none"/>
          <w:lang w:val="en-US" w:eastAsia="zh-CN"/>
        </w:rPr>
        <w:t>3.3 元器件要求</w:t>
      </w:r>
      <w:bookmarkEnd w:id="89"/>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（1）超声波换能器：使用寿命达到规定要求，使用期间阻抗值应稳定在±20%，单一元器件故障更换须不能影响测流箱的测量精度及稳定性。</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（2）超声波液位计：执行GB/T 11828规定，使用寿命达到规定要求，测量精度满足规定要求。</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（3）太阳能板：采用单晶板，符合GB 12632-90规定，光电转换率大于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en-US"/>
        </w:rPr>
        <w:t>%，10年期保证80%输出功率。</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（4）蓄电池：采用胶状铅酸蓄电池（带温度传感器）；其容量在连续阴雨或光照条件不好的条件下，满足设备正常运行时间≥7日。</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（5）闸门开度传感器：采用高精度绝对编码器（≥256位）。</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（6）驱动马达：12V或24VDC，产品质量符合JB/T 5276-2007 要求 。</w:t>
      </w:r>
    </w:p>
    <w:p>
      <w:pPr>
        <w:pStyle w:val="5"/>
        <w:spacing w:before="0" w:after="0" w:line="240" w:lineRule="auto"/>
        <w:rPr>
          <w:rFonts w:hint="eastAsia" w:ascii="宋体" w:hAnsi="宋体" w:eastAsia="宋体" w:cs="宋体"/>
          <w:color w:val="auto"/>
          <w:sz w:val="24"/>
          <w:szCs w:val="24"/>
          <w:highlight w:val="none"/>
          <w:lang w:val="en-US" w:eastAsia="zh-CN"/>
        </w:rPr>
      </w:pPr>
      <w:bookmarkStart w:id="90" w:name="_Toc525650842"/>
      <w:r>
        <w:rPr>
          <w:rFonts w:hint="eastAsia" w:ascii="宋体" w:hAnsi="宋体" w:eastAsia="宋体" w:cs="宋体"/>
          <w:color w:val="auto"/>
          <w:sz w:val="24"/>
          <w:szCs w:val="24"/>
          <w:highlight w:val="none"/>
          <w:lang w:val="en-US" w:eastAsia="zh-CN"/>
        </w:rPr>
        <w:t>3.4 智能控制终端要求</w:t>
      </w:r>
      <w:bookmarkEnd w:id="90"/>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（1）闸门智能测控终端主要由逻辑控制模块、输入输出模块、通讯模块、安全防护单元（含防雷）、电源管理单元以及其他附件组成（宜为芯片化结构），宜采用成熟的CPU和操作系统。</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（2）闸门智能测控终端采用Modbus等标准通信协议，执行《水资源监测数据传输规约（SZY206-2012）》规定的数据报文传输规约、数据传输报文及结构、通信方式和误码率、传感器与终端通信的接口和规约。</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（3）闸门智能测控终端应采用专门的安全措施及加密技术，采用国产安全芯片和专用国密算法SM1，保障数据传输的完整性、可靠性及安全性。</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（4）按照“硬件平台化、软件APP化”设计原则；采用开放式硬件平台，通过APP应用软件的方式，灵活升级、扩展终端业务功能，可满足定制化应用。</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（5）支持本地存储和SCADA远程控制两种存储方式，内置大容量存储器，可存储≥3年采集数据。</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（6）本地软件具备设备自诊断功能，能定时自动检测，及时进行故障诊断和预警，如自动增益控制、信号强度及接收率、信噪比等，并在使用说明书中给出各指标的正常范围。</w:t>
      </w:r>
    </w:p>
    <w:p>
      <w:pPr>
        <w:pStyle w:val="5"/>
        <w:spacing w:before="0" w:after="0" w:line="240" w:lineRule="auto"/>
        <w:outlineLvl w:val="2"/>
        <w:rPr>
          <w:rFonts w:hint="eastAsia" w:ascii="宋体" w:hAnsi="宋体" w:eastAsia="宋体" w:cs="宋体"/>
          <w:b/>
          <w:color w:val="auto"/>
          <w:sz w:val="24"/>
          <w:szCs w:val="24"/>
          <w:highlight w:val="none"/>
          <w:lang w:val="en-US" w:eastAsia="zh-CN"/>
        </w:rPr>
      </w:pPr>
      <w:bookmarkStart w:id="91" w:name="_Toc525650843"/>
      <w:r>
        <w:rPr>
          <w:rFonts w:hint="eastAsia" w:ascii="宋体" w:hAnsi="宋体" w:eastAsia="宋体" w:cs="宋体"/>
          <w:b/>
          <w:color w:val="auto"/>
          <w:sz w:val="24"/>
          <w:szCs w:val="24"/>
          <w:highlight w:val="none"/>
          <w:lang w:val="en-US" w:eastAsia="zh-CN"/>
        </w:rPr>
        <w:t>3.5 标志、包装、运输和贮存</w:t>
      </w:r>
      <w:bookmarkEnd w:id="91"/>
    </w:p>
    <w:p>
      <w:pPr>
        <w:spacing w:before="0" w:after="0" w:line="240" w:lineRule="auto"/>
        <w:outlineLvl w:val="9"/>
        <w:rPr>
          <w:rFonts w:hint="eastAsia" w:ascii="宋体" w:hAnsi="宋体" w:eastAsia="宋体" w:cs="宋体"/>
          <w:color w:val="auto"/>
          <w:sz w:val="24"/>
          <w:szCs w:val="24"/>
          <w:highlight w:val="none"/>
          <w:lang w:val="en-US" w:eastAsia="zh-CN"/>
        </w:rPr>
      </w:pPr>
      <w:bookmarkStart w:id="92" w:name="_Toc525650844"/>
      <w:r>
        <w:rPr>
          <w:rFonts w:hint="eastAsia" w:ascii="宋体" w:hAnsi="宋体" w:eastAsia="宋体" w:cs="宋体"/>
          <w:color w:val="auto"/>
          <w:sz w:val="24"/>
          <w:szCs w:val="24"/>
          <w:highlight w:val="none"/>
          <w:lang w:val="en-US" w:eastAsia="zh-CN"/>
        </w:rPr>
        <w:t>3.5.1 标志</w:t>
      </w:r>
      <w:bookmarkEnd w:id="92"/>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（1）产品标志应符合GB/T 12220的规定。</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（2）闸门标志应牢固清晰，至少应包括以下内容：</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a)制造厂商名称；</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b)产品名称、规格及型号；</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c)适用压力；</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d)制造编号和出厂日期；</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e)商标。</w:t>
      </w:r>
    </w:p>
    <w:p>
      <w:pPr>
        <w:spacing w:before="0" w:after="0" w:line="240" w:lineRule="auto"/>
        <w:outlineLvl w:val="9"/>
        <w:rPr>
          <w:rFonts w:hint="eastAsia" w:ascii="宋体" w:hAnsi="宋体" w:eastAsia="宋体" w:cs="宋体"/>
          <w:color w:val="auto"/>
          <w:sz w:val="24"/>
          <w:szCs w:val="24"/>
          <w:highlight w:val="none"/>
          <w:lang w:val="en-US" w:eastAsia="zh-CN"/>
        </w:rPr>
      </w:pPr>
      <w:bookmarkStart w:id="93" w:name="_Toc525650845"/>
      <w:r>
        <w:rPr>
          <w:rFonts w:hint="eastAsia" w:ascii="宋体" w:hAnsi="宋体" w:eastAsia="宋体" w:cs="宋体"/>
          <w:color w:val="auto"/>
          <w:sz w:val="24"/>
          <w:szCs w:val="24"/>
          <w:highlight w:val="none"/>
          <w:lang w:val="en-US" w:eastAsia="zh-CN"/>
        </w:rPr>
        <w:t>3.5.2 包装、运输和贮存</w:t>
      </w:r>
      <w:bookmarkEnd w:id="93"/>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（1）包装、运输标志应符合GB/T 191和GB/T 6388的规定。</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（2）包装外表面应至少标注以下内容：</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a)制造厂商；</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b)产品名称、规格及型号；</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c)包装外形尺寸；</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d)产品件数及重量；</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e)包装日期；</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f)注意事项（可用符号）；</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（3）包装件的外形尺寸和重量应满足运输要求。</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（4）闸门应配套发运，安放牢固，防止变形、碰撞和腐蚀。</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（5）不宜装箱的零部件，可用捆扎的包装形式。裸运的零部件，应做好局部包装保护。</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（6）包装内应至少包括下列资料：</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a)出厂合格证；</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b)零部件清单；</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c)符合GB/T 9969规定的产品使用说明书。</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（7）闸门产品应入库保存，不应挤压叠放，短时间露天存放时，应采取防晒、防雨措施。</w:t>
      </w:r>
    </w:p>
    <w:p>
      <w:pPr>
        <w:pStyle w:val="5"/>
        <w:spacing w:before="0" w:after="0" w:line="240" w:lineRule="auto"/>
        <w:rPr>
          <w:rFonts w:hint="eastAsia" w:ascii="宋体" w:hAnsi="宋体" w:eastAsia="宋体" w:cs="宋体"/>
          <w:color w:val="auto"/>
          <w:sz w:val="24"/>
          <w:szCs w:val="24"/>
          <w:highlight w:val="none"/>
          <w:lang w:val="en-US" w:eastAsia="zh-CN"/>
        </w:rPr>
      </w:pPr>
      <w:bookmarkStart w:id="94" w:name="_Toc525650846"/>
      <w:r>
        <w:rPr>
          <w:rFonts w:hint="eastAsia" w:ascii="宋体" w:hAnsi="宋体" w:eastAsia="宋体" w:cs="宋体"/>
          <w:color w:val="auto"/>
          <w:sz w:val="24"/>
          <w:szCs w:val="24"/>
          <w:highlight w:val="none"/>
          <w:lang w:val="en-US" w:eastAsia="zh-CN"/>
        </w:rPr>
        <w:t>3.6 安装及运行维护</w:t>
      </w:r>
      <w:bookmarkEnd w:id="94"/>
    </w:p>
    <w:p>
      <w:pPr>
        <w:spacing w:before="0" w:after="0" w:line="240" w:lineRule="auto"/>
        <w:outlineLvl w:val="9"/>
        <w:rPr>
          <w:rFonts w:hint="eastAsia" w:ascii="宋体" w:hAnsi="宋体" w:eastAsia="宋体" w:cs="宋体"/>
          <w:color w:val="auto"/>
          <w:sz w:val="24"/>
          <w:szCs w:val="24"/>
          <w:highlight w:val="none"/>
          <w:lang w:val="en-US" w:eastAsia="zh-CN"/>
        </w:rPr>
      </w:pPr>
      <w:bookmarkStart w:id="95" w:name="_Toc525650847"/>
      <w:r>
        <w:rPr>
          <w:rFonts w:hint="eastAsia" w:ascii="宋体" w:hAnsi="宋体" w:eastAsia="宋体" w:cs="宋体"/>
          <w:color w:val="auto"/>
          <w:sz w:val="24"/>
          <w:szCs w:val="24"/>
          <w:highlight w:val="none"/>
          <w:lang w:val="en-US" w:eastAsia="zh-CN"/>
        </w:rPr>
        <w:t>3.6.1 设备安装</w:t>
      </w:r>
      <w:bookmarkEnd w:id="95"/>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（1）闸门出厂前，厂家要对闸门进行合格检测，通过质量认证，满足各项技术要求及相关规范，要提供测流精度自检报告，配套提供硬件、软件产品使用说明书或技术手册。</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（2）在改造原手动控制闸门时，在满足测控一体化闸门安装要求的前提下，尽可能利用原有手动闸门的土建、设备。若原土建中进水八字翼墙非圆锥形，建议改造为圆锥形形式，以减少闸门淤积。</w:t>
      </w:r>
    </w:p>
    <w:p>
      <w:pPr>
        <w:spacing w:before="0" w:after="0" w:line="240" w:lineRule="auto"/>
        <w:outlineLvl w:val="9"/>
        <w:rPr>
          <w:rFonts w:hint="eastAsia" w:ascii="宋体" w:hAnsi="宋体" w:eastAsia="宋体" w:cs="宋体"/>
          <w:color w:val="auto"/>
          <w:sz w:val="24"/>
          <w:szCs w:val="24"/>
          <w:highlight w:val="none"/>
          <w:lang w:val="en-US" w:eastAsia="zh-CN"/>
        </w:rPr>
      </w:pPr>
      <w:bookmarkStart w:id="96" w:name="_Toc525650848"/>
      <w:r>
        <w:rPr>
          <w:rFonts w:hint="eastAsia" w:ascii="宋体" w:hAnsi="宋体" w:eastAsia="宋体" w:cs="宋体"/>
          <w:color w:val="auto"/>
          <w:sz w:val="24"/>
          <w:szCs w:val="24"/>
          <w:highlight w:val="none"/>
          <w:lang w:val="en-US" w:eastAsia="zh-CN"/>
        </w:rPr>
        <w:t>3.6.2 设备维护</w:t>
      </w:r>
      <w:bookmarkEnd w:id="96"/>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（1）设备部件易于维护及更换，密封件可更换。</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（2）设备的免费质保期过后，厂商须为设备提供长期优惠的技术服务，包括技术支持、硬件升级、软件升级、故障的快速响应及相关人员的技术咨询、备品备件供应等。</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3.6.3 设备检定</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（1）设备安装投入运行后应进行设备测量参数检定，在其投入使用后一个月内，需要建立起其初始状态的纪录。</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 设备试用期间应定期进行检定，厂家说明书应说明使用期间测量参数检定的方法及检定后流量的修正方法，指导运行管理单位进行定期检定，保证精度达到测量要求，并留有检定记录。</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 设备流量鉴定方法可参照JJG·1030- 2007《超声流量计》执行。</w:t>
      </w:r>
    </w:p>
    <w:p>
      <w:pPr>
        <w:pStyle w:val="5"/>
        <w:spacing w:before="0" w:after="0" w:line="240" w:lineRule="auto"/>
        <w:outlineLvl w:val="2"/>
        <w:rPr>
          <w:rFonts w:hint="eastAsia" w:ascii="宋体" w:hAnsi="宋体" w:eastAsia="宋体" w:cs="宋体"/>
          <w:color w:val="auto"/>
          <w:sz w:val="24"/>
          <w:szCs w:val="24"/>
          <w:highlight w:val="none"/>
          <w:lang w:val="en-US" w:eastAsia="zh-CN"/>
        </w:rPr>
      </w:pPr>
      <w:bookmarkStart w:id="97" w:name="_Toc525650849"/>
      <w:r>
        <w:rPr>
          <w:rFonts w:hint="eastAsia" w:ascii="宋体" w:hAnsi="宋体" w:eastAsia="宋体" w:cs="宋体"/>
          <w:color w:val="auto"/>
          <w:sz w:val="24"/>
          <w:szCs w:val="24"/>
          <w:highlight w:val="none"/>
          <w:lang w:val="en-US" w:eastAsia="zh-CN"/>
        </w:rPr>
        <w:t>3.7 其他要求</w:t>
      </w:r>
      <w:bookmarkEnd w:id="97"/>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（1）设备厂家要提供无专利纠纷的相关承诺，确保所生产的产品具有完全自主知识产权或合法知识产权。</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设备使用过程中的所有数据、信息所有权归使用单位和采购方所有；且一体化闸门信号及信息必须直接接入使用单位和采购方指定的场所和设备。设备厂家与使用单位须按照《保密法》的要求签订保密协议，在调试、运行及维护过程中要严格按照保密协议要求保障数据安全。</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3.7.1测控数据传输及管理</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（1）设备控制信号及测量数据以采用公共无线网络传输为主。设备通讯模块需具备单独升级改造功能。</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（2）测控设备需开放测控元器件通讯协议，全部测控功能及测量数据必须利用互联网接入现有灌区管理平台及软件，实现统一控制管理。</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3.7.2测量控制精度</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（1）控制精度：启闭速度（电动）≥1mm/s，启闭高度误差≤±5mm。必须提供电动和手动、现地控制和远程控制等多种控制方式。</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（2）流量测量：流量自动测量，通过采集流速和水位数据计算流量。首次安装或每年率定后测量精度≥95%以上。具有测量水量功能设备，每年要进行设备及测量精度校准。测量精度需由专业检测机构测定。</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（3）闸门自动控制和自动测量需建立关联性和统一性，设备需具备按流量控制、按闸门开启高度控制、按闸后水位控制、按启闭时间控制等控制功能。相关功能开启至实现时间≤0.5h。</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3.7.3动力设施设备</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（1）设备动力需具备交流或直流两种供电方式，具体供电方式根据设备安装现场电源情况确定。</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（2）现场 100 米范围内无交流电接入条件的必须采用“太阳能+蓄电池”的供电方案且供电能力需满足无光照条件正常使用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天以上。蓄电池使用寿命≥5年。</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3.7.4运行维护</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（1）厂家所提供的测控设备价格，应包含设备费、运维费、培训费及1年通讯费用、测量设施校准费用。</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（2）测控设备主体结构使用年限≥15 年，其他装置使用年限≥5年，质保期≥1年，同时设备生产厂商需提供 7×24 小时技术咨询服务。</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（3）因设备自身设计缺陷或产品质量问题产生的损失由设备生产商全部承担。在质保期内出现问题设备生产商免费维护或更换。</w:t>
      </w:r>
    </w:p>
    <w:p>
      <w:pPr>
        <w:spacing w:before="0" w:after="0"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3.7.5设备安全运行要求</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（1）设备要有完善可靠的运行安全保障方案，确保供电、通讯传输、控制、操作软件、运行数据等安全。</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（2）设备运行过程中产生的数据所有权归设备购买方和使用方，设备生产方不得以任何方式私自获取设备运行数据。</w:t>
      </w:r>
    </w:p>
    <w:p>
      <w:pPr>
        <w:spacing w:line="24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设备需具备故障自检、报警和故障记录功能，防止因供电设备故障、通讯传输、设备故障（无线公网出现掉网、断网等现象）、控制设备及软件出现故障而导致测控设备失灵失控或外力因素导致无法正常启闭或数据缺失，确保运行安全。</w:t>
      </w:r>
    </w:p>
    <w:p>
      <w:pPr>
        <w:ind w:firstLine="480"/>
        <w:rPr>
          <w:rFonts w:ascii="宋体" w:hAnsi="宋体" w:cs="宋体"/>
          <w:color w:val="auto"/>
          <w:highlight w:val="none"/>
        </w:rPr>
      </w:pPr>
      <w:r>
        <w:rPr>
          <w:rFonts w:hint="eastAsia" w:ascii="宋体" w:hAnsi="宋体" w:cs="宋体"/>
          <w:color w:val="auto"/>
          <w:highlight w:val="none"/>
          <w:lang w:val="en-US" w:eastAsia="zh-CN"/>
        </w:rPr>
        <w:t>注；1、</w:t>
      </w:r>
      <w:r>
        <w:rPr>
          <w:rFonts w:hint="eastAsia" w:ascii="宋体" w:hAnsi="宋体" w:cs="宋体"/>
          <w:color w:val="auto"/>
          <w:highlight w:val="none"/>
        </w:rPr>
        <w:t>各产品技术参数描述按要求提供检测报告等资料，未提供或缺少提供都将作为负偏离影响技术得分；投标供应商在投标文件中需真实描述投标产品实际响应情况（技术偏离表需准确注明满足情况或负偏离情况）</w:t>
      </w:r>
      <w:r>
        <w:rPr>
          <w:rFonts w:hint="eastAsia" w:ascii="宋体" w:hAnsi="宋体" w:cs="宋体"/>
          <w:color w:val="auto"/>
          <w:kern w:val="0"/>
          <w:highlight w:val="none"/>
          <w:lang w:bidi="ar"/>
        </w:rPr>
        <w:t>。</w:t>
      </w:r>
    </w:p>
    <w:p>
      <w:pPr>
        <w:pStyle w:val="24"/>
        <w:spacing w:after="0" w:line="360" w:lineRule="auto"/>
        <w:ind w:left="0" w:leftChars="0" w:firstLine="48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要求投标人充分理解项目需求，建议投标前进行实地勘察，切实为采购人提供优质的解决方案。</w:t>
      </w:r>
    </w:p>
    <w:p>
      <w:pPr>
        <w:pStyle w:val="3"/>
        <w:rPr>
          <w:rFonts w:hint="eastAsia"/>
          <w:lang w:val="en-US" w:eastAsia="zh-CN"/>
        </w:rPr>
      </w:pPr>
    </w:p>
    <w:p>
      <w:pPr>
        <w:spacing w:beforeLines="0" w:line="360"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、维护期限及维护期内要求</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1.提供所有硬件、软件等系统</w:t>
      </w:r>
      <w:r>
        <w:rPr>
          <w:rFonts w:hint="eastAsia" w:ascii="仿宋" w:hAnsi="仿宋" w:eastAsia="仿宋" w:cs="仿宋"/>
          <w:b/>
          <w:bCs/>
          <w:color w:val="auto"/>
          <w:sz w:val="24"/>
          <w:szCs w:val="24"/>
          <w:highlight w:val="none"/>
        </w:rPr>
        <w:t>2年免费原厂商质保</w:t>
      </w:r>
      <w:r>
        <w:rPr>
          <w:rFonts w:hint="eastAsia" w:ascii="仿宋" w:hAnsi="仿宋" w:eastAsia="仿宋" w:cs="仿宋"/>
          <w:color w:val="auto"/>
          <w:sz w:val="24"/>
          <w:szCs w:val="24"/>
          <w:highlight w:val="none"/>
        </w:rPr>
        <w:t>，质保期从该系统交付使用</w:t>
      </w:r>
      <w:r>
        <w:rPr>
          <w:rFonts w:hint="eastAsia" w:ascii="仿宋" w:hAnsi="仿宋" w:eastAsia="仿宋" w:cs="仿宋"/>
          <w:color w:val="auto"/>
          <w:sz w:val="24"/>
          <w:szCs w:val="24"/>
          <w:highlight w:val="none"/>
          <w:lang w:val="en-US" w:eastAsia="zh-CN"/>
        </w:rPr>
        <w:t>并验收合格</w:t>
      </w:r>
      <w:r>
        <w:rPr>
          <w:rFonts w:hint="eastAsia" w:ascii="仿宋" w:hAnsi="仿宋" w:eastAsia="仿宋" w:cs="仿宋"/>
          <w:color w:val="auto"/>
          <w:sz w:val="24"/>
          <w:szCs w:val="24"/>
          <w:highlight w:val="none"/>
        </w:rPr>
        <w:t>之日起开始计算。</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2.质保期内故障恢复时间：对故障在30分钟内响应，1小时以内到现场，4小时以内解决问题；不能当场修复的，必须采取提供备品、备件或备机等措施，8小时内保证系统投入正常使用。</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3.投标人提供充足的备品备件，满足日常维护需求。</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4.每个月对系统进行</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次巡检，并做好记录。</w:t>
      </w:r>
    </w:p>
    <w:p>
      <w:pPr>
        <w:spacing w:beforeLines="0" w:line="360"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五</w:t>
      </w:r>
      <w:r>
        <w:rPr>
          <w:rFonts w:hint="eastAsia" w:ascii="仿宋" w:hAnsi="仿宋" w:eastAsia="仿宋" w:cs="仿宋"/>
          <w:b/>
          <w:bCs/>
          <w:color w:val="auto"/>
          <w:kern w:val="44"/>
          <w:sz w:val="28"/>
          <w:szCs w:val="28"/>
          <w:highlight w:val="none"/>
        </w:rPr>
        <w:t>、其它技术要求</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2.施工审批由中标单位自行完成，采购单位根据情况配合。</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3.本系统产生的任何信息数据产权归采购人所有，不得擅自截留，作开发利用。</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4.中标单位必须遵守采购人保密制度，投入到本项目建设和维护人员必须确保系统和用户信息不泄露，否则中标单位承担相应责任。</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pacing w:beforeLines="0" w:line="360"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六</w:t>
      </w:r>
      <w:r>
        <w:rPr>
          <w:rFonts w:hint="eastAsia" w:ascii="仿宋" w:hAnsi="仿宋" w:eastAsia="仿宋" w:cs="仿宋"/>
          <w:b/>
          <w:bCs/>
          <w:color w:val="auto"/>
          <w:kern w:val="44"/>
          <w:sz w:val="28"/>
          <w:szCs w:val="28"/>
          <w:highlight w:val="none"/>
        </w:rPr>
        <w:t>、建设工期要求</w:t>
      </w:r>
    </w:p>
    <w:p>
      <w:pPr>
        <w:spacing w:beforeLines="0" w:line="48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合同签订生效后，</w:t>
      </w:r>
      <w:r>
        <w:rPr>
          <w:rFonts w:hint="eastAsia" w:ascii="仿宋" w:hAnsi="仿宋" w:eastAsia="仿宋" w:cs="仿宋"/>
          <w:color w:val="auto"/>
          <w:sz w:val="24"/>
          <w:szCs w:val="24"/>
          <w:highlight w:val="none"/>
          <w:lang w:eastAsia="zh-CN"/>
        </w:rPr>
        <w:t>180日历天</w:t>
      </w:r>
      <w:r>
        <w:rPr>
          <w:rFonts w:hint="eastAsia" w:ascii="仿宋" w:hAnsi="仿宋" w:eastAsia="仿宋" w:cs="仿宋"/>
          <w:color w:val="auto"/>
          <w:sz w:val="24"/>
          <w:szCs w:val="24"/>
          <w:highlight w:val="none"/>
        </w:rPr>
        <w:t>内完成所有设备的深化设计、供货、安装、调试工作（合同内容完成后，须配合土建工程施工、信息化工程数据上传等内容直至项目整体竣工）。</w:t>
      </w:r>
    </w:p>
    <w:p>
      <w:pPr>
        <w:spacing w:beforeLines="0" w:line="360"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七</w:t>
      </w:r>
      <w:r>
        <w:rPr>
          <w:rFonts w:hint="eastAsia" w:ascii="仿宋" w:hAnsi="仿宋" w:eastAsia="仿宋" w:cs="仿宋"/>
          <w:b/>
          <w:bCs/>
          <w:color w:val="auto"/>
          <w:kern w:val="44"/>
          <w:sz w:val="28"/>
          <w:szCs w:val="28"/>
          <w:highlight w:val="none"/>
        </w:rPr>
        <w:t>、质量保证</w:t>
      </w:r>
    </w:p>
    <w:p>
      <w:pPr>
        <w:spacing w:beforeLines="0" w:line="48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投标设备必须为原厂商符合国家技术规范和质量标准的合格产品，满足采购单位的使用需求，并具有可靠的售后服务体系，质量可靠、使用安全，不得使用任何非原装或拼装产品。针对本项目产品，若采购人需要供货方提供原厂授权证明并加盖原厂公章，供货方需无条件提供，否则视为不合格产品，不得用于本项目。</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2.投标人保证其提供的货物中所有预装和为本项目安装的软件均为具有合法版权或使用权的正版软件且无质量瑕疵；</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3.招标所有货物售后服务，投标人须承诺，质量保证期时间为设备到货验收后，系统设备提供免费保修服务。在维护期内，如遇软件产品升级、改版，应免费提供更新、升级服务。 </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4.若设备及软件等方面的配置或要求中出现不合理或不完整的问题时，投标方有责任和义务提出补充修改方案并征得用户的同意后付与实施。</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5.在维护期内，供应商有责任解决所提供的投标设备和软件系统的任何问题，在维护期满后，当需要时，供应商仍须对因投标设备本身的固有缺陷和瑕疵承担相应责任。</w:t>
      </w:r>
    </w:p>
    <w:p>
      <w:pPr>
        <w:spacing w:beforeLines="0" w:line="360"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八</w:t>
      </w:r>
      <w:r>
        <w:rPr>
          <w:rFonts w:hint="eastAsia" w:ascii="仿宋" w:hAnsi="仿宋" w:eastAsia="仿宋" w:cs="仿宋"/>
          <w:b/>
          <w:bCs/>
          <w:color w:val="auto"/>
          <w:kern w:val="44"/>
          <w:sz w:val="28"/>
          <w:szCs w:val="28"/>
          <w:highlight w:val="none"/>
        </w:rPr>
        <w:t>、培训</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（一）本项目人员培训主要针对管理和使用指挥系统的相关人员。一方面，通过建立专业化的</w:t>
      </w:r>
      <w:r>
        <w:rPr>
          <w:rFonts w:hint="eastAsia" w:ascii="仿宋" w:hAnsi="仿宋" w:eastAsia="仿宋" w:cs="仿宋"/>
          <w:color w:val="auto"/>
          <w:sz w:val="24"/>
          <w:szCs w:val="24"/>
          <w:highlight w:val="none"/>
          <w:lang w:val="en-US" w:eastAsia="zh-CN"/>
        </w:rPr>
        <w:t>闸门使用及系统</w:t>
      </w:r>
      <w:r>
        <w:rPr>
          <w:rFonts w:hint="eastAsia" w:ascii="仿宋" w:hAnsi="仿宋" w:eastAsia="仿宋" w:cs="仿宋"/>
          <w:color w:val="auto"/>
          <w:sz w:val="24"/>
          <w:szCs w:val="24"/>
          <w:highlight w:val="none"/>
        </w:rPr>
        <w:t>管理队伍，不仅对整个</w:t>
      </w:r>
      <w:r>
        <w:rPr>
          <w:rFonts w:hint="eastAsia" w:ascii="仿宋" w:hAnsi="仿宋" w:eastAsia="仿宋" w:cs="仿宋"/>
          <w:color w:val="auto"/>
          <w:sz w:val="24"/>
          <w:szCs w:val="24"/>
          <w:highlight w:val="none"/>
          <w:lang w:val="en-US" w:eastAsia="zh-CN"/>
        </w:rPr>
        <w:t>闸门使用及系统</w:t>
      </w:r>
      <w:r>
        <w:rPr>
          <w:rFonts w:hint="eastAsia" w:ascii="仿宋" w:hAnsi="仿宋" w:eastAsia="仿宋" w:cs="仿宋"/>
          <w:color w:val="auto"/>
          <w:sz w:val="24"/>
          <w:szCs w:val="24"/>
          <w:highlight w:val="none"/>
        </w:rPr>
        <w:t>有足够的认识，而且能完全胜任所承担的工作，确保整个</w:t>
      </w:r>
      <w:r>
        <w:rPr>
          <w:rFonts w:hint="eastAsia" w:ascii="仿宋" w:hAnsi="仿宋" w:eastAsia="仿宋" w:cs="仿宋"/>
          <w:color w:val="auto"/>
          <w:sz w:val="24"/>
          <w:szCs w:val="24"/>
          <w:highlight w:val="none"/>
          <w:lang w:val="en-US" w:eastAsia="zh-CN"/>
        </w:rPr>
        <w:t>闸门使用及系统</w:t>
      </w:r>
      <w:r>
        <w:rPr>
          <w:rFonts w:hint="eastAsia" w:ascii="仿宋" w:hAnsi="仿宋" w:eastAsia="仿宋" w:cs="仿宋"/>
          <w:color w:val="auto"/>
          <w:sz w:val="24"/>
          <w:szCs w:val="24"/>
          <w:highlight w:val="none"/>
        </w:rPr>
        <w:t>安全可靠地运行；另一方面，通过相关的技术培训让本项目所涉及的系统管理员、应用维护人员和最终用户在全面地了解整个系统的基础上，增强维护和使用系统技能，充分发挥整个软件、硬件性能，更有效地为运营指挥工作提供支撑。</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1.培训对象</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本项目的培训对象主要为各单位、部门使用人员。通过培训，能掌握</w:t>
      </w:r>
      <w:r>
        <w:rPr>
          <w:rFonts w:hint="eastAsia" w:ascii="仿宋" w:hAnsi="仿宋" w:eastAsia="仿宋" w:cs="仿宋"/>
          <w:color w:val="auto"/>
          <w:sz w:val="24"/>
          <w:szCs w:val="24"/>
          <w:highlight w:val="none"/>
          <w:lang w:val="en-US" w:eastAsia="zh-CN"/>
        </w:rPr>
        <w:t>闸门使用及系统</w:t>
      </w:r>
      <w:r>
        <w:rPr>
          <w:rFonts w:hint="eastAsia" w:ascii="仿宋" w:hAnsi="仿宋" w:eastAsia="仿宋" w:cs="仿宋"/>
          <w:color w:val="auto"/>
          <w:sz w:val="24"/>
          <w:szCs w:val="24"/>
          <w:highlight w:val="none"/>
        </w:rPr>
        <w:t>中日常工作所用系统各功能模块的使用。</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2.培训方式</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培训方式采用集中培训、现场培训、发放宣传材料等相结合的方式，针对不同层次的人员，开设不同的培训课程和确定培训方式。</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3.培训内容及计划</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培训的目的是为了使工作人员了解、掌握本系统所涉及的各种技术和设备，更有效和更全面地应用、管理系统。对于一般工作人员，应能灵活操作、使用本系统，对于系统管理人员和技术人员，要能够达到独立操作、分析、判断解决系统一般性问题。</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（二）各项培训的内容和目的如下：</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1.技术培训</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面向负责系统运行维护的相关技术人员，重点针对</w:t>
      </w:r>
      <w:r>
        <w:rPr>
          <w:rFonts w:hint="eastAsia" w:ascii="仿宋" w:hAnsi="仿宋" w:eastAsia="仿宋" w:cs="仿宋"/>
          <w:color w:val="auto"/>
          <w:sz w:val="24"/>
          <w:szCs w:val="24"/>
          <w:highlight w:val="none"/>
          <w:lang w:val="en-US" w:eastAsia="zh-CN"/>
        </w:rPr>
        <w:t>闸门操作</w:t>
      </w:r>
      <w:r>
        <w:rPr>
          <w:rFonts w:hint="eastAsia" w:ascii="仿宋" w:hAnsi="仿宋" w:eastAsia="仿宋" w:cs="仿宋"/>
          <w:color w:val="auto"/>
          <w:sz w:val="24"/>
          <w:szCs w:val="24"/>
          <w:highlight w:val="none"/>
        </w:rPr>
        <w:t>、数据库管理、系统安全及系统日常维护工作等进行培训。</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2.使用培训</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面向本项目的全体使用者，提供若干期“大课”的形式，配合培训教材，使其初步掌握系统的使用方法，在具体的工作中，还可以由各部门的“</w:t>
      </w:r>
      <w:r>
        <w:rPr>
          <w:rFonts w:hint="eastAsia" w:ascii="仿宋" w:hAnsi="仿宋" w:eastAsia="仿宋" w:cs="仿宋"/>
          <w:color w:val="auto"/>
          <w:sz w:val="24"/>
          <w:szCs w:val="24"/>
          <w:highlight w:val="none"/>
          <w:lang w:val="en-US" w:eastAsia="zh-CN"/>
        </w:rPr>
        <w:t>闸门及</w:t>
      </w:r>
      <w:r>
        <w:rPr>
          <w:rFonts w:hint="eastAsia" w:ascii="仿宋" w:hAnsi="仿宋" w:eastAsia="仿宋" w:cs="仿宋"/>
          <w:color w:val="auto"/>
          <w:sz w:val="24"/>
          <w:szCs w:val="24"/>
          <w:highlight w:val="none"/>
        </w:rPr>
        <w:t>系统管理员”言传身教，为其解决具体的操作问题。</w:t>
      </w:r>
    </w:p>
    <w:p>
      <w:pPr>
        <w:snapToGrid w:val="0"/>
        <w:spacing w:beforeLines="0" w:line="440" w:lineRule="exact"/>
        <w:ind w:firstLine="482" w:firstLineChars="20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、项目验收</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根据中华人民共和国现行技术标准，按招标文件以及合同规定的验收评定标准等规范，由招标人组织验收。</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①验收在材料、设备到齐时，由招标人组织人员对材料、设备等投标响应要求进行初次验收，经验收合格投标人方可实施；投标人必须按照招标要求及招标人的要求准备完整的验收材料。验收费用由投标人承担。</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最终验收在由招标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投标人向招标人提供施工过程中形成的图纸（含接口图及控制功能界面截图佐证和网络接线接口明细图）、记录、档案资料、产品说明书、原厂家安装手册、技术文件资料、安装、验收报告等原件文档汇集成册（含电子版一套），并按招标人的档案管理要求完成资料归档工作，报送招标单位留存。</w:t>
      </w:r>
    </w:p>
    <w:p>
      <w:pPr>
        <w:spacing w:beforeLines="0" w:line="48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kern w:val="0"/>
          <w:sz w:val="24"/>
          <w:szCs w:val="24"/>
          <w:highlight w:val="none"/>
        </w:rPr>
        <w:t>付款方式</w:t>
      </w:r>
      <w:r>
        <w:rPr>
          <w:rFonts w:hint="eastAsia" w:ascii="仿宋" w:hAnsi="仿宋" w:eastAsia="仿宋" w:cs="仿宋"/>
          <w:b/>
          <w:bCs/>
          <w:color w:val="auto"/>
          <w:kern w:val="0"/>
          <w:sz w:val="24"/>
          <w:szCs w:val="24"/>
          <w:highlight w:val="none"/>
          <w:lang w:val="en-US" w:eastAsia="zh-CN"/>
        </w:rPr>
        <w:t>:</w:t>
      </w:r>
    </w:p>
    <w:tbl>
      <w:tblPr>
        <w:tblStyle w:val="2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518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履约保证金</w:t>
            </w:r>
          </w:p>
        </w:tc>
        <w:tc>
          <w:tcPr>
            <w:tcW w:w="5189" w:type="dxa"/>
            <w:noWrap w:val="0"/>
            <w:vAlign w:val="center"/>
          </w:tcPr>
          <w:p>
            <w:pPr>
              <w:keepNext w:val="0"/>
              <w:keepLines w:val="0"/>
              <w:suppressLineNumbers w:val="0"/>
              <w:spacing w:before="161" w:beforeAutospacing="0" w:after="0" w:afterAutospacing="0" w:line="360" w:lineRule="auto"/>
              <w:ind w:left="0" w:leftChars="0" w:right="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个工作日内乙方向甲方支付合同总额</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%的履约保证金（形式为：转账或银行保函形式）；甲方不提供支付担保金。</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60" w:type="dxa"/>
            <w:gridSpan w:val="3"/>
            <w:noWrap w:val="0"/>
            <w:vAlign w:val="center"/>
          </w:tcPr>
          <w:p>
            <w:pPr>
              <w:keepNext w:val="0"/>
              <w:keepLines w:val="0"/>
              <w:suppressLineNumbers w:val="0"/>
              <w:spacing w:before="161" w:beforeAutospacing="0" w:after="0" w:afterAutospacing="0" w:line="360"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自合同生效之日以及具备实施条件后7个工作日内，乙方缴纳预付款保函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无条件保函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后支付合同价的40%。</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ascii="仿宋_GB2312" w:hAnsi="仿宋_GB2312" w:eastAsia="仿宋_GB2312" w:cs="仿宋_GB2312"/>
                <w:color w:val="auto"/>
                <w:szCs w:val="20"/>
                <w:highlight w:val="none"/>
              </w:rPr>
            </w:pPr>
            <w:r>
              <w:rPr>
                <w:rFonts w:hint="eastAsia" w:ascii="仿宋_GB2312" w:hAnsi="仿宋_GB2312" w:eastAsia="仿宋_GB2312" w:cs="仿宋_GB2312"/>
                <w:color w:val="auto"/>
                <w:sz w:val="24"/>
                <w:szCs w:val="24"/>
                <w:highlight w:val="none"/>
              </w:rPr>
              <w:t>货物全部到达现场并验收合格后</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个工作日内支付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合同价的</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设备安装调试完成，并经验收合格后的15个工作日内支付，支付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合同总价的</w:t>
            </w:r>
            <w:r>
              <w:rPr>
                <w:rFonts w:hint="eastAsia" w:ascii="仿宋_GB2312" w:hAnsi="仿宋_GB2312" w:eastAsia="仿宋_GB2312" w:cs="仿宋_GB2312"/>
                <w:color w:val="auto"/>
                <w:sz w:val="24"/>
                <w:szCs w:val="24"/>
                <w:highlight w:val="none"/>
                <w:lang w:val="en-US" w:eastAsia="zh-CN"/>
              </w:rPr>
              <w:t>85</w:t>
            </w:r>
            <w:r>
              <w:rPr>
                <w:rFonts w:hint="eastAsia" w:ascii="仿宋_GB2312" w:hAnsi="仿宋_GB2312" w:eastAsia="仿宋_GB2312" w:cs="仿宋_GB2312"/>
                <w:color w:val="auto"/>
                <w:sz w:val="24"/>
                <w:szCs w:val="24"/>
                <w:highlight w:val="none"/>
              </w:rPr>
              <w:t>%。支付依据：验收证明。</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 w:hAnsi="仿宋" w:eastAsia="仿宋" w:cs="仿宋"/>
                <w:color w:val="auto"/>
                <w:sz w:val="24"/>
                <w:szCs w:val="24"/>
                <w:highlight w:val="none"/>
                <w:lang w:val="en-US" w:eastAsia="zh-CN"/>
              </w:rPr>
              <w:t>该系统投入使用并运行六个月</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经甲方确认后</w:t>
            </w:r>
            <w:r>
              <w:rPr>
                <w:rFonts w:hint="eastAsia" w:ascii="仿宋_GB2312" w:hAnsi="仿宋_GB2312" w:eastAsia="仿宋_GB2312" w:cs="仿宋_GB2312"/>
                <w:color w:val="auto"/>
                <w:sz w:val="24"/>
                <w:szCs w:val="24"/>
                <w:highlight w:val="none"/>
              </w:rPr>
              <w:t>十五个工作日内向乙方支付至已完成实物量价款的</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支付至已完成实物量价款的</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p>
        </w:tc>
      </w:tr>
    </w:tbl>
    <w:p>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pPr>
        <w:pStyle w:val="3"/>
        <w:spacing w:after="120"/>
        <w:rPr>
          <w:color w:val="auto"/>
          <w:highlight w:val="none"/>
        </w:rPr>
      </w:pPr>
      <w:r>
        <w:rPr>
          <w:rFonts w:hint="eastAsia"/>
          <w:color w:val="auto"/>
          <w:highlight w:val="none"/>
        </w:rPr>
        <w:t>第四部分 评审方法及标准</w:t>
      </w:r>
      <w:bookmarkEnd w:id="41"/>
    </w:p>
    <w:p>
      <w:pPr>
        <w:pStyle w:val="24"/>
        <w:ind w:left="0" w:leftChars="0" w:firstLine="0" w:firstLineChars="0"/>
        <w:jc w:val="center"/>
        <w:outlineLvl w:val="1"/>
        <w:rPr>
          <w:color w:val="auto"/>
          <w:highlight w:val="none"/>
        </w:rPr>
      </w:pPr>
      <w:bookmarkStart w:id="98" w:name="_Toc19778"/>
      <w:r>
        <w:rPr>
          <w:rFonts w:hint="eastAsia" w:asciiTheme="minorEastAsia" w:hAnsiTheme="minorEastAsia" w:eastAsiaTheme="minorEastAsia" w:cstheme="minorEastAsia"/>
          <w:b/>
          <w:color w:val="auto"/>
          <w:sz w:val="30"/>
          <w:szCs w:val="30"/>
          <w:highlight w:val="none"/>
        </w:rPr>
        <w:t>评标办法前附表</w:t>
      </w:r>
      <w:bookmarkEnd w:id="98"/>
    </w:p>
    <w:tbl>
      <w:tblPr>
        <w:tblStyle w:val="26"/>
        <w:tblW w:w="10198"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59"/>
        <w:gridCol w:w="7513"/>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序号</w:t>
            </w:r>
          </w:p>
        </w:tc>
        <w:tc>
          <w:tcPr>
            <w:tcW w:w="1559"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评分项目</w:t>
            </w:r>
          </w:p>
        </w:tc>
        <w:tc>
          <w:tcPr>
            <w:tcW w:w="7513" w:type="dxa"/>
            <w:noWrap w:val="0"/>
            <w:vAlign w:val="center"/>
          </w:tcPr>
          <w:p>
            <w:pPr>
              <w:keepNext w:val="0"/>
              <w:keepLines w:val="0"/>
              <w:widowControl/>
              <w:suppressLineNumbers w:val="0"/>
              <w:spacing w:before="161" w:beforeAutospacing="0" w:after="0" w:afterAutospacing="0" w:line="360" w:lineRule="auto"/>
              <w:ind w:left="0" w:right="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color w:val="auto"/>
                <w:sz w:val="24"/>
                <w:szCs w:val="24"/>
                <w:highlight w:val="none"/>
                <w:lang w:bidi="ar"/>
              </w:rPr>
              <w:t>评分</w:t>
            </w:r>
            <w:r>
              <w:rPr>
                <w:rFonts w:hint="eastAsia" w:ascii="宋体" w:hAnsi="宋体" w:cs="宋体"/>
                <w:b/>
                <w:color w:val="auto"/>
                <w:sz w:val="24"/>
                <w:szCs w:val="24"/>
                <w:highlight w:val="none"/>
                <w:lang w:val="en-US" w:eastAsia="zh-CN" w:bidi="ar"/>
              </w:rPr>
              <w:t>要点及说明</w:t>
            </w:r>
          </w:p>
        </w:tc>
        <w:tc>
          <w:tcPr>
            <w:tcW w:w="502"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both"/>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4" w:type="dxa"/>
            <w:vMerge w:val="restart"/>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559" w:type="dxa"/>
            <w:vMerge w:val="restart"/>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企业实力（9）</w:t>
            </w:r>
          </w:p>
        </w:tc>
        <w:tc>
          <w:tcPr>
            <w:tcW w:w="7513" w:type="dxa"/>
            <w:noWrap w:val="0"/>
            <w:vAlign w:val="center"/>
          </w:tcPr>
          <w:p>
            <w:pPr>
              <w:keepNext w:val="0"/>
              <w:keepLines w:val="0"/>
              <w:widowControl/>
              <w:numPr>
                <w:ilvl w:val="0"/>
                <w:numId w:val="0"/>
              </w:numPr>
              <w:suppressLineNumbers w:val="0"/>
              <w:spacing w:before="0" w:beforeLines="0" w:beforeAutospacing="0" w:after="0" w:afterAutospacing="0" w:line="360" w:lineRule="auto"/>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具有ISO9001质量管理体系认证、ISO14001环境管理体系认证、ISO45001职业健康安全管理体系认证，每提供1个得1分</w:t>
            </w:r>
            <w:r>
              <w:rPr>
                <w:rFonts w:hint="eastAsia" w:ascii="仿宋" w:hAnsi="仿宋" w:eastAsia="仿宋" w:cs="仿宋"/>
                <w:color w:val="auto"/>
                <w:sz w:val="24"/>
                <w:szCs w:val="24"/>
                <w:highlight w:val="none"/>
                <w:lang w:eastAsia="zh-CN"/>
              </w:rPr>
              <w:t>，本项最高得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w:t>
            </w:r>
          </w:p>
          <w:p>
            <w:pPr>
              <w:keepNext w:val="0"/>
              <w:keepLines w:val="0"/>
              <w:widowControl/>
              <w:numPr>
                <w:ilvl w:val="0"/>
                <w:numId w:val="0"/>
              </w:numPr>
              <w:suppressLineNumbers w:val="0"/>
              <w:spacing w:before="0" w:beforeLines="0" w:beforeAutospacing="0" w:after="0" w:afterAutospacing="0" w:line="360" w:lineRule="auto"/>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val="en-US" w:eastAsia="zh-CN"/>
              </w:rPr>
              <w:t>有效期内的</w:t>
            </w:r>
            <w:r>
              <w:rPr>
                <w:rFonts w:hint="eastAsia" w:ascii="仿宋" w:hAnsi="仿宋" w:eastAsia="仿宋" w:cs="仿宋"/>
                <w:color w:val="auto"/>
                <w:sz w:val="24"/>
                <w:szCs w:val="24"/>
                <w:highlight w:val="none"/>
              </w:rPr>
              <w:t>证书</w:t>
            </w:r>
            <w:r>
              <w:rPr>
                <w:rFonts w:hint="eastAsia" w:ascii="仿宋" w:hAnsi="仿宋" w:eastAsia="仿宋" w:cs="仿宋"/>
                <w:color w:val="auto"/>
                <w:kern w:val="0"/>
                <w:sz w:val="24"/>
                <w:szCs w:val="24"/>
                <w:highlight w:val="none"/>
              </w:rPr>
              <w:t>复印件并加盖公章</w:t>
            </w:r>
            <w:r>
              <w:rPr>
                <w:rFonts w:hint="eastAsia" w:ascii="仿宋" w:hAnsi="仿宋" w:eastAsia="仿宋" w:cs="仿宋"/>
                <w:color w:val="auto"/>
                <w:sz w:val="24"/>
                <w:szCs w:val="24"/>
                <w:highlight w:val="none"/>
              </w:rPr>
              <w:t>及官网http://www.cnca.gov.cn/查询截图，</w:t>
            </w: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4" w:type="dxa"/>
            <w:vMerge w:val="continue"/>
            <w:noWrap w:val="0"/>
            <w:vAlign w:val="center"/>
          </w:tcPr>
          <w:p>
            <w:pPr>
              <w:keepNext w:val="0"/>
              <w:keepLines w:val="0"/>
              <w:widowControl/>
              <w:suppressLineNumbers w:val="0"/>
              <w:spacing w:before="161" w:beforeAutospacing="0" w:after="0" w:afterAutospacing="0" w:line="360" w:lineRule="auto"/>
              <w:ind w:left="0" w:right="0"/>
              <w:jc w:val="center"/>
              <w:textAlignment w:val="center"/>
              <w:rPr>
                <w:rFonts w:hint="eastAsia" w:ascii="宋体" w:hAnsi="宋体" w:cs="宋体"/>
                <w:color w:val="auto"/>
                <w:kern w:val="0"/>
                <w:sz w:val="24"/>
                <w:szCs w:val="24"/>
                <w:highlight w:val="none"/>
                <w:lang w:val="en-US" w:eastAsia="zh-CN" w:bidi="ar"/>
              </w:rPr>
            </w:pPr>
          </w:p>
        </w:tc>
        <w:tc>
          <w:tcPr>
            <w:tcW w:w="1559" w:type="dxa"/>
            <w:vMerge w:val="continue"/>
            <w:noWrap w:val="0"/>
            <w:vAlign w:val="center"/>
          </w:tcPr>
          <w:p>
            <w:pPr>
              <w:keepNext w:val="0"/>
              <w:keepLines w:val="0"/>
              <w:suppressLineNumbers w:val="0"/>
              <w:spacing w:before="0" w:beforeLines="0" w:beforeAutospacing="0" w:after="0" w:afterAutospacing="0" w:line="360" w:lineRule="auto"/>
              <w:ind w:left="0" w:right="0"/>
              <w:jc w:val="center"/>
              <w:rPr>
                <w:rFonts w:hint="eastAsia" w:ascii="仿宋_GB2312" w:hAnsi="仿宋" w:eastAsia="仿宋_GB2312" w:cs="Times New Roman"/>
                <w:color w:val="auto"/>
                <w:sz w:val="24"/>
                <w:szCs w:val="24"/>
                <w:highlight w:val="none"/>
                <w:lang w:val="en-US" w:eastAsia="zh-CN"/>
              </w:rPr>
            </w:pPr>
          </w:p>
        </w:tc>
        <w:tc>
          <w:tcPr>
            <w:tcW w:w="7513" w:type="dxa"/>
            <w:noWrap w:val="0"/>
            <w:vAlign w:val="center"/>
          </w:tcPr>
          <w:p>
            <w:pPr>
              <w:keepNext w:val="0"/>
              <w:keepLines w:val="0"/>
              <w:widowControl/>
              <w:numPr>
                <w:ilvl w:val="0"/>
                <w:numId w:val="0"/>
              </w:numPr>
              <w:suppressLineNumbers w:val="0"/>
              <w:spacing w:before="0" w:beforeLines="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Hans"/>
              </w:rPr>
              <w:t>投标人</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第三方检测机构出具的</w:t>
            </w:r>
            <w:r>
              <w:rPr>
                <w:rFonts w:hint="eastAsia" w:ascii="仿宋" w:hAnsi="仿宋" w:eastAsia="仿宋" w:cs="仿宋"/>
                <w:color w:val="auto"/>
                <w:sz w:val="24"/>
                <w:szCs w:val="24"/>
                <w:highlight w:val="none"/>
                <w:lang w:eastAsia="zh-CN"/>
              </w:rPr>
              <w:t>关于闸门的检测报告</w:t>
            </w:r>
            <w:r>
              <w:rPr>
                <w:rFonts w:hint="eastAsia" w:ascii="仿宋" w:hAnsi="仿宋" w:eastAsia="仿宋" w:cs="仿宋"/>
                <w:color w:val="auto"/>
                <w:sz w:val="24"/>
                <w:szCs w:val="24"/>
                <w:highlight w:val="none"/>
                <w:lang w:val="en-US" w:eastAsia="zh-CN"/>
              </w:rPr>
              <w:t>的得2分。</w:t>
            </w:r>
          </w:p>
          <w:p>
            <w:pPr>
              <w:keepNext w:val="0"/>
              <w:keepLines w:val="0"/>
              <w:widowControl/>
              <w:numPr>
                <w:ilvl w:val="0"/>
                <w:numId w:val="0"/>
              </w:numPr>
              <w:suppressLineNumbers w:val="0"/>
              <w:spacing w:before="0" w:beforeLines="0" w:beforeAutospacing="0" w:after="0" w:afterAutospacing="0" w:line="360" w:lineRule="auto"/>
              <w:ind w:left="0" w:right="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Hans"/>
              </w:rPr>
              <w:t>投标人</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第三方检测机构出具的</w:t>
            </w:r>
            <w:r>
              <w:rPr>
                <w:rFonts w:hint="eastAsia" w:ascii="仿宋" w:hAnsi="仿宋" w:eastAsia="仿宋" w:cs="仿宋"/>
                <w:color w:val="auto"/>
                <w:sz w:val="24"/>
                <w:szCs w:val="24"/>
                <w:highlight w:val="none"/>
                <w:lang w:eastAsia="zh-CN"/>
              </w:rPr>
              <w:t>关于</w:t>
            </w:r>
            <w:r>
              <w:rPr>
                <w:rFonts w:hint="eastAsia" w:ascii="仿宋" w:hAnsi="仿宋" w:eastAsia="仿宋" w:cs="仿宋"/>
                <w:color w:val="auto"/>
                <w:sz w:val="24"/>
                <w:szCs w:val="24"/>
                <w:highlight w:val="none"/>
                <w:lang w:val="en-US" w:eastAsia="zh-CN"/>
              </w:rPr>
              <w:t>启闭机</w:t>
            </w:r>
            <w:r>
              <w:rPr>
                <w:rFonts w:hint="eastAsia" w:ascii="仿宋" w:hAnsi="仿宋" w:eastAsia="仿宋" w:cs="仿宋"/>
                <w:color w:val="auto"/>
                <w:sz w:val="24"/>
                <w:szCs w:val="24"/>
                <w:highlight w:val="none"/>
                <w:lang w:eastAsia="zh-CN"/>
              </w:rPr>
              <w:t>的检测报告</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lang w:eastAsia="zh-CN"/>
              </w:rPr>
              <w:t>。</w:t>
            </w:r>
          </w:p>
          <w:p>
            <w:pPr>
              <w:keepNext w:val="0"/>
              <w:keepLines w:val="0"/>
              <w:widowControl/>
              <w:numPr>
                <w:ilvl w:val="0"/>
                <w:numId w:val="0"/>
              </w:numPr>
              <w:suppressLineNumbers w:val="0"/>
              <w:spacing w:before="0" w:beforeLines="0" w:beforeAutospacing="0" w:after="0" w:afterAutospacing="0" w:line="360" w:lineRule="auto"/>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须提供有效期内的</w:t>
            </w:r>
            <w:r>
              <w:rPr>
                <w:rFonts w:hint="eastAsia" w:ascii="仿宋" w:hAnsi="仿宋" w:eastAsia="仿宋" w:cs="仿宋"/>
                <w:color w:val="auto"/>
                <w:sz w:val="24"/>
                <w:szCs w:val="24"/>
                <w:highlight w:val="none"/>
                <w:lang w:val="en-US" w:eastAsia="zh-CN"/>
              </w:rPr>
              <w:t>检测报告</w:t>
            </w:r>
            <w:r>
              <w:rPr>
                <w:rFonts w:hint="eastAsia" w:ascii="仿宋" w:hAnsi="仿宋" w:eastAsia="仿宋" w:cs="仿宋"/>
                <w:color w:val="auto"/>
                <w:kern w:val="0"/>
                <w:sz w:val="24"/>
                <w:szCs w:val="24"/>
                <w:highlight w:val="none"/>
              </w:rPr>
              <w:t>复印件并加盖公章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未提供不得分。</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4" w:type="dxa"/>
            <w:vMerge w:val="continue"/>
            <w:noWrap w:val="0"/>
            <w:vAlign w:val="center"/>
          </w:tcPr>
          <w:p>
            <w:pPr>
              <w:keepNext w:val="0"/>
              <w:keepLines w:val="0"/>
              <w:widowControl/>
              <w:suppressLineNumbers w:val="0"/>
              <w:spacing w:before="161" w:beforeAutospacing="0" w:after="0" w:afterAutospacing="0" w:line="360" w:lineRule="auto"/>
              <w:ind w:left="0" w:right="0"/>
              <w:jc w:val="center"/>
              <w:textAlignment w:val="center"/>
              <w:rPr>
                <w:rFonts w:hint="eastAsia" w:ascii="宋体" w:hAnsi="宋体" w:cs="宋体"/>
                <w:color w:val="auto"/>
                <w:kern w:val="0"/>
                <w:sz w:val="24"/>
                <w:szCs w:val="24"/>
                <w:highlight w:val="none"/>
                <w:lang w:val="en-US" w:eastAsia="zh-CN" w:bidi="ar"/>
              </w:rPr>
            </w:pPr>
          </w:p>
        </w:tc>
        <w:tc>
          <w:tcPr>
            <w:tcW w:w="1559" w:type="dxa"/>
            <w:vMerge w:val="continue"/>
            <w:noWrap w:val="0"/>
            <w:vAlign w:val="center"/>
          </w:tcPr>
          <w:p>
            <w:pPr>
              <w:keepNext w:val="0"/>
              <w:keepLines w:val="0"/>
              <w:suppressLineNumbers w:val="0"/>
              <w:spacing w:before="0" w:beforeLines="0" w:beforeAutospacing="0" w:after="0" w:afterAutospacing="0" w:line="360" w:lineRule="auto"/>
              <w:ind w:left="0" w:right="0"/>
              <w:jc w:val="center"/>
              <w:rPr>
                <w:rFonts w:hint="eastAsia" w:ascii="仿宋_GB2312" w:hAnsi="仿宋" w:eastAsia="仿宋_GB2312" w:cs="Times New Roman"/>
                <w:color w:val="auto"/>
                <w:sz w:val="24"/>
                <w:szCs w:val="24"/>
                <w:highlight w:val="none"/>
                <w:lang w:val="en-US" w:eastAsia="zh-CN"/>
              </w:rPr>
            </w:pPr>
          </w:p>
        </w:tc>
        <w:tc>
          <w:tcPr>
            <w:tcW w:w="7513" w:type="dxa"/>
            <w:noWrap w:val="0"/>
            <w:vAlign w:val="center"/>
          </w:tcPr>
          <w:p>
            <w:pPr>
              <w:keepNext w:val="0"/>
              <w:keepLines w:val="0"/>
              <w:widowControl/>
              <w:numPr>
                <w:ilvl w:val="0"/>
                <w:numId w:val="0"/>
              </w:numPr>
              <w:suppressLineNumbers w:val="0"/>
              <w:spacing w:before="0" w:beforeLines="0" w:beforeAutospacing="0" w:after="0" w:afterAutospacing="0" w:line="360" w:lineRule="auto"/>
              <w:ind w:right="0" w:rightChars="0"/>
              <w:jc w:val="left"/>
              <w:rPr>
                <w:rFonts w:hint="default"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Hans"/>
              </w:rPr>
              <w:t>投标人提供</w:t>
            </w:r>
            <w:r>
              <w:rPr>
                <w:rFonts w:hint="eastAsia" w:ascii="仿宋" w:hAnsi="仿宋" w:eastAsia="仿宋" w:cs="仿宋"/>
                <w:color w:val="auto"/>
                <w:sz w:val="24"/>
                <w:szCs w:val="24"/>
                <w:highlight w:val="none"/>
                <w:lang w:val="en-US" w:eastAsia="zh-CN"/>
              </w:rPr>
              <w:t>投标产品中的</w:t>
            </w:r>
            <w:r>
              <w:rPr>
                <w:rFonts w:hint="eastAsia" w:ascii="仿宋" w:hAnsi="仿宋" w:eastAsia="仿宋" w:cs="仿宋"/>
                <w:color w:val="auto"/>
                <w:sz w:val="24"/>
                <w:szCs w:val="24"/>
                <w:highlight w:val="none"/>
                <w:lang w:eastAsia="zh-CN"/>
              </w:rPr>
              <w:t>闸门</w:t>
            </w:r>
            <w:r>
              <w:rPr>
                <w:rFonts w:hint="eastAsia" w:ascii="仿宋" w:hAnsi="仿宋" w:eastAsia="仿宋" w:cs="仿宋"/>
                <w:color w:val="auto"/>
                <w:sz w:val="24"/>
                <w:szCs w:val="24"/>
                <w:highlight w:val="none"/>
                <w:lang w:val="en-US" w:eastAsia="zh-CN"/>
              </w:rPr>
              <w:t>设备</w:t>
            </w:r>
            <w:r>
              <w:rPr>
                <w:rFonts w:hint="default" w:ascii="仿宋" w:hAnsi="仿宋" w:eastAsia="仿宋" w:cs="仿宋"/>
                <w:color w:val="auto"/>
                <w:sz w:val="24"/>
                <w:szCs w:val="24"/>
                <w:highlight w:val="none"/>
                <w:lang w:eastAsia="zh-Hans"/>
              </w:rPr>
              <w:t>相关专利技术，实用型专利每项得0.</w:t>
            </w:r>
            <w:r>
              <w:rPr>
                <w:rFonts w:hint="eastAsia" w:ascii="仿宋" w:hAnsi="仿宋" w:eastAsia="仿宋" w:cs="仿宋"/>
                <w:color w:val="auto"/>
                <w:sz w:val="24"/>
                <w:szCs w:val="24"/>
                <w:highlight w:val="none"/>
                <w:lang w:val="en-US" w:eastAsia="zh-CN"/>
              </w:rPr>
              <w:t>25</w:t>
            </w:r>
            <w:r>
              <w:rPr>
                <w:rFonts w:hint="default" w:ascii="仿宋" w:hAnsi="仿宋" w:eastAsia="仿宋" w:cs="仿宋"/>
                <w:color w:val="auto"/>
                <w:sz w:val="24"/>
                <w:szCs w:val="24"/>
                <w:highlight w:val="none"/>
                <w:lang w:eastAsia="zh-Hans"/>
              </w:rPr>
              <w:t>分，发明型专利每项得</w:t>
            </w:r>
            <w:r>
              <w:rPr>
                <w:rFonts w:hint="eastAsia"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eastAsia="zh-Hans"/>
              </w:rPr>
              <w:t>最高得</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Hans"/>
              </w:rPr>
              <w:t>分，</w:t>
            </w:r>
            <w:r>
              <w:rPr>
                <w:rFonts w:hint="eastAsia" w:ascii="仿宋" w:hAnsi="仿宋" w:eastAsia="仿宋" w:cs="仿宋"/>
                <w:color w:val="auto"/>
                <w:kern w:val="0"/>
                <w:sz w:val="24"/>
                <w:szCs w:val="24"/>
                <w:highlight w:val="none"/>
                <w:lang w:val="en-US" w:eastAsia="zh-CN"/>
              </w:rPr>
              <w:t>未提供不得分</w:t>
            </w:r>
            <w:r>
              <w:rPr>
                <w:rFonts w:hint="default" w:ascii="仿宋" w:hAnsi="仿宋" w:eastAsia="仿宋" w:cs="仿宋"/>
                <w:color w:val="auto"/>
                <w:sz w:val="24"/>
                <w:szCs w:val="24"/>
                <w:highlight w:val="none"/>
                <w:lang w:eastAsia="zh-Hans"/>
              </w:rPr>
              <w:t>。</w:t>
            </w:r>
          </w:p>
          <w:p>
            <w:pPr>
              <w:keepNext w:val="0"/>
              <w:keepLines w:val="0"/>
              <w:widowControl/>
              <w:numPr>
                <w:ilvl w:val="0"/>
                <w:numId w:val="0"/>
              </w:numPr>
              <w:suppressLineNumbers w:val="0"/>
              <w:spacing w:before="0" w:beforeLines="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default" w:ascii="仿宋" w:hAnsi="仿宋" w:eastAsia="仿宋" w:cs="仿宋"/>
                <w:color w:val="auto"/>
                <w:sz w:val="24"/>
                <w:szCs w:val="24"/>
                <w:highlight w:val="none"/>
                <w:lang w:eastAsia="zh-Hans"/>
              </w:rPr>
              <w:t>提供</w:t>
            </w:r>
            <w:r>
              <w:rPr>
                <w:rFonts w:hint="eastAsia" w:ascii="仿宋" w:hAnsi="仿宋" w:eastAsia="仿宋" w:cs="仿宋"/>
                <w:color w:val="auto"/>
                <w:sz w:val="24"/>
                <w:szCs w:val="24"/>
                <w:highlight w:val="none"/>
                <w:lang w:val="en-US" w:eastAsia="zh-CN"/>
              </w:rPr>
              <w:t>投标产品中</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启闭机</w:t>
            </w:r>
            <w:r>
              <w:rPr>
                <w:rFonts w:hint="eastAsia" w:ascii="仿宋" w:hAnsi="仿宋" w:eastAsia="仿宋" w:cs="仿宋"/>
                <w:color w:val="auto"/>
                <w:sz w:val="24"/>
                <w:szCs w:val="24"/>
                <w:highlight w:val="none"/>
                <w:lang w:eastAsia="zh-CN"/>
              </w:rPr>
              <w:t>设备相关专利技术，实用型专利每项得0.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分，发明型专利每项得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p>
            <w:pPr>
              <w:keepNext w:val="0"/>
              <w:keepLines w:val="0"/>
              <w:widowControl/>
              <w:numPr>
                <w:ilvl w:val="0"/>
                <w:numId w:val="0"/>
              </w:numPr>
              <w:suppressLineNumbers w:val="0"/>
              <w:spacing w:before="0" w:beforeLines="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须提供</w:t>
            </w:r>
            <w:r>
              <w:rPr>
                <w:rFonts w:hint="eastAsia" w:ascii="仿宋" w:hAnsi="仿宋" w:eastAsia="仿宋" w:cs="仿宋"/>
                <w:color w:val="auto"/>
                <w:sz w:val="24"/>
                <w:szCs w:val="24"/>
                <w:highlight w:val="none"/>
                <w:lang w:val="en-US" w:eastAsia="zh-CN"/>
              </w:rPr>
              <w:t>有效期内的专利证书</w:t>
            </w:r>
            <w:r>
              <w:rPr>
                <w:rFonts w:hint="eastAsia" w:ascii="仿宋" w:hAnsi="仿宋" w:eastAsia="仿宋" w:cs="仿宋"/>
                <w:color w:val="auto"/>
                <w:sz w:val="24"/>
                <w:szCs w:val="24"/>
                <w:highlight w:val="none"/>
                <w:lang w:eastAsia="zh-CN"/>
              </w:rPr>
              <w:t>复印件并加盖公章，</w:t>
            </w:r>
            <w:r>
              <w:rPr>
                <w:rFonts w:hint="eastAsia" w:ascii="仿宋" w:hAnsi="仿宋" w:eastAsia="仿宋" w:cs="仿宋"/>
                <w:color w:val="auto"/>
                <w:sz w:val="24"/>
                <w:szCs w:val="24"/>
                <w:highlight w:val="none"/>
                <w:lang w:val="en-US" w:eastAsia="zh-CN"/>
              </w:rPr>
              <w:t>未提供不得分。</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4" w:type="dxa"/>
            <w:vMerge w:val="continue"/>
            <w:noWrap w:val="0"/>
            <w:vAlign w:val="center"/>
          </w:tcPr>
          <w:p>
            <w:pPr>
              <w:keepNext w:val="0"/>
              <w:keepLines w:val="0"/>
              <w:suppressLineNumbers w:val="0"/>
              <w:spacing w:before="0" w:beforeLines="0" w:beforeAutospacing="0" w:after="0" w:afterAutospacing="0" w:line="360" w:lineRule="auto"/>
              <w:ind w:left="0" w:right="0"/>
              <w:jc w:val="center"/>
              <w:rPr>
                <w:color w:val="auto"/>
                <w:szCs w:val="20"/>
                <w:highlight w:val="none"/>
              </w:rPr>
            </w:pPr>
          </w:p>
        </w:tc>
        <w:tc>
          <w:tcPr>
            <w:tcW w:w="1559" w:type="dxa"/>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eastAsia="等线"/>
                <w:color w:val="auto"/>
                <w:szCs w:val="20"/>
                <w:highlight w:val="none"/>
                <w:lang w:eastAsia="zh-CN"/>
              </w:rPr>
            </w:pPr>
            <w:r>
              <w:rPr>
                <w:rFonts w:hint="eastAsia" w:ascii="仿宋_GB2312" w:hAnsi="仿宋" w:eastAsia="仿宋_GB2312" w:cs="Times New Roman"/>
                <w:color w:val="auto"/>
                <w:sz w:val="24"/>
                <w:szCs w:val="24"/>
                <w:highlight w:val="none"/>
              </w:rPr>
              <w:t>业绩</w:t>
            </w:r>
            <w:r>
              <w:rPr>
                <w:rFonts w:hint="eastAsia" w:ascii="仿宋_GB2312" w:hAnsi="仿宋" w:eastAsia="仿宋_GB2312" w:cs="Times New Roman"/>
                <w:color w:val="auto"/>
                <w:sz w:val="24"/>
                <w:szCs w:val="24"/>
                <w:highlight w:val="none"/>
                <w:lang w:eastAsia="zh-CN"/>
              </w:rPr>
              <w:t>（</w:t>
            </w:r>
            <w:r>
              <w:rPr>
                <w:rFonts w:hint="eastAsia" w:ascii="仿宋_GB2312" w:hAnsi="仿宋" w:eastAsia="仿宋_GB2312" w:cs="Times New Roman"/>
                <w:color w:val="auto"/>
                <w:sz w:val="24"/>
                <w:szCs w:val="24"/>
                <w:highlight w:val="none"/>
                <w:lang w:val="en-US" w:eastAsia="zh-CN"/>
              </w:rPr>
              <w:t>3分</w:t>
            </w:r>
            <w:r>
              <w:rPr>
                <w:rFonts w:hint="eastAsia" w:ascii="仿宋_GB2312" w:hAnsi="仿宋" w:eastAsia="仿宋_GB2312" w:cs="Times New Roman"/>
                <w:color w:val="auto"/>
                <w:sz w:val="24"/>
                <w:szCs w:val="24"/>
                <w:highlight w:val="none"/>
                <w:lang w:eastAsia="zh-CN"/>
              </w:rPr>
              <w:t>）</w:t>
            </w:r>
          </w:p>
        </w:tc>
        <w:tc>
          <w:tcPr>
            <w:tcW w:w="7513" w:type="dxa"/>
            <w:noWrap w:val="0"/>
            <w:vAlign w:val="center"/>
          </w:tcPr>
          <w:p>
            <w:pPr>
              <w:keepNext w:val="0"/>
              <w:keepLines w:val="0"/>
              <w:widowControl/>
              <w:numPr>
                <w:ilvl w:val="0"/>
                <w:numId w:val="0"/>
              </w:numPr>
              <w:suppressLineNumbers w:val="0"/>
              <w:spacing w:before="0" w:beforeLines="0" w:beforeAutospacing="0" w:after="0" w:afterAutospacing="0" w:line="360" w:lineRule="auto"/>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eastAsia="zh-CN"/>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年1月1日（</w:t>
            </w:r>
            <w:r>
              <w:rPr>
                <w:rFonts w:hint="eastAsia" w:ascii="仿宋" w:hAnsi="仿宋" w:eastAsia="仿宋" w:cs="仿宋"/>
                <w:color w:val="auto"/>
                <w:sz w:val="24"/>
                <w:szCs w:val="24"/>
                <w:highlight w:val="none"/>
                <w:lang w:val="en-US" w:eastAsia="zh-CN"/>
              </w:rPr>
              <w:t>以合同签订时间为准</w:t>
            </w:r>
            <w:r>
              <w:rPr>
                <w:rFonts w:hint="eastAsia" w:ascii="仿宋" w:hAnsi="仿宋" w:eastAsia="仿宋" w:cs="仿宋"/>
                <w:color w:val="auto"/>
                <w:sz w:val="24"/>
                <w:szCs w:val="24"/>
                <w:highlight w:val="none"/>
                <w:lang w:eastAsia="zh-CN"/>
              </w:rPr>
              <w:t>）至投标截止日具有</w:t>
            </w:r>
            <w:r>
              <w:rPr>
                <w:rFonts w:hint="eastAsia" w:ascii="仿宋" w:hAnsi="仿宋" w:eastAsia="仿宋" w:cs="仿宋"/>
                <w:color w:val="auto"/>
                <w:sz w:val="24"/>
                <w:szCs w:val="24"/>
                <w:highlight w:val="none"/>
                <w:lang w:val="en-US" w:eastAsia="zh-CN"/>
              </w:rPr>
              <w:t>传统闸门或启闭机相关</w:t>
            </w: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，每提供一个业绩得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分，本项最高得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p>
          <w:p>
            <w:pPr>
              <w:keepNext w:val="0"/>
              <w:keepLines w:val="0"/>
              <w:widowControl/>
              <w:numPr>
                <w:ilvl w:val="0"/>
                <w:numId w:val="0"/>
              </w:numPr>
              <w:suppressLineNumbers w:val="0"/>
              <w:spacing w:before="0" w:beforeLines="0" w:beforeAutospacing="0" w:after="0" w:afterAutospacing="0" w:line="360" w:lineRule="auto"/>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eastAsia="zh-CN"/>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年1月1日至投标截止日具有测控一体化</w:t>
            </w:r>
            <w:r>
              <w:rPr>
                <w:rFonts w:hint="eastAsia" w:ascii="仿宋" w:hAnsi="仿宋" w:eastAsia="仿宋" w:cs="仿宋"/>
                <w:color w:val="auto"/>
                <w:sz w:val="24"/>
                <w:szCs w:val="24"/>
                <w:highlight w:val="none"/>
                <w:lang w:val="en-US" w:eastAsia="zh-CN"/>
              </w:rPr>
              <w:t>闸门（一体化智能测控闸门、远程智能一体化闸门、水利智能一体化闸门）相关</w:t>
            </w: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，每提供一个业绩得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分，本项最高得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p>
          <w:p>
            <w:pPr>
              <w:keepNext w:val="0"/>
              <w:keepLines w:val="0"/>
              <w:widowControl/>
              <w:numPr>
                <w:ilvl w:val="0"/>
                <w:numId w:val="0"/>
              </w:numPr>
              <w:suppressLineNumbers w:val="0"/>
              <w:spacing w:before="0" w:beforeLines="0" w:beforeAutospacing="0" w:after="0" w:afterAutospacing="0" w:line="360" w:lineRule="auto"/>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eastAsia="zh-CN"/>
              </w:rPr>
              <w:t>证明材料：同时提供合同和验收报告，</w:t>
            </w: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1559" w:type="dxa"/>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ascii="仿宋_GB2312" w:hAnsi="仿宋" w:eastAsia="仿宋_GB2312" w:cs="Times New Roman"/>
                <w:color w:val="auto"/>
                <w:sz w:val="24"/>
                <w:szCs w:val="24"/>
                <w:highlight w:val="none"/>
                <w:lang w:eastAsia="zh-CN"/>
              </w:rPr>
            </w:pPr>
            <w:r>
              <w:rPr>
                <w:rFonts w:hint="eastAsia" w:ascii="仿宋_GB2312" w:hAnsi="仿宋" w:eastAsia="仿宋_GB2312" w:cs="Times New Roman"/>
                <w:color w:val="auto"/>
                <w:sz w:val="24"/>
                <w:szCs w:val="24"/>
                <w:highlight w:val="none"/>
              </w:rPr>
              <w:t>投标产品的性能指标响应情况</w:t>
            </w:r>
            <w:r>
              <w:rPr>
                <w:rFonts w:hint="eastAsia" w:ascii="仿宋_GB2312" w:hAnsi="仿宋" w:eastAsia="仿宋_GB2312" w:cs="Times New Roman"/>
                <w:color w:val="auto"/>
                <w:sz w:val="24"/>
                <w:szCs w:val="24"/>
                <w:highlight w:val="none"/>
                <w:lang w:eastAsia="zh-CN"/>
              </w:rPr>
              <w:t>（</w:t>
            </w:r>
            <w:r>
              <w:rPr>
                <w:rFonts w:hint="eastAsia" w:ascii="仿宋_GB2312" w:hAnsi="仿宋" w:eastAsia="仿宋_GB2312" w:cs="Times New Roman"/>
                <w:color w:val="auto"/>
                <w:sz w:val="24"/>
                <w:szCs w:val="24"/>
                <w:highlight w:val="none"/>
                <w:lang w:val="en-US" w:eastAsia="zh-CN"/>
              </w:rPr>
              <w:t>18</w:t>
            </w:r>
            <w:r>
              <w:rPr>
                <w:rFonts w:hint="eastAsia" w:ascii="仿宋_GB2312" w:hAnsi="仿宋" w:eastAsia="仿宋_GB2312" w:cs="Times New Roman"/>
                <w:color w:val="auto"/>
                <w:sz w:val="24"/>
                <w:szCs w:val="24"/>
                <w:highlight w:val="none"/>
                <w:lang w:eastAsia="zh-CN"/>
              </w:rPr>
              <w:t>）</w:t>
            </w:r>
          </w:p>
        </w:tc>
        <w:tc>
          <w:tcPr>
            <w:tcW w:w="7513" w:type="dxa"/>
            <w:noWrap w:val="0"/>
            <w:vAlign w:val="top"/>
          </w:tcPr>
          <w:p>
            <w:pPr>
              <w:keepNext w:val="0"/>
              <w:keepLines w:val="0"/>
              <w:suppressLineNumbers w:val="0"/>
              <w:spacing w:before="0" w:beforeLines="0" w:beforeAutospacing="0" w:after="0" w:afterAutospacing="0" w:line="360" w:lineRule="auto"/>
              <w:ind w:left="0" w:leftChars="0" w:right="0" w:firstLine="0" w:firstLineChars="0"/>
              <w:rPr>
                <w:rFonts w:hint="default"/>
                <w:color w:val="auto"/>
                <w:szCs w:val="20"/>
                <w:highlight w:val="none"/>
                <w:lang w:val="en-US" w:eastAsia="zh-CN"/>
              </w:rPr>
            </w:pPr>
            <w:r>
              <w:rPr>
                <w:rFonts w:hint="eastAsia" w:ascii="仿宋_GB2312" w:hAnsi="仿宋" w:eastAsia="仿宋_GB2312" w:cs="Times New Roman"/>
                <w:color w:val="auto"/>
                <w:sz w:val="24"/>
                <w:szCs w:val="24"/>
                <w:highlight w:val="none"/>
                <w:lang w:val="en-US" w:eastAsia="zh-CN"/>
              </w:rPr>
              <w:t>完全满足招标文件货物清单各项产品技术指标参数要求的得18分；每有一项负偏离扣1分（非★的参数），扣完为止。每有一项负偏离扣2分（★的参数），扣完为止。</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1559" w:type="dxa"/>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深化技术方案及合理性建议（9分）</w:t>
            </w:r>
          </w:p>
        </w:tc>
        <w:tc>
          <w:tcPr>
            <w:tcW w:w="7513" w:type="dxa"/>
            <w:noWrap w:val="0"/>
            <w:vAlign w:val="top"/>
          </w:tcPr>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结合各站点的现场踏勘情况及投标产品，提供现场照片、符合现场实际与投标产品（0-3分），图纸与现场实际的契合程度（0-3分），合理性建议的可靠程度（0-3分）等，最高得9分。</w:t>
            </w:r>
          </w:p>
        </w:tc>
        <w:tc>
          <w:tcPr>
            <w:tcW w:w="502" w:type="dxa"/>
            <w:noWrap w:val="0"/>
            <w:vAlign w:val="center"/>
          </w:tcPr>
          <w:p>
            <w:pPr>
              <w:keepNext w:val="0"/>
              <w:keepLines w:val="0"/>
              <w:suppressLineNumbers w:val="0"/>
              <w:spacing w:before="0" w:beforeLines="0" w:beforeAutospacing="0" w:after="0" w:afterAutospacing="0" w:line="360" w:lineRule="auto"/>
              <w:ind w:left="0" w:right="0"/>
              <w:jc w:val="center"/>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559" w:type="dxa"/>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项目实施方案（9分）</w:t>
            </w:r>
          </w:p>
        </w:tc>
        <w:tc>
          <w:tcPr>
            <w:tcW w:w="7513" w:type="dxa"/>
            <w:noWrap w:val="0"/>
            <w:vAlign w:val="top"/>
          </w:tcPr>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针对本项目：</w:t>
            </w:r>
          </w:p>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1进度计划及保障措施，进度计划是否满足项目要求，保障措施有力、可行等情况；（0-3分）</w:t>
            </w:r>
          </w:p>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2质量目标及保证措施，进度</w:t>
            </w:r>
            <w:r>
              <w:rPr>
                <w:rFonts w:hint="eastAsia" w:ascii="仿宋_GB2312" w:hAnsi="仿宋" w:eastAsia="仿宋_GB2312" w:cs="Times New Roman"/>
                <w:color w:val="auto"/>
                <w:sz w:val="24"/>
                <w:szCs w:val="24"/>
                <w:highlight w:val="none"/>
              </w:rPr>
              <w:t>保证体系</w:t>
            </w:r>
            <w:r>
              <w:rPr>
                <w:rFonts w:hint="eastAsia" w:ascii="仿宋_GB2312" w:hAnsi="仿宋" w:eastAsia="仿宋_GB2312" w:cs="Times New Roman"/>
                <w:color w:val="auto"/>
                <w:sz w:val="24"/>
                <w:szCs w:val="24"/>
                <w:highlight w:val="none"/>
                <w:lang w:eastAsia="zh-CN"/>
              </w:rPr>
              <w:t>，</w:t>
            </w:r>
            <w:r>
              <w:rPr>
                <w:rFonts w:hint="eastAsia" w:ascii="仿宋_GB2312" w:hAnsi="仿宋" w:eastAsia="仿宋_GB2312" w:cs="Times New Roman"/>
                <w:color w:val="auto"/>
                <w:sz w:val="24"/>
                <w:szCs w:val="24"/>
                <w:highlight w:val="none"/>
                <w:lang w:val="en-US" w:eastAsia="zh-CN"/>
              </w:rPr>
              <w:t>质量目标是否符合要求，保证措施有力、可行等情况；（0-3分）</w:t>
            </w:r>
          </w:p>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3安装（0-1分）、调试（0-1分）、验收（0-1分）方案，是否详细、可行、操作性强等情况；</w:t>
            </w:r>
          </w:p>
        </w:tc>
        <w:tc>
          <w:tcPr>
            <w:tcW w:w="502" w:type="dxa"/>
            <w:noWrap w:val="0"/>
            <w:vAlign w:val="center"/>
          </w:tcPr>
          <w:p>
            <w:pPr>
              <w:keepNext w:val="0"/>
              <w:keepLines w:val="0"/>
              <w:suppressLineNumbers w:val="0"/>
              <w:spacing w:before="0" w:beforeLines="0" w:beforeAutospacing="0" w:after="0" w:afterAutospacing="0" w:line="360" w:lineRule="auto"/>
              <w:ind w:left="0" w:right="0"/>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559" w:type="dxa"/>
            <w:noWrap w:val="0"/>
            <w:vAlign w:val="center"/>
          </w:tcPr>
          <w:p>
            <w:pPr>
              <w:keepNext w:val="0"/>
              <w:keepLines w:val="0"/>
              <w:suppressLineNumbers w:val="0"/>
              <w:spacing w:before="0" w:beforeLines="0" w:beforeAutospacing="0" w:after="0" w:afterAutospacing="0" w:line="360" w:lineRule="auto"/>
              <w:ind w:left="0" w:leftChars="0" w:right="0" w:firstLine="0" w:firstLineChars="0"/>
              <w:jc w:val="center"/>
              <w:rPr>
                <w:rFonts w:hint="eastAsia" w:ascii="仿宋_GB2312" w:hAnsi="仿宋" w:eastAsia="仿宋_GB2312" w:cs="Times New Roman"/>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防腐措施  </w:t>
            </w:r>
            <w:r>
              <w:rPr>
                <w:rFonts w:hint="eastAsia" w:ascii="仿宋_GB2312" w:hAnsi="仿宋" w:eastAsia="仿宋_GB2312" w:cs="Times New Roman"/>
                <w:color w:val="auto"/>
                <w:kern w:val="2"/>
                <w:sz w:val="24"/>
                <w:szCs w:val="24"/>
                <w:highlight w:val="none"/>
                <w:lang w:val="en-US" w:eastAsia="zh-CN" w:bidi="ar-SA"/>
              </w:rPr>
              <w:t>（4分）</w:t>
            </w:r>
          </w:p>
        </w:tc>
        <w:tc>
          <w:tcPr>
            <w:tcW w:w="7513" w:type="dxa"/>
            <w:noWrap w:val="0"/>
            <w:vAlign w:val="top"/>
          </w:tcPr>
          <w:p>
            <w:pPr>
              <w:keepNext w:val="0"/>
              <w:keepLines w:val="0"/>
              <w:suppressLineNumbers w:val="0"/>
              <w:bidi w:val="0"/>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1、投标人投标产品的防腐工艺措施</w:t>
            </w:r>
            <w:r>
              <w:rPr>
                <w:rFonts w:hint="eastAsia" w:ascii="仿宋" w:hAnsi="仿宋" w:eastAsia="仿宋" w:cs="仿宋"/>
                <w:color w:val="auto"/>
                <w:sz w:val="24"/>
                <w:szCs w:val="24"/>
                <w:highlight w:val="none"/>
                <w:lang w:eastAsia="zh-CN"/>
              </w:rPr>
              <w:t>；</w:t>
            </w:r>
            <w:r>
              <w:rPr>
                <w:rFonts w:hint="eastAsia" w:ascii="仿宋_GB2312" w:hAnsi="仿宋" w:eastAsia="仿宋_GB2312" w:cs="Times New Roman"/>
                <w:color w:val="auto"/>
                <w:sz w:val="24"/>
                <w:szCs w:val="24"/>
                <w:highlight w:val="none"/>
                <w:lang w:val="en-US" w:eastAsia="zh-CN"/>
              </w:rPr>
              <w:t>（0-2分）</w:t>
            </w:r>
          </w:p>
          <w:p>
            <w:pPr>
              <w:keepNext w:val="0"/>
              <w:keepLines w:val="0"/>
              <w:suppressLineNumbers w:val="0"/>
              <w:bidi w:val="0"/>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2、具有专业防腐场地及设备得1分，提供相应场地设备图片及设备购买发票或租赁协议等材料；</w:t>
            </w:r>
          </w:p>
          <w:p>
            <w:pPr>
              <w:keepNext w:val="0"/>
              <w:keepLines w:val="0"/>
              <w:suppressLineNumbers w:val="0"/>
              <w:spacing w:before="0" w:beforeLines="0" w:beforeAutospacing="0" w:after="0" w:afterAutospacing="0" w:line="360" w:lineRule="auto"/>
              <w:ind w:left="0" w:leftChars="0" w:right="0" w:firstLine="0" w:firstLineChars="0"/>
              <w:rPr>
                <w:rFonts w:hint="eastAsia" w:ascii="仿宋_GB2312" w:hAnsi="仿宋" w:eastAsia="仿宋_GB2312" w:cs="Times New Roman"/>
                <w:color w:val="auto"/>
                <w:sz w:val="24"/>
                <w:szCs w:val="24"/>
                <w:highlight w:val="none"/>
              </w:rPr>
            </w:pPr>
            <w:r>
              <w:rPr>
                <w:rFonts w:hint="eastAsia" w:ascii="仿宋" w:hAnsi="仿宋" w:eastAsia="仿宋" w:cs="仿宋"/>
                <w:color w:val="auto"/>
                <w:sz w:val="24"/>
                <w:szCs w:val="24"/>
                <w:highlight w:val="none"/>
                <w:lang w:val="en-US" w:eastAsia="zh-CN"/>
              </w:rPr>
              <w:t>3、具有有效期内的</w:t>
            </w:r>
            <w:r>
              <w:rPr>
                <w:rFonts w:hint="eastAsia" w:ascii="仿宋" w:hAnsi="仿宋" w:eastAsia="仿宋" w:cs="仿宋"/>
                <w:color w:val="auto"/>
                <w:sz w:val="24"/>
                <w:szCs w:val="24"/>
                <w:highlight w:val="none"/>
              </w:rPr>
              <w:t>水工金属结构防腐蚀专业证书得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提供投标人或投标厂家的证书复印件并加盖投标人公章，</w:t>
            </w: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1559" w:type="dxa"/>
            <w:noWrap w:val="0"/>
            <w:vAlign w:val="center"/>
          </w:tcPr>
          <w:p>
            <w:pPr>
              <w:pStyle w:val="82"/>
              <w:keepNext w:val="0"/>
              <w:keepLines w:val="0"/>
              <w:suppressLineNumbers w:val="0"/>
              <w:spacing w:before="161" w:beforeAutospacing="0" w:after="0" w:afterAutospacing="0" w:line="360" w:lineRule="auto"/>
              <w:ind w:left="0" w:leftChars="0" w:right="0" w:firstLine="0" w:firstLineChars="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培训（2分）</w:t>
            </w:r>
          </w:p>
        </w:tc>
        <w:tc>
          <w:tcPr>
            <w:tcW w:w="7513" w:type="dxa"/>
            <w:noWrap w:val="0"/>
            <w:vAlign w:val="center"/>
          </w:tcPr>
          <w:p>
            <w:pPr>
              <w:pStyle w:val="82"/>
              <w:keepNext w:val="0"/>
              <w:keepLines w:val="0"/>
              <w:suppressLineNumbers w:val="0"/>
              <w:spacing w:before="161"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根据采购需求中培训要求提供培训方案及承诺</w:t>
            </w:r>
            <w:r>
              <w:rPr>
                <w:rFonts w:hint="eastAsia" w:ascii="仿宋" w:hAnsi="仿宋" w:eastAsia="仿宋" w:cs="仿宋"/>
                <w:color w:val="auto"/>
                <w:sz w:val="24"/>
                <w:szCs w:val="24"/>
                <w:highlight w:val="none"/>
                <w:lang w:val="en-US" w:eastAsia="zh-CN"/>
              </w:rPr>
              <w:t>。（0-2分）</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1559" w:type="dxa"/>
            <w:noWrap w:val="0"/>
            <w:vAlign w:val="center"/>
          </w:tcPr>
          <w:p>
            <w:pPr>
              <w:pStyle w:val="82"/>
              <w:keepNext w:val="0"/>
              <w:keepLines w:val="0"/>
              <w:suppressLineNumbers w:val="0"/>
              <w:spacing w:before="161" w:beforeAutospacing="0" w:after="0" w:afterAutospacing="0" w:line="360" w:lineRule="auto"/>
              <w:ind w:left="0" w:leftChars="0" w:right="0" w:firstLine="0" w:firstLineChars="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应急预案</w:t>
            </w:r>
          </w:p>
          <w:p>
            <w:pPr>
              <w:pStyle w:val="82"/>
              <w:keepNext w:val="0"/>
              <w:keepLines w:val="0"/>
              <w:suppressLineNumbers w:val="0"/>
              <w:spacing w:before="161" w:beforeAutospacing="0" w:after="0" w:afterAutospacing="0" w:line="360" w:lineRule="auto"/>
              <w:ind w:left="0" w:leftChars="0" w:right="0" w:firstLine="0" w:firstLineChars="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（3分）</w:t>
            </w:r>
          </w:p>
        </w:tc>
        <w:tc>
          <w:tcPr>
            <w:tcW w:w="7513" w:type="dxa"/>
            <w:noWrap w:val="0"/>
            <w:vAlign w:val="center"/>
          </w:tcPr>
          <w:p>
            <w:pPr>
              <w:pStyle w:val="82"/>
              <w:keepNext w:val="0"/>
              <w:keepLines w:val="0"/>
              <w:suppressLineNumbers w:val="0"/>
              <w:spacing w:before="161"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施工过程中的应急预案分析、应对措施和承诺。(0-3分）</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8</w:t>
            </w:r>
          </w:p>
        </w:tc>
        <w:tc>
          <w:tcPr>
            <w:tcW w:w="1559" w:type="dxa"/>
            <w:noWrap w:val="0"/>
            <w:vAlign w:val="center"/>
          </w:tcPr>
          <w:p>
            <w:pPr>
              <w:keepNext w:val="0"/>
              <w:keepLines w:val="0"/>
              <w:suppressLineNumbers w:val="0"/>
              <w:spacing w:before="161" w:beforeAutospacing="0" w:after="0" w:afterAutospacing="0" w:line="360" w:lineRule="auto"/>
              <w:ind w:left="0" w:leftChars="0" w:right="0" w:firstLine="0" w:firstLineChars="0"/>
              <w:jc w:val="center"/>
              <w:textAlignment w:val="center"/>
              <w:rPr>
                <w:rStyle w:val="73"/>
                <w:rFonts w:hint="eastAsia" w:ascii="仿宋" w:hAnsi="仿宋" w:eastAsia="仿宋" w:cs="仿宋"/>
                <w:color w:val="auto"/>
                <w:sz w:val="24"/>
                <w:szCs w:val="24"/>
                <w:highlight w:val="none"/>
              </w:rPr>
            </w:pPr>
            <w:r>
              <w:rPr>
                <w:rStyle w:val="73"/>
                <w:rFonts w:hint="eastAsia" w:ascii="仿宋" w:hAnsi="仿宋" w:eastAsia="仿宋" w:cs="仿宋"/>
                <w:color w:val="auto"/>
                <w:sz w:val="24"/>
                <w:szCs w:val="24"/>
                <w:highlight w:val="none"/>
              </w:rPr>
              <w:t>售后服务</w:t>
            </w:r>
          </w:p>
          <w:p>
            <w:pPr>
              <w:keepNext w:val="0"/>
              <w:keepLines w:val="0"/>
              <w:suppressLineNumbers w:val="0"/>
              <w:spacing w:before="161" w:beforeAutospacing="0" w:after="0" w:afterAutospacing="0" w:line="360" w:lineRule="auto"/>
              <w:ind w:left="0" w:leftChars="0" w:right="0" w:firstLine="0" w:firstLine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(11分）</w:t>
            </w:r>
          </w:p>
        </w:tc>
        <w:tc>
          <w:tcPr>
            <w:tcW w:w="7513" w:type="dxa"/>
            <w:noWrap w:val="0"/>
            <w:vAlign w:val="center"/>
          </w:tcPr>
          <w:p>
            <w:pPr>
              <w:pStyle w:val="82"/>
              <w:keepNext w:val="0"/>
              <w:keepLines w:val="0"/>
              <w:suppressLineNumbers w:val="0"/>
              <w:spacing w:before="161" w:beforeAutospacing="0" w:after="0" w:afterAutospacing="0" w:line="360" w:lineRule="auto"/>
              <w:ind w:left="0" w:leftChars="0" w:right="0" w:firstLine="0" w:firstLineChars="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1、质保期：在满足招标文件要求的基础上（2年），每增加1年加</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分，最高加</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分，提供承诺书并加盖公章。</w:t>
            </w:r>
            <w:r>
              <w:rPr>
                <w:rFonts w:hint="eastAsia" w:ascii="仿宋" w:hAnsi="仿宋" w:eastAsia="仿宋" w:cs="仿宋"/>
                <w:color w:val="auto"/>
                <w:kern w:val="0"/>
                <w:sz w:val="24"/>
                <w:szCs w:val="24"/>
                <w:highlight w:val="none"/>
                <w:lang w:val="en-US" w:eastAsia="zh-CN"/>
              </w:rPr>
              <w:t>未提供</w:t>
            </w:r>
            <w:r>
              <w:rPr>
                <w:rFonts w:hint="eastAsia" w:ascii="仿宋" w:hAnsi="仿宋" w:eastAsia="仿宋" w:cs="仿宋"/>
                <w:b w:val="0"/>
                <w:bCs/>
                <w:color w:val="auto"/>
                <w:sz w:val="24"/>
                <w:szCs w:val="24"/>
                <w:highlight w:val="none"/>
              </w:rPr>
              <w:t>承诺的不得分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p>
          <w:p>
            <w:pPr>
              <w:pStyle w:val="82"/>
              <w:keepNext w:val="0"/>
              <w:keepLines w:val="0"/>
              <w:suppressLineNumbers w:val="0"/>
              <w:spacing w:before="161"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2、售后服务方案：根据投标人提供的售后服务方案（包含售后服务响应方案及措施，</w:t>
            </w:r>
            <w:r>
              <w:rPr>
                <w:rFonts w:hint="eastAsia" w:ascii="仿宋" w:hAnsi="仿宋" w:eastAsia="仿宋" w:cs="仿宋"/>
                <w:color w:val="auto"/>
                <w:sz w:val="24"/>
                <w:szCs w:val="24"/>
                <w:highlight w:val="none"/>
                <w:lang w:val="en-US" w:eastAsia="zh-CN"/>
              </w:rPr>
              <w:t>维修班组人员数量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本地化服务方案及承诺，</w:t>
            </w:r>
            <w:r>
              <w:rPr>
                <w:rFonts w:hint="eastAsia" w:ascii="仿宋" w:hAnsi="仿宋" w:eastAsia="仿宋" w:cs="仿宋"/>
                <w:color w:val="auto"/>
                <w:sz w:val="24"/>
                <w:szCs w:val="24"/>
                <w:highlight w:val="none"/>
              </w:rPr>
              <w:t>维护人员的履历经验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维修人员的驻场情况</w:t>
            </w:r>
            <w:r>
              <w:rPr>
                <w:rFonts w:hint="eastAsia" w:ascii="仿宋" w:hAnsi="仿宋" w:eastAsia="仿宋" w:cs="仿宋"/>
                <w:color w:val="auto"/>
                <w:sz w:val="24"/>
                <w:szCs w:val="24"/>
                <w:highlight w:val="none"/>
              </w:rPr>
              <w:t>等）的合理性、优越性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82"/>
              <w:keepNext w:val="0"/>
              <w:keepLines w:val="0"/>
              <w:suppressLineNumbers w:val="0"/>
              <w:spacing w:before="161" w:beforeAutospacing="0" w:after="0" w:afterAutospacing="0" w:line="360" w:lineRule="auto"/>
              <w:ind w:left="0" w:leftChars="0" w:right="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3、售后备品备件承诺：根据投标人提供本项目售后的</w:t>
            </w:r>
            <w:r>
              <w:rPr>
                <w:rFonts w:hint="eastAsia" w:ascii="仿宋" w:hAnsi="仿宋" w:eastAsia="仿宋" w:cs="仿宋"/>
                <w:color w:val="auto"/>
                <w:sz w:val="24"/>
                <w:szCs w:val="24"/>
                <w:highlight w:val="none"/>
              </w:rPr>
              <w:t>材料、辅助材料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Hans" w:bidi="ar-SA"/>
              </w:rPr>
              <w:t>专用工具及备品备件</w:t>
            </w:r>
            <w:r>
              <w:rPr>
                <w:rFonts w:hint="eastAsia" w:ascii="仿宋" w:hAnsi="仿宋" w:eastAsia="仿宋" w:cs="仿宋"/>
                <w:color w:val="auto"/>
                <w:kern w:val="2"/>
                <w:sz w:val="24"/>
                <w:szCs w:val="24"/>
                <w:highlight w:val="none"/>
                <w:lang w:val="en-US" w:eastAsia="zh-CN" w:bidi="ar-SA"/>
              </w:rPr>
              <w:t>等内容的金额、数量及质量。</w:t>
            </w:r>
            <w:r>
              <w:rPr>
                <w:rFonts w:hint="eastAsia" w:ascii="仿宋" w:hAnsi="仿宋" w:eastAsia="仿宋" w:cs="仿宋"/>
                <w:color w:val="auto"/>
                <w:kern w:val="2"/>
                <w:sz w:val="24"/>
                <w:szCs w:val="24"/>
                <w:highlight w:val="none"/>
                <w:lang w:val="en-US" w:eastAsia="zh-Hans" w:bidi="ar-SA"/>
              </w:rPr>
              <w:t>（0-</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Hans" w:bidi="ar-SA"/>
              </w:rPr>
              <w:t>分）</w:t>
            </w:r>
            <w:r>
              <w:rPr>
                <w:rFonts w:hint="eastAsia" w:ascii="仿宋" w:hAnsi="仿宋" w:eastAsia="仿宋" w:cs="仿宋"/>
                <w:color w:val="auto"/>
                <w:kern w:val="0"/>
                <w:sz w:val="24"/>
                <w:szCs w:val="24"/>
                <w:highlight w:val="none"/>
                <w:lang w:val="en-US" w:eastAsia="zh-CN"/>
              </w:rPr>
              <w:t>未提供</w:t>
            </w:r>
            <w:r>
              <w:rPr>
                <w:rFonts w:hint="eastAsia" w:ascii="仿宋" w:hAnsi="仿宋" w:eastAsia="仿宋" w:cs="仿宋"/>
                <w:color w:val="auto"/>
                <w:kern w:val="2"/>
                <w:sz w:val="24"/>
                <w:szCs w:val="24"/>
                <w:highlight w:val="none"/>
                <w:lang w:val="en-US" w:eastAsia="zh-CN" w:bidi="ar-SA"/>
              </w:rPr>
              <w:t>承诺不得分。</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1559"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投入本项目人员技术力量</w:t>
            </w:r>
            <w:r>
              <w:rPr>
                <w:rFonts w:hint="eastAsia" w:ascii="仿宋" w:hAnsi="仿宋" w:eastAsia="仿宋" w:cs="仿宋"/>
                <w:color w:val="auto"/>
                <w:sz w:val="24"/>
                <w:szCs w:val="24"/>
                <w:highlight w:val="none"/>
                <w:lang w:val="en-US" w:eastAsia="zh-CN"/>
              </w:rPr>
              <w:t>(2分）</w:t>
            </w:r>
          </w:p>
        </w:tc>
        <w:tc>
          <w:tcPr>
            <w:tcW w:w="7513" w:type="dxa"/>
            <w:noWrap w:val="0"/>
            <w:vAlign w:val="center"/>
          </w:tcPr>
          <w:p>
            <w:pPr>
              <w:pStyle w:val="11"/>
              <w:keepNext w:val="0"/>
              <w:keepLines w:val="0"/>
              <w:numPr>
                <w:ilvl w:val="0"/>
                <w:numId w:val="0"/>
              </w:numPr>
              <w:suppressLineNumbers w:val="0"/>
              <w:spacing w:before="0" w:beforeLines="0" w:beforeAutospacing="0" w:after="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拟派项目负责人：具有水利类或机电设备类高级及以上</w:t>
            </w:r>
            <w:r>
              <w:rPr>
                <w:rFonts w:hint="eastAsia" w:ascii="仿宋" w:hAnsi="仿宋" w:eastAsia="仿宋" w:cs="仿宋"/>
                <w:color w:val="auto"/>
                <w:kern w:val="2"/>
                <w:sz w:val="24"/>
                <w:szCs w:val="24"/>
                <w:highlight w:val="none"/>
                <w:lang w:val="en-US" w:eastAsia="zh-Hans" w:bidi="ar-SA"/>
              </w:rPr>
              <w:t>职称证书的得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Hans" w:bidi="ar-SA"/>
              </w:rPr>
              <w:t>分</w:t>
            </w:r>
            <w:r>
              <w:rPr>
                <w:rFonts w:hint="eastAsia" w:ascii="仿宋" w:hAnsi="仿宋" w:eastAsia="仿宋" w:cs="仿宋"/>
                <w:color w:val="auto"/>
                <w:kern w:val="2"/>
                <w:sz w:val="24"/>
                <w:szCs w:val="24"/>
                <w:highlight w:val="none"/>
                <w:lang w:val="en-US" w:eastAsia="zh-CN" w:bidi="ar-SA"/>
              </w:rPr>
              <w:t>，具有水利类或机电设备类中级</w:t>
            </w:r>
            <w:r>
              <w:rPr>
                <w:rFonts w:hint="eastAsia" w:ascii="仿宋" w:hAnsi="仿宋" w:eastAsia="仿宋" w:cs="仿宋"/>
                <w:color w:val="auto"/>
                <w:kern w:val="2"/>
                <w:sz w:val="24"/>
                <w:szCs w:val="24"/>
                <w:highlight w:val="none"/>
                <w:lang w:val="en-US" w:eastAsia="zh-Hans" w:bidi="ar-SA"/>
              </w:rPr>
              <w:t>职称证书的得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Hans" w:bidi="ar-SA"/>
              </w:rPr>
              <w:t>分</w:t>
            </w:r>
            <w:r>
              <w:rPr>
                <w:rFonts w:hint="eastAsia" w:ascii="仿宋" w:hAnsi="仿宋" w:eastAsia="仿宋" w:cs="仿宋"/>
                <w:color w:val="auto"/>
                <w:kern w:val="2"/>
                <w:sz w:val="24"/>
                <w:szCs w:val="24"/>
                <w:highlight w:val="none"/>
                <w:lang w:val="en-US" w:eastAsia="zh-CN" w:bidi="ar-SA"/>
              </w:rPr>
              <w:t>；</w:t>
            </w:r>
          </w:p>
          <w:p>
            <w:pPr>
              <w:pStyle w:val="12"/>
              <w:keepNext w:val="0"/>
              <w:keepLines w:val="0"/>
              <w:suppressLineNumbers w:val="0"/>
              <w:spacing w:before="0" w:beforeAutospacing="0" w:after="0" w:afterAutospacing="0" w:line="360" w:lineRule="auto"/>
              <w:ind w:left="0" w:right="0" w:firstLine="0" w:firstLineChars="0"/>
              <w:rPr>
                <w:rFonts w:hint="eastAsia" w:eastAsia="仿宋"/>
                <w:color w:val="auto"/>
                <w:highlight w:val="none"/>
                <w:lang w:val="en-US" w:eastAsia="zh-CN"/>
              </w:rPr>
            </w:pPr>
            <w:r>
              <w:rPr>
                <w:rFonts w:hint="eastAsia" w:ascii="仿宋" w:hAnsi="仿宋" w:eastAsia="仿宋" w:cs="仿宋"/>
                <w:color w:val="auto"/>
                <w:kern w:val="2"/>
                <w:sz w:val="24"/>
                <w:szCs w:val="24"/>
                <w:highlight w:val="none"/>
                <w:lang w:val="en-US" w:eastAsia="zh-Hans" w:bidi="ar-SA"/>
              </w:rPr>
              <w:t>以上相关人员需提供证书复印件和近三月社保证明复印件，</w:t>
            </w:r>
            <w:r>
              <w:rPr>
                <w:rFonts w:hint="eastAsia" w:ascii="仿宋" w:hAnsi="仿宋" w:eastAsia="仿宋" w:cs="仿宋"/>
                <w:color w:val="auto"/>
                <w:kern w:val="0"/>
                <w:sz w:val="24"/>
                <w:szCs w:val="24"/>
                <w:highlight w:val="none"/>
                <w:lang w:val="en-US" w:eastAsia="zh-CN"/>
              </w:rPr>
              <w:t>未提供</w:t>
            </w:r>
            <w:r>
              <w:rPr>
                <w:rFonts w:hint="eastAsia" w:ascii="仿宋" w:hAnsi="仿宋" w:eastAsia="仿宋" w:cs="仿宋"/>
                <w:color w:val="auto"/>
                <w:kern w:val="2"/>
                <w:sz w:val="24"/>
                <w:szCs w:val="24"/>
                <w:highlight w:val="none"/>
                <w:lang w:val="en-US" w:eastAsia="zh-Hans" w:bidi="ar-SA"/>
              </w:rPr>
              <w:t>不得分</w:t>
            </w:r>
            <w:r>
              <w:rPr>
                <w:rFonts w:hint="eastAsia" w:ascii="仿宋" w:hAnsi="仿宋" w:eastAsia="仿宋" w:cs="仿宋"/>
                <w:color w:val="auto"/>
                <w:kern w:val="2"/>
                <w:sz w:val="24"/>
                <w:szCs w:val="24"/>
                <w:highlight w:val="none"/>
                <w:lang w:val="en-US" w:eastAsia="zh-CN" w:bidi="ar-SA"/>
              </w:rPr>
              <w:t>。</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4"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1559"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报价文件评分办法（30分）</w:t>
            </w:r>
          </w:p>
        </w:tc>
        <w:tc>
          <w:tcPr>
            <w:tcW w:w="7513" w:type="dxa"/>
            <w:noWrap w:val="0"/>
            <w:vAlign w:val="center"/>
          </w:tcPr>
          <w:p>
            <w:pPr>
              <w:keepNext w:val="0"/>
              <w:keepLines w:val="0"/>
              <w:widowControl/>
              <w:suppressLineNumbers w:val="0"/>
              <w:spacing w:before="161" w:beforeAutospacing="0" w:after="0" w:afterAutospacing="0" w:line="360" w:lineRule="auto"/>
              <w:ind w:left="0" w:leftChars="0" w:right="0"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pPr>
              <w:keepNext w:val="0"/>
              <w:keepLines w:val="0"/>
              <w:widowControl/>
              <w:suppressLineNumbers w:val="0"/>
              <w:spacing w:before="161" w:beforeAutospacing="0" w:after="0" w:afterAutospacing="0" w:line="360" w:lineRule="auto"/>
              <w:ind w:left="0" w:leftChars="0" w:right="0"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投标人最终得分=商务技术标得分+报价得分，满分为100分。</w:t>
            </w:r>
          </w:p>
          <w:p>
            <w:pPr>
              <w:keepNext w:val="0"/>
              <w:keepLines w:val="0"/>
              <w:widowControl/>
              <w:suppressLineNumbers w:val="0"/>
              <w:spacing w:before="161" w:beforeAutospacing="0" w:after="0" w:afterAutospacing="0" w:line="360" w:lineRule="auto"/>
              <w:ind w:left="0" w:leftChars="0" w:right="0"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价格扣除：</w:t>
            </w:r>
          </w:p>
          <w:p>
            <w:pPr>
              <w:keepNext w:val="0"/>
              <w:keepLines w:val="0"/>
              <w:widowControl/>
              <w:suppressLineNumbers w:val="0"/>
              <w:spacing w:before="161" w:beforeAutospacing="0" w:after="0" w:afterAutospacing="0" w:line="360" w:lineRule="auto"/>
              <w:ind w:left="0" w:leftChars="0" w:right="0"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0%的扣除，用扣除后的价格参与评审。</w:t>
            </w:r>
          </w:p>
        </w:tc>
        <w:tc>
          <w:tcPr>
            <w:tcW w:w="502" w:type="dxa"/>
            <w:noWrap w:val="0"/>
            <w:vAlign w:val="center"/>
          </w:tcPr>
          <w:p>
            <w:pPr>
              <w:pStyle w:val="81"/>
              <w:keepNext w:val="0"/>
              <w:keepLines w:val="0"/>
              <w:suppressLineNumbers w:val="0"/>
              <w:spacing w:before="161"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-30</w:t>
            </w:r>
          </w:p>
        </w:tc>
      </w:tr>
    </w:tbl>
    <w:p>
      <w:pPr>
        <w:ind w:firstLine="480"/>
        <w:rPr>
          <w:color w:val="auto"/>
          <w:highlight w:val="none"/>
        </w:rPr>
      </w:pPr>
      <w:r>
        <w:rPr>
          <w:rFonts w:hint="eastAsia"/>
          <w:color w:val="auto"/>
          <w:highlight w:val="none"/>
        </w:rPr>
        <w:t>*备注：投标人编制投标文件（商务技术文件部分）时，建议按此目录（序号和内容）提供评标标准相应的商务技术资料。</w:t>
      </w:r>
    </w:p>
    <w:p>
      <w:pPr>
        <w:pStyle w:val="4"/>
        <w:ind w:firstLine="482"/>
        <w:rPr>
          <w:color w:val="auto"/>
          <w:highlight w:val="none"/>
        </w:rPr>
      </w:pPr>
      <w:bookmarkStart w:id="99" w:name="_Toc19536"/>
      <w:r>
        <w:rPr>
          <w:rFonts w:hint="eastAsia"/>
          <w:color w:val="auto"/>
          <w:highlight w:val="none"/>
        </w:rPr>
        <w:t>一、评标方法</w:t>
      </w:r>
      <w:bookmarkEnd w:id="99"/>
    </w:p>
    <w:p>
      <w:pPr>
        <w:ind w:firstLine="472" w:firstLineChars="196"/>
        <w:rPr>
          <w:rFonts w:ascii="宋体" w:hAnsi="宋体" w:cs="宋体"/>
          <w:color w:val="auto"/>
          <w:kern w:val="0"/>
          <w:highlight w:val="none"/>
        </w:rPr>
      </w:pPr>
      <w:r>
        <w:rPr>
          <w:rFonts w:hint="eastAsia" w:ascii="宋体" w:hAnsi="宋体" w:cs="宋体"/>
          <w:b/>
          <w:color w:val="auto"/>
          <w:kern w:val="0"/>
          <w:highlight w:val="none"/>
        </w:rPr>
        <w:t>1.本项目采用综合评分法。</w:t>
      </w:r>
      <w:r>
        <w:rPr>
          <w:rFonts w:hint="eastAsia" w:ascii="宋体" w:hAnsi="宋体" w:cs="宋体"/>
          <w:color w:val="auto"/>
          <w:kern w:val="0"/>
          <w:highlight w:val="none"/>
        </w:rPr>
        <w:t>综合评分法，是指投标文件满足招标文件全部实质性要求，且按照评审因素的量化指标评审得分最高的投标人为中标候选人的评标方法。</w:t>
      </w:r>
    </w:p>
    <w:p>
      <w:pPr>
        <w:pStyle w:val="4"/>
        <w:ind w:firstLine="482"/>
        <w:rPr>
          <w:color w:val="auto"/>
          <w:highlight w:val="none"/>
        </w:rPr>
      </w:pPr>
      <w:bookmarkStart w:id="100" w:name="_Toc30056"/>
      <w:r>
        <w:rPr>
          <w:rFonts w:hint="eastAsia"/>
          <w:color w:val="auto"/>
          <w:highlight w:val="none"/>
        </w:rPr>
        <w:t>二、评标标准</w:t>
      </w:r>
      <w:bookmarkEnd w:id="100"/>
    </w:p>
    <w:p>
      <w:pPr>
        <w:ind w:firstLine="472" w:firstLineChars="196"/>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color w:val="auto"/>
          <w:highlight w:val="none"/>
        </w:rPr>
        <w:t xml:space="preserve"> </w:t>
      </w:r>
      <w:r>
        <w:rPr>
          <w:rFonts w:hint="eastAsia" w:ascii="宋体" w:hAnsi="宋体" w:cs="宋体"/>
          <w:b/>
          <w:color w:val="auto"/>
          <w:highlight w:val="none"/>
        </w:rPr>
        <w:t>评标标准：</w:t>
      </w:r>
      <w:r>
        <w:rPr>
          <w:rFonts w:hint="eastAsia" w:ascii="宋体" w:hAnsi="宋体" w:cs="宋体"/>
          <w:color w:val="auto"/>
          <w:kern w:val="0"/>
          <w:highlight w:val="none"/>
        </w:rPr>
        <w:t>见评标办法前附表。</w:t>
      </w:r>
    </w:p>
    <w:p>
      <w:pPr>
        <w:pStyle w:val="4"/>
        <w:ind w:firstLine="482"/>
        <w:rPr>
          <w:color w:val="auto"/>
          <w:highlight w:val="none"/>
        </w:rPr>
      </w:pPr>
      <w:bookmarkStart w:id="101" w:name="_Toc21319"/>
      <w:r>
        <w:rPr>
          <w:rFonts w:hint="eastAsia"/>
          <w:color w:val="auto"/>
          <w:highlight w:val="none"/>
        </w:rPr>
        <w:t>三、评标程序</w:t>
      </w:r>
      <w:bookmarkEnd w:id="101"/>
    </w:p>
    <w:p>
      <w:pPr>
        <w:ind w:firstLine="472" w:firstLineChars="196"/>
        <w:rPr>
          <w:rFonts w:ascii="宋体" w:hAnsi="宋体" w:cs="宋体"/>
          <w:color w:val="auto"/>
          <w:kern w:val="0"/>
          <w:highlight w:val="none"/>
        </w:rPr>
      </w:pPr>
      <w:r>
        <w:rPr>
          <w:rFonts w:hint="eastAsia" w:ascii="宋体" w:hAnsi="宋体" w:cs="宋体"/>
          <w:b/>
          <w:color w:val="auto"/>
          <w:kern w:val="0"/>
          <w:highlight w:val="none"/>
        </w:rPr>
        <w:t>3.1符合性审查。</w:t>
      </w:r>
      <w:r>
        <w:rPr>
          <w:rFonts w:hint="eastAsia" w:ascii="宋体" w:hAnsi="宋体" w:cs="宋体"/>
          <w:color w:val="auto"/>
          <w:kern w:val="0"/>
          <w:highlight w:val="none"/>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color w:val="auto"/>
          <w:kern w:val="0"/>
          <w:highlight w:val="none"/>
        </w:rPr>
      </w:pPr>
      <w:r>
        <w:rPr>
          <w:rFonts w:hint="eastAsia" w:ascii="宋体" w:hAnsi="宋体" w:cs="宋体"/>
          <w:b/>
          <w:color w:val="auto"/>
          <w:kern w:val="0"/>
          <w:highlight w:val="none"/>
        </w:rPr>
        <w:t>3.2 比较与评价。</w:t>
      </w:r>
      <w:r>
        <w:rPr>
          <w:rFonts w:hint="eastAsia" w:ascii="宋体" w:hAnsi="宋体" w:cs="宋体"/>
          <w:color w:val="auto"/>
          <w:kern w:val="0"/>
          <w:highlight w:val="none"/>
        </w:rPr>
        <w:t>评标委员会应当按照招标文件中规定的评标方法和标准，对符合性审查合格的投标文件进行商务和技术评估，综合比较与评价。</w:t>
      </w:r>
    </w:p>
    <w:p>
      <w:pPr>
        <w:ind w:firstLine="472" w:firstLineChars="196"/>
        <w:rPr>
          <w:rFonts w:ascii="宋体" w:hAnsi="宋体" w:cs="宋体"/>
          <w:color w:val="auto"/>
          <w:kern w:val="0"/>
          <w:highlight w:val="none"/>
        </w:rPr>
      </w:pPr>
      <w:r>
        <w:rPr>
          <w:rFonts w:hint="eastAsia" w:ascii="宋体" w:hAnsi="宋体" w:cs="宋体"/>
          <w:b/>
          <w:color w:val="auto"/>
          <w:kern w:val="0"/>
          <w:highlight w:val="none"/>
        </w:rPr>
        <w:t>3.3汇总商务技术得分。</w:t>
      </w:r>
      <w:r>
        <w:rPr>
          <w:rFonts w:hint="eastAsia" w:ascii="宋体" w:hAnsi="宋体" w:cs="宋体"/>
          <w:color w:val="auto"/>
          <w:kern w:val="0"/>
          <w:highlight w:val="none"/>
        </w:rPr>
        <w:t>评标委员会各成员应当独立对每个投标人的商务和技术文件进行评价，汇总各评委打分的算术平均值（小数点后保留二位数），并汇总商务技术得分情况。</w:t>
      </w:r>
    </w:p>
    <w:p>
      <w:pPr>
        <w:ind w:firstLine="472" w:firstLineChars="196"/>
        <w:rPr>
          <w:rFonts w:ascii="宋体" w:hAnsi="宋体" w:cs="宋体"/>
          <w:b/>
          <w:color w:val="auto"/>
          <w:kern w:val="0"/>
          <w:highlight w:val="none"/>
        </w:rPr>
      </w:pPr>
      <w:r>
        <w:rPr>
          <w:rFonts w:hint="eastAsia" w:ascii="宋体" w:hAnsi="宋体" w:cs="宋体"/>
          <w:b/>
          <w:color w:val="auto"/>
          <w:kern w:val="0"/>
          <w:highlight w:val="none"/>
        </w:rPr>
        <w:t>3.4报价评审。</w:t>
      </w:r>
    </w:p>
    <w:p>
      <w:pPr>
        <w:pStyle w:val="4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ind w:firstLine="480"/>
        <w:jc w:val="left"/>
        <w:rPr>
          <w:rFonts w:ascii="宋体" w:hAnsi="宋体" w:cs="宋体"/>
          <w:color w:val="auto"/>
          <w:kern w:val="0"/>
          <w:highlight w:val="none"/>
        </w:rPr>
      </w:pPr>
      <w:r>
        <w:rPr>
          <w:rFonts w:hint="eastAsia" w:ascii="宋体" w:hAnsi="宋体" w:cs="宋体"/>
          <w:color w:val="auto"/>
          <w:kern w:val="0"/>
          <w:highlight w:val="none"/>
        </w:rPr>
        <w:t>3.4.2投标文件出现不是唯一的、有选择性投标报价的，投标无效。</w:t>
      </w:r>
    </w:p>
    <w:p>
      <w:pPr>
        <w:snapToGrid w:val="0"/>
        <w:ind w:firstLine="480"/>
        <w:jc w:val="left"/>
        <w:rPr>
          <w:rFonts w:ascii="宋体" w:hAnsi="宋体" w:cs="宋体"/>
          <w:color w:val="auto"/>
          <w:kern w:val="0"/>
          <w:highlight w:val="none"/>
        </w:rPr>
      </w:pPr>
      <w:r>
        <w:rPr>
          <w:rFonts w:hint="eastAsia" w:ascii="宋体" w:hAnsi="宋体" w:cs="宋体"/>
          <w:color w:val="auto"/>
          <w:kern w:val="0"/>
          <w:highlight w:val="none"/>
        </w:rPr>
        <w:t>3.4.3投标报价超过招标文件中规定的预算金额或者最高限价的，投标无效。</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4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0%的扣除，用扣除后的价格参与评审。</w:t>
      </w:r>
    </w:p>
    <w:p>
      <w:pPr>
        <w:ind w:firstLine="482"/>
        <w:rPr>
          <w:rFonts w:ascii="宋体" w:hAnsi="宋体" w:cs="宋体"/>
          <w:color w:val="auto"/>
          <w:kern w:val="0"/>
          <w:highlight w:val="none"/>
        </w:rPr>
      </w:pPr>
      <w:r>
        <w:rPr>
          <w:rFonts w:hint="eastAsia" w:ascii="宋体" w:hAnsi="宋体" w:cs="宋体"/>
          <w:b/>
          <w:color w:val="auto"/>
          <w:kern w:val="0"/>
          <w:highlight w:val="none"/>
        </w:rPr>
        <w:t>3.5排序与推荐。</w:t>
      </w:r>
      <w:r>
        <w:rPr>
          <w:rFonts w:hint="eastAsia" w:ascii="宋体" w:hAnsi="宋体" w:cs="宋体"/>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招标人可以确定无异议的第二中标候选人为中标候选人，也可以重新招标。评分过程中采用四舍五入法，并保留小数2位。</w:t>
      </w:r>
    </w:p>
    <w:p>
      <w:pPr>
        <w:ind w:firstLine="480"/>
        <w:rPr>
          <w:rFonts w:ascii="宋体" w:hAnsi="宋体" w:cs="宋体"/>
          <w:b/>
          <w:color w:val="auto"/>
          <w:kern w:val="0"/>
          <w:highlight w:val="none"/>
        </w:rPr>
      </w:pPr>
      <w:r>
        <w:rPr>
          <w:rFonts w:hint="eastAsia" w:ascii="宋体" w:hAnsi="宋体" w:cs="宋体"/>
          <w:color w:val="auto"/>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w:t>
      </w:r>
      <w:r>
        <w:rPr>
          <w:rFonts w:hint="eastAsia" w:ascii="宋体" w:hAnsi="宋体" w:cs="宋体"/>
          <w:color w:val="auto"/>
          <w:kern w:val="0"/>
          <w:highlight w:val="none"/>
          <w:lang w:eastAsia="zh-CN"/>
        </w:rPr>
        <w:t>（</w:t>
      </w:r>
      <w:r>
        <w:rPr>
          <w:rFonts w:hint="eastAsia" w:ascii="宋体" w:hAnsi="宋体" w:cs="宋体"/>
          <w:color w:val="auto"/>
          <w:kern w:val="0"/>
          <w:highlight w:val="none"/>
        </w:rPr>
        <w:t>抽取方式</w:t>
      </w:r>
      <w:r>
        <w:rPr>
          <w:rFonts w:hint="eastAsia" w:ascii="宋体" w:hAnsi="宋体" w:cs="宋体"/>
          <w:color w:val="auto"/>
          <w:kern w:val="0"/>
          <w:highlight w:val="none"/>
          <w:lang w:val="en-US" w:eastAsia="zh-CN"/>
        </w:rPr>
        <w:t>由评标委员会共同确定并签署</w:t>
      </w:r>
      <w:r>
        <w:rPr>
          <w:rFonts w:hint="eastAsia" w:ascii="宋体" w:hAnsi="宋体" w:cs="宋体"/>
          <w:color w:val="auto"/>
          <w:kern w:val="0"/>
          <w:highlight w:val="none"/>
        </w:rPr>
        <w:t>随机抽取</w:t>
      </w:r>
      <w:r>
        <w:rPr>
          <w:rFonts w:hint="eastAsia" w:ascii="宋体" w:hAnsi="宋体" w:cs="宋体"/>
          <w:color w:val="auto"/>
          <w:kern w:val="0"/>
          <w:highlight w:val="none"/>
          <w:lang w:val="en-US" w:eastAsia="zh-CN"/>
        </w:rPr>
        <w:t>表</w:t>
      </w:r>
      <w:r>
        <w:rPr>
          <w:rFonts w:hint="eastAsia" w:ascii="宋体" w:hAnsi="宋体" w:cs="宋体"/>
          <w:color w:val="auto"/>
          <w:kern w:val="0"/>
          <w:highlight w:val="none"/>
          <w:lang w:eastAsia="zh-CN"/>
        </w:rPr>
        <w:t>）</w:t>
      </w:r>
      <w:r>
        <w:rPr>
          <w:rFonts w:hint="eastAsia" w:ascii="宋体" w:hAnsi="宋体" w:cs="宋体"/>
          <w:color w:val="auto"/>
          <w:kern w:val="0"/>
          <w:highlight w:val="none"/>
        </w:rPr>
        <w:t>，其他同品牌投标人不作为中标候选人。</w:t>
      </w:r>
    </w:p>
    <w:p>
      <w:pPr>
        <w:ind w:firstLine="472" w:firstLineChars="196"/>
        <w:rPr>
          <w:rFonts w:ascii="宋体" w:hAnsi="宋体" w:cs="宋体"/>
          <w:color w:val="auto"/>
          <w:kern w:val="0"/>
          <w:highlight w:val="none"/>
        </w:rPr>
      </w:pPr>
      <w:r>
        <w:rPr>
          <w:rFonts w:hint="eastAsia" w:ascii="宋体" w:hAnsi="宋体" w:cs="宋体"/>
          <w:b/>
          <w:color w:val="auto"/>
          <w:kern w:val="0"/>
          <w:highlight w:val="none"/>
        </w:rPr>
        <w:t>3.6编写评标报告。</w:t>
      </w:r>
      <w:r>
        <w:rPr>
          <w:rFonts w:hint="eastAsia" w:ascii="宋体" w:hAnsi="宋体" w:cs="宋体"/>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宋体"/>
          <w:b/>
          <w:bCs/>
          <w:color w:val="auto"/>
          <w:szCs w:val="20"/>
          <w:highlight w:val="none"/>
        </w:rPr>
        <w:t>评标过程中如发现有异常情况，由评委集体讨论决定。</w:t>
      </w:r>
    </w:p>
    <w:p>
      <w:pPr>
        <w:pStyle w:val="4"/>
        <w:ind w:firstLine="482"/>
        <w:rPr>
          <w:color w:val="auto"/>
          <w:highlight w:val="none"/>
        </w:rPr>
      </w:pPr>
      <w:bookmarkStart w:id="102" w:name="_Toc2655"/>
      <w:r>
        <w:rPr>
          <w:rFonts w:hint="eastAsia"/>
          <w:color w:val="auto"/>
          <w:highlight w:val="none"/>
        </w:rPr>
        <w:t>四、评标中的其他事项</w:t>
      </w:r>
      <w:bookmarkEnd w:id="102"/>
    </w:p>
    <w:p>
      <w:pPr>
        <w:pStyle w:val="4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1021" w:leftChars="226" w:hanging="479" w:firstLineChars="0"/>
        <w:rPr>
          <w:rFonts w:cs="宋体"/>
          <w:color w:val="auto"/>
          <w:szCs w:val="21"/>
          <w:highlight w:val="none"/>
        </w:rPr>
      </w:pPr>
      <w:r>
        <w:rPr>
          <w:rFonts w:hint="eastAsia" w:hAnsi="宋体" w:cs="宋体"/>
          <w:b/>
          <w:color w:val="auto"/>
          <w:kern w:val="0"/>
          <w:sz w:val="24"/>
          <w:szCs w:val="24"/>
          <w:highlight w:val="none"/>
        </w:rPr>
        <w:t>4.2投标无效。</w:t>
      </w:r>
      <w:r>
        <w:rPr>
          <w:rFonts w:hint="eastAsia" w:hAnsi="宋体" w:cs="宋体"/>
          <w:color w:val="auto"/>
          <w:sz w:val="24"/>
          <w:szCs w:val="24"/>
          <w:highlight w:val="none"/>
        </w:rPr>
        <w:t>有下列情形之一的，投标无效：</w:t>
      </w:r>
    </w:p>
    <w:p>
      <w:pPr>
        <w:ind w:firstLine="480"/>
        <w:rPr>
          <w:rFonts w:ascii="宋体" w:hAnsi="宋体" w:cs="宋体"/>
          <w:color w:val="auto"/>
          <w:kern w:val="0"/>
          <w:highlight w:val="none"/>
        </w:rPr>
      </w:pPr>
      <w:r>
        <w:rPr>
          <w:rFonts w:hint="eastAsia" w:ascii="宋体" w:hAnsi="宋体" w:cs="宋体"/>
          <w:color w:val="auto"/>
          <w:kern w:val="0"/>
          <w:highlight w:val="none"/>
        </w:rPr>
        <w:t>4.2.1投标人不具备招标文件中规定的资格要求的（投标人未提供有效的资格文件的，视为投标人不具备招标文件中规定的资格要求）；</w:t>
      </w:r>
    </w:p>
    <w:p>
      <w:pPr>
        <w:ind w:firstLine="480"/>
        <w:rPr>
          <w:rFonts w:ascii="宋体" w:hAnsi="宋体" w:cs="宋体"/>
          <w:color w:val="auto"/>
          <w:kern w:val="0"/>
          <w:highlight w:val="none"/>
        </w:rPr>
      </w:pPr>
      <w:r>
        <w:rPr>
          <w:rFonts w:hint="eastAsia" w:ascii="宋体" w:hAnsi="宋体" w:cs="宋体"/>
          <w:color w:val="auto"/>
          <w:kern w:val="0"/>
          <w:highlight w:val="none"/>
        </w:rPr>
        <w:t>4.2.2投标文件未按照招标文件要求签署、盖章的；</w:t>
      </w:r>
    </w:p>
    <w:p>
      <w:pPr>
        <w:ind w:firstLine="480"/>
        <w:rPr>
          <w:rFonts w:ascii="宋体" w:hAnsi="宋体" w:cs="宋体"/>
          <w:color w:val="auto"/>
          <w:kern w:val="0"/>
          <w:highlight w:val="none"/>
        </w:rPr>
      </w:pPr>
      <w:r>
        <w:rPr>
          <w:rFonts w:hint="eastAsia" w:ascii="宋体" w:hAnsi="宋体" w:cs="宋体"/>
          <w:color w:val="auto"/>
          <w:kern w:val="0"/>
          <w:highlight w:val="none"/>
        </w:rPr>
        <w:t>4.2.3采购人拟采购的产品属于政府强制采购的节能产品品目清单范围的，投标人相应的投标产品未获得国家确定的认证机构出具的、处于有效期之内的节能产品认证证书的；</w:t>
      </w:r>
    </w:p>
    <w:p>
      <w:pPr>
        <w:ind w:firstLine="480"/>
        <w:rPr>
          <w:rFonts w:ascii="宋体" w:hAnsi="宋体" w:cs="宋体"/>
          <w:color w:val="auto"/>
          <w:kern w:val="0"/>
          <w:highlight w:val="none"/>
        </w:rPr>
      </w:pPr>
      <w:r>
        <w:rPr>
          <w:rFonts w:hint="eastAsia" w:ascii="宋体" w:hAnsi="宋体" w:cs="宋体"/>
          <w:color w:val="auto"/>
          <w:kern w:val="0"/>
          <w:highlight w:val="none"/>
        </w:rPr>
        <w:t>4.2.4投标文件含有采购人不能接受的附加条件的；</w:t>
      </w:r>
    </w:p>
    <w:p>
      <w:pPr>
        <w:ind w:firstLine="480"/>
        <w:rPr>
          <w:rFonts w:ascii="宋体" w:hAnsi="宋体" w:cs="宋体"/>
          <w:color w:val="auto"/>
          <w:kern w:val="0"/>
          <w:highlight w:val="none"/>
        </w:rPr>
      </w:pPr>
      <w:r>
        <w:rPr>
          <w:rFonts w:hint="eastAsia" w:ascii="宋体" w:hAnsi="宋体" w:cs="宋体"/>
          <w:color w:val="auto"/>
          <w:kern w:val="0"/>
          <w:highlight w:val="none"/>
        </w:rPr>
        <w:t>4.2.5投标文件中承诺的投标有效期少于招标文件中载明的投标有效期的；</w:t>
      </w:r>
    </w:p>
    <w:p>
      <w:pPr>
        <w:ind w:firstLine="480"/>
        <w:rPr>
          <w:rFonts w:ascii="宋体" w:hAnsi="宋体" w:cs="宋体"/>
          <w:color w:val="auto"/>
          <w:kern w:val="0"/>
          <w:highlight w:val="none"/>
        </w:rPr>
      </w:pPr>
      <w:r>
        <w:rPr>
          <w:rFonts w:hint="eastAsia" w:ascii="宋体" w:hAnsi="宋体" w:cs="宋体"/>
          <w:color w:val="auto"/>
          <w:kern w:val="0"/>
          <w:highlight w:val="none"/>
        </w:rPr>
        <w:t>4.2.6投标文件出现不是唯一的、有选择性投标报价的;</w:t>
      </w:r>
    </w:p>
    <w:p>
      <w:pPr>
        <w:ind w:firstLine="480"/>
        <w:rPr>
          <w:rFonts w:ascii="宋体" w:hAnsi="宋体" w:cs="宋体"/>
          <w:color w:val="auto"/>
          <w:kern w:val="0"/>
          <w:highlight w:val="none"/>
        </w:rPr>
      </w:pPr>
      <w:r>
        <w:rPr>
          <w:rFonts w:hint="eastAsia" w:ascii="宋体" w:hAnsi="宋体" w:cs="宋体"/>
          <w:color w:val="auto"/>
          <w:kern w:val="0"/>
          <w:highlight w:val="none"/>
        </w:rPr>
        <w:t>4.2.7投标报价超过招标文件中规定的预算金额或者最高限价的;</w:t>
      </w:r>
    </w:p>
    <w:p>
      <w:pPr>
        <w:ind w:firstLine="480"/>
        <w:rPr>
          <w:rFonts w:ascii="宋体" w:hAnsi="宋体" w:cs="宋体"/>
          <w:color w:val="auto"/>
          <w:kern w:val="0"/>
          <w:highlight w:val="none"/>
        </w:rPr>
      </w:pPr>
      <w:r>
        <w:rPr>
          <w:rFonts w:hint="eastAsia" w:ascii="宋体" w:hAnsi="宋体" w:cs="宋体"/>
          <w:color w:val="auto"/>
          <w:kern w:val="0"/>
          <w:highlight w:val="none"/>
        </w:rPr>
        <w:t>4.2.8报价明显低于其他通过符合性审查投标人的报价，有可能影响产品质量或者不能诚信履约的，未能按要求提供书面说明或者提交相关证明材料，不能证明其报价合理性的;</w:t>
      </w:r>
    </w:p>
    <w:p>
      <w:pPr>
        <w:ind w:firstLine="480"/>
        <w:rPr>
          <w:rFonts w:ascii="宋体" w:hAnsi="宋体" w:cs="宋体"/>
          <w:color w:val="auto"/>
          <w:kern w:val="0"/>
          <w:highlight w:val="none"/>
        </w:rPr>
      </w:pPr>
      <w:r>
        <w:rPr>
          <w:rFonts w:hint="eastAsia" w:ascii="宋体" w:hAnsi="宋体" w:cs="宋体"/>
          <w:color w:val="auto"/>
          <w:kern w:val="0"/>
          <w:highlight w:val="none"/>
        </w:rPr>
        <w:t>4.2.9投标人对根据修正原则修正后的报价不确认的；</w:t>
      </w:r>
    </w:p>
    <w:p>
      <w:pPr>
        <w:ind w:firstLine="480"/>
        <w:rPr>
          <w:rFonts w:ascii="宋体" w:hAnsi="宋体" w:cs="宋体"/>
          <w:color w:val="auto"/>
          <w:kern w:val="0"/>
          <w:highlight w:val="none"/>
        </w:rPr>
      </w:pPr>
      <w:r>
        <w:rPr>
          <w:rFonts w:hint="eastAsia" w:ascii="宋体" w:hAnsi="宋体" w:cs="宋体"/>
          <w:color w:val="auto"/>
          <w:kern w:val="0"/>
          <w:highlight w:val="none"/>
        </w:rPr>
        <w:t>4.2.10投标人提供虚假材料投标的；</w:t>
      </w:r>
    </w:p>
    <w:p>
      <w:pPr>
        <w:ind w:firstLine="480"/>
        <w:rPr>
          <w:rFonts w:ascii="宋体" w:hAnsi="宋体" w:cs="宋体"/>
          <w:color w:val="auto"/>
          <w:kern w:val="0"/>
          <w:highlight w:val="none"/>
        </w:rPr>
      </w:pPr>
      <w:r>
        <w:rPr>
          <w:rFonts w:hint="eastAsia" w:ascii="宋体" w:hAnsi="宋体" w:cs="宋体"/>
          <w:color w:val="auto"/>
          <w:kern w:val="0"/>
          <w:highlight w:val="none"/>
        </w:rPr>
        <w:t>4.2.11投标人有恶意串通、妨碍其他投标人的竞争行为、损害采购人或者其他投标人的合法权益情形的；</w:t>
      </w:r>
    </w:p>
    <w:p>
      <w:pPr>
        <w:ind w:firstLine="480"/>
        <w:rPr>
          <w:rFonts w:ascii="宋体" w:hAnsi="宋体" w:cs="宋体"/>
          <w:color w:val="auto"/>
          <w:kern w:val="0"/>
          <w:highlight w:val="none"/>
        </w:rPr>
      </w:pPr>
      <w:r>
        <w:rPr>
          <w:rFonts w:hint="eastAsia" w:ascii="宋体" w:hAnsi="宋体" w:cs="宋体"/>
          <w:color w:val="auto"/>
          <w:kern w:val="0"/>
          <w:highlight w:val="none"/>
        </w:rPr>
        <w:t>4.2.12投标人仅提交备份投标文件，未在电子交易平台传输递交投标文件的，投标无效；</w:t>
      </w:r>
    </w:p>
    <w:p>
      <w:pPr>
        <w:ind w:firstLine="480"/>
        <w:rPr>
          <w:color w:val="auto"/>
          <w:highlight w:val="none"/>
        </w:rPr>
      </w:pPr>
      <w:r>
        <w:rPr>
          <w:rFonts w:hint="eastAsia"/>
          <w:color w:val="auto"/>
          <w:highlight w:val="none"/>
        </w:rPr>
        <w:t>4.2.13 投标文件不满足招标文件的其它实质性要求的；</w:t>
      </w:r>
    </w:p>
    <w:p>
      <w:pPr>
        <w:ind w:firstLine="480"/>
        <w:rPr>
          <w:rFonts w:ascii="宋体" w:hAnsi="宋体" w:cs="宋体"/>
          <w:color w:val="auto"/>
          <w:kern w:val="0"/>
          <w:highlight w:val="none"/>
        </w:rPr>
      </w:pPr>
      <w:r>
        <w:rPr>
          <w:rFonts w:hint="eastAsia" w:ascii="宋体" w:hAnsi="宋体" w:cs="宋体"/>
          <w:color w:val="auto"/>
          <w:kern w:val="0"/>
          <w:highlight w:val="none"/>
        </w:rPr>
        <w:t>4.2.14法律、法规、规章（适用本市的）及省级以上规范性文件（适用本市的）规定的其他无效情形。</w:t>
      </w:r>
    </w:p>
    <w:p>
      <w:pPr>
        <w:pStyle w:val="9"/>
        <w:snapToGrid w:val="0"/>
        <w:spacing w:line="360" w:lineRule="auto"/>
        <w:ind w:firstLine="457" w:firstLineChars="196"/>
        <w:rPr>
          <w:rFonts w:hAnsi="宋体" w:cs="宋体"/>
          <w:color w:val="auto"/>
          <w:sz w:val="24"/>
          <w:szCs w:val="24"/>
          <w:highlight w:val="none"/>
        </w:rPr>
      </w:pPr>
      <w:r>
        <w:rPr>
          <w:rFonts w:hint="eastAsia" w:hAnsi="宋体" w:cs="宋体"/>
          <w:b/>
          <w:color w:val="auto"/>
          <w:sz w:val="24"/>
          <w:szCs w:val="24"/>
          <w:highlight w:val="none"/>
        </w:rPr>
        <w:t>5.废标。</w:t>
      </w:r>
      <w:r>
        <w:rPr>
          <w:rFonts w:hint="eastAsia" w:hAnsi="宋体" w:cs="宋体"/>
          <w:color w:val="auto"/>
          <w:sz w:val="24"/>
          <w:szCs w:val="24"/>
          <w:highlight w:val="none"/>
        </w:rPr>
        <w:t>根据《中华人民共和国政府采购法》第三十六条之规定，在采购中，出现下列情形之一的，应予废标：</w:t>
      </w:r>
    </w:p>
    <w:p>
      <w:pPr>
        <w:pStyle w:val="9"/>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5.1符合专业条件的供应商或者对招标文件作实质响应的供应商不足3家的；</w:t>
      </w:r>
    </w:p>
    <w:p>
      <w:pPr>
        <w:pStyle w:val="9"/>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5.2出现影响采购公正的违法、违规行为的；</w:t>
      </w:r>
    </w:p>
    <w:p>
      <w:pPr>
        <w:pStyle w:val="9"/>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5.3投标人的报价均超过了采购预算，采购人不能支付的；</w:t>
      </w:r>
    </w:p>
    <w:p>
      <w:pPr>
        <w:pStyle w:val="9"/>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5.4因重大变故，采购任务取消的。</w:t>
      </w:r>
    </w:p>
    <w:p>
      <w:pPr>
        <w:pStyle w:val="9"/>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废标后，采购代理机构应当将废标理由通知所有投标人。</w:t>
      </w:r>
    </w:p>
    <w:p>
      <w:pPr>
        <w:pStyle w:val="9"/>
        <w:snapToGrid w:val="0"/>
        <w:spacing w:line="360" w:lineRule="auto"/>
        <w:ind w:firstLine="571" w:firstLineChars="245"/>
        <w:rPr>
          <w:rFonts w:hAnsi="宋体" w:cs="宋体"/>
          <w:color w:val="auto"/>
          <w:sz w:val="24"/>
          <w:szCs w:val="24"/>
          <w:highlight w:val="none"/>
        </w:rPr>
      </w:pPr>
      <w:r>
        <w:rPr>
          <w:rFonts w:hint="eastAsia" w:hAnsi="宋体" w:cs="宋体"/>
          <w:b/>
          <w:color w:val="auto"/>
          <w:sz w:val="24"/>
          <w:szCs w:val="24"/>
          <w:highlight w:val="none"/>
        </w:rPr>
        <w:t>6.修改招标文件，重新组织采购活动。</w:t>
      </w:r>
      <w:r>
        <w:rPr>
          <w:rFonts w:hint="eastAsia" w:hAnsi="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66"/>
        <w:rPr>
          <w:rFonts w:hAnsi="宋体" w:cs="宋体"/>
          <w:color w:val="auto"/>
          <w:sz w:val="24"/>
          <w:szCs w:val="24"/>
          <w:highlight w:val="none"/>
        </w:rPr>
      </w:pPr>
      <w:r>
        <w:rPr>
          <w:rFonts w:hint="eastAsia" w:hAnsi="宋体" w:cs="宋体"/>
          <w:b/>
          <w:color w:val="auto"/>
          <w:kern w:val="0"/>
          <w:sz w:val="24"/>
          <w:szCs w:val="24"/>
          <w:highlight w:val="none"/>
        </w:rPr>
        <w:t>7.重新开展采购。</w:t>
      </w:r>
      <w:r>
        <w:rPr>
          <w:rFonts w:hint="eastAsia" w:hAnsi="宋体" w:cs="宋体"/>
          <w:color w:val="auto"/>
          <w:sz w:val="24"/>
          <w:szCs w:val="24"/>
          <w:highlight w:val="none"/>
        </w:rPr>
        <w:t>有政府采购法第七十一条、第七十二条规定的违法行为之一，影响或者可能影响中标结果的，依照下列规定处理：</w:t>
      </w:r>
    </w:p>
    <w:p>
      <w:pPr>
        <w:pStyle w:val="9"/>
        <w:snapToGrid w:val="0"/>
        <w:spacing w:line="336" w:lineRule="auto"/>
        <w:ind w:firstLine="464"/>
        <w:rPr>
          <w:rFonts w:hAnsi="宋体" w:cs="宋体"/>
          <w:color w:val="auto"/>
          <w:sz w:val="24"/>
          <w:szCs w:val="24"/>
          <w:highlight w:val="none"/>
        </w:rPr>
      </w:pPr>
      <w:r>
        <w:rPr>
          <w:rFonts w:hint="eastAsia" w:hAnsi="宋体" w:cs="宋体"/>
          <w:color w:val="auto"/>
          <w:sz w:val="24"/>
          <w:szCs w:val="24"/>
          <w:highlight w:val="none"/>
        </w:rPr>
        <w:t>7.1未确定中标供应商的，终止本次政府采购活动，重新开展政府采购活动。</w:t>
      </w:r>
    </w:p>
    <w:p>
      <w:pPr>
        <w:pStyle w:val="9"/>
        <w:snapToGrid w:val="0"/>
        <w:spacing w:line="336" w:lineRule="auto"/>
        <w:ind w:firstLine="464"/>
        <w:rPr>
          <w:rFonts w:hAnsi="宋体" w:cs="宋体"/>
          <w:color w:val="auto"/>
          <w:sz w:val="24"/>
          <w:szCs w:val="24"/>
          <w:highlight w:val="none"/>
        </w:rPr>
      </w:pPr>
      <w:r>
        <w:rPr>
          <w:rFonts w:hint="eastAsia" w:hAnsi="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36" w:lineRule="auto"/>
        <w:ind w:firstLine="464"/>
        <w:rPr>
          <w:rFonts w:hAnsi="宋体" w:cs="宋体"/>
          <w:color w:val="auto"/>
          <w:sz w:val="24"/>
          <w:szCs w:val="24"/>
          <w:highlight w:val="none"/>
        </w:rPr>
      </w:pPr>
      <w:r>
        <w:rPr>
          <w:rFonts w:hint="eastAsia" w:hAnsi="宋体" w:cs="宋体"/>
          <w:color w:val="auto"/>
          <w:sz w:val="24"/>
          <w:szCs w:val="24"/>
          <w:highlight w:val="none"/>
        </w:rPr>
        <w:t>7.3政府采购合同已签订但尚未履行的，撤销合同，从合格的中标候选人中另行确定中标供应商；没有合格的中标候选人的，重新开展政府采购活动。</w:t>
      </w:r>
    </w:p>
    <w:p>
      <w:pPr>
        <w:pStyle w:val="9"/>
        <w:snapToGrid w:val="0"/>
        <w:spacing w:line="336" w:lineRule="auto"/>
        <w:ind w:firstLine="464"/>
        <w:rPr>
          <w:rFonts w:hAnsi="宋体" w:cs="宋体"/>
          <w:color w:val="auto"/>
          <w:sz w:val="24"/>
          <w:szCs w:val="24"/>
          <w:highlight w:val="none"/>
        </w:rPr>
      </w:pPr>
      <w:r>
        <w:rPr>
          <w:rFonts w:hint="eastAsia" w:hAnsi="宋体" w:cs="宋体"/>
          <w:color w:val="auto"/>
          <w:sz w:val="24"/>
          <w:szCs w:val="24"/>
          <w:highlight w:val="none"/>
        </w:rPr>
        <w:t>7.4政府采购合同已经履行，给采购人、供应商造成损失的，由责任人承担赔偿责任。</w:t>
      </w:r>
    </w:p>
    <w:p>
      <w:pPr>
        <w:pStyle w:val="34"/>
        <w:spacing w:line="336"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4"/>
        <w:ind w:firstLine="482"/>
        <w:rPr>
          <w:color w:val="auto"/>
          <w:highlight w:val="none"/>
        </w:rPr>
      </w:pPr>
      <w:bookmarkStart w:id="103" w:name="_Toc7789"/>
      <w:r>
        <w:rPr>
          <w:rFonts w:hint="eastAsia"/>
          <w:color w:val="auto"/>
          <w:highlight w:val="none"/>
        </w:rPr>
        <w:t>五、评审纪律和要求</w:t>
      </w:r>
      <w:bookmarkEnd w:id="103"/>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pPr>
        <w:adjustRightInd w:val="0"/>
        <w:snapToGrid w:val="0"/>
        <w:spacing w:line="336" w:lineRule="auto"/>
        <w:ind w:firstLine="480"/>
        <w:rPr>
          <w:rFonts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13.评审专家应当配合采购代理机构答复投标人提出的质疑。</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14.评审专家应当配合财政部门的投诉处理工作。</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①明知应当回避而未主动回避的；</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③在评审过程中擅离职守，影响评审程序正常进行的；</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④在评审过程有明显不合理或者不正当倾向性的；</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⑤未按招标文件规定的评审方法和标准进行评审的。</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⑥上述①至⑤行为影响中标结果的，中标结果无效。</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政府采购评审专家与投标人存在利害关系未回避的，处2万元以上5万元以下的罚款，禁止其参加政府采购评审活动。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ind w:firstLine="480"/>
        <w:rPr>
          <w:rFonts w:ascii="宋体" w:hAnsi="宋体" w:cs="宋体"/>
          <w:b/>
          <w:color w:val="auto"/>
          <w:sz w:val="36"/>
          <w:szCs w:val="20"/>
          <w:highlight w:val="none"/>
        </w:rPr>
      </w:pPr>
      <w:r>
        <w:rPr>
          <w:rFonts w:hint="eastAsia" w:ascii="宋体" w:hAnsi="宋体" w:cs="宋体"/>
          <w:color w:val="auto"/>
          <w:highlight w:val="none"/>
        </w:rPr>
        <w:t>政府采购评审专家有上述违法行为的，其评审意见无效，不得获取评审费；有违法所得的，没收违法所得；给他人造成损失的，依法承担民事责任。</w:t>
      </w:r>
    </w:p>
    <w:p>
      <w:pPr>
        <w:ind w:firstLine="480"/>
        <w:rPr>
          <w:rFonts w:asciiTheme="minorEastAsia" w:hAnsiTheme="minorEastAsia" w:eastAsiaTheme="minorEastAsia" w:cstheme="minorEastAsia"/>
          <w:color w:val="auto"/>
          <w:highlight w:val="none"/>
        </w:rPr>
        <w:sectPr>
          <w:headerReference r:id="rId18" w:type="default"/>
          <w:headerReference r:id="rId19" w:type="even"/>
          <w:pgSz w:w="11906" w:h="16838"/>
          <w:pgMar w:top="1247" w:right="1134" w:bottom="1247" w:left="1134" w:header="567" w:footer="567" w:gutter="0"/>
          <w:cols w:space="0" w:num="1"/>
          <w:docGrid w:type="lines" w:linePitch="328" w:charSpace="0"/>
        </w:sectPr>
      </w:pPr>
      <w:r>
        <w:rPr>
          <w:rFonts w:hint="eastAsia" w:asciiTheme="minorEastAsia" w:hAnsiTheme="minorEastAsia" w:eastAsiaTheme="minorEastAsia" w:cstheme="minorEastAsia"/>
          <w:color w:val="auto"/>
          <w:highlight w:val="none"/>
        </w:rPr>
        <w:br w:type="page"/>
      </w:r>
    </w:p>
    <w:p>
      <w:pPr>
        <w:pStyle w:val="3"/>
        <w:rPr>
          <w:color w:val="auto"/>
          <w:highlight w:val="none"/>
        </w:rPr>
      </w:pPr>
      <w:bookmarkStart w:id="104" w:name="_Toc29686"/>
      <w:bookmarkStart w:id="105" w:name="_Toc6329"/>
      <w:r>
        <w:rPr>
          <w:rFonts w:hint="eastAsia"/>
          <w:color w:val="auto"/>
          <w:highlight w:val="none"/>
        </w:rPr>
        <w:t>第五部分 拟签订的合同文本</w:t>
      </w:r>
      <w:bookmarkEnd w:id="104"/>
      <w:bookmarkEnd w:id="105"/>
    </w:p>
    <w:p>
      <w:pPr>
        <w:ind w:firstLine="472" w:firstLineChars="196"/>
        <w:jc w:val="right"/>
        <w:rPr>
          <w:rFonts w:ascii="宋体" w:hAnsi="宋体" w:cs="宋体"/>
          <w:b/>
          <w:color w:val="auto"/>
          <w:highlight w:val="none"/>
        </w:rPr>
      </w:pPr>
    </w:p>
    <w:p>
      <w:pPr>
        <w:pStyle w:val="31"/>
        <w:spacing w:line="360" w:lineRule="auto"/>
        <w:ind w:left="238" w:leftChars="99" w:firstLine="3960" w:firstLineChars="1650"/>
        <w:jc w:val="center"/>
        <w:rPr>
          <w:rFonts w:hAnsi="宋体" w:cs="宋体"/>
          <w:color w:val="auto"/>
          <w:highlight w:val="none"/>
        </w:rPr>
      </w:pPr>
      <w:r>
        <w:rPr>
          <w:rFonts w:hint="eastAsia" w:hAnsi="宋体" w:cs="宋体"/>
          <w:color w:val="auto"/>
          <w:highlight w:val="none"/>
        </w:rPr>
        <w:t xml:space="preserve">    </w:t>
      </w:r>
    </w:p>
    <w:p>
      <w:pPr>
        <w:ind w:firstLine="0" w:firstLineChars="0"/>
        <w:jc w:val="center"/>
        <w:rPr>
          <w:rFonts w:hint="eastAsia" w:eastAsia="宋体"/>
          <w:b/>
          <w:bCs/>
          <w:color w:val="auto"/>
          <w:w w:val="72"/>
          <w:sz w:val="96"/>
          <w:szCs w:val="96"/>
          <w:highlight w:val="none"/>
          <w:lang w:eastAsia="zh-CN"/>
        </w:rPr>
      </w:pPr>
      <w:r>
        <w:rPr>
          <w:rFonts w:hint="eastAsia" w:ascii="宋体" w:hAnsi="宋体" w:cs="宋体"/>
          <w:b/>
          <w:bCs/>
          <w:color w:val="auto"/>
          <w:spacing w:val="-11"/>
          <w:w w:val="72"/>
          <w:sz w:val="52"/>
          <w:szCs w:val="52"/>
          <w:highlight w:val="none"/>
          <w:lang w:eastAsia="zh-CN"/>
        </w:rPr>
        <w:t>浦江县通济桥水库灌区续建配套与节水改造项目（2023-2024年）（金属结构）设备采购项目（重新招标）</w:t>
      </w:r>
    </w:p>
    <w:p>
      <w:pPr>
        <w:ind w:firstLine="0" w:firstLineChars="0"/>
        <w:jc w:val="center"/>
        <w:rPr>
          <w:b/>
          <w:bCs/>
          <w:color w:val="auto"/>
          <w:sz w:val="96"/>
          <w:szCs w:val="96"/>
          <w:highlight w:val="none"/>
        </w:rPr>
      </w:pPr>
    </w:p>
    <w:p>
      <w:pPr>
        <w:ind w:firstLine="0" w:firstLineChars="0"/>
        <w:jc w:val="center"/>
        <w:rPr>
          <w:rFonts w:ascii="宋体" w:hAnsi="宋体" w:cs="宋体"/>
          <w:b/>
          <w:bCs/>
          <w:color w:val="auto"/>
          <w:spacing w:val="45"/>
          <w:w w:val="70"/>
          <w:sz w:val="92"/>
          <w:szCs w:val="92"/>
          <w:highlight w:val="none"/>
        </w:rPr>
      </w:pPr>
      <w:r>
        <w:rPr>
          <w:rFonts w:hint="eastAsia" w:ascii="宋体" w:hAnsi="宋体" w:cs="宋体"/>
          <w:b/>
          <w:bCs/>
          <w:color w:val="auto"/>
          <w:spacing w:val="45"/>
          <w:w w:val="70"/>
          <w:sz w:val="92"/>
          <w:szCs w:val="92"/>
          <w:highlight w:val="none"/>
        </w:rPr>
        <w:t>货 物 合 同</w:t>
      </w:r>
    </w:p>
    <w:p>
      <w:pPr>
        <w:ind w:firstLine="0" w:firstLineChars="0"/>
        <w:jc w:val="center"/>
        <w:rPr>
          <w:b/>
          <w:bCs/>
          <w:color w:val="auto"/>
          <w:sz w:val="48"/>
          <w:szCs w:val="48"/>
          <w:highlight w:val="none"/>
        </w:rPr>
      </w:pPr>
      <w:r>
        <w:rPr>
          <w:rFonts w:hint="eastAsia"/>
          <w:b/>
          <w:bCs/>
          <w:color w:val="auto"/>
          <w:w w:val="80"/>
          <w:sz w:val="48"/>
          <w:szCs w:val="48"/>
          <w:highlight w:val="none"/>
        </w:rPr>
        <w:t>（</w:t>
      </w:r>
      <w:r>
        <w:rPr>
          <w:rFonts w:hint="eastAsia"/>
          <w:b/>
          <w:bCs/>
          <w:color w:val="auto"/>
          <w:spacing w:val="20"/>
          <w:w w:val="80"/>
          <w:sz w:val="48"/>
          <w:szCs w:val="48"/>
          <w:highlight w:val="none"/>
        </w:rPr>
        <w:t>合同编号</w:t>
      </w:r>
      <w:r>
        <w:rPr>
          <w:rFonts w:hint="eastAsia"/>
          <w:b/>
          <w:bCs/>
          <w:color w:val="auto"/>
          <w:w w:val="80"/>
          <w:sz w:val="48"/>
          <w:szCs w:val="48"/>
          <w:highlight w:val="none"/>
          <w:u w:val="single"/>
        </w:rPr>
        <w:t xml:space="preserve">：            </w:t>
      </w:r>
      <w:r>
        <w:rPr>
          <w:rFonts w:hint="eastAsia"/>
          <w:b/>
          <w:bCs/>
          <w:color w:val="auto"/>
          <w:w w:val="80"/>
          <w:sz w:val="48"/>
          <w:szCs w:val="48"/>
          <w:highlight w:val="none"/>
        </w:rPr>
        <w:t>）</w:t>
      </w: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tabs>
          <w:tab w:val="left" w:pos="1878"/>
        </w:tabs>
        <w:spacing w:line="384" w:lineRule="auto"/>
        <w:ind w:firstLine="1446" w:firstLineChars="400"/>
        <w:jc w:val="left"/>
        <w:rPr>
          <w:rFonts w:ascii="宋体" w:hAnsi="宋体" w:cs="宋体"/>
          <w:b/>
          <w:bCs/>
          <w:color w:val="auto"/>
          <w:spacing w:val="20"/>
          <w:w w:val="80"/>
          <w:sz w:val="40"/>
          <w:szCs w:val="40"/>
          <w:highlight w:val="none"/>
        </w:rPr>
      </w:pPr>
    </w:p>
    <w:p>
      <w:pPr>
        <w:ind w:firstLine="727"/>
        <w:rPr>
          <w:rFonts w:hint="eastAsia" w:ascii="宋体" w:hAnsi="宋体" w:eastAsia="宋体" w:cs="宋体"/>
          <w:b/>
          <w:bCs/>
          <w:color w:val="auto"/>
          <w:spacing w:val="20"/>
          <w:w w:val="80"/>
          <w:sz w:val="40"/>
          <w:szCs w:val="40"/>
          <w:highlight w:val="none"/>
          <w:u w:val="single"/>
          <w:lang w:eastAsia="zh-CN"/>
        </w:rPr>
      </w:pPr>
      <w:r>
        <w:rPr>
          <w:rFonts w:hint="eastAsia" w:ascii="宋体" w:hAnsi="宋体" w:cs="宋体"/>
          <w:b/>
          <w:bCs/>
          <w:color w:val="auto"/>
          <w:spacing w:val="20"/>
          <w:w w:val="80"/>
          <w:sz w:val="40"/>
          <w:szCs w:val="40"/>
          <w:highlight w:val="none"/>
        </w:rPr>
        <w:t>委托方（甲方）：</w:t>
      </w:r>
      <w:r>
        <w:rPr>
          <w:rFonts w:hint="eastAsia" w:ascii="宋体" w:hAnsi="宋体" w:cs="宋体"/>
          <w:b/>
          <w:bCs/>
          <w:color w:val="auto"/>
          <w:spacing w:val="20"/>
          <w:w w:val="80"/>
          <w:sz w:val="40"/>
          <w:szCs w:val="40"/>
          <w:highlight w:val="none"/>
          <w:lang w:eastAsia="zh-CN"/>
        </w:rPr>
        <w:t>浦江县浦阳江流域管理中心</w:t>
      </w:r>
    </w:p>
    <w:p>
      <w:pPr>
        <w:tabs>
          <w:tab w:val="left" w:pos="1878"/>
        </w:tabs>
        <w:spacing w:line="384" w:lineRule="auto"/>
        <w:ind w:firstLine="727"/>
        <w:jc w:val="left"/>
        <w:rPr>
          <w:rFonts w:ascii="宋体" w:hAnsi="宋体" w:cs="宋体"/>
          <w:b/>
          <w:bCs/>
          <w:color w:val="auto"/>
          <w:spacing w:val="20"/>
          <w:w w:val="80"/>
          <w:sz w:val="40"/>
          <w:szCs w:val="40"/>
          <w:highlight w:val="none"/>
          <w:u w:val="single"/>
        </w:rPr>
      </w:pPr>
      <w:r>
        <w:rPr>
          <w:rFonts w:hint="eastAsia" w:ascii="宋体" w:hAnsi="宋体" w:cs="宋体"/>
          <w:b/>
          <w:bCs/>
          <w:color w:val="auto"/>
          <w:spacing w:val="20"/>
          <w:w w:val="80"/>
          <w:sz w:val="40"/>
          <w:szCs w:val="40"/>
          <w:highlight w:val="none"/>
        </w:rPr>
        <w:t>受托方（乙方）：</w:t>
      </w:r>
    </w:p>
    <w:p>
      <w:pPr>
        <w:tabs>
          <w:tab w:val="left" w:pos="1878"/>
        </w:tabs>
        <w:spacing w:line="384" w:lineRule="auto"/>
        <w:ind w:firstLine="727"/>
        <w:jc w:val="left"/>
        <w:rPr>
          <w:rFonts w:ascii="宋体" w:hAnsi="宋体" w:cs="宋体"/>
          <w:b/>
          <w:bCs/>
          <w:color w:val="auto"/>
          <w:spacing w:val="20"/>
          <w:w w:val="80"/>
          <w:sz w:val="40"/>
          <w:szCs w:val="40"/>
          <w:highlight w:val="none"/>
          <w:u w:val="single"/>
        </w:rPr>
      </w:pPr>
      <w:r>
        <w:rPr>
          <w:rFonts w:hint="eastAsia" w:ascii="宋体" w:hAnsi="宋体" w:cs="宋体"/>
          <w:b/>
          <w:bCs/>
          <w:color w:val="auto"/>
          <w:spacing w:val="20"/>
          <w:w w:val="80"/>
          <w:sz w:val="40"/>
          <w:szCs w:val="40"/>
          <w:highlight w:val="none"/>
        </w:rPr>
        <w:t>签订地点：</w:t>
      </w:r>
    </w:p>
    <w:p>
      <w:pPr>
        <w:spacing w:line="384" w:lineRule="auto"/>
        <w:ind w:firstLine="727"/>
        <w:jc w:val="left"/>
        <w:rPr>
          <w:rFonts w:ascii="宋体" w:hAnsi="宋体" w:cs="宋体"/>
          <w:b/>
          <w:bCs/>
          <w:color w:val="auto"/>
          <w:spacing w:val="20"/>
          <w:w w:val="80"/>
          <w:sz w:val="40"/>
          <w:szCs w:val="40"/>
          <w:highlight w:val="none"/>
        </w:rPr>
      </w:pPr>
      <w:r>
        <w:rPr>
          <w:rFonts w:hint="eastAsia" w:ascii="宋体" w:hAnsi="宋体" w:cs="宋体"/>
          <w:b/>
          <w:bCs/>
          <w:color w:val="auto"/>
          <w:spacing w:val="20"/>
          <w:w w:val="80"/>
          <w:sz w:val="40"/>
          <w:szCs w:val="40"/>
          <w:highlight w:val="none"/>
        </w:rPr>
        <w:t>签订日期：     年   月   日</w:t>
      </w:r>
    </w:p>
    <w:p>
      <w:pPr>
        <w:ind w:firstLine="727"/>
        <w:rPr>
          <w:rFonts w:ascii="宋体" w:hAnsi="宋体" w:cs="宋体"/>
          <w:b/>
          <w:bCs/>
          <w:color w:val="auto"/>
          <w:spacing w:val="20"/>
          <w:w w:val="80"/>
          <w:sz w:val="40"/>
          <w:szCs w:val="40"/>
          <w:highlight w:val="none"/>
        </w:rPr>
      </w:pPr>
      <w:r>
        <w:rPr>
          <w:rFonts w:hint="eastAsia" w:ascii="宋体" w:hAnsi="宋体" w:cs="宋体"/>
          <w:b/>
          <w:bCs/>
          <w:color w:val="auto"/>
          <w:spacing w:val="20"/>
          <w:w w:val="80"/>
          <w:sz w:val="40"/>
          <w:szCs w:val="40"/>
          <w:highlight w:val="none"/>
        </w:rPr>
        <w:br w:type="page"/>
      </w:r>
    </w:p>
    <w:p>
      <w:pPr>
        <w:pStyle w:val="2"/>
        <w:spacing w:before="164"/>
        <w:ind w:firstLine="0" w:firstLineChars="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合同协议书</w:t>
      </w:r>
    </w:p>
    <w:p>
      <w:pPr>
        <w:widowControl/>
        <w:kinsoku w:val="0"/>
        <w:autoSpaceDE w:val="0"/>
        <w:autoSpaceDN w:val="0"/>
        <w:adjustRightInd w:val="0"/>
        <w:snapToGrid w:val="0"/>
        <w:ind w:firstLine="480"/>
        <w:textAlignment w:val="baseline"/>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（采购单位全称）  </w:t>
      </w:r>
      <w:r>
        <w:rPr>
          <w:rFonts w:hint="eastAsia" w:ascii="宋体" w:hAnsi="宋体" w:cs="宋体"/>
          <w:color w:val="auto"/>
          <w:highlight w:val="none"/>
        </w:rPr>
        <w:t xml:space="preserve">  </w:t>
      </w:r>
    </w:p>
    <w:p>
      <w:pPr>
        <w:widowControl/>
        <w:kinsoku w:val="0"/>
        <w:autoSpaceDE w:val="0"/>
        <w:autoSpaceDN w:val="0"/>
        <w:adjustRightInd w:val="0"/>
        <w:snapToGrid w:val="0"/>
        <w:ind w:firstLine="480"/>
        <w:textAlignment w:val="baseline"/>
        <w:rPr>
          <w:rFonts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中标</w:t>
      </w:r>
      <w:r>
        <w:rPr>
          <w:rFonts w:hint="eastAsia" w:ascii="宋体" w:hAnsi="宋体" w:cs="宋体"/>
          <w:color w:val="auto"/>
          <w:highlight w:val="none"/>
          <w:u w:val="single"/>
        </w:rPr>
        <w:t xml:space="preserve">单位全称）  </w:t>
      </w:r>
    </w:p>
    <w:p>
      <w:pPr>
        <w:spacing w:line="560" w:lineRule="exact"/>
        <w:ind w:firstLine="480"/>
        <w:rPr>
          <w:rFonts w:ascii="宋体" w:hAnsi="宋体" w:cs="宋体"/>
          <w:color w:val="auto"/>
          <w:highlight w:val="none"/>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rPr>
        <w:t>，</w:t>
      </w:r>
      <w:r>
        <w:rPr>
          <w:rFonts w:hint="eastAsia" w:ascii="宋体" w:hAnsi="宋体" w:cs="宋体"/>
          <w:color w:val="auto"/>
          <w:highlight w:val="none"/>
          <w:u w:val="single"/>
        </w:rPr>
        <w:t xml:space="preserve">   （采购人）   </w:t>
      </w:r>
      <w:r>
        <w:rPr>
          <w:rFonts w:hint="eastAsia" w:ascii="宋体" w:hAnsi="宋体" w:cs="宋体"/>
          <w:color w:val="auto"/>
          <w:highlight w:val="none"/>
        </w:rPr>
        <w:t>以</w:t>
      </w:r>
      <w:r>
        <w:rPr>
          <w:rFonts w:hint="eastAsia" w:ascii="宋体" w:hAnsi="宋体" w:cs="宋体"/>
          <w:color w:val="auto"/>
          <w:highlight w:val="none"/>
          <w:u w:val="single"/>
        </w:rPr>
        <w:t xml:space="preserve">   （政府采购方式）  </w:t>
      </w:r>
      <w:r>
        <w:rPr>
          <w:rFonts w:hint="eastAsia" w:ascii="宋体" w:hAnsi="宋体" w:cs="宋体"/>
          <w:color w:val="auto"/>
          <w:highlight w:val="none"/>
        </w:rPr>
        <w:t>对</w:t>
      </w:r>
      <w:r>
        <w:rPr>
          <w:rFonts w:hint="eastAsia" w:ascii="宋体" w:hAnsi="宋体" w:cs="宋体"/>
          <w:color w:val="auto"/>
          <w:highlight w:val="none"/>
          <w:u w:val="single"/>
        </w:rPr>
        <w:t xml:space="preserve">   （项目名称、编号）   </w:t>
      </w:r>
      <w:r>
        <w:rPr>
          <w:rFonts w:hint="eastAsia" w:ascii="宋体" w:hAnsi="宋体" w:cs="宋体"/>
          <w:color w:val="auto"/>
          <w:highlight w:val="none"/>
        </w:rPr>
        <w:t>项目进行了采购。经</w:t>
      </w:r>
      <w:r>
        <w:rPr>
          <w:rFonts w:hint="eastAsia" w:ascii="宋体" w:hAnsi="宋体" w:cs="宋体"/>
          <w:color w:val="auto"/>
          <w:highlight w:val="none"/>
          <w:u w:val="single"/>
        </w:rPr>
        <w:t xml:space="preserve">   （相关评定主体名称）   </w:t>
      </w:r>
      <w:r>
        <w:rPr>
          <w:rFonts w:hint="eastAsia" w:ascii="宋体" w:hAnsi="宋体" w:cs="宋体"/>
          <w:color w:val="auto"/>
          <w:highlight w:val="none"/>
        </w:rPr>
        <w:t>评定，</w:t>
      </w:r>
      <w:r>
        <w:rPr>
          <w:rFonts w:hint="eastAsia" w:ascii="宋体" w:hAnsi="宋体" w:cs="宋体"/>
          <w:color w:val="auto"/>
          <w:highlight w:val="none"/>
          <w:u w:val="single"/>
        </w:rPr>
        <w:t xml:space="preserve">   （中标或者成交供应商名称）</w:t>
      </w:r>
      <w:r>
        <w:rPr>
          <w:rFonts w:hint="eastAsia" w:ascii="宋体" w:hAnsi="宋体" w:cs="宋体"/>
          <w:color w:val="auto"/>
          <w:highlight w:val="none"/>
        </w:rPr>
        <w:t>为该项目中标或者成交供应商。现于中标或者成交通知书发出之日起10个工作日内，按照采购文件等确定的事项签订本合同。</w:t>
      </w:r>
    </w:p>
    <w:p>
      <w:pPr>
        <w:spacing w:line="560" w:lineRule="exact"/>
        <w:ind w:firstLine="480"/>
        <w:rPr>
          <w:rFonts w:ascii="宋体" w:hAnsi="宋体" w:cs="宋体"/>
          <w:color w:val="auto"/>
          <w:highlight w:val="none"/>
        </w:rPr>
      </w:pPr>
      <w:r>
        <w:rPr>
          <w:rFonts w:hint="eastAsia" w:ascii="宋体" w:hAnsi="宋体" w:cs="宋体"/>
          <w:color w:val="auto"/>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highlight w:val="none"/>
          <w:u w:val="single"/>
        </w:rPr>
        <w:t xml:space="preserve">   （采购人）   </w:t>
      </w:r>
      <w:r>
        <w:rPr>
          <w:rFonts w:hint="eastAsia" w:ascii="宋体" w:hAnsi="宋体" w:cs="宋体"/>
          <w:color w:val="auto"/>
          <w:highlight w:val="none"/>
          <w:lang w:val="zh-CN"/>
        </w:rPr>
        <w:t>(以下简称：甲方)和</w:t>
      </w:r>
      <w:r>
        <w:rPr>
          <w:rFonts w:hint="eastAsia" w:ascii="宋体" w:hAnsi="宋体" w:cs="宋体"/>
          <w:color w:val="auto"/>
          <w:highlight w:val="none"/>
          <w:u w:val="single"/>
        </w:rPr>
        <w:t xml:space="preserve">   （中标或者成交供应商名称）   </w:t>
      </w:r>
      <w:r>
        <w:rPr>
          <w:rFonts w:hint="eastAsia" w:ascii="宋体" w:hAnsi="宋体" w:cs="宋体"/>
          <w:color w:val="auto"/>
          <w:highlight w:val="none"/>
          <w:lang w:val="zh-CN"/>
        </w:rPr>
        <w:t>(以下简称：乙方)协商一致，约定以下合同</w:t>
      </w:r>
      <w:r>
        <w:rPr>
          <w:rFonts w:hint="eastAsia" w:ascii="宋体" w:hAnsi="宋体" w:cs="宋体"/>
          <w:color w:val="auto"/>
          <w:highlight w:val="none"/>
        </w:rPr>
        <w:t>条款，以兹共同遵守、全面履行。</w:t>
      </w:r>
    </w:p>
    <w:p>
      <w:pPr>
        <w:spacing w:line="560" w:lineRule="exact"/>
        <w:ind w:firstLine="482"/>
        <w:rPr>
          <w:rFonts w:ascii="宋体" w:hAnsi="宋体" w:cs="宋体"/>
          <w:b/>
          <w:color w:val="auto"/>
          <w:highlight w:val="none"/>
        </w:rPr>
      </w:pPr>
      <w:bookmarkStart w:id="106" w:name="_Toc24059"/>
      <w:bookmarkStart w:id="107" w:name="_Toc3029"/>
      <w:bookmarkStart w:id="108" w:name="_Toc2232"/>
      <w:r>
        <w:rPr>
          <w:rFonts w:hint="eastAsia" w:ascii="宋体" w:hAnsi="宋体" w:cs="宋体"/>
          <w:b/>
          <w:color w:val="auto"/>
          <w:highlight w:val="none"/>
        </w:rPr>
        <w:t>1.合同组成部分</w:t>
      </w:r>
      <w:bookmarkEnd w:id="106"/>
      <w:bookmarkEnd w:id="107"/>
      <w:bookmarkEnd w:id="108"/>
    </w:p>
    <w:p>
      <w:pPr>
        <w:spacing w:line="560" w:lineRule="exact"/>
        <w:ind w:firstLine="480"/>
        <w:rPr>
          <w:rFonts w:ascii="宋体" w:hAnsi="宋体" w:cs="宋体"/>
          <w:color w:val="auto"/>
          <w:highlight w:val="none"/>
        </w:rPr>
      </w:pPr>
      <w:r>
        <w:rPr>
          <w:rFonts w:hint="eastAsia" w:ascii="宋体" w:hAnsi="宋体" w:cs="宋体"/>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rPr>
          <w:rFonts w:ascii="宋体" w:hAnsi="宋体" w:cs="宋体"/>
          <w:color w:val="auto"/>
          <w:highlight w:val="none"/>
        </w:rPr>
      </w:pPr>
      <w:r>
        <w:rPr>
          <w:rFonts w:hint="eastAsia" w:ascii="宋体" w:hAnsi="宋体" w:cs="宋体"/>
          <w:color w:val="auto"/>
          <w:highlight w:val="none"/>
        </w:rPr>
        <w:t>1.1 本合同及其补充合同、变更协议；</w:t>
      </w:r>
    </w:p>
    <w:p>
      <w:pPr>
        <w:spacing w:line="560" w:lineRule="exact"/>
        <w:ind w:firstLine="480"/>
        <w:rPr>
          <w:rFonts w:ascii="宋体" w:hAnsi="宋体" w:cs="宋体"/>
          <w:color w:val="auto"/>
          <w:highlight w:val="none"/>
        </w:rPr>
      </w:pPr>
      <w:r>
        <w:rPr>
          <w:rFonts w:hint="eastAsia" w:ascii="宋体" w:hAnsi="宋体" w:cs="宋体"/>
          <w:color w:val="auto"/>
          <w:highlight w:val="none"/>
        </w:rPr>
        <w:t>1.2 中标或者成交通知书；</w:t>
      </w:r>
    </w:p>
    <w:p>
      <w:pPr>
        <w:spacing w:line="560" w:lineRule="exact"/>
        <w:ind w:firstLine="480"/>
        <w:rPr>
          <w:rFonts w:ascii="宋体" w:hAnsi="宋体" w:cs="宋体"/>
          <w:color w:val="auto"/>
          <w:highlight w:val="none"/>
        </w:rPr>
      </w:pPr>
      <w:r>
        <w:rPr>
          <w:rFonts w:hint="eastAsia" w:ascii="宋体" w:hAnsi="宋体" w:cs="宋体"/>
          <w:color w:val="auto"/>
          <w:highlight w:val="none"/>
        </w:rPr>
        <w:t>1.3 投标或者响应文件（含澄清或者说明文件）；</w:t>
      </w:r>
    </w:p>
    <w:p>
      <w:pPr>
        <w:spacing w:line="560" w:lineRule="exact"/>
        <w:ind w:firstLine="480"/>
        <w:rPr>
          <w:rFonts w:ascii="宋体" w:hAnsi="宋体" w:cs="宋体"/>
          <w:color w:val="auto"/>
          <w:highlight w:val="none"/>
        </w:rPr>
      </w:pPr>
      <w:r>
        <w:rPr>
          <w:rFonts w:hint="eastAsia" w:ascii="宋体" w:hAnsi="宋体" w:cs="宋体"/>
          <w:color w:val="auto"/>
          <w:highlight w:val="none"/>
        </w:rPr>
        <w:t>1.4 采购文件（含澄清或者修改文件）；</w:t>
      </w:r>
    </w:p>
    <w:p>
      <w:pPr>
        <w:spacing w:line="560" w:lineRule="exact"/>
        <w:ind w:firstLine="480"/>
        <w:rPr>
          <w:rFonts w:ascii="宋体" w:hAnsi="宋体" w:cs="宋体"/>
          <w:color w:val="auto"/>
          <w:highlight w:val="none"/>
        </w:rPr>
      </w:pPr>
      <w:r>
        <w:rPr>
          <w:rFonts w:hint="eastAsia" w:ascii="宋体" w:hAnsi="宋体" w:cs="宋体"/>
          <w:color w:val="auto"/>
          <w:highlight w:val="none"/>
        </w:rPr>
        <w:t>1.5 其他相关采购文件。</w:t>
      </w:r>
    </w:p>
    <w:p>
      <w:pPr>
        <w:spacing w:line="560" w:lineRule="exact"/>
        <w:ind w:firstLine="482"/>
        <w:rPr>
          <w:rFonts w:ascii="宋体" w:hAnsi="宋体" w:cs="宋体"/>
          <w:b/>
          <w:color w:val="auto"/>
          <w:highlight w:val="none"/>
        </w:rPr>
      </w:pPr>
      <w:r>
        <w:rPr>
          <w:rFonts w:hint="eastAsia" w:ascii="宋体" w:hAnsi="宋体" w:cs="宋体"/>
          <w:b/>
          <w:color w:val="auto"/>
          <w:highlight w:val="none"/>
        </w:rPr>
        <w:t>2.合同产品和服务名称、数量及价格</w:t>
      </w:r>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vAlign w:val="center"/>
          </w:tcPr>
          <w:p>
            <w:pPr>
              <w:autoSpaceDE w:val="0"/>
              <w:autoSpaceDN w:val="0"/>
              <w:adjustRightInd w:val="0"/>
              <w:spacing w:line="354" w:lineRule="exact"/>
              <w:ind w:firstLine="0" w:firstLineChars="0"/>
              <w:rPr>
                <w:rFonts w:ascii="宋体" w:hAnsi="宋体" w:cs="宋体"/>
                <w:color w:val="auto"/>
                <w:kern w:val="0"/>
                <w:highlight w:val="none"/>
              </w:rPr>
            </w:pPr>
            <w:r>
              <w:rPr>
                <w:rFonts w:hint="eastAsia" w:ascii="宋体" w:hAnsi="宋体" w:cs="宋体"/>
                <w:color w:val="auto"/>
                <w:kern w:val="0"/>
                <w:highlight w:val="none"/>
              </w:rPr>
              <w:t>产品名称</w:t>
            </w:r>
          </w:p>
        </w:tc>
        <w:tc>
          <w:tcPr>
            <w:tcW w:w="2568" w:type="dxa"/>
            <w:vAlign w:val="center"/>
          </w:tcPr>
          <w:p>
            <w:pPr>
              <w:autoSpaceDE w:val="0"/>
              <w:autoSpaceDN w:val="0"/>
              <w:adjustRightInd w:val="0"/>
              <w:spacing w:line="354" w:lineRule="exact"/>
              <w:ind w:firstLine="0" w:firstLineChars="0"/>
              <w:rPr>
                <w:rFonts w:ascii="宋体" w:hAnsi="宋体" w:cs="宋体"/>
                <w:color w:val="auto"/>
                <w:kern w:val="0"/>
                <w:highlight w:val="none"/>
              </w:rPr>
            </w:pPr>
            <w:r>
              <w:rPr>
                <w:rFonts w:hint="eastAsia" w:ascii="宋体" w:hAnsi="宋体" w:cs="宋体"/>
                <w:color w:val="auto"/>
                <w:kern w:val="0"/>
                <w:highlight w:val="none"/>
              </w:rPr>
              <w:t>型号</w:t>
            </w:r>
          </w:p>
        </w:tc>
        <w:tc>
          <w:tcPr>
            <w:tcW w:w="914" w:type="dxa"/>
            <w:vAlign w:val="center"/>
          </w:tcPr>
          <w:p>
            <w:pPr>
              <w:autoSpaceDE w:val="0"/>
              <w:autoSpaceDN w:val="0"/>
              <w:adjustRightInd w:val="0"/>
              <w:spacing w:line="354" w:lineRule="exact"/>
              <w:ind w:firstLine="0" w:firstLineChars="0"/>
              <w:rPr>
                <w:rFonts w:ascii="宋体" w:hAnsi="宋体" w:cs="宋体"/>
                <w:color w:val="auto"/>
                <w:kern w:val="0"/>
                <w:highlight w:val="none"/>
              </w:rPr>
            </w:pPr>
            <w:r>
              <w:rPr>
                <w:rFonts w:hint="eastAsia" w:ascii="宋体" w:hAnsi="宋体" w:cs="宋体"/>
                <w:color w:val="auto"/>
                <w:kern w:val="0"/>
                <w:highlight w:val="none"/>
              </w:rPr>
              <w:t>数量</w:t>
            </w:r>
          </w:p>
        </w:tc>
        <w:tc>
          <w:tcPr>
            <w:tcW w:w="1253" w:type="dxa"/>
            <w:vAlign w:val="center"/>
          </w:tcPr>
          <w:p>
            <w:pPr>
              <w:autoSpaceDE w:val="0"/>
              <w:autoSpaceDN w:val="0"/>
              <w:adjustRightInd w:val="0"/>
              <w:spacing w:line="354" w:lineRule="exact"/>
              <w:ind w:firstLine="0" w:firstLineChars="0"/>
              <w:rPr>
                <w:rFonts w:ascii="宋体" w:hAnsi="宋体" w:cs="宋体"/>
                <w:color w:val="auto"/>
                <w:kern w:val="0"/>
                <w:highlight w:val="none"/>
              </w:rPr>
            </w:pPr>
            <w:r>
              <w:rPr>
                <w:rFonts w:hint="eastAsia" w:ascii="宋体" w:hAnsi="宋体" w:cs="宋体"/>
                <w:color w:val="auto"/>
                <w:kern w:val="0"/>
                <w:highlight w:val="none"/>
              </w:rPr>
              <w:t>单价</w:t>
            </w:r>
          </w:p>
        </w:tc>
        <w:tc>
          <w:tcPr>
            <w:tcW w:w="1891" w:type="dxa"/>
            <w:vAlign w:val="center"/>
          </w:tcPr>
          <w:p>
            <w:pPr>
              <w:autoSpaceDE w:val="0"/>
              <w:autoSpaceDN w:val="0"/>
              <w:adjustRightInd w:val="0"/>
              <w:spacing w:line="354" w:lineRule="exact"/>
              <w:ind w:firstLine="0" w:firstLineChars="0"/>
              <w:rPr>
                <w:rFonts w:ascii="宋体" w:hAnsi="宋体" w:cs="宋体"/>
                <w:color w:val="auto"/>
                <w:kern w:val="0"/>
                <w:highlight w:val="none"/>
              </w:rPr>
            </w:pPr>
            <w:r>
              <w:rPr>
                <w:rFonts w:hint="eastAsia" w:ascii="宋体" w:hAnsi="宋体" w:cs="宋体"/>
                <w:color w:val="auto"/>
                <w:kern w:val="0"/>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pPr>
              <w:spacing w:line="0" w:lineRule="atLeast"/>
              <w:ind w:left="-105" w:right="-114" w:firstLine="480"/>
              <w:jc w:val="center"/>
              <w:rPr>
                <w:rFonts w:ascii="宋体" w:hAnsi="宋体" w:cs="宋体"/>
                <w:color w:val="auto"/>
                <w:highlight w:val="none"/>
              </w:rPr>
            </w:pPr>
          </w:p>
        </w:tc>
        <w:tc>
          <w:tcPr>
            <w:tcW w:w="2568" w:type="dxa"/>
            <w:vAlign w:val="center"/>
          </w:tcPr>
          <w:p>
            <w:pPr>
              <w:spacing w:line="240" w:lineRule="auto"/>
              <w:ind w:firstLine="480"/>
              <w:jc w:val="center"/>
              <w:rPr>
                <w:rFonts w:ascii="宋体" w:hAnsi="宋体" w:cs="宋体"/>
                <w:color w:val="auto"/>
                <w:highlight w:val="none"/>
              </w:rPr>
            </w:pPr>
          </w:p>
        </w:tc>
        <w:tc>
          <w:tcPr>
            <w:tcW w:w="914" w:type="dxa"/>
            <w:vAlign w:val="center"/>
          </w:tcPr>
          <w:p>
            <w:pPr>
              <w:spacing w:line="240" w:lineRule="auto"/>
              <w:ind w:firstLine="480"/>
              <w:jc w:val="center"/>
              <w:rPr>
                <w:rFonts w:ascii="宋体" w:hAnsi="宋体" w:cs="宋体"/>
                <w:color w:val="auto"/>
                <w:highlight w:val="none"/>
              </w:rPr>
            </w:pPr>
          </w:p>
        </w:tc>
        <w:tc>
          <w:tcPr>
            <w:tcW w:w="1253" w:type="dxa"/>
            <w:vAlign w:val="center"/>
          </w:tcPr>
          <w:p>
            <w:pPr>
              <w:spacing w:line="0" w:lineRule="atLeast"/>
              <w:ind w:firstLine="480"/>
              <w:jc w:val="center"/>
              <w:rPr>
                <w:rFonts w:ascii="宋体" w:hAnsi="宋体" w:cs="宋体"/>
                <w:color w:val="auto"/>
                <w:kern w:val="0"/>
                <w:highlight w:val="none"/>
              </w:rPr>
            </w:pPr>
          </w:p>
        </w:tc>
        <w:tc>
          <w:tcPr>
            <w:tcW w:w="1891" w:type="dxa"/>
            <w:vAlign w:val="center"/>
          </w:tcPr>
          <w:p>
            <w:pPr>
              <w:spacing w:line="0" w:lineRule="atLeast"/>
              <w:ind w:firstLine="48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pPr>
              <w:spacing w:line="0" w:lineRule="atLeast"/>
              <w:ind w:left="-105" w:right="-114" w:firstLine="480"/>
              <w:jc w:val="center"/>
              <w:rPr>
                <w:rFonts w:ascii="宋体" w:hAnsi="宋体" w:cs="宋体"/>
                <w:color w:val="auto"/>
                <w:highlight w:val="none"/>
              </w:rPr>
            </w:pPr>
          </w:p>
        </w:tc>
        <w:tc>
          <w:tcPr>
            <w:tcW w:w="2568" w:type="dxa"/>
            <w:vAlign w:val="center"/>
          </w:tcPr>
          <w:p>
            <w:pPr>
              <w:spacing w:line="240" w:lineRule="auto"/>
              <w:ind w:firstLine="480"/>
              <w:jc w:val="center"/>
              <w:rPr>
                <w:rFonts w:ascii="宋体" w:hAnsi="宋体" w:cs="宋体"/>
                <w:color w:val="auto"/>
                <w:highlight w:val="none"/>
              </w:rPr>
            </w:pPr>
          </w:p>
        </w:tc>
        <w:tc>
          <w:tcPr>
            <w:tcW w:w="914" w:type="dxa"/>
            <w:vAlign w:val="center"/>
          </w:tcPr>
          <w:p>
            <w:pPr>
              <w:spacing w:line="240" w:lineRule="auto"/>
              <w:ind w:firstLine="480"/>
              <w:jc w:val="center"/>
              <w:rPr>
                <w:rFonts w:ascii="宋体" w:hAnsi="宋体" w:cs="宋体"/>
                <w:color w:val="auto"/>
                <w:highlight w:val="none"/>
              </w:rPr>
            </w:pPr>
          </w:p>
        </w:tc>
        <w:tc>
          <w:tcPr>
            <w:tcW w:w="1253" w:type="dxa"/>
            <w:vAlign w:val="center"/>
          </w:tcPr>
          <w:p>
            <w:pPr>
              <w:spacing w:line="0" w:lineRule="atLeast"/>
              <w:ind w:firstLine="480"/>
              <w:jc w:val="center"/>
              <w:rPr>
                <w:rFonts w:ascii="宋体" w:hAnsi="宋体" w:cs="宋体"/>
                <w:color w:val="auto"/>
                <w:kern w:val="0"/>
                <w:highlight w:val="none"/>
              </w:rPr>
            </w:pPr>
          </w:p>
        </w:tc>
        <w:tc>
          <w:tcPr>
            <w:tcW w:w="1891" w:type="dxa"/>
            <w:vAlign w:val="center"/>
          </w:tcPr>
          <w:p>
            <w:pPr>
              <w:spacing w:line="0" w:lineRule="atLeast"/>
              <w:ind w:firstLine="48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00" w:type="dxa"/>
            <w:vAlign w:val="center"/>
          </w:tcPr>
          <w:p>
            <w:pPr>
              <w:spacing w:line="0" w:lineRule="atLeast"/>
              <w:ind w:left="-105" w:right="-114" w:firstLine="480"/>
              <w:jc w:val="center"/>
              <w:rPr>
                <w:rFonts w:ascii="宋体" w:hAnsi="宋体" w:cs="宋体"/>
                <w:color w:val="auto"/>
                <w:highlight w:val="none"/>
              </w:rPr>
            </w:pPr>
          </w:p>
        </w:tc>
        <w:tc>
          <w:tcPr>
            <w:tcW w:w="2568" w:type="dxa"/>
            <w:vAlign w:val="center"/>
          </w:tcPr>
          <w:p>
            <w:pPr>
              <w:spacing w:line="240" w:lineRule="auto"/>
              <w:ind w:firstLine="480"/>
              <w:jc w:val="center"/>
              <w:rPr>
                <w:rFonts w:ascii="宋体" w:hAnsi="宋体" w:cs="宋体"/>
                <w:color w:val="auto"/>
                <w:highlight w:val="none"/>
              </w:rPr>
            </w:pPr>
          </w:p>
        </w:tc>
        <w:tc>
          <w:tcPr>
            <w:tcW w:w="914" w:type="dxa"/>
            <w:vAlign w:val="center"/>
          </w:tcPr>
          <w:p>
            <w:pPr>
              <w:spacing w:line="240" w:lineRule="auto"/>
              <w:ind w:firstLine="480"/>
              <w:jc w:val="center"/>
              <w:rPr>
                <w:rFonts w:ascii="宋体" w:hAnsi="宋体" w:cs="宋体"/>
                <w:color w:val="auto"/>
                <w:highlight w:val="none"/>
              </w:rPr>
            </w:pPr>
          </w:p>
        </w:tc>
        <w:tc>
          <w:tcPr>
            <w:tcW w:w="1253" w:type="dxa"/>
            <w:vAlign w:val="center"/>
          </w:tcPr>
          <w:p>
            <w:pPr>
              <w:spacing w:line="0" w:lineRule="atLeast"/>
              <w:ind w:firstLine="480"/>
              <w:jc w:val="center"/>
              <w:rPr>
                <w:rFonts w:ascii="宋体" w:hAnsi="宋体" w:cs="宋体"/>
                <w:color w:val="auto"/>
                <w:kern w:val="0"/>
                <w:highlight w:val="none"/>
              </w:rPr>
            </w:pPr>
          </w:p>
        </w:tc>
        <w:tc>
          <w:tcPr>
            <w:tcW w:w="1891" w:type="dxa"/>
            <w:vAlign w:val="center"/>
          </w:tcPr>
          <w:p>
            <w:pPr>
              <w:spacing w:line="0" w:lineRule="atLeast"/>
              <w:ind w:firstLine="48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635" w:type="dxa"/>
            <w:gridSpan w:val="4"/>
            <w:vAlign w:val="center"/>
          </w:tcPr>
          <w:p>
            <w:pPr>
              <w:spacing w:line="0" w:lineRule="atLeast"/>
              <w:ind w:firstLine="480"/>
              <w:jc w:val="center"/>
              <w:rPr>
                <w:rFonts w:ascii="宋体" w:hAnsi="宋体" w:cs="宋体"/>
                <w:color w:val="auto"/>
                <w:kern w:val="0"/>
                <w:highlight w:val="none"/>
              </w:rPr>
            </w:pPr>
            <w:r>
              <w:rPr>
                <w:rFonts w:hint="eastAsia" w:ascii="宋体" w:hAnsi="宋体" w:cs="宋体"/>
                <w:color w:val="auto"/>
                <w:kern w:val="0"/>
                <w:highlight w:val="none"/>
              </w:rPr>
              <w:t>总价</w:t>
            </w:r>
          </w:p>
        </w:tc>
        <w:tc>
          <w:tcPr>
            <w:tcW w:w="1891" w:type="dxa"/>
            <w:vAlign w:val="center"/>
          </w:tcPr>
          <w:p>
            <w:pPr>
              <w:spacing w:line="0" w:lineRule="atLeast"/>
              <w:ind w:firstLine="480"/>
              <w:jc w:val="center"/>
              <w:rPr>
                <w:rFonts w:ascii="宋体" w:hAnsi="宋体" w:cs="宋体"/>
                <w:color w:val="auto"/>
                <w:kern w:val="0"/>
                <w:highlight w:val="none"/>
              </w:rPr>
            </w:pPr>
          </w:p>
        </w:tc>
      </w:tr>
    </w:tbl>
    <w:p>
      <w:pPr>
        <w:autoSpaceDE w:val="0"/>
        <w:autoSpaceDN w:val="0"/>
        <w:adjustRightInd w:val="0"/>
        <w:spacing w:line="336" w:lineRule="auto"/>
        <w:ind w:firstLine="480"/>
        <w:rPr>
          <w:rFonts w:ascii="宋体" w:hAnsi="宋体" w:cs="宋体"/>
          <w:color w:val="auto"/>
          <w:spacing w:val="20"/>
          <w:highlight w:val="none"/>
        </w:rPr>
      </w:pPr>
      <w:bookmarkStart w:id="109" w:name="_Toc21423"/>
      <w:bookmarkStart w:id="110" w:name="_Toc19554"/>
      <w:bookmarkStart w:id="111" w:name="_Toc27250"/>
      <w:r>
        <w:rPr>
          <w:rFonts w:hint="eastAsia" w:ascii="宋体" w:hAnsi="宋体" w:cs="宋体"/>
          <w:color w:val="auto"/>
          <w:kern w:val="0"/>
          <w:highlight w:val="none"/>
        </w:rPr>
        <w:t>合同总价内包含的内容：有关本项目实施所需的人工费、成套工艺系统设备、附属配套实施设备及材料费、备品备件费、设计深化费、安全文明施工费、管线费、关税、增值税、国内外运杂费、国内外保险费、维修保护费、特殊工具费、售后服务费、技术培训费（含运行及维护手册编制费）、设备装修费、二次或多次搬运费、安装费、代理服务费、调试费、其他费用等完成招标内容及要求所提供的服务过程中涉及的一切费用（含税费）均计入报价。</w:t>
      </w:r>
    </w:p>
    <w:bookmarkEnd w:id="109"/>
    <w:bookmarkEnd w:id="110"/>
    <w:bookmarkEnd w:id="111"/>
    <w:p>
      <w:pPr>
        <w:pStyle w:val="14"/>
        <w:snapToGrid w:val="0"/>
        <w:ind w:firstLine="482"/>
        <w:rPr>
          <w:rFonts w:hAnsi="宋体" w:cs="宋体"/>
          <w:b/>
          <w:bCs/>
          <w:color w:val="auto"/>
          <w:szCs w:val="24"/>
          <w:highlight w:val="none"/>
        </w:rPr>
      </w:pPr>
      <w:r>
        <w:rPr>
          <w:rFonts w:hint="eastAsia" w:hAnsi="宋体" w:cs="宋体"/>
          <w:b/>
          <w:bCs/>
          <w:color w:val="auto"/>
          <w:szCs w:val="24"/>
          <w:highlight w:val="none"/>
        </w:rPr>
        <w:t>3.技术资料</w:t>
      </w:r>
    </w:p>
    <w:p>
      <w:pPr>
        <w:pStyle w:val="14"/>
        <w:snapToGrid w:val="0"/>
        <w:ind w:firstLine="480"/>
        <w:rPr>
          <w:rFonts w:hAnsi="宋体" w:cs="宋体"/>
          <w:color w:val="auto"/>
          <w:kern w:val="0"/>
          <w:highlight w:val="none"/>
        </w:rPr>
      </w:pPr>
      <w:r>
        <w:rPr>
          <w:rFonts w:hint="eastAsia" w:hAnsi="宋体" w:cs="宋体"/>
          <w:color w:val="auto"/>
          <w:kern w:val="0"/>
          <w:highlight w:val="none"/>
        </w:rPr>
        <w:t>3.1乙方应按招标文件规定的时间向甲方提供使用货物的有关技术资料。</w:t>
      </w:r>
    </w:p>
    <w:p>
      <w:pPr>
        <w:ind w:firstLine="480"/>
        <w:rPr>
          <w:rFonts w:ascii="宋体" w:hAnsi="宋体" w:cs="宋体"/>
          <w:color w:val="auto"/>
          <w:szCs w:val="20"/>
          <w:highlight w:val="none"/>
        </w:rPr>
      </w:pPr>
      <w:r>
        <w:rPr>
          <w:rFonts w:hint="eastAsia" w:ascii="宋体" w:hAnsi="宋体" w:cs="宋体"/>
          <w:color w:val="auto"/>
          <w:kern w:val="0"/>
          <w:szCs w:val="20"/>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cs="宋体"/>
          <w:color w:val="auto"/>
          <w:szCs w:val="20"/>
          <w:highlight w:val="none"/>
        </w:rPr>
        <w:t>。</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4.权利担保</w:t>
      </w:r>
    </w:p>
    <w:p>
      <w:pPr>
        <w:ind w:firstLine="480"/>
        <w:rPr>
          <w:rFonts w:ascii="宋体" w:hAnsi="宋体" w:cs="宋体"/>
          <w:color w:val="auto"/>
          <w:szCs w:val="20"/>
          <w:highlight w:val="none"/>
        </w:rPr>
      </w:pPr>
      <w:r>
        <w:rPr>
          <w:rFonts w:hint="eastAsia" w:ascii="宋体" w:hAnsi="宋体" w:cs="宋体"/>
          <w:color w:val="auto"/>
          <w:szCs w:val="20"/>
          <w:highlight w:val="none"/>
        </w:rPr>
        <w:t>4.1乙方应保证所提供的货物或其任何一部分均不会侵犯任何第三方的知识产权。</w:t>
      </w:r>
    </w:p>
    <w:p>
      <w:pPr>
        <w:ind w:firstLine="480"/>
        <w:rPr>
          <w:rFonts w:ascii="宋体" w:hAnsi="宋体" w:cs="宋体"/>
          <w:color w:val="auto"/>
          <w:szCs w:val="20"/>
          <w:highlight w:val="none"/>
        </w:rPr>
      </w:pPr>
      <w:r>
        <w:rPr>
          <w:rFonts w:hint="eastAsia" w:ascii="宋体" w:hAnsi="宋体" w:cs="宋体"/>
          <w:color w:val="auto"/>
          <w:szCs w:val="20"/>
          <w:highlight w:val="none"/>
        </w:rPr>
        <w:t>4.2乙方保证所交付的货物的所有权完全属于乙方且无任何抵押、查封等产权瑕疵。</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5.履约保证金</w:t>
      </w:r>
    </w:p>
    <w:p>
      <w:pPr>
        <w:spacing w:line="336" w:lineRule="auto"/>
        <w:ind w:left="480" w:leftChars="200" w:firstLine="0" w:firstLineChars="0"/>
        <w:rPr>
          <w:rFonts w:ascii="宋体" w:hAnsi="宋体" w:cs="宋体"/>
          <w:color w:val="auto"/>
          <w:highlight w:val="none"/>
        </w:rPr>
      </w:pPr>
      <w:r>
        <w:rPr>
          <w:rFonts w:hint="eastAsia" w:ascii="宋体" w:hAnsi="宋体" w:cs="宋体"/>
          <w:color w:val="auto"/>
          <w:kern w:val="0"/>
          <w:highlight w:val="none"/>
        </w:rPr>
        <w:t>履约保证金：</w:t>
      </w:r>
      <w:r>
        <w:rPr>
          <w:rFonts w:hint="eastAsia" w:ascii="宋体" w:hAnsi="宋体" w:cs="宋体"/>
          <w:color w:val="auto"/>
          <w:highlight w:val="none"/>
        </w:rPr>
        <w:t>乙方提供给甲方人民币</w:t>
      </w:r>
      <w:r>
        <w:rPr>
          <w:rFonts w:hint="eastAsia" w:ascii="宋体" w:hAnsi="宋体" w:cs="宋体"/>
          <w:color w:val="auto"/>
          <w:highlight w:val="none"/>
          <w:u w:val="single"/>
        </w:rPr>
        <w:t xml:space="preserve">    </w:t>
      </w:r>
      <w:r>
        <w:rPr>
          <w:rFonts w:hint="eastAsia" w:ascii="宋体" w:hAnsi="宋体" w:cs="宋体"/>
          <w:color w:val="auto"/>
          <w:highlight w:val="none"/>
        </w:rPr>
        <w:t>元作为本合同的履约保证金。</w:t>
      </w:r>
    </w:p>
    <w:p>
      <w:pPr>
        <w:spacing w:line="336" w:lineRule="auto"/>
        <w:ind w:firstLine="480"/>
        <w:rPr>
          <w:rFonts w:ascii="宋体" w:hAnsi="宋体" w:cs="宋体"/>
          <w:color w:val="auto"/>
          <w:highlight w:val="none"/>
        </w:rPr>
      </w:pPr>
      <w:r>
        <w:rPr>
          <w:rFonts w:hint="eastAsia" w:ascii="宋体" w:hAnsi="宋体" w:cs="宋体"/>
          <w:color w:val="auto"/>
          <w:highlight w:val="none"/>
        </w:rPr>
        <w:t>履约保证金缴纳形式：供应商应当以支票、汇票、本票或者金融机构、担保机构出具的保函等非现金形式提交。</w:t>
      </w:r>
    </w:p>
    <w:p>
      <w:pPr>
        <w:spacing w:line="336" w:lineRule="auto"/>
        <w:ind w:firstLine="480"/>
        <w:rPr>
          <w:rFonts w:ascii="宋体" w:hAnsi="宋体" w:cs="宋体"/>
          <w:color w:val="auto"/>
          <w:highlight w:val="none"/>
        </w:rPr>
      </w:pPr>
      <w:r>
        <w:rPr>
          <w:rFonts w:hint="eastAsia" w:ascii="宋体" w:hAnsi="宋体" w:cs="宋体"/>
          <w:color w:val="auto"/>
          <w:highlight w:val="none"/>
        </w:rPr>
        <w:t>￭履约保证金形式为支票、汇票、本票（账户另行通知）的，履约保证金待验收通过后视履约情况到甲方处办理履约保证金的退还手续。</w:t>
      </w:r>
    </w:p>
    <w:p>
      <w:pPr>
        <w:spacing w:line="336" w:lineRule="auto"/>
        <w:ind w:firstLine="480"/>
        <w:rPr>
          <w:rFonts w:ascii="宋体" w:hAnsi="宋体" w:cs="宋体"/>
          <w:color w:val="auto"/>
          <w:highlight w:val="none"/>
        </w:rPr>
      </w:pPr>
      <w:r>
        <w:rPr>
          <w:rFonts w:hint="eastAsia" w:ascii="宋体" w:hAnsi="宋体" w:cs="宋体"/>
          <w:color w:val="auto"/>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乙方需支付保函时效失效违约金，该违约金按500元/天计算。</w:t>
      </w:r>
    </w:p>
    <w:p>
      <w:pPr>
        <w:ind w:firstLine="480"/>
        <w:rPr>
          <w:rFonts w:ascii="宋体" w:hAnsi="宋体" w:cs="宋体"/>
          <w:color w:val="auto"/>
          <w:highlight w:val="none"/>
        </w:rPr>
      </w:pPr>
      <w:r>
        <w:rPr>
          <w:rFonts w:hint="eastAsia" w:ascii="宋体" w:hAnsi="宋体" w:cs="宋体"/>
          <w:color w:val="auto"/>
          <w:highlight w:val="none"/>
        </w:rPr>
        <w:t>履约保证金退还时间：项目验收合格并经甲方认可后7日内无息退还。</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6.转包或分包</w:t>
      </w:r>
    </w:p>
    <w:p>
      <w:pPr>
        <w:ind w:firstLine="480"/>
        <w:rPr>
          <w:rFonts w:ascii="宋体" w:hAnsi="宋体" w:cs="宋体"/>
          <w:color w:val="auto"/>
          <w:highlight w:val="none"/>
        </w:rPr>
      </w:pPr>
      <w:r>
        <w:rPr>
          <w:rFonts w:hint="eastAsia" w:ascii="宋体" w:hAnsi="宋体" w:cs="宋体"/>
          <w:color w:val="auto"/>
          <w:highlight w:val="none"/>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ind w:firstLine="480"/>
        <w:rPr>
          <w:rFonts w:ascii="宋体" w:hAnsi="宋体" w:cs="宋体"/>
          <w:color w:val="auto"/>
          <w:highlight w:val="none"/>
        </w:rPr>
      </w:pPr>
      <w:r>
        <w:rPr>
          <w:rFonts w:hint="eastAsia" w:ascii="宋体" w:hAnsi="宋体" w:cs="宋体"/>
          <w:color w:val="auto"/>
          <w:highlight w:val="none"/>
        </w:rPr>
        <w:t>6.2乙方采取分包方式履行合同的，甲方可直接向分包供应商支付款项。</w:t>
      </w:r>
    </w:p>
    <w:p>
      <w:pPr>
        <w:snapToGrid w:val="0"/>
        <w:ind w:firstLine="354" w:firstLineChars="147"/>
        <w:rPr>
          <w:rFonts w:ascii="宋体" w:hAnsi="宋体" w:cs="宋体"/>
          <w:bCs/>
          <w:color w:val="auto"/>
          <w:highlight w:val="none"/>
        </w:rPr>
      </w:pPr>
      <w:r>
        <w:rPr>
          <w:rFonts w:hint="eastAsia" w:ascii="宋体" w:hAnsi="宋体" w:cs="宋体"/>
          <w:b/>
          <w:color w:val="auto"/>
          <w:highlight w:val="none"/>
        </w:rPr>
        <w:t>7.质保期</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 xml:space="preserve">质保期：产品验收合格使用之日起，质保期 </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w:t>
      </w:r>
      <w:r>
        <w:rPr>
          <w:rFonts w:hint="eastAsia" w:ascii="宋体" w:hAnsi="宋体" w:cs="宋体"/>
          <w:bCs/>
          <w:color w:val="auto"/>
          <w:highlight w:val="none"/>
          <w:u w:val="single"/>
        </w:rPr>
        <w:t xml:space="preserve"> </w:t>
      </w:r>
      <w:r>
        <w:rPr>
          <w:rFonts w:hint="eastAsia" w:ascii="宋体" w:hAnsi="宋体" w:cs="宋体"/>
          <w:bCs/>
          <w:color w:val="auto"/>
          <w:highlight w:val="none"/>
        </w:rPr>
        <w:t>年（具体再参照乙方按投标文件承诺确定），质保期内的维修费用（包括材料）全部由乙方负责。超过质保期的，维修时只收部件成本费。</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8.交货期、交货方式、交货地点及供货要求</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8.1交货期：</w:t>
      </w:r>
      <w:r>
        <w:rPr>
          <w:rFonts w:hint="eastAsia" w:ascii="宋体" w:hAnsi="宋体" w:cs="宋体"/>
          <w:color w:val="auto"/>
          <w:kern w:val="0"/>
          <w:highlight w:val="none"/>
          <w:lang w:eastAsia="zh-CN" w:bidi="ar"/>
        </w:rPr>
        <w:t>合同签订生效后，180日历天内完成所有设备的深化设计、供货、安装、调试工作（合同内容完成后，须配合土建工程施工、信息化工程数据上传等内容直至项目整体竣工）</w:t>
      </w:r>
      <w:r>
        <w:rPr>
          <w:rFonts w:hint="eastAsia" w:ascii="宋体" w:hAnsi="宋体" w:cs="宋体"/>
          <w:color w:val="auto"/>
          <w:highlight w:val="none"/>
        </w:rPr>
        <w:t>。</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8.2交货方式：由乙方负责运输至指定地点现场交货，并安装调试完毕。安装调试完毕交付甲方前发生的风险均由乙方负责。</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 xml:space="preserve">8.3 交货地点： </w:t>
      </w:r>
      <w:r>
        <w:rPr>
          <w:rFonts w:hint="eastAsia" w:ascii="宋体" w:hAnsi="宋体" w:cs="宋体"/>
          <w:bCs/>
          <w:color w:val="auto"/>
          <w:highlight w:val="none"/>
          <w:u w:val="single"/>
        </w:rPr>
        <w:t xml:space="preserve">    按业主要求     </w:t>
      </w:r>
      <w:r>
        <w:rPr>
          <w:rFonts w:hint="eastAsia" w:ascii="宋体" w:hAnsi="宋体" w:cs="宋体"/>
          <w:bCs/>
          <w:color w:val="auto"/>
          <w:highlight w:val="none"/>
        </w:rPr>
        <w:t>。</w:t>
      </w:r>
    </w:p>
    <w:p>
      <w:pPr>
        <w:snapToGrid w:val="0"/>
        <w:ind w:firstLine="352" w:firstLineChars="147"/>
        <w:rPr>
          <w:rFonts w:ascii="宋体" w:hAnsi="宋体" w:cs="宋体"/>
          <w:bCs/>
          <w:color w:val="auto"/>
          <w:highlight w:val="none"/>
        </w:rPr>
      </w:pPr>
      <w:r>
        <w:rPr>
          <w:rFonts w:hint="eastAsia" w:ascii="宋体" w:hAnsi="宋体" w:cs="宋体"/>
          <w:color w:val="auto"/>
          <w:kern w:val="0"/>
          <w:highlight w:val="none"/>
        </w:rPr>
        <w:t>8.4供货要求：乙方所供的货物必须为全新的，符合国家标准的合格产品。凡需国家强制保证或认可的产品、需提供相应的</w:t>
      </w:r>
      <w:r>
        <w:rPr>
          <w:rFonts w:hint="eastAsia" w:ascii="宋体" w:hAnsi="宋体" w:cs="宋体"/>
          <w:color w:val="auto"/>
          <w:highlight w:val="none"/>
        </w:rPr>
        <w:t>证书和认可的标志。</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8.5乙方应先派有经验的技术人员对安装现场进行实地勘察，对各种设备采购、制造、运输（到现场安装）、安装、工期、安全、文明施工进行总承包，一切费用均由乙方负责。</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8.6乙方在设备在安装、调试时不得损坏墙体、门窗等，如有损坏要予以赔偿。</w:t>
      </w:r>
    </w:p>
    <w:p>
      <w:pPr>
        <w:snapToGrid w:val="0"/>
        <w:ind w:firstLine="480"/>
        <w:rPr>
          <w:rFonts w:ascii="宋体" w:hAnsi="宋体" w:cs="宋体"/>
          <w:color w:val="auto"/>
          <w:highlight w:val="none"/>
        </w:rPr>
      </w:pPr>
      <w:r>
        <w:rPr>
          <w:rFonts w:hint="eastAsia" w:ascii="宋体" w:hAnsi="宋体" w:cs="宋体"/>
          <w:color w:val="auto"/>
          <w:highlight w:val="none"/>
        </w:rPr>
        <w:t>8.7培训要求：安装调试后，供应商须向使用方人员做好所供产品日常保养、使用、管理的现场实地培训，直至会熟练使用。</w:t>
      </w:r>
    </w:p>
    <w:p>
      <w:pPr>
        <w:ind w:firstLine="482"/>
        <w:rPr>
          <w:rFonts w:ascii="宋体" w:hAnsi="宋体" w:cs="宋体"/>
          <w:b/>
          <w:color w:val="auto"/>
          <w:highlight w:val="none"/>
        </w:rPr>
      </w:pPr>
      <w:r>
        <w:rPr>
          <w:rFonts w:hint="eastAsia" w:ascii="宋体" w:hAnsi="宋体" w:cs="宋体"/>
          <w:b/>
          <w:color w:val="auto"/>
          <w:highlight w:val="none"/>
        </w:rPr>
        <w:t>9.付款方式、时间和条件</w:t>
      </w:r>
    </w:p>
    <w:p>
      <w:pPr>
        <w:pStyle w:val="70"/>
        <w:spacing w:before="0" w:beforeAutospacing="0" w:after="0" w:afterAutospacing="0"/>
        <w:ind w:firstLine="480"/>
        <w:rPr>
          <w:color w:val="auto"/>
          <w:highlight w:val="none"/>
        </w:rPr>
      </w:pPr>
      <w:r>
        <w:rPr>
          <w:rFonts w:hint="eastAsia"/>
          <w:color w:val="auto"/>
          <w:highlight w:val="none"/>
        </w:rPr>
        <w:t>9.1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ind w:firstLine="480"/>
        <w:rPr>
          <w:rFonts w:ascii="宋体" w:hAnsi="宋体" w:cs="宋体"/>
          <w:color w:val="auto"/>
          <w:highlight w:val="none"/>
        </w:rPr>
      </w:pPr>
      <w:r>
        <w:rPr>
          <w:rFonts w:hint="eastAsia" w:ascii="宋体" w:hAnsi="宋体" w:cs="宋体"/>
          <w:color w:val="auto"/>
          <w:highlight w:val="none"/>
        </w:rPr>
        <w:t>9.2甲方迟延支付乙方款项的，向乙方支付逾期利息。双方可以在合同专用条款中约定逾期利率，约定利率不得低于合同订立时1年期贷款市场报价利率；未作约定的，按照每日利率万分之五支付逾期利息。</w:t>
      </w:r>
    </w:p>
    <w:p>
      <w:pPr>
        <w:ind w:firstLine="480"/>
        <w:rPr>
          <w:rFonts w:ascii="宋体" w:hAnsi="宋体" w:cs="宋体"/>
          <w:color w:val="auto"/>
          <w:highlight w:val="none"/>
        </w:rPr>
      </w:pPr>
      <w:r>
        <w:rPr>
          <w:rFonts w:hint="eastAsia" w:ascii="宋体" w:hAnsi="宋体" w:cs="宋体"/>
          <w:color w:val="auto"/>
          <w:highlight w:val="none"/>
        </w:rPr>
        <w:t>9.3资金支付的方式、时间和条件：</w:t>
      </w:r>
    </w:p>
    <w:tbl>
      <w:tblPr>
        <w:tblStyle w:val="2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518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履约保证金</w:t>
            </w:r>
          </w:p>
        </w:tc>
        <w:tc>
          <w:tcPr>
            <w:tcW w:w="5189" w:type="dxa"/>
            <w:noWrap w:val="0"/>
            <w:vAlign w:val="center"/>
          </w:tcPr>
          <w:p>
            <w:pPr>
              <w:keepNext w:val="0"/>
              <w:keepLines w:val="0"/>
              <w:suppressLineNumbers w:val="0"/>
              <w:spacing w:before="161" w:beforeAutospacing="0" w:after="0" w:afterAutospacing="0" w:line="360" w:lineRule="auto"/>
              <w:ind w:left="0" w:leftChars="0" w:right="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个工作日内乙方向甲方支付合同总额</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%的履约保证金（形式为：转账或银行保函形式）；甲方不提供支付担保金。</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60" w:type="dxa"/>
            <w:gridSpan w:val="3"/>
            <w:noWrap w:val="0"/>
            <w:vAlign w:val="center"/>
          </w:tcPr>
          <w:p>
            <w:pPr>
              <w:keepNext w:val="0"/>
              <w:keepLines w:val="0"/>
              <w:suppressLineNumbers w:val="0"/>
              <w:spacing w:before="161" w:beforeAutospacing="0" w:after="0" w:afterAutospacing="0" w:line="360"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自合同生效之日以及具备实施条件后7个工作日内，乙方缴纳预付款保函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无条件保函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后支付合同价的40%。</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ascii="仿宋_GB2312" w:hAnsi="仿宋_GB2312" w:eastAsia="仿宋_GB2312" w:cs="仿宋_GB2312"/>
                <w:color w:val="auto"/>
                <w:szCs w:val="20"/>
                <w:highlight w:val="none"/>
              </w:rPr>
            </w:pPr>
            <w:r>
              <w:rPr>
                <w:rFonts w:hint="eastAsia" w:ascii="仿宋_GB2312" w:hAnsi="仿宋_GB2312" w:eastAsia="仿宋_GB2312" w:cs="仿宋_GB2312"/>
                <w:color w:val="auto"/>
                <w:sz w:val="24"/>
                <w:szCs w:val="24"/>
                <w:highlight w:val="none"/>
              </w:rPr>
              <w:t>货物全部到达现场并验收合格后</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个工作日内支付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合同价的</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设备安装调试完成，并经验收合格后的15个工作日内支付，支付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合同总价的</w:t>
            </w:r>
            <w:r>
              <w:rPr>
                <w:rFonts w:hint="eastAsia" w:ascii="仿宋_GB2312" w:hAnsi="仿宋_GB2312" w:eastAsia="仿宋_GB2312" w:cs="仿宋_GB2312"/>
                <w:color w:val="auto"/>
                <w:sz w:val="24"/>
                <w:szCs w:val="24"/>
                <w:highlight w:val="none"/>
                <w:lang w:val="en-US" w:eastAsia="zh-CN"/>
              </w:rPr>
              <w:t>85</w:t>
            </w:r>
            <w:r>
              <w:rPr>
                <w:rFonts w:hint="eastAsia" w:ascii="仿宋_GB2312" w:hAnsi="仿宋_GB2312" w:eastAsia="仿宋_GB2312" w:cs="仿宋_GB2312"/>
                <w:color w:val="auto"/>
                <w:sz w:val="24"/>
                <w:szCs w:val="24"/>
                <w:highlight w:val="none"/>
              </w:rPr>
              <w:t>%。支付依据：验收证明。</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RMB:</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72" w:type="dxa"/>
            <w:noWrap w:val="0"/>
            <w:vAlign w:val="center"/>
          </w:tcPr>
          <w:p>
            <w:pPr>
              <w:keepNext w:val="0"/>
              <w:keepLines w:val="0"/>
              <w:suppressLineNumbers w:val="0"/>
              <w:spacing w:before="161" w:beforeAutospacing="0" w:after="0" w:afterAutospacing="0" w:line="360" w:lineRule="auto"/>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笔款支付</w:t>
            </w:r>
          </w:p>
        </w:tc>
        <w:tc>
          <w:tcPr>
            <w:tcW w:w="5189" w:type="dxa"/>
            <w:noWrap w:val="0"/>
            <w:vAlign w:val="top"/>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 w:hAnsi="仿宋" w:eastAsia="仿宋" w:cs="仿宋"/>
                <w:color w:val="auto"/>
                <w:sz w:val="24"/>
                <w:szCs w:val="24"/>
                <w:highlight w:val="none"/>
                <w:lang w:val="en-US" w:eastAsia="zh-CN"/>
              </w:rPr>
              <w:t>该系统投入使用并运行六个月</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经甲方确认后</w:t>
            </w:r>
            <w:r>
              <w:rPr>
                <w:rFonts w:hint="eastAsia" w:ascii="仿宋_GB2312" w:hAnsi="仿宋_GB2312" w:eastAsia="仿宋_GB2312" w:cs="仿宋_GB2312"/>
                <w:color w:val="auto"/>
                <w:sz w:val="24"/>
                <w:szCs w:val="24"/>
                <w:highlight w:val="none"/>
              </w:rPr>
              <w:t>十五个工作日内向乙方支付至已完成实物量价款的</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p>
        </w:tc>
        <w:tc>
          <w:tcPr>
            <w:tcW w:w="2699" w:type="dxa"/>
            <w:noWrap w:val="0"/>
            <w:vAlign w:val="center"/>
          </w:tcPr>
          <w:p>
            <w:pPr>
              <w:keepNext w:val="0"/>
              <w:keepLines w:val="0"/>
              <w:suppressLineNumbers w:val="0"/>
              <w:spacing w:before="161" w:beforeAutospacing="0" w:after="0" w:afterAutospacing="0" w:line="360" w:lineRule="auto"/>
              <w:ind w:left="0" w:leftChars="0" w:right="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支付至已完成实物量价款的</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p>
        </w:tc>
      </w:tr>
    </w:tbl>
    <w:p>
      <w:pPr>
        <w:ind w:firstLine="480"/>
        <w:rPr>
          <w:rFonts w:ascii="宋体" w:hAnsi="宋体" w:cs="宋体"/>
          <w:color w:val="auto"/>
          <w:highlight w:val="none"/>
        </w:rPr>
      </w:pPr>
    </w:p>
    <w:p>
      <w:pPr>
        <w:snapToGrid w:val="0"/>
        <w:ind w:firstLine="352" w:firstLineChars="147"/>
        <w:rPr>
          <w:rFonts w:ascii="宋体" w:hAnsi="宋体" w:cs="宋体"/>
          <w:b/>
          <w:color w:val="auto"/>
          <w:highlight w:val="none"/>
        </w:rPr>
      </w:pPr>
      <w:r>
        <w:rPr>
          <w:rFonts w:hint="eastAsia" w:ascii="宋体" w:hAnsi="宋体" w:cs="宋体"/>
          <w:bCs/>
          <w:color w:val="auto"/>
          <w:highlight w:val="none"/>
        </w:rPr>
        <w:t xml:space="preserve"> 10</w:t>
      </w:r>
      <w:r>
        <w:rPr>
          <w:rFonts w:hint="eastAsia" w:ascii="宋体" w:hAnsi="宋体" w:cs="宋体"/>
          <w:b/>
          <w:color w:val="auto"/>
          <w:highlight w:val="none"/>
        </w:rPr>
        <w:t>.税费</w:t>
      </w:r>
    </w:p>
    <w:p>
      <w:pPr>
        <w:ind w:firstLine="480"/>
        <w:rPr>
          <w:rFonts w:ascii="宋体" w:hAnsi="宋体" w:cs="宋体"/>
          <w:bCs/>
          <w:color w:val="auto"/>
          <w:highlight w:val="none"/>
        </w:rPr>
      </w:pPr>
      <w:r>
        <w:rPr>
          <w:rFonts w:hint="eastAsia" w:ascii="宋体" w:hAnsi="宋体" w:cs="宋体"/>
          <w:color w:val="auto"/>
          <w:highlight w:val="none"/>
        </w:rPr>
        <w:t>与合同有关的一切税费，均按照中华人民共和国法律的相关规定缴纳。</w:t>
      </w:r>
    </w:p>
    <w:p>
      <w:pPr>
        <w:snapToGrid w:val="0"/>
        <w:ind w:firstLine="352" w:firstLineChars="147"/>
        <w:rPr>
          <w:rFonts w:ascii="宋体" w:hAnsi="宋体" w:cs="宋体"/>
          <w:b/>
          <w:color w:val="auto"/>
          <w:highlight w:val="none"/>
        </w:rPr>
      </w:pPr>
      <w:r>
        <w:rPr>
          <w:rFonts w:hint="eastAsia" w:ascii="宋体" w:hAnsi="宋体" w:cs="宋体"/>
          <w:bCs/>
          <w:color w:val="auto"/>
          <w:highlight w:val="none"/>
        </w:rPr>
        <w:t xml:space="preserve"> </w:t>
      </w:r>
      <w:r>
        <w:rPr>
          <w:rFonts w:hint="eastAsia" w:ascii="宋体" w:hAnsi="宋体" w:cs="宋体"/>
          <w:b/>
          <w:color w:val="auto"/>
          <w:highlight w:val="none"/>
        </w:rPr>
        <w:t>11.质量保证及售后服务</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11.2乙方提供的货物在质保期内因货物本身的质量问题发生故障，乙方应负责免费更换。对达不到技术要求者，根据实际情况，经双方协商，可按以下办法处理：</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更换：由乙方承担所发生的全部费用。</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贬值处理：由甲乙双方合议定价。</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退货处理：乙方应退还甲方支付的合同款，同时应承担该货物的直接费用（运输、保险、检验、货款利息及银行手续费等）。</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11.3在质保期内，乙方应对货物出现的质量及安全问题负责处理解决并承担一切费用。</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11.4乙方必须对所供产品实</w:t>
      </w:r>
      <w:r>
        <w:rPr>
          <w:rFonts w:hint="eastAsia" w:ascii="宋体" w:hAnsi="宋体" w:eastAsia="宋体" w:cs="宋体"/>
          <w:color w:val="auto"/>
          <w:kern w:val="0"/>
          <w:highlight w:val="none"/>
        </w:rPr>
        <w:t>行终身维修，乙方在接到电话后30分钟内响应，1小时以内到现场，4小时以内解决问题，如不能当场修复的，必须采取提供备品、备件或备机等措施，8小时内保证系统投入正常使用。</w:t>
      </w:r>
      <w:r>
        <w:rPr>
          <w:rFonts w:hint="eastAsia" w:ascii="宋体" w:hAnsi="宋体" w:cs="宋体"/>
          <w:bCs/>
          <w:color w:val="auto"/>
          <w:highlight w:val="none"/>
        </w:rPr>
        <w:t>乙方</w:t>
      </w:r>
      <w:r>
        <w:rPr>
          <w:rFonts w:hint="eastAsia" w:ascii="宋体" w:hAnsi="宋体" w:eastAsia="宋体" w:cs="宋体"/>
          <w:color w:val="auto"/>
          <w:kern w:val="0"/>
          <w:highlight w:val="none"/>
        </w:rPr>
        <w:t>提供充足的备品备件，满足日常维护需求。</w:t>
      </w:r>
      <w:r>
        <w:rPr>
          <w:rFonts w:hint="eastAsia" w:ascii="宋体" w:hAnsi="宋体" w:cs="宋体"/>
          <w:bCs/>
          <w:color w:val="auto"/>
          <w:highlight w:val="none"/>
        </w:rPr>
        <w:t>乙方</w:t>
      </w:r>
      <w:r>
        <w:rPr>
          <w:rFonts w:hint="eastAsia" w:ascii="宋体" w:hAnsi="宋体" w:eastAsia="宋体" w:cs="宋体"/>
          <w:color w:val="auto"/>
          <w:kern w:val="0"/>
          <w:highlight w:val="none"/>
        </w:rPr>
        <w:t>每个月对系统进行2次巡检，并做好记录。</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11.5乙方在质保期内每年应（不少于一次）到使用方进行设备保养、检修。</w:t>
      </w:r>
    </w:p>
    <w:p>
      <w:pPr>
        <w:snapToGrid w:val="0"/>
        <w:ind w:firstLine="352" w:firstLineChars="147"/>
        <w:rPr>
          <w:rFonts w:ascii="宋体" w:hAnsi="宋体" w:cs="宋体"/>
          <w:color w:val="auto"/>
          <w:kern w:val="0"/>
          <w:highlight w:val="none"/>
        </w:rPr>
      </w:pPr>
      <w:r>
        <w:rPr>
          <w:rFonts w:hint="eastAsia" w:ascii="宋体" w:hAnsi="宋体" w:cs="宋体"/>
          <w:color w:val="auto"/>
          <w:kern w:val="0"/>
          <w:highlight w:val="none"/>
        </w:rPr>
        <w:t>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ind w:firstLine="480"/>
        <w:rPr>
          <w:color w:val="auto"/>
          <w:highlight w:val="none"/>
        </w:rPr>
      </w:pPr>
      <w:r>
        <w:rPr>
          <w:rFonts w:hint="eastAsia" w:ascii="宋体" w:hAnsi="宋体" w:cs="宋体"/>
          <w:color w:val="auto"/>
          <w:kern w:val="0"/>
          <w:highlight w:val="none"/>
        </w:rPr>
        <w:t>11.7质保期内，在汛期前和汛期结束对所有设备进行一次巡检维护，并提供书面巡检报告。根据每个季度进行一次巡检，若在本季度巡检结束后仍发现设备存在异常，24小时内处理完毕。若出现紧急情况，中标人需配合招标人进行现场处理。</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12.货物包装、发运及运输</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12.1乙方应在货物发运前对其进行满足运输距离、防潮、防震、防锈和防破损装卸等要求包装，以保证货物安全运达甲方指定地点。</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12.2使用说明书、质量检验证明书、随配附件和工具以及清单一并附于货物内。</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12.3乙方在货物发运手续办理完毕后24小时内或货到甲方48小时前通知甲方，以准备接货。</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12.4货物在交付甲方前发生的风险均由乙方负责。</w:t>
      </w:r>
    </w:p>
    <w:p>
      <w:pPr>
        <w:snapToGrid w:val="0"/>
        <w:ind w:firstLine="352" w:firstLineChars="147"/>
        <w:rPr>
          <w:rFonts w:ascii="宋体" w:hAnsi="宋体" w:cs="宋体"/>
          <w:bCs/>
          <w:color w:val="auto"/>
          <w:highlight w:val="none"/>
        </w:rPr>
      </w:pPr>
      <w:r>
        <w:rPr>
          <w:rFonts w:hint="eastAsia" w:ascii="宋体" w:hAnsi="宋体" w:cs="宋体"/>
          <w:bCs/>
          <w:color w:val="auto"/>
          <w:highlight w:val="none"/>
        </w:rPr>
        <w:t>12.5货物在规定的交付期限内由乙方送达甲方指定的地点，及时通知甲方货物已送达并安装调试完毕视为交付。</w:t>
      </w:r>
    </w:p>
    <w:p>
      <w:pPr>
        <w:snapToGrid w:val="0"/>
        <w:ind w:firstLine="482"/>
        <w:rPr>
          <w:rFonts w:ascii="宋体" w:hAnsi="宋体" w:cs="宋体"/>
          <w:b/>
          <w:color w:val="auto"/>
          <w:highlight w:val="none"/>
        </w:rPr>
      </w:pPr>
      <w:r>
        <w:rPr>
          <w:rFonts w:hint="eastAsia" w:ascii="宋体" w:hAnsi="宋体" w:cs="宋体"/>
          <w:b/>
          <w:color w:val="auto"/>
          <w:highlight w:val="none"/>
        </w:rPr>
        <w:t>13.调试和验收</w:t>
      </w:r>
    </w:p>
    <w:p>
      <w:pPr>
        <w:snapToGrid w:val="0"/>
        <w:ind w:firstLine="480"/>
        <w:rPr>
          <w:rFonts w:ascii="宋体" w:hAnsi="宋体" w:cs="宋体"/>
          <w:bCs/>
          <w:color w:val="auto"/>
          <w:highlight w:val="none"/>
        </w:rPr>
      </w:pPr>
      <w:r>
        <w:rPr>
          <w:rFonts w:hint="eastAsia" w:ascii="宋体" w:hAnsi="宋体" w:cs="宋体"/>
          <w:bCs/>
          <w:color w:val="auto"/>
          <w:highlight w:val="none"/>
        </w:rPr>
        <w:t>13.1关于交货和终交验收的约定：交货及安装完毕并试用一个月满后，由甲、乙双方派人员验收，并邀请相关专家参加验收，也可送相关专业机构检测，验收及检测（含中间验收）费用由乙方承担。超过时间达不到要求的或验收不能通过的，甲方有权终止合同，并退还已付货款（服务费），履约保证金不予退还，赔偿甲方损失，并报采购管理部门处理。一次验收不通过的，甲方有权扣除应付货款的10%，二次不通过的，甲方有权终止合同，退回已付货款，履约保证金不予退还，并赔偿甲方损失。</w:t>
      </w:r>
    </w:p>
    <w:p>
      <w:pPr>
        <w:snapToGrid w:val="0"/>
        <w:ind w:firstLine="480"/>
        <w:rPr>
          <w:rFonts w:ascii="宋体" w:hAnsi="宋体" w:cs="宋体"/>
          <w:bCs/>
          <w:color w:val="auto"/>
          <w:highlight w:val="none"/>
        </w:rPr>
      </w:pPr>
      <w:r>
        <w:rPr>
          <w:rFonts w:hint="eastAsia" w:ascii="宋体" w:hAnsi="宋体" w:cs="宋体"/>
          <w:bCs/>
          <w:color w:val="auto"/>
          <w:highlight w:val="none"/>
        </w:rPr>
        <w:t>交货时须随附出厂说明和检测报告。交付货物的出厂说明和国家认可的专业检测机构出具的质量合格的检测报告（出厂说明与质量检测报告必须与所交付的货物相对应）。</w:t>
      </w:r>
    </w:p>
    <w:p>
      <w:pPr>
        <w:snapToGrid w:val="0"/>
        <w:ind w:firstLine="480"/>
        <w:rPr>
          <w:rFonts w:ascii="宋体" w:hAnsi="宋体" w:cs="宋体"/>
          <w:bCs/>
          <w:color w:val="auto"/>
          <w:highlight w:val="none"/>
        </w:rPr>
      </w:pPr>
      <w:r>
        <w:rPr>
          <w:rFonts w:hint="eastAsia" w:ascii="宋体" w:hAnsi="宋体" w:cs="宋体"/>
          <w:bCs/>
          <w:color w:val="auto"/>
          <w:highlight w:val="none"/>
        </w:rPr>
        <w:t>经验收不合格且无法整改的，不付款不退货，所产生的所有损失由乙方承担。</w:t>
      </w:r>
    </w:p>
    <w:p>
      <w:pPr>
        <w:snapToGrid w:val="0"/>
        <w:ind w:firstLine="354" w:firstLineChars="147"/>
        <w:rPr>
          <w:rFonts w:ascii="宋体" w:hAnsi="宋体" w:cs="宋体"/>
          <w:b/>
          <w:color w:val="auto"/>
          <w:highlight w:val="none"/>
        </w:rPr>
      </w:pPr>
      <w:r>
        <w:rPr>
          <w:rFonts w:hint="eastAsia" w:ascii="宋体" w:hAnsi="宋体" w:cs="宋体"/>
          <w:b/>
          <w:color w:val="auto"/>
          <w:highlight w:val="none"/>
        </w:rPr>
        <w:t xml:space="preserve"> 14.违约责任</w:t>
      </w:r>
    </w:p>
    <w:p>
      <w:pPr>
        <w:widowControl/>
        <w:ind w:firstLine="480"/>
        <w:jc w:val="left"/>
        <w:rPr>
          <w:color w:val="auto"/>
          <w:highlight w:val="none"/>
        </w:rPr>
      </w:pPr>
      <w:r>
        <w:rPr>
          <w:rFonts w:hint="eastAsia" w:ascii="宋体" w:hAnsi="宋体" w:cs="宋体"/>
          <w:color w:val="auto"/>
          <w:kern w:val="0"/>
          <w:highlight w:val="none"/>
          <w:lang w:bidi="ar"/>
        </w:rPr>
        <w:t xml:space="preserve">除了合同的专门约定外，如果乙方没有按照合同规定的时间交货和提供服务，甲方可从货款中扣除误期赔偿费，赔偿费应按每迟交一天，从货款中扣除每天1000元，以此类推，如推迟达30天时，甲方有权终止合同，履约保证金不予退还，并赔偿甲方损失。 </w:t>
      </w:r>
    </w:p>
    <w:p>
      <w:pPr>
        <w:widowControl/>
        <w:ind w:firstLine="480"/>
        <w:jc w:val="left"/>
        <w:rPr>
          <w:color w:val="auto"/>
          <w:highlight w:val="none"/>
        </w:rPr>
      </w:pPr>
      <w:r>
        <w:rPr>
          <w:rFonts w:hint="eastAsia" w:ascii="宋体" w:hAnsi="宋体" w:cs="宋体"/>
          <w:color w:val="auto"/>
          <w:kern w:val="0"/>
          <w:highlight w:val="none"/>
          <w:lang w:bidi="ar"/>
        </w:rPr>
        <w:t xml:space="preserve">在未得到对方许可的情况下，双方均不得擅自终止本合同，如任何一方无正当理由终止合同，则违约方将向另一方支付中途毁约违约金，金额为合同总价的30%。 </w:t>
      </w:r>
    </w:p>
    <w:p>
      <w:pPr>
        <w:widowControl/>
        <w:ind w:firstLine="480"/>
        <w:jc w:val="left"/>
        <w:rPr>
          <w:rFonts w:ascii="宋体" w:hAnsi="宋体" w:cs="宋体"/>
          <w:color w:val="auto"/>
          <w:highlight w:val="none"/>
        </w:rPr>
      </w:pPr>
      <w:r>
        <w:rPr>
          <w:rFonts w:hint="eastAsia" w:ascii="宋体" w:hAnsi="宋体" w:cs="宋体"/>
          <w:color w:val="auto"/>
          <w:kern w:val="0"/>
          <w:highlight w:val="none"/>
          <w:lang w:bidi="ar"/>
        </w:rPr>
        <w:t>乙方在投标文件中承诺的项目负责人、项目部组成人员必须及时到位为本项目服务，人员不到位服务的，每发现一次甲方可从货款中扣除2000元。</w:t>
      </w:r>
    </w:p>
    <w:p>
      <w:pPr>
        <w:ind w:firstLine="482"/>
        <w:rPr>
          <w:rFonts w:ascii="宋体" w:hAnsi="宋体" w:cs="宋体"/>
          <w:b/>
          <w:bCs/>
          <w:color w:val="auto"/>
          <w:highlight w:val="none"/>
        </w:rPr>
      </w:pPr>
      <w:r>
        <w:rPr>
          <w:rFonts w:hint="eastAsia" w:ascii="宋体" w:hAnsi="宋体" w:cs="宋体"/>
          <w:b/>
          <w:bCs/>
          <w:color w:val="auto"/>
          <w:highlight w:val="none"/>
        </w:rPr>
        <w:t>15.不可抗力事件处理</w:t>
      </w:r>
    </w:p>
    <w:p>
      <w:pPr>
        <w:ind w:firstLine="480"/>
        <w:rPr>
          <w:rFonts w:ascii="宋体" w:hAnsi="宋体" w:cs="宋体"/>
          <w:color w:val="auto"/>
          <w:highlight w:val="none"/>
        </w:rPr>
      </w:pPr>
      <w:r>
        <w:rPr>
          <w:rFonts w:hint="eastAsia" w:ascii="宋体" w:hAnsi="宋体" w:cs="宋体"/>
          <w:color w:val="auto"/>
          <w:highlight w:val="none"/>
        </w:rPr>
        <w:t>15.1在合同有效期内，任何一方因不可抗力事件导致不能履行合同，则合同履行期可延长，其延长期与不可抗力影响期相同。</w:t>
      </w:r>
    </w:p>
    <w:p>
      <w:pPr>
        <w:ind w:firstLine="480"/>
        <w:rPr>
          <w:rFonts w:ascii="宋体" w:hAnsi="宋体" w:cs="宋体"/>
          <w:color w:val="auto"/>
          <w:highlight w:val="none"/>
        </w:rPr>
      </w:pPr>
      <w:r>
        <w:rPr>
          <w:rFonts w:hint="eastAsia" w:ascii="宋体" w:hAnsi="宋体" w:cs="宋体"/>
          <w:color w:val="auto"/>
          <w:highlight w:val="none"/>
        </w:rPr>
        <w:t>15.2不可抗力事件发生后，应立即通知对方，并寄送有关权威机构出具的证明。</w:t>
      </w:r>
    </w:p>
    <w:p>
      <w:pPr>
        <w:ind w:firstLine="480"/>
        <w:rPr>
          <w:rFonts w:ascii="宋体" w:hAnsi="宋体" w:cs="宋体"/>
          <w:color w:val="auto"/>
          <w:highlight w:val="none"/>
        </w:rPr>
      </w:pPr>
      <w:r>
        <w:rPr>
          <w:rFonts w:hint="eastAsia" w:ascii="宋体" w:hAnsi="宋体" w:cs="宋体"/>
          <w:color w:val="auto"/>
          <w:highlight w:val="none"/>
        </w:rPr>
        <w:t>15.3不可抗力事件延续120天以上，双方应通过友好协商，确定是否继续履行合同。</w:t>
      </w:r>
    </w:p>
    <w:p>
      <w:pPr>
        <w:ind w:firstLine="482"/>
        <w:rPr>
          <w:rFonts w:ascii="宋体" w:hAnsi="宋体" w:cs="宋体"/>
          <w:b/>
          <w:bCs/>
          <w:color w:val="auto"/>
          <w:highlight w:val="none"/>
        </w:rPr>
      </w:pPr>
      <w:r>
        <w:rPr>
          <w:rFonts w:hint="eastAsia" w:ascii="宋体" w:hAnsi="宋体" w:cs="宋体"/>
          <w:b/>
          <w:bCs/>
          <w:color w:val="auto"/>
          <w:highlight w:val="none"/>
        </w:rPr>
        <w:t>16.诉讼</w:t>
      </w:r>
    </w:p>
    <w:p>
      <w:pPr>
        <w:ind w:firstLine="480"/>
        <w:rPr>
          <w:rFonts w:ascii="宋体" w:hAnsi="宋体" w:cs="宋体"/>
          <w:color w:val="auto"/>
          <w:highlight w:val="none"/>
        </w:rPr>
      </w:pPr>
      <w:r>
        <w:rPr>
          <w:rFonts w:hint="eastAsia" w:ascii="宋体" w:hAnsi="宋体" w:cs="宋体"/>
          <w:color w:val="auto"/>
          <w:highlight w:val="none"/>
        </w:rPr>
        <w:t>双方在执行合同中所发生的一切争议，应通过协商解决。如协商不成，可向甲方所在地法院起诉。</w:t>
      </w:r>
    </w:p>
    <w:p>
      <w:pPr>
        <w:ind w:firstLine="482"/>
        <w:rPr>
          <w:rFonts w:ascii="宋体" w:hAnsi="宋体" w:cs="宋体"/>
          <w:b/>
          <w:bCs/>
          <w:color w:val="auto"/>
          <w:highlight w:val="none"/>
        </w:rPr>
      </w:pPr>
      <w:r>
        <w:rPr>
          <w:rFonts w:hint="eastAsia" w:ascii="宋体" w:hAnsi="宋体" w:cs="宋体"/>
          <w:b/>
          <w:bCs/>
          <w:color w:val="auto"/>
          <w:highlight w:val="none"/>
        </w:rPr>
        <w:t>17.合同生效及其它</w:t>
      </w:r>
    </w:p>
    <w:p>
      <w:pPr>
        <w:ind w:firstLine="480"/>
        <w:rPr>
          <w:rFonts w:ascii="宋体" w:hAnsi="宋体" w:cs="宋体"/>
          <w:color w:val="auto"/>
          <w:highlight w:val="none"/>
        </w:rPr>
      </w:pPr>
      <w:r>
        <w:rPr>
          <w:rFonts w:hint="eastAsia" w:ascii="宋体" w:hAnsi="宋体" w:cs="宋体"/>
          <w:color w:val="auto"/>
          <w:highlight w:val="none"/>
        </w:rPr>
        <w:t>17.1招标文件、投标文件、更正公告、中标通知书、承诺函等均作为本合同组成部分，具有同等效力。</w:t>
      </w:r>
    </w:p>
    <w:p>
      <w:pPr>
        <w:ind w:firstLine="480"/>
        <w:rPr>
          <w:rFonts w:ascii="宋体" w:hAnsi="宋体" w:cs="宋体"/>
          <w:color w:val="auto"/>
          <w:highlight w:val="none"/>
        </w:rPr>
      </w:pPr>
      <w:r>
        <w:rPr>
          <w:rFonts w:hint="eastAsia" w:ascii="宋体" w:hAnsi="宋体" w:cs="宋体"/>
          <w:color w:val="auto"/>
          <w:highlight w:val="none"/>
        </w:rPr>
        <w:t>17.2合同经双方法定代表人或其授权代表签字并加盖单位公章后方可生效。</w:t>
      </w:r>
    </w:p>
    <w:p>
      <w:pPr>
        <w:ind w:firstLine="480"/>
        <w:rPr>
          <w:rFonts w:ascii="宋体" w:hAnsi="宋体" w:cs="宋体"/>
          <w:b/>
          <w:bCs/>
          <w:color w:val="auto"/>
          <w:highlight w:val="none"/>
        </w:rPr>
      </w:pPr>
      <w:r>
        <w:rPr>
          <w:rFonts w:hint="eastAsia" w:ascii="宋体" w:hAnsi="宋体" w:cs="宋体"/>
          <w:color w:val="auto"/>
          <w:highlight w:val="none"/>
        </w:rPr>
        <w:t>17.3合同执行中涉及采购资金和采购内容修改或补充的，须经财政部门审批，并签书面补充协议报政府采购监督管理部门备案，作为主合同不可分割的一部分。</w:t>
      </w:r>
    </w:p>
    <w:p>
      <w:pPr>
        <w:ind w:firstLine="480"/>
        <w:rPr>
          <w:rFonts w:ascii="宋体" w:hAnsi="宋体" w:cs="宋体"/>
          <w:color w:val="auto"/>
          <w:highlight w:val="none"/>
        </w:rPr>
      </w:pPr>
      <w:r>
        <w:rPr>
          <w:rFonts w:hint="eastAsia" w:ascii="宋体" w:hAnsi="宋体" w:cs="宋体"/>
          <w:color w:val="auto"/>
          <w:highlight w:val="none"/>
        </w:rPr>
        <w:t>17.4本合同未尽事宜，遵照《民法典》有关条文执行。</w:t>
      </w:r>
    </w:p>
    <w:p>
      <w:pPr>
        <w:spacing w:line="560" w:lineRule="exact"/>
        <w:ind w:firstLine="480"/>
        <w:rPr>
          <w:rFonts w:ascii="宋体" w:hAnsi="宋体" w:cs="宋体"/>
          <w:b/>
          <w:color w:val="auto"/>
          <w:highlight w:val="none"/>
        </w:rPr>
      </w:pPr>
      <w:r>
        <w:rPr>
          <w:rFonts w:hint="eastAsia" w:ascii="宋体" w:hAnsi="宋体" w:cs="宋体"/>
          <w:color w:val="auto"/>
          <w:highlight w:val="none"/>
        </w:rPr>
        <w:t>17.5本合同一式多份，具有同等法律效力，甲乙双方、县财政局采购监管科、验收单位，各执一份。</w:t>
      </w:r>
    </w:p>
    <w:p>
      <w:pPr>
        <w:autoSpaceDE w:val="0"/>
        <w:autoSpaceDN w:val="0"/>
        <w:spacing w:line="560" w:lineRule="exact"/>
        <w:ind w:firstLine="480"/>
        <w:rPr>
          <w:rFonts w:ascii="宋体" w:hAnsi="宋体" w:cs="宋体"/>
          <w:color w:val="auto"/>
          <w:highlight w:val="none"/>
          <w:lang w:val="zh-CN"/>
        </w:rPr>
      </w:pPr>
    </w:p>
    <w:p>
      <w:pPr>
        <w:autoSpaceDE w:val="0"/>
        <w:autoSpaceDN w:val="0"/>
        <w:spacing w:line="560" w:lineRule="exact"/>
        <w:ind w:firstLine="482"/>
        <w:rPr>
          <w:rFonts w:ascii="宋体" w:hAnsi="宋体" w:cs="宋体"/>
          <w:color w:val="auto"/>
          <w:highlight w:val="none"/>
          <w:lang w:val="zh-CN"/>
        </w:rPr>
      </w:pPr>
      <w:r>
        <w:rPr>
          <w:rFonts w:hint="eastAsia" w:ascii="宋体" w:hAnsi="宋体" w:cs="宋体"/>
          <w:b/>
          <w:color w:val="auto"/>
          <w:highlight w:val="none"/>
          <w:lang w:val="zh-CN"/>
        </w:rPr>
        <w:t>甲方</w:t>
      </w:r>
      <w:r>
        <w:rPr>
          <w:rFonts w:hint="eastAsia" w:ascii="宋体" w:hAnsi="宋体" w:cs="宋体"/>
          <w:color w:val="auto"/>
          <w:highlight w:val="none"/>
          <w:lang w:val="zh-CN"/>
        </w:rPr>
        <w:t xml:space="preserve">：                             </w:t>
      </w:r>
      <w:r>
        <w:rPr>
          <w:rFonts w:hint="eastAsia" w:ascii="宋体" w:hAnsi="宋体" w:cs="宋体"/>
          <w:b/>
          <w:color w:val="auto"/>
          <w:highlight w:val="none"/>
          <w:lang w:val="zh-CN"/>
        </w:rPr>
        <w:t xml:space="preserve">      乙方</w:t>
      </w:r>
      <w:r>
        <w:rPr>
          <w:rFonts w:hint="eastAsia" w:ascii="宋体" w:hAnsi="宋体" w:cs="宋体"/>
          <w:color w:val="auto"/>
          <w:highlight w:val="none"/>
          <w:lang w:val="zh-CN"/>
        </w:rPr>
        <w:t>：</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统一社会信用代码：                        统一社会信用代码或身份证号码：</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住所：                                   住所：</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法定代表人或                             法定代表人</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 xml:space="preserve">授权代表（签字）：                        或授权代表（签字）: </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联系人：                                 联系人：</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约定送达地址：                           约定送达地址：</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邮政编码：                               邮政编码：</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 xml:space="preserve">电话:                                    电话: </w:t>
      </w:r>
    </w:p>
    <w:p>
      <w:pPr>
        <w:autoSpaceDE w:val="0"/>
        <w:autoSpaceDN w:val="0"/>
        <w:spacing w:line="560" w:lineRule="exact"/>
        <w:ind w:firstLine="480"/>
        <w:rPr>
          <w:rFonts w:ascii="宋体" w:hAnsi="宋体" w:cs="宋体"/>
          <w:color w:val="auto"/>
          <w:highlight w:val="none"/>
          <w:lang w:val="zh-CN"/>
        </w:rPr>
      </w:pPr>
      <w:r>
        <w:rPr>
          <w:rFonts w:hint="eastAsia" w:ascii="宋体" w:hAnsi="宋体" w:cs="宋体"/>
          <w:color w:val="auto"/>
          <w:highlight w:val="none"/>
          <w:lang w:val="zh-CN"/>
        </w:rPr>
        <w:t>传真:                                    传真:</w:t>
      </w:r>
    </w:p>
    <w:p>
      <w:pPr>
        <w:autoSpaceDE w:val="0"/>
        <w:autoSpaceDN w:val="0"/>
        <w:spacing w:line="560" w:lineRule="exact"/>
        <w:ind w:firstLine="480"/>
        <w:rPr>
          <w:rFonts w:ascii="宋体" w:hAnsi="宋体" w:cs="宋体"/>
          <w:color w:val="auto"/>
          <w:highlight w:val="none"/>
        </w:rPr>
      </w:pPr>
      <w:r>
        <w:rPr>
          <w:rFonts w:hint="eastAsia" w:ascii="宋体" w:hAnsi="宋体" w:cs="宋体"/>
          <w:color w:val="auto"/>
          <w:highlight w:val="none"/>
          <w:lang w:val="zh-CN"/>
        </w:rPr>
        <w:t>电子邮箱：                               电子邮箱：</w:t>
      </w:r>
    </w:p>
    <w:p>
      <w:pPr>
        <w:autoSpaceDE w:val="0"/>
        <w:autoSpaceDN w:val="0"/>
        <w:spacing w:line="560" w:lineRule="exact"/>
        <w:ind w:firstLine="480"/>
        <w:rPr>
          <w:rFonts w:ascii="宋体" w:hAnsi="宋体" w:cs="宋体"/>
          <w:color w:val="auto"/>
          <w:highlight w:val="none"/>
        </w:rPr>
      </w:pPr>
      <w:r>
        <w:rPr>
          <w:rFonts w:hint="eastAsia" w:ascii="宋体" w:hAnsi="宋体" w:cs="宋体"/>
          <w:color w:val="auto"/>
          <w:highlight w:val="none"/>
        </w:rPr>
        <w:t xml:space="preserve">开户银行：                               开户银行： </w:t>
      </w:r>
    </w:p>
    <w:p>
      <w:pPr>
        <w:autoSpaceDE w:val="0"/>
        <w:autoSpaceDN w:val="0"/>
        <w:spacing w:line="560" w:lineRule="exact"/>
        <w:ind w:firstLine="480"/>
        <w:rPr>
          <w:rFonts w:ascii="宋体" w:hAnsi="宋体" w:cs="宋体"/>
          <w:color w:val="auto"/>
          <w:highlight w:val="none"/>
        </w:rPr>
      </w:pPr>
      <w:r>
        <w:rPr>
          <w:rFonts w:hint="eastAsia" w:ascii="宋体" w:hAnsi="宋体" w:cs="宋体"/>
          <w:color w:val="auto"/>
          <w:highlight w:val="none"/>
        </w:rPr>
        <w:t xml:space="preserve">开户名称：                               开户名称： </w:t>
      </w:r>
    </w:p>
    <w:p>
      <w:pPr>
        <w:widowControl/>
        <w:kinsoku w:val="0"/>
        <w:autoSpaceDE w:val="0"/>
        <w:autoSpaceDN w:val="0"/>
        <w:adjustRightInd w:val="0"/>
        <w:snapToGrid w:val="0"/>
        <w:ind w:firstLine="480"/>
        <w:textAlignment w:val="baseline"/>
        <w:rPr>
          <w:rFonts w:ascii="宋体" w:hAnsi="宋体" w:cs="宋体"/>
          <w:color w:val="auto"/>
          <w:highlight w:val="none"/>
        </w:rPr>
      </w:pPr>
      <w:r>
        <w:rPr>
          <w:rFonts w:hint="eastAsia" w:ascii="宋体" w:hAnsi="宋体" w:cs="宋体"/>
          <w:color w:val="auto"/>
          <w:highlight w:val="none"/>
        </w:rPr>
        <w:t>开户账号：</w:t>
      </w:r>
      <w:r>
        <w:rPr>
          <w:rFonts w:hint="eastAsia" w:ascii="宋体" w:hAnsi="宋体" w:cs="宋体"/>
          <w:color w:val="auto"/>
          <w:highlight w:val="none"/>
          <w:lang w:val="zh-CN"/>
        </w:rPr>
        <w:t xml:space="preserve">                               </w:t>
      </w:r>
      <w:r>
        <w:rPr>
          <w:rFonts w:hint="eastAsia" w:ascii="宋体" w:hAnsi="宋体" w:cs="宋体"/>
          <w:color w:val="auto"/>
          <w:highlight w:val="none"/>
        </w:rPr>
        <w:t>开户账号：</w:t>
      </w:r>
    </w:p>
    <w:p>
      <w:pPr>
        <w:widowControl/>
        <w:kinsoku w:val="0"/>
        <w:autoSpaceDE w:val="0"/>
        <w:autoSpaceDN w:val="0"/>
        <w:adjustRightInd w:val="0"/>
        <w:snapToGrid w:val="0"/>
        <w:ind w:firstLine="480"/>
        <w:textAlignment w:val="baseline"/>
        <w:rPr>
          <w:rFonts w:ascii="宋体" w:hAnsi="宋体" w:cs="宋体"/>
          <w:color w:val="auto"/>
          <w:highlight w:val="none"/>
        </w:rPr>
      </w:pPr>
    </w:p>
    <w:p>
      <w:pPr>
        <w:pStyle w:val="8"/>
        <w:ind w:firstLine="400"/>
        <w:rPr>
          <w:color w:val="auto"/>
          <w:highlight w:val="none"/>
        </w:rPr>
      </w:pPr>
    </w:p>
    <w:p>
      <w:pPr>
        <w:widowControl/>
        <w:kinsoku w:val="0"/>
        <w:autoSpaceDE w:val="0"/>
        <w:autoSpaceDN w:val="0"/>
        <w:adjustRightInd w:val="0"/>
        <w:snapToGrid w:val="0"/>
        <w:ind w:firstLine="480"/>
        <w:textAlignment w:val="baseline"/>
        <w:rPr>
          <w:rFonts w:ascii="宋体" w:hAnsi="宋体" w:cs="宋体"/>
          <w:color w:val="auto"/>
          <w:highlight w:val="none"/>
        </w:rPr>
      </w:pPr>
      <w:r>
        <w:rPr>
          <w:rFonts w:hint="eastAsia" w:ascii="宋体" w:hAnsi="宋体" w:cs="宋体"/>
          <w:color w:val="auto"/>
          <w:highlight w:val="none"/>
        </w:rPr>
        <w:t>鉴证方（盖章）：</w:t>
      </w:r>
    </w:p>
    <w:p>
      <w:pPr>
        <w:widowControl/>
        <w:kinsoku w:val="0"/>
        <w:autoSpaceDE w:val="0"/>
        <w:autoSpaceDN w:val="0"/>
        <w:adjustRightInd w:val="0"/>
        <w:snapToGrid w:val="0"/>
        <w:ind w:firstLine="480"/>
        <w:textAlignment w:val="baseline"/>
        <w:rPr>
          <w:rFonts w:ascii="宋体" w:hAnsi="宋体" w:cs="宋体"/>
          <w:color w:val="auto"/>
          <w:highlight w:val="none"/>
        </w:rPr>
      </w:pPr>
      <w:r>
        <w:rPr>
          <w:rFonts w:hint="eastAsia" w:ascii="宋体" w:hAnsi="宋体" w:cs="宋体"/>
          <w:color w:val="auto"/>
          <w:highlight w:val="none"/>
        </w:rPr>
        <w:t>法定（授权）代表人（签字）：</w:t>
      </w:r>
    </w:p>
    <w:p>
      <w:pPr>
        <w:widowControl/>
        <w:kinsoku w:val="0"/>
        <w:autoSpaceDE w:val="0"/>
        <w:autoSpaceDN w:val="0"/>
        <w:adjustRightInd w:val="0"/>
        <w:snapToGrid w:val="0"/>
        <w:ind w:firstLine="480"/>
        <w:textAlignment w:val="baseline"/>
        <w:rPr>
          <w:rFonts w:ascii="宋体" w:hAnsi="宋体" w:cs="宋体"/>
          <w:color w:val="auto"/>
          <w:highlight w:val="none"/>
        </w:rPr>
        <w:sectPr>
          <w:headerReference r:id="rId20" w:type="default"/>
          <w:pgSz w:w="11906" w:h="16838"/>
          <w:pgMar w:top="1474" w:right="1417" w:bottom="1247" w:left="1417" w:header="567" w:footer="567" w:gutter="0"/>
          <w:cols w:space="0" w:num="1"/>
          <w:docGrid w:type="lines" w:linePitch="328" w:charSpace="0"/>
        </w:sectPr>
      </w:pPr>
      <w:r>
        <w:rPr>
          <w:rFonts w:hint="eastAsia" w:ascii="宋体" w:hAnsi="宋体" w:cs="宋体"/>
          <w:color w:val="auto"/>
          <w:highlight w:val="none"/>
        </w:rPr>
        <w:t xml:space="preserve">见证日期： </w:t>
      </w:r>
    </w:p>
    <w:p>
      <w:pPr>
        <w:pStyle w:val="3"/>
        <w:rPr>
          <w:color w:val="auto"/>
          <w:highlight w:val="none"/>
        </w:rPr>
      </w:pPr>
      <w:bookmarkStart w:id="112" w:name="_Toc17708"/>
      <w:r>
        <w:rPr>
          <w:rFonts w:hint="eastAsia"/>
          <w:color w:val="auto"/>
          <w:highlight w:val="none"/>
        </w:rPr>
        <w:t>第六部分 投标文件格式</w:t>
      </w:r>
      <w:bookmarkEnd w:id="112"/>
    </w:p>
    <w:p>
      <w:pPr>
        <w:spacing w:line="480" w:lineRule="auto"/>
        <w:ind w:firstLine="4096" w:firstLineChars="1700"/>
        <w:jc w:val="left"/>
        <w:rPr>
          <w:rFonts w:ascii="宋体" w:hAnsi="宋体" w:cs="宋体"/>
          <w:b/>
          <w:bCs/>
          <w:color w:val="auto"/>
          <w:highlight w:val="none"/>
        </w:rPr>
      </w:pPr>
    </w:p>
    <w:p>
      <w:pPr>
        <w:spacing w:line="480" w:lineRule="auto"/>
        <w:ind w:firstLine="4096" w:firstLineChars="1700"/>
        <w:jc w:val="left"/>
        <w:rPr>
          <w:rFonts w:ascii="宋体" w:hAnsi="宋体" w:cs="宋体"/>
          <w:b/>
          <w:bCs/>
          <w:color w:val="auto"/>
          <w:highlight w:val="none"/>
        </w:rPr>
      </w:pPr>
      <w:r>
        <w:rPr>
          <w:rFonts w:hint="eastAsia" w:ascii="宋体" w:hAnsi="宋体" w:cs="宋体"/>
          <w:b/>
          <w:bCs/>
          <w:color w:val="auto"/>
          <w:highlight w:val="none"/>
        </w:rPr>
        <w:t>说明</w:t>
      </w:r>
    </w:p>
    <w:p>
      <w:pPr>
        <w:ind w:firstLine="480"/>
        <w:jc w:val="left"/>
        <w:rPr>
          <w:rFonts w:ascii="等线" w:hAnsi="等线" w:cs="宋体"/>
          <w:color w:val="auto"/>
          <w:highlight w:val="none"/>
        </w:rPr>
      </w:pPr>
      <w:r>
        <w:rPr>
          <w:rFonts w:hint="eastAsia" w:ascii="等线" w:hAnsi="等线" w:cs="宋体"/>
          <w:color w:val="auto"/>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r>
        <w:rPr>
          <w:rFonts w:hint="eastAsia" w:ascii="等线" w:hAnsi="等线" w:cs="宋体"/>
          <w:color w:val="auto"/>
          <w:highlight w:val="none"/>
        </w:rPr>
        <w:t>。</w:t>
      </w:r>
    </w:p>
    <w:p>
      <w:pPr>
        <w:ind w:firstLine="480"/>
        <w:jc w:val="left"/>
        <w:rPr>
          <w:rFonts w:ascii="等线" w:hAnsi="等线" w:cs="宋体"/>
          <w:color w:val="auto"/>
          <w:highlight w:val="none"/>
        </w:rPr>
      </w:pPr>
      <w:r>
        <w:rPr>
          <w:rFonts w:hint="eastAsia" w:ascii="等线" w:hAnsi="等线" w:cs="宋体"/>
          <w:color w:val="auto"/>
          <w:highlight w:val="none"/>
        </w:rPr>
        <w:t>2.投标人应根据实际情况填写。</w:t>
      </w:r>
    </w:p>
    <w:p>
      <w:pPr>
        <w:ind w:firstLine="480"/>
        <w:jc w:val="left"/>
        <w:rPr>
          <w:rFonts w:ascii="等线" w:hAnsi="等线" w:cs="宋体"/>
          <w:color w:val="auto"/>
          <w:highlight w:val="none"/>
        </w:rPr>
      </w:pPr>
      <w:r>
        <w:rPr>
          <w:rFonts w:hint="eastAsia" w:ascii="等线" w:hAnsi="等线" w:cs="宋体"/>
          <w:color w:val="auto"/>
          <w:highlight w:val="none"/>
        </w:rPr>
        <w:t>3.招标文件中没有格式要求的，投标人自行编制。</w:t>
      </w:r>
    </w:p>
    <w:p>
      <w:pPr>
        <w:ind w:firstLine="480"/>
        <w:rPr>
          <w:color w:val="auto"/>
          <w:highlight w:val="none"/>
        </w:rPr>
      </w:pPr>
      <w:r>
        <w:rPr>
          <w:color w:val="auto"/>
          <w:highlight w:val="none"/>
        </w:rPr>
        <w:br w:type="page"/>
      </w:r>
    </w:p>
    <w:p>
      <w:pPr>
        <w:pStyle w:val="4"/>
        <w:ind w:firstLine="482"/>
        <w:rPr>
          <w:color w:val="auto"/>
          <w:highlight w:val="none"/>
        </w:rPr>
      </w:pPr>
      <w:bookmarkStart w:id="113" w:name="_Toc1865"/>
      <w:r>
        <w:rPr>
          <w:rFonts w:hint="eastAsia"/>
          <w:color w:val="auto"/>
          <w:highlight w:val="none"/>
        </w:rPr>
        <w:t>一、资格文件封面格式</w:t>
      </w:r>
      <w:bookmarkEnd w:id="113"/>
    </w:p>
    <w:p>
      <w:pPr>
        <w:spacing w:line="240" w:lineRule="auto"/>
        <w:ind w:firstLine="0" w:firstLineChars="0"/>
        <w:rPr>
          <w:rFonts w:asciiTheme="minorEastAsia" w:hAnsiTheme="minorEastAsia" w:eastAsiaTheme="minorEastAsia" w:cstheme="minorEastAsia"/>
          <w:b/>
          <w:bCs/>
          <w:color w:val="auto"/>
          <w:sz w:val="40"/>
          <w:szCs w:val="40"/>
          <w:highlight w:val="none"/>
        </w:rPr>
      </w:pPr>
    </w:p>
    <w:p>
      <w:pPr>
        <w:pStyle w:val="2"/>
        <w:spacing w:before="164"/>
        <w:ind w:firstLine="708"/>
        <w:jc w:val="center"/>
        <w:rPr>
          <w:color w:val="auto"/>
          <w:w w:val="72"/>
          <w:highlight w:val="none"/>
        </w:rPr>
      </w:pPr>
      <w:r>
        <w:rPr>
          <w:rFonts w:hint="eastAsia" w:ascii="宋体" w:hAnsi="宋体" w:cs="宋体"/>
          <w:b/>
          <w:bCs/>
          <w:color w:val="auto"/>
          <w:spacing w:val="-11"/>
          <w:w w:val="72"/>
          <w:sz w:val="52"/>
          <w:szCs w:val="52"/>
          <w:highlight w:val="none"/>
          <w:lang w:eastAsia="zh-CN"/>
        </w:rPr>
        <w:t>浦江县通济桥水库灌区续建配套与节水改造项目（2023-2024年）（金属结构）设备采购项目（重新招标）</w:t>
      </w:r>
    </w:p>
    <w:p>
      <w:pPr>
        <w:pStyle w:val="2"/>
        <w:spacing w:before="164"/>
        <w:rPr>
          <w:color w:val="auto"/>
          <w:highlight w:val="none"/>
        </w:rPr>
      </w:pPr>
    </w:p>
    <w:p>
      <w:pPr>
        <w:spacing w:line="240" w:lineRule="auto"/>
        <w:ind w:firstLine="562"/>
        <w:jc w:val="center"/>
        <w:rPr>
          <w:rFonts w:asciiTheme="minorEastAsia" w:hAnsiTheme="minorEastAsia" w:eastAsiaTheme="minorEastAsia" w:cstheme="minorEastAsia"/>
          <w:b/>
          <w:bCs/>
          <w:color w:val="auto"/>
          <w:sz w:val="28"/>
          <w:szCs w:val="28"/>
          <w:highlight w:val="none"/>
        </w:rPr>
      </w:pPr>
    </w:p>
    <w:p>
      <w:pPr>
        <w:ind w:firstLine="0" w:firstLineChars="0"/>
        <w:jc w:val="center"/>
        <w:rPr>
          <w:rFonts w:ascii="宋体" w:hAnsi="宋体" w:cs="宋体"/>
          <w:b/>
          <w:bCs/>
          <w:color w:val="auto"/>
          <w:spacing w:val="45"/>
          <w:w w:val="70"/>
          <w:sz w:val="96"/>
          <w:szCs w:val="96"/>
          <w:highlight w:val="none"/>
        </w:rPr>
      </w:pPr>
      <w:r>
        <w:rPr>
          <w:rFonts w:hint="eastAsia" w:ascii="宋体" w:hAnsi="宋体" w:cs="宋体"/>
          <w:b/>
          <w:bCs/>
          <w:color w:val="auto"/>
          <w:spacing w:val="45"/>
          <w:w w:val="70"/>
          <w:sz w:val="96"/>
          <w:szCs w:val="96"/>
          <w:highlight w:val="none"/>
        </w:rPr>
        <w:t>投 标 文 件</w:t>
      </w:r>
    </w:p>
    <w:p>
      <w:pPr>
        <w:spacing w:line="240" w:lineRule="auto"/>
        <w:ind w:firstLine="0" w:firstLineChars="0"/>
        <w:jc w:val="center"/>
        <w:rPr>
          <w:rFonts w:ascii="宋体" w:hAnsi="宋体" w:cs="宋体"/>
          <w:b/>
          <w:bCs/>
          <w:color w:val="auto"/>
          <w:w w:val="80"/>
          <w:sz w:val="52"/>
          <w:szCs w:val="52"/>
          <w:highlight w:val="none"/>
        </w:rPr>
      </w:pPr>
      <w:r>
        <w:rPr>
          <w:rFonts w:hint="eastAsia" w:ascii="宋体" w:hAnsi="宋体" w:cs="宋体"/>
          <w:b/>
          <w:bCs/>
          <w:color w:val="auto"/>
          <w:w w:val="80"/>
          <w:sz w:val="52"/>
          <w:szCs w:val="52"/>
          <w:highlight w:val="none"/>
        </w:rPr>
        <w:t>（资格响应文件）</w:t>
      </w:r>
    </w:p>
    <w:p>
      <w:pPr>
        <w:spacing w:line="240" w:lineRule="auto"/>
        <w:ind w:firstLine="0" w:firstLineChars="0"/>
        <w:jc w:val="center"/>
        <w:rPr>
          <w:rFonts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rPr>
        <w:t>项目编号：</w:t>
      </w:r>
    </w:p>
    <w:p>
      <w:pPr>
        <w:spacing w:line="240" w:lineRule="auto"/>
        <w:ind w:firstLine="562"/>
        <w:jc w:val="center"/>
        <w:rPr>
          <w:rFonts w:asciiTheme="minorEastAsia" w:hAnsiTheme="minorEastAsia" w:eastAsiaTheme="minorEastAsia" w:cstheme="minorEastAsia"/>
          <w:b/>
          <w:bCs/>
          <w:color w:val="auto"/>
          <w:sz w:val="28"/>
          <w:szCs w:val="28"/>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pPr>
        <w:ind w:firstLine="643"/>
        <w:rPr>
          <w:color w:val="auto"/>
          <w:highlight w:val="none"/>
        </w:rPr>
      </w:pPr>
      <w:r>
        <w:rPr>
          <w:rFonts w:hint="eastAsia" w:asciiTheme="minorEastAsia" w:hAnsiTheme="minorEastAsia" w:eastAsiaTheme="minorEastAsia" w:cstheme="minorEastAsia"/>
          <w:b/>
          <w:color w:val="auto"/>
          <w:sz w:val="32"/>
          <w:szCs w:val="32"/>
          <w:highlight w:val="none"/>
        </w:rPr>
        <w:br w:type="page"/>
      </w:r>
    </w:p>
    <w:p>
      <w:pPr>
        <w:tabs>
          <w:tab w:val="left" w:pos="720"/>
        </w:tabs>
        <w:adjustRightInd w:val="0"/>
        <w:snapToGrid w:val="0"/>
        <w:spacing w:line="336" w:lineRule="auto"/>
        <w:ind w:firstLine="0" w:firstLineChars="0"/>
        <w:jc w:val="center"/>
        <w:rPr>
          <w:rFonts w:ascii="宋体" w:hAnsi="宋体" w:cs="宋体"/>
          <w:b/>
          <w:snapToGrid w:val="0"/>
          <w:color w:val="auto"/>
          <w:kern w:val="0"/>
          <w:sz w:val="36"/>
          <w:szCs w:val="36"/>
          <w:highlight w:val="none"/>
        </w:rPr>
      </w:pPr>
      <w:r>
        <w:rPr>
          <w:rFonts w:hint="eastAsia" w:ascii="宋体" w:hAnsi="宋体" w:cs="宋体"/>
          <w:b/>
          <w:snapToGrid w:val="0"/>
          <w:color w:val="auto"/>
          <w:kern w:val="0"/>
          <w:sz w:val="36"/>
          <w:szCs w:val="36"/>
          <w:highlight w:val="none"/>
        </w:rPr>
        <w:t>资格响应文件目录</w:t>
      </w:r>
    </w:p>
    <w:p>
      <w:pPr>
        <w:pStyle w:val="19"/>
        <w:ind w:firstLine="640"/>
        <w:rPr>
          <w:rFonts w:ascii="宋体" w:hAnsi="宋体" w:cs="宋体"/>
          <w:b w:val="0"/>
          <w:snapToGrid w:val="0"/>
          <w:color w:val="auto"/>
          <w:kern w:val="0"/>
          <w:sz w:val="32"/>
          <w:szCs w:val="32"/>
          <w:highlight w:val="none"/>
        </w:rPr>
      </w:pPr>
    </w:p>
    <w:p>
      <w:pPr>
        <w:spacing w:line="480" w:lineRule="auto"/>
        <w:ind w:firstLine="480"/>
        <w:rPr>
          <w:color w:val="auto"/>
          <w:highlight w:val="none"/>
        </w:rPr>
      </w:pPr>
    </w:p>
    <w:p>
      <w:pPr>
        <w:keepNext w:val="0"/>
        <w:keepLines w:val="0"/>
        <w:pageBreakBefore w:val="0"/>
        <w:widowControl w:val="0"/>
        <w:numPr>
          <w:ilvl w:val="0"/>
          <w:numId w:val="0"/>
        </w:numPr>
        <w:tabs>
          <w:tab w:val="right" w:leader="middleDot" w:pos="9030"/>
        </w:tabs>
        <w:kinsoku/>
        <w:wordWrap/>
        <w:overflowPunct/>
        <w:topLinePunct w:val="0"/>
        <w:autoSpaceDE/>
        <w:autoSpaceDN/>
        <w:bidi w:val="0"/>
        <w:adjustRightInd/>
        <w:snapToGrid/>
        <w:spacing w:line="480" w:lineRule="auto"/>
        <w:ind w:left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val="en-US" w:eastAsia="zh-CN"/>
        </w:rPr>
        <w:tab/>
      </w:r>
      <w:r>
        <w:rPr>
          <w:rFonts w:hint="eastAsia" w:ascii="宋体" w:hAnsi="宋体" w:cs="宋体"/>
          <w:color w:val="auto"/>
          <w:sz w:val="24"/>
          <w:highlight w:val="none"/>
        </w:rPr>
        <w:t>页码</w:t>
      </w:r>
    </w:p>
    <w:p>
      <w:pPr>
        <w:keepNext w:val="0"/>
        <w:keepLines w:val="0"/>
        <w:pageBreakBefore w:val="0"/>
        <w:widowControl w:val="0"/>
        <w:tabs>
          <w:tab w:val="right" w:leader="middleDot" w:pos="903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ab/>
      </w:r>
      <w:r>
        <w:rPr>
          <w:rFonts w:hint="eastAsia" w:ascii="宋体" w:hAnsi="宋体" w:cs="宋体"/>
          <w:color w:val="auto"/>
          <w:sz w:val="24"/>
          <w:highlight w:val="none"/>
        </w:rPr>
        <w:t>页码</w:t>
      </w:r>
    </w:p>
    <w:p>
      <w:pPr>
        <w:tabs>
          <w:tab w:val="right" w:leader="middleDot" w:pos="9030"/>
        </w:tabs>
        <w:spacing w:line="480" w:lineRule="auto"/>
        <w:ind w:firstLine="0" w:firstLineChars="0"/>
        <w:rPr>
          <w:rFonts w:ascii="宋体" w:hAnsi="宋体" w:cs="宋体"/>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ab/>
      </w:r>
      <w:r>
        <w:rPr>
          <w:rFonts w:hint="eastAsia" w:ascii="宋体" w:hAnsi="宋体" w:cs="宋体"/>
          <w:color w:val="auto"/>
          <w:sz w:val="24"/>
          <w:highlight w:val="none"/>
        </w:rPr>
        <w:t>页码</w:t>
      </w:r>
    </w:p>
    <w:p>
      <w:pPr>
        <w:spacing w:line="480"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 xml:space="preserve">  </w:t>
      </w:r>
    </w:p>
    <w:p>
      <w:pPr>
        <w:pStyle w:val="19"/>
        <w:ind w:firstLine="480"/>
        <w:rPr>
          <w:rFonts w:ascii="宋体" w:hAnsi="宋体" w:cs="宋体"/>
          <w:b w:val="0"/>
          <w:bCs/>
          <w:color w:val="auto"/>
          <w:szCs w:val="21"/>
          <w:highlight w:val="none"/>
        </w:rPr>
      </w:pPr>
    </w:p>
    <w:p>
      <w:pPr>
        <w:ind w:firstLine="482"/>
        <w:rPr>
          <w:rFonts w:ascii="宋体" w:hAnsi="宋体" w:cs="宋体"/>
          <w:b/>
          <w:bCs/>
          <w:color w:val="auto"/>
          <w:szCs w:val="21"/>
          <w:highlight w:val="none"/>
        </w:rPr>
      </w:pPr>
    </w:p>
    <w:p>
      <w:pPr>
        <w:pStyle w:val="19"/>
        <w:ind w:firstLine="48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w:t>
      </w:r>
      <w:r>
        <w:rPr>
          <w:rFonts w:hint="eastAsia" w:cs="宋体"/>
          <w:color w:val="auto"/>
          <w:highlight w:val="none"/>
        </w:rPr>
        <w:t>1.</w:t>
      </w:r>
      <w:r>
        <w:rPr>
          <w:rFonts w:hint="eastAsia" w:ascii="宋体" w:hAnsi="宋体" w:cs="宋体"/>
          <w:color w:val="auto"/>
          <w:highlight w:val="none"/>
        </w:rPr>
        <w:t>根据《浙江省财政厅关于简化</w:t>
      </w:r>
      <w:r>
        <w:rPr>
          <w:rFonts w:hint="eastAsia" w:cs="宋体"/>
          <w:color w:val="auto"/>
          <w:highlight w:val="none"/>
        </w:rPr>
        <w:t>投标人</w:t>
      </w:r>
      <w:r>
        <w:rPr>
          <w:rFonts w:hint="eastAsia" w:ascii="宋体" w:hAnsi="宋体" w:cs="宋体"/>
          <w:color w:val="auto"/>
          <w:highlight w:val="none"/>
        </w:rPr>
        <w:t>信息登记和试行</w:t>
      </w:r>
      <w:r>
        <w:rPr>
          <w:rFonts w:hint="eastAsia" w:cs="宋体"/>
          <w:color w:val="auto"/>
          <w:highlight w:val="none"/>
        </w:rPr>
        <w:t>投标人</w:t>
      </w:r>
      <w:r>
        <w:rPr>
          <w:rFonts w:hint="eastAsia" w:ascii="宋体" w:hAnsi="宋体" w:cs="宋体"/>
          <w:color w:val="auto"/>
          <w:highlight w:val="none"/>
        </w:rPr>
        <w:t>诚信管理的通知》、浙财函</w:t>
      </w:r>
      <w:r>
        <w:rPr>
          <w:rFonts w:hint="eastAsia" w:ascii="等线" w:hAnsi="等线" w:eastAsia="等线" w:cs="等线"/>
          <w:color w:val="auto"/>
          <w:highlight w:val="none"/>
        </w:rPr>
        <w:t>〔2020〕298</w:t>
      </w:r>
      <w:r>
        <w:rPr>
          <w:rFonts w:hint="eastAsia" w:ascii="宋体" w:hAnsi="宋体" w:cs="宋体"/>
          <w:color w:val="auto"/>
          <w:highlight w:val="none"/>
        </w:rPr>
        <w:t>号文件，</w:t>
      </w:r>
      <w:r>
        <w:rPr>
          <w:rFonts w:hint="eastAsia" w:cs="宋体"/>
          <w:color w:val="auto"/>
          <w:highlight w:val="none"/>
        </w:rPr>
        <w:t>投标人</w:t>
      </w:r>
      <w:r>
        <w:rPr>
          <w:rFonts w:hint="eastAsia" w:ascii="宋体" w:hAnsi="宋体" w:cs="宋体"/>
          <w:color w:val="auto"/>
          <w:highlight w:val="none"/>
        </w:rPr>
        <w:t>提供书面承诺的，不再要求</w:t>
      </w:r>
      <w:r>
        <w:rPr>
          <w:rFonts w:hint="eastAsia" w:cs="宋体"/>
          <w:color w:val="auto"/>
          <w:highlight w:val="none"/>
        </w:rPr>
        <w:t>投标人</w:t>
      </w:r>
      <w:r>
        <w:rPr>
          <w:rFonts w:hint="eastAsia" w:ascii="宋体" w:hAnsi="宋体" w:cs="宋体"/>
          <w:color w:val="auto"/>
          <w:highlight w:val="none"/>
        </w:rPr>
        <w:t>提供相关财务状况、缴纳税收和社会保障资金等证明材料。</w:t>
      </w:r>
    </w:p>
    <w:p>
      <w:pPr>
        <w:snapToGrid w:val="0"/>
        <w:spacing w:before="50" w:after="164" w:afterLines="50"/>
        <w:ind w:firstLine="1205" w:firstLineChars="500"/>
        <w:rPr>
          <w:rFonts w:ascii="宋体" w:hAnsi="宋体" w:cs="宋体"/>
          <w:b/>
          <w:bCs/>
          <w:color w:val="auto"/>
          <w:highlight w:val="none"/>
        </w:rPr>
      </w:pPr>
      <w:r>
        <w:rPr>
          <w:rFonts w:hint="eastAsia" w:cs="宋体"/>
          <w:b/>
          <w:bCs/>
          <w:color w:val="auto"/>
          <w:highlight w:val="none"/>
        </w:rPr>
        <w:t>2.</w:t>
      </w:r>
      <w:r>
        <w:rPr>
          <w:rFonts w:hint="eastAsia" w:ascii="宋体" w:hAnsi="宋体" w:cs="宋体"/>
          <w:b/>
          <w:bCs/>
          <w:color w:val="auto"/>
          <w:highlight w:val="none"/>
        </w:rPr>
        <w:t>附后无格式部分由投标人根据招标文件规定自行编制</w:t>
      </w:r>
      <w:r>
        <w:rPr>
          <w:rFonts w:hint="eastAsia" w:cs="宋体"/>
          <w:b/>
          <w:bCs/>
          <w:color w:val="auto"/>
          <w:highlight w:val="none"/>
        </w:rPr>
        <w:t>。</w:t>
      </w:r>
    </w:p>
    <w:p>
      <w:pPr>
        <w:ind w:firstLine="480"/>
        <w:rPr>
          <w:color w:val="auto"/>
          <w:highlight w:val="none"/>
        </w:rPr>
      </w:pPr>
      <w:r>
        <w:rPr>
          <w:color w:val="auto"/>
          <w:highlight w:val="none"/>
        </w:rPr>
        <w:br w:type="page"/>
      </w:r>
    </w:p>
    <w:p>
      <w:pPr>
        <w:ind w:firstLine="0" w:firstLineChars="0"/>
        <w:jc w:val="both"/>
        <w:rPr>
          <w:rFonts w:ascii="宋体" w:hAnsi="宋体" w:cs="宋体"/>
          <w:b/>
          <w:bCs/>
          <w:color w:val="auto"/>
          <w:sz w:val="36"/>
          <w:szCs w:val="36"/>
          <w:highlight w:val="none"/>
        </w:rPr>
      </w:pPr>
      <w:r>
        <w:rPr>
          <w:rFonts w:hint="eastAsia" w:ascii="黑体" w:hAnsi="黑体" w:eastAsia="黑体" w:cs="黑体"/>
          <w:b/>
          <w:bCs/>
          <w:color w:val="auto"/>
          <w:sz w:val="32"/>
          <w:szCs w:val="32"/>
          <w:highlight w:val="none"/>
          <w:lang w:val="en-US" w:eastAsia="zh-CN"/>
        </w:rPr>
        <w:t>1.</w:t>
      </w:r>
      <w:r>
        <w:rPr>
          <w:rFonts w:hint="eastAsia" w:ascii="黑体" w:hAnsi="黑体" w:eastAsia="黑体" w:cs="黑体"/>
          <w:b/>
          <w:bCs/>
          <w:color w:val="auto"/>
          <w:sz w:val="32"/>
          <w:szCs w:val="32"/>
          <w:highlight w:val="none"/>
        </w:rPr>
        <w:t>符合参加政府采购活动应当具备的一般条件的承诺函</w:t>
      </w:r>
    </w:p>
    <w:p>
      <w:pPr>
        <w:snapToGrid w:val="0"/>
        <w:spacing w:before="50" w:after="164" w:afterLines="50"/>
        <w:ind w:firstLine="0" w:firstLineChars="0"/>
        <w:jc w:val="left"/>
        <w:rPr>
          <w:rFonts w:ascii="黑体" w:hAnsi="黑体" w:eastAsia="黑体" w:cs="黑体"/>
          <w:b/>
          <w:bCs/>
          <w:snapToGrid w:val="0"/>
          <w:color w:val="auto"/>
          <w:kern w:val="0"/>
          <w:highlight w:val="none"/>
        </w:rPr>
      </w:pPr>
      <w:r>
        <w:rPr>
          <w:rFonts w:hint="eastAsia" w:ascii="黑体" w:hAnsi="黑体" w:eastAsia="黑体" w:cs="黑体"/>
          <w:b/>
          <w:bCs/>
          <w:snapToGrid w:val="0"/>
          <w:color w:val="auto"/>
          <w:kern w:val="0"/>
          <w:highlight w:val="none"/>
        </w:rPr>
        <w:t>（1）资格承诺函</w:t>
      </w:r>
    </w:p>
    <w:p>
      <w:pPr>
        <w:snapToGrid w:val="0"/>
        <w:spacing w:before="164" w:beforeLines="50" w:after="50"/>
        <w:ind w:firstLine="0" w:firstLineChars="0"/>
        <w:jc w:val="center"/>
        <w:rPr>
          <w:rStyle w:val="36"/>
          <w:color w:val="auto"/>
          <w:sz w:val="30"/>
          <w:szCs w:val="30"/>
          <w:highlight w:val="none"/>
        </w:rPr>
      </w:pPr>
      <w:r>
        <w:rPr>
          <w:rFonts w:hint="eastAsia"/>
          <w:b/>
          <w:color w:val="auto"/>
          <w:sz w:val="30"/>
          <w:szCs w:val="30"/>
          <w:highlight w:val="none"/>
        </w:rPr>
        <w:t xml:space="preserve"> </w:t>
      </w:r>
      <w:r>
        <w:rPr>
          <w:rStyle w:val="36"/>
          <w:color w:val="auto"/>
          <w:sz w:val="30"/>
          <w:szCs w:val="30"/>
          <w:highlight w:val="none"/>
        </w:rPr>
        <w:t>投标人资格承诺函</w:t>
      </w:r>
    </w:p>
    <w:p>
      <w:pPr>
        <w:snapToGrid w:val="0"/>
        <w:spacing w:before="120"/>
        <w:ind w:firstLine="0" w:firstLineChars="0"/>
        <w:rPr>
          <w:color w:val="auto"/>
          <w:szCs w:val="20"/>
          <w:highlight w:val="none"/>
        </w:rPr>
      </w:pPr>
      <w:r>
        <w:rPr>
          <w:color w:val="auto"/>
          <w:highlight w:val="none"/>
        </w:rPr>
        <w:t>致</w:t>
      </w:r>
      <w:r>
        <w:rPr>
          <w:rFonts w:hint="eastAsia"/>
          <w:color w:val="auto"/>
          <w:highlight w:val="none"/>
        </w:rPr>
        <w:t>：</w:t>
      </w:r>
      <w:r>
        <w:rPr>
          <w:rFonts w:hint="eastAsia"/>
          <w:color w:val="auto"/>
          <w:highlight w:val="none"/>
          <w:u w:val="single"/>
        </w:rPr>
        <w:t xml:space="preserve">  （采购人）、（采购代理机构）     </w:t>
      </w:r>
      <w:r>
        <w:rPr>
          <w:color w:val="auto"/>
          <w:highlight w:val="none"/>
        </w:rPr>
        <w:t>：</w:t>
      </w:r>
    </w:p>
    <w:p>
      <w:pPr>
        <w:snapToGrid w:val="0"/>
        <w:spacing w:before="120"/>
        <w:ind w:firstLine="480"/>
        <w:rPr>
          <w:color w:val="auto"/>
          <w:szCs w:val="20"/>
          <w:highlight w:val="none"/>
        </w:rPr>
      </w:pPr>
      <w:r>
        <w:rPr>
          <w:color w:val="auto"/>
          <w:szCs w:val="20"/>
          <w:highlight w:val="none"/>
        </w:rPr>
        <w:t xml:space="preserve"> </w:t>
      </w:r>
      <w:r>
        <w:rPr>
          <w:rFonts w:hint="eastAsia"/>
          <w:color w:val="auto"/>
          <w:highlight w:val="none"/>
        </w:rPr>
        <w:t>我方参与</w:t>
      </w:r>
      <w:r>
        <w:rPr>
          <w:rFonts w:hint="eastAsia" w:ascii="宋体" w:hAnsi="宋体" w:cs="宋体"/>
          <w:color w:val="auto"/>
          <w:highlight w:val="none"/>
          <w:u w:val="single"/>
        </w:rPr>
        <w:t xml:space="preserve">                   标项名称  </w:t>
      </w:r>
      <w:r>
        <w:rPr>
          <w:rFonts w:hint="eastAsia"/>
          <w:color w:val="auto"/>
          <w:highlight w:val="none"/>
        </w:rPr>
        <w:t>（</w:t>
      </w:r>
      <w:r>
        <w:rPr>
          <w:rFonts w:hint="eastAsia"/>
          <w:color w:val="auto"/>
          <w:highlight w:val="none"/>
          <w:u w:val="single"/>
        </w:rPr>
        <w:t xml:space="preserve">项目编号：          </w:t>
      </w:r>
      <w:r>
        <w:rPr>
          <w:rFonts w:hint="eastAsia"/>
          <w:color w:val="auto"/>
          <w:highlight w:val="none"/>
        </w:rPr>
        <w:t>）的</w:t>
      </w:r>
      <w:r>
        <w:rPr>
          <w:color w:val="auto"/>
          <w:highlight w:val="none"/>
        </w:rPr>
        <w:t>政府采购活动</w:t>
      </w:r>
      <w:r>
        <w:rPr>
          <w:rFonts w:hint="eastAsia"/>
          <w:color w:val="auto"/>
          <w:highlight w:val="none"/>
        </w:rPr>
        <w:t>，做出</w:t>
      </w:r>
      <w:r>
        <w:rPr>
          <w:color w:val="auto"/>
          <w:highlight w:val="none"/>
        </w:rPr>
        <w:t>承诺如下：</w:t>
      </w:r>
    </w:p>
    <w:p>
      <w:pPr>
        <w:snapToGrid w:val="0"/>
        <w:ind w:firstLine="480"/>
        <w:rPr>
          <w:color w:val="auto"/>
          <w:highlight w:val="none"/>
        </w:rPr>
      </w:pPr>
      <w:r>
        <w:rPr>
          <w:color w:val="auto"/>
          <w:highlight w:val="none"/>
        </w:rPr>
        <w:t>一、满足《中华人民共和国政府采购法》第二十二条规定</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pPr>
        <w:snapToGrid w:val="0"/>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pPr>
        <w:snapToGrid w:val="0"/>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pPr>
        <w:snapToGrid w:val="0"/>
        <w:ind w:firstLine="480"/>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pPr>
        <w:snapToGrid w:val="0"/>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pPr>
        <w:snapToGrid w:val="0"/>
        <w:ind w:firstLine="480"/>
        <w:rPr>
          <w:color w:val="auto"/>
          <w:kern w:val="0"/>
          <w:highlight w:val="none"/>
        </w:rPr>
      </w:pPr>
      <w:r>
        <w:rPr>
          <w:color w:val="auto"/>
          <w:kern w:val="0"/>
          <w:highlight w:val="none"/>
        </w:rPr>
        <w:t>二、未被“信用中国”（www.creditchina.gov.cn）、中国政府采购网（www.ccgp.gov.cn）列入失信被执行人、重大税收违法案件当事人名单、政府采购严重违法失信行为记录名单。</w:t>
      </w:r>
    </w:p>
    <w:p>
      <w:pPr>
        <w:ind w:firstLine="480"/>
        <w:rPr>
          <w:color w:val="auto"/>
          <w:kern w:val="0"/>
          <w:highlight w:val="none"/>
        </w:rPr>
      </w:pPr>
      <w:r>
        <w:rPr>
          <w:color w:val="auto"/>
          <w:kern w:val="0"/>
          <w:highlight w:val="none"/>
        </w:rPr>
        <w:t>三</w:t>
      </w:r>
      <w:r>
        <w:rPr>
          <w:rFonts w:hint="eastAsia"/>
          <w:color w:val="auto"/>
          <w:kern w:val="0"/>
          <w:highlight w:val="none"/>
        </w:rPr>
        <w:t>、不存在以下情况：</w:t>
      </w:r>
    </w:p>
    <w:p>
      <w:pPr>
        <w:snapToGrid w:val="0"/>
        <w:ind w:firstLine="480"/>
        <w:rPr>
          <w:color w:val="auto"/>
          <w:kern w:val="0"/>
          <w:highlight w:val="none"/>
        </w:rPr>
      </w:pPr>
      <w:r>
        <w:rPr>
          <w:rFonts w:hint="eastAsia"/>
          <w:color w:val="auto"/>
          <w:kern w:val="0"/>
          <w:highlight w:val="none"/>
        </w:rPr>
        <w:t>1、单位负责人为同一人或者存在直接控股、管理关系的不同投标人参加同一合同项下的政府采购活动的；</w:t>
      </w:r>
    </w:p>
    <w:p>
      <w:pPr>
        <w:snapToGrid w:val="0"/>
        <w:ind w:firstLine="480"/>
        <w:rPr>
          <w:color w:val="auto"/>
          <w:kern w:val="0"/>
          <w:highlight w:val="none"/>
        </w:rPr>
      </w:pPr>
      <w:r>
        <w:rPr>
          <w:rFonts w:hint="eastAsia"/>
          <w:color w:val="auto"/>
          <w:kern w:val="0"/>
          <w:highlight w:val="none"/>
        </w:rPr>
        <w:t>2、为采购项目提供整体设计、规范编制或者项目管理、监理、检测等服务后再参加该采购项目的其他采购活动的。</w:t>
      </w:r>
    </w:p>
    <w:p>
      <w:pPr>
        <w:snapToGrid w:val="0"/>
        <w:ind w:firstLine="480"/>
        <w:rPr>
          <w:color w:val="auto"/>
          <w:kern w:val="0"/>
          <w:highlight w:val="none"/>
        </w:rPr>
      </w:pPr>
      <w:r>
        <w:rPr>
          <w:color w:val="auto"/>
          <w:kern w:val="0"/>
          <w:highlight w:val="none"/>
        </w:rPr>
        <w:t>本单位对上述承诺内容的真实性负责。如有虚假，将依法承担相应责任。</w:t>
      </w:r>
    </w:p>
    <w:p>
      <w:pPr>
        <w:snapToGrid w:val="0"/>
        <w:ind w:firstLine="480"/>
        <w:rPr>
          <w:color w:val="auto"/>
          <w:highlight w:val="none"/>
        </w:rPr>
      </w:pPr>
    </w:p>
    <w:p>
      <w:pPr>
        <w:snapToGrid w:val="0"/>
        <w:ind w:firstLine="560"/>
        <w:jc w:val="right"/>
        <w:rPr>
          <w:color w:val="auto"/>
          <w:spacing w:val="20"/>
          <w:highlight w:val="none"/>
        </w:rPr>
      </w:pPr>
    </w:p>
    <w:p>
      <w:pPr>
        <w:snapToGrid w:val="0"/>
        <w:ind w:firstLine="560"/>
        <w:jc w:val="center"/>
        <w:rPr>
          <w:color w:val="auto"/>
          <w:spacing w:val="20"/>
          <w:highlight w:val="none"/>
        </w:rPr>
      </w:pPr>
      <w:r>
        <w:rPr>
          <w:rFonts w:hint="eastAsia"/>
          <w:color w:val="auto"/>
          <w:spacing w:val="20"/>
          <w:highlight w:val="none"/>
        </w:rPr>
        <w:t xml:space="preserve">                     </w:t>
      </w:r>
      <w:r>
        <w:rPr>
          <w:color w:val="auto"/>
          <w:spacing w:val="20"/>
          <w:highlight w:val="none"/>
        </w:rPr>
        <w:t>投标人：</w:t>
      </w:r>
      <w:r>
        <w:rPr>
          <w:color w:val="auto"/>
          <w:spacing w:val="20"/>
          <w:highlight w:val="none"/>
          <w:u w:val="single"/>
        </w:rPr>
        <w:t xml:space="preserve">      </w:t>
      </w:r>
      <w:r>
        <w:rPr>
          <w:rFonts w:hint="eastAsia"/>
          <w:color w:val="auto"/>
          <w:spacing w:val="20"/>
          <w:highlight w:val="none"/>
          <w:u w:val="single"/>
        </w:rPr>
        <w:t xml:space="preserve">   </w:t>
      </w:r>
      <w:r>
        <w:rPr>
          <w:color w:val="auto"/>
          <w:spacing w:val="20"/>
          <w:highlight w:val="none"/>
          <w:u w:val="single"/>
        </w:rPr>
        <w:t xml:space="preserve">   </w:t>
      </w:r>
      <w:r>
        <w:rPr>
          <w:rFonts w:hint="eastAsia"/>
          <w:color w:val="auto"/>
          <w:spacing w:val="20"/>
          <w:highlight w:val="none"/>
        </w:rPr>
        <w:t>（电子签章）</w:t>
      </w:r>
      <w:r>
        <w:rPr>
          <w:color w:val="auto"/>
          <w:spacing w:val="20"/>
          <w:highlight w:val="none"/>
        </w:rPr>
        <w:t xml:space="preserve">              </w:t>
      </w:r>
    </w:p>
    <w:p>
      <w:pPr>
        <w:snapToGrid w:val="0"/>
        <w:ind w:firstLine="3920" w:firstLineChars="1400"/>
        <w:rPr>
          <w:color w:val="auto"/>
          <w:szCs w:val="20"/>
          <w:highlight w:val="none"/>
        </w:rPr>
      </w:pPr>
      <w:r>
        <w:rPr>
          <w:color w:val="auto"/>
          <w:spacing w:val="20"/>
          <w:highlight w:val="none"/>
        </w:rPr>
        <w:t xml:space="preserve">日 </w:t>
      </w:r>
      <w:r>
        <w:rPr>
          <w:rFonts w:hint="eastAsia"/>
          <w:color w:val="auto"/>
          <w:spacing w:val="20"/>
          <w:highlight w:val="none"/>
        </w:rPr>
        <w:t xml:space="preserve"> </w:t>
      </w:r>
      <w:r>
        <w:rPr>
          <w:color w:val="auto"/>
          <w:spacing w:val="20"/>
          <w:highlight w:val="none"/>
        </w:rPr>
        <w:t>期：</w:t>
      </w:r>
      <w:r>
        <w:rPr>
          <w:color w:val="auto"/>
          <w:spacing w:val="20"/>
          <w:highlight w:val="none"/>
          <w:u w:val="single"/>
        </w:rPr>
        <w:t xml:space="preserve">      </w:t>
      </w:r>
      <w:r>
        <w:rPr>
          <w:rFonts w:hint="eastAsia"/>
          <w:color w:val="auto"/>
          <w:spacing w:val="20"/>
          <w:highlight w:val="none"/>
          <w:u w:val="single"/>
        </w:rPr>
        <w:t xml:space="preserve">  </w:t>
      </w:r>
      <w:r>
        <w:rPr>
          <w:color w:val="auto"/>
          <w:spacing w:val="20"/>
          <w:highlight w:val="none"/>
          <w:u w:val="single"/>
        </w:rPr>
        <w:t xml:space="preserve">    </w:t>
      </w:r>
      <w:r>
        <w:rPr>
          <w:rFonts w:hint="eastAsia"/>
          <w:color w:val="auto"/>
          <w:spacing w:val="20"/>
          <w:highlight w:val="none"/>
          <w:u w:val="single"/>
        </w:rPr>
        <w:t xml:space="preserve">    </w:t>
      </w:r>
    </w:p>
    <w:p>
      <w:pPr>
        <w:ind w:firstLine="480"/>
        <w:rPr>
          <w:color w:val="auto"/>
          <w:highlight w:val="none"/>
        </w:rPr>
      </w:pPr>
      <w:r>
        <w:rPr>
          <w:color w:val="auto"/>
          <w:highlight w:val="none"/>
        </w:rPr>
        <w:br w:type="page"/>
      </w:r>
    </w:p>
    <w:p>
      <w:pPr>
        <w:snapToGrid w:val="0"/>
        <w:spacing w:before="50" w:after="164" w:afterLines="50"/>
        <w:ind w:firstLine="0" w:firstLineChars="0"/>
        <w:jc w:val="left"/>
        <w:rPr>
          <w:rFonts w:ascii="黑体" w:hAnsi="黑体" w:eastAsia="黑体" w:cs="黑体"/>
          <w:b/>
          <w:bCs/>
          <w:snapToGrid w:val="0"/>
          <w:color w:val="auto"/>
          <w:kern w:val="0"/>
          <w:highlight w:val="none"/>
        </w:rPr>
      </w:pPr>
      <w:r>
        <w:rPr>
          <w:rFonts w:hint="eastAsia" w:ascii="黑体" w:hAnsi="黑体" w:eastAsia="黑体" w:cs="黑体"/>
          <w:b/>
          <w:bCs/>
          <w:snapToGrid w:val="0"/>
          <w:color w:val="auto"/>
          <w:kern w:val="0"/>
          <w:highlight w:val="none"/>
        </w:rPr>
        <w:t>（2）营业执照或其他同类证明文件</w:t>
      </w:r>
    </w:p>
    <w:tbl>
      <w:tblPr>
        <w:tblStyle w:val="26"/>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pPr>
              <w:spacing w:before="1148" w:beforeLines="350"/>
              <w:ind w:firstLine="0" w:firstLineChars="0"/>
              <w:jc w:val="center"/>
              <w:rPr>
                <w:rFonts w:ascii="仿宋" w:hAnsi="仿宋" w:eastAsia="仿宋"/>
                <w:color w:val="auto"/>
                <w:sz w:val="28"/>
                <w:highlight w:val="none"/>
              </w:rPr>
            </w:pPr>
            <w:r>
              <w:rPr>
                <w:rFonts w:hint="eastAsia" w:ascii="仿宋" w:hAnsi="仿宋" w:eastAsia="仿宋"/>
                <w:b/>
                <w:bCs/>
                <w:color w:val="auto"/>
                <w:sz w:val="28"/>
                <w:highlight w:val="none"/>
                <w:u w:val="single"/>
              </w:rPr>
              <w:t>营业执照（或事业单位法人证书或执业许可证或自然人有效身份证明）</w:t>
            </w:r>
          </w:p>
          <w:p>
            <w:pPr>
              <w:ind w:firstLine="0" w:firstLineChars="0"/>
              <w:jc w:val="center"/>
              <w:rPr>
                <w:rFonts w:ascii="仿宋" w:hAnsi="仿宋" w:eastAsia="仿宋"/>
                <w:color w:val="auto"/>
                <w:sz w:val="28"/>
                <w:highlight w:val="none"/>
              </w:rPr>
            </w:pPr>
            <w:r>
              <w:rPr>
                <w:rFonts w:hint="eastAsia" w:ascii="仿宋" w:hAnsi="仿宋" w:eastAsia="仿宋"/>
                <w:color w:val="auto"/>
                <w:sz w:val="28"/>
                <w:highlight w:val="none"/>
              </w:rPr>
              <w:t>（提供复印件加盖投标供应商公章）</w:t>
            </w:r>
          </w:p>
          <w:p>
            <w:pPr>
              <w:ind w:firstLine="0" w:firstLineChars="0"/>
              <w:jc w:val="center"/>
              <w:rPr>
                <w:rFonts w:ascii="仿宋" w:hAnsi="仿宋" w:eastAsia="仿宋"/>
                <w:color w:val="auto"/>
                <w:sz w:val="28"/>
                <w:highlight w:val="none"/>
              </w:rPr>
            </w:pPr>
          </w:p>
          <w:p>
            <w:pPr>
              <w:ind w:firstLine="0" w:firstLineChars="0"/>
              <w:rPr>
                <w:rFonts w:ascii="仿宋" w:hAnsi="仿宋" w:eastAsia="仿宋"/>
                <w:color w:val="auto"/>
                <w:sz w:val="28"/>
                <w:highlight w:val="none"/>
              </w:rPr>
            </w:pPr>
          </w:p>
          <w:p>
            <w:pPr>
              <w:ind w:firstLine="0" w:firstLineChars="0"/>
              <w:jc w:val="center"/>
              <w:rPr>
                <w:rFonts w:ascii="仿宋" w:hAnsi="仿宋" w:eastAsia="仿宋"/>
                <w:color w:val="auto"/>
                <w:sz w:val="28"/>
                <w:highlight w:val="none"/>
              </w:rPr>
            </w:pPr>
          </w:p>
          <w:p>
            <w:pPr>
              <w:ind w:firstLine="0" w:firstLineChars="0"/>
              <w:jc w:val="center"/>
              <w:rPr>
                <w:rFonts w:ascii="仿宋" w:hAnsi="仿宋" w:eastAsia="仿宋"/>
                <w:color w:val="auto"/>
                <w:sz w:val="28"/>
                <w:highlight w:val="none"/>
              </w:rPr>
            </w:pPr>
          </w:p>
          <w:p>
            <w:pPr>
              <w:ind w:firstLine="0" w:firstLineChars="0"/>
              <w:rPr>
                <w:rFonts w:ascii="仿宋" w:hAnsi="仿宋" w:eastAsia="仿宋"/>
                <w:b/>
                <w:bCs/>
                <w:color w:val="auto"/>
                <w:highlight w:val="none"/>
              </w:rPr>
            </w:pPr>
            <w:r>
              <w:rPr>
                <w:rFonts w:hint="eastAsia" w:ascii="仿宋" w:hAnsi="仿宋" w:eastAsia="仿宋"/>
                <w:b/>
                <w:bCs/>
                <w:color w:val="auto"/>
                <w:highlight w:val="none"/>
              </w:rPr>
              <w:t>编制说明：</w:t>
            </w:r>
          </w:p>
          <w:p>
            <w:pPr>
              <w:ind w:firstLine="480"/>
              <w:jc w:val="left"/>
              <w:rPr>
                <w:rFonts w:ascii="仿宋" w:hAnsi="仿宋" w:eastAsia="仿宋"/>
                <w:color w:val="auto"/>
                <w:highlight w:val="none"/>
              </w:rPr>
            </w:pPr>
            <w:r>
              <w:rPr>
                <w:rFonts w:hint="eastAsia" w:ascii="仿宋" w:hAnsi="仿宋" w:eastAsia="仿宋"/>
                <w:color w:val="auto"/>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ind w:firstLine="480"/>
              <w:jc w:val="left"/>
              <w:rPr>
                <w:rFonts w:ascii="Calibri" w:hAnsi="Calibri" w:eastAsia="华文中宋"/>
                <w:color w:val="auto"/>
                <w:sz w:val="21"/>
                <w:highlight w:val="none"/>
              </w:rPr>
            </w:pPr>
            <w:r>
              <w:rPr>
                <w:rFonts w:hint="eastAsia" w:ascii="仿宋" w:hAnsi="仿宋" w:eastAsia="仿宋"/>
                <w:color w:val="auto"/>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pPr>
        <w:ind w:left="0" w:leftChars="0" w:firstLine="0" w:firstLineChars="0"/>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br w:type="page"/>
      </w:r>
    </w:p>
    <w:p>
      <w:pPr>
        <w:ind w:firstLine="0" w:firstLineChars="0"/>
        <w:jc w:val="left"/>
        <w:rPr>
          <w:rFonts w:ascii="宋体" w:hAnsi="宋体" w:cs="宋体"/>
          <w:b/>
          <w:bCs/>
          <w:color w:val="auto"/>
          <w:sz w:val="36"/>
          <w:szCs w:val="36"/>
          <w:highlight w:val="none"/>
        </w:rPr>
      </w:pPr>
      <w:r>
        <w:rPr>
          <w:rFonts w:hint="eastAsia" w:ascii="黑体" w:hAnsi="黑体" w:eastAsia="黑体" w:cs="黑体"/>
          <w:b/>
          <w:bCs/>
          <w:color w:val="auto"/>
          <w:sz w:val="32"/>
          <w:szCs w:val="32"/>
          <w:highlight w:val="none"/>
          <w:lang w:val="en-US" w:eastAsia="zh-CN"/>
        </w:rPr>
        <w:t>2.</w:t>
      </w:r>
      <w:r>
        <w:rPr>
          <w:rFonts w:hint="eastAsia" w:ascii="黑体" w:hAnsi="黑体" w:eastAsia="黑体" w:cs="黑体"/>
          <w:b/>
          <w:bCs/>
          <w:color w:val="auto"/>
          <w:sz w:val="32"/>
          <w:szCs w:val="32"/>
          <w:highlight w:val="none"/>
        </w:rPr>
        <w:t>落实政府采购政策需满足的资格要求</w:t>
      </w:r>
    </w:p>
    <w:p>
      <w:pPr>
        <w:pStyle w:val="19"/>
        <w:ind w:firstLine="482"/>
        <w:rPr>
          <w:color w:val="auto"/>
          <w:highlight w:val="none"/>
        </w:rPr>
      </w:pPr>
    </w:p>
    <w:p>
      <w:pPr>
        <w:snapToGrid w:val="0"/>
        <w:ind w:firstLine="480"/>
        <w:rPr>
          <w:color w:val="auto"/>
          <w:kern w:val="0"/>
          <w:highlight w:val="none"/>
        </w:rPr>
      </w:pPr>
      <w:r>
        <w:rPr>
          <w:rFonts w:hint="eastAsia"/>
          <w:color w:val="auto"/>
          <w:kern w:val="0"/>
          <w:highlight w:val="none"/>
        </w:rPr>
        <w:t>根据招标公告落实政府采购政策需满足的资格要求选择提供相应的材料；未要求的，无需提供。</w:t>
      </w:r>
    </w:p>
    <w:p>
      <w:pPr>
        <w:snapToGrid w:val="0"/>
        <w:ind w:firstLine="480"/>
        <w:rPr>
          <w:color w:val="auto"/>
          <w:kern w:val="0"/>
          <w:highlight w:val="none"/>
        </w:rPr>
      </w:pPr>
      <w:r>
        <w:rPr>
          <w:rFonts w:hint="eastAsia"/>
          <w:color w:val="auto"/>
          <w:kern w:val="0"/>
          <w:highlight w:val="none"/>
        </w:rPr>
        <w:t>专门面向中小企业，货物全部由符合政策要求的中小企业（或小微企业）制造或者服务全部由符合政策要求的中小企业（或小微企业）承接的，提供相应的中小企业声明函（附后）。</w:t>
      </w:r>
    </w:p>
    <w:p>
      <w:pPr>
        <w:ind w:firstLine="480"/>
        <w:rPr>
          <w:color w:val="auto"/>
          <w:kern w:val="0"/>
          <w:highlight w:val="none"/>
        </w:rPr>
      </w:pPr>
      <w:r>
        <w:rPr>
          <w:rFonts w:hint="eastAsia"/>
          <w:color w:val="auto"/>
          <w:kern w:val="0"/>
          <w:highlight w:val="none"/>
        </w:rPr>
        <w:t>说明：</w:t>
      </w:r>
    </w:p>
    <w:p>
      <w:pPr>
        <w:snapToGrid w:val="0"/>
        <w:ind w:firstLine="480"/>
        <w:rPr>
          <w:color w:val="auto"/>
          <w:kern w:val="0"/>
          <w:highlight w:val="none"/>
        </w:rPr>
      </w:pPr>
      <w:r>
        <w:rPr>
          <w:rFonts w:hint="eastAsia"/>
          <w:color w:val="auto"/>
          <w:kern w:val="0"/>
          <w:highlight w:val="none"/>
        </w:rPr>
        <w:t>1.专门面向中小企业采购项目，投标人应提供《中小企业声明函》等证明材料。</w:t>
      </w:r>
    </w:p>
    <w:p>
      <w:pPr>
        <w:snapToGrid w:val="0"/>
        <w:ind w:firstLine="480"/>
        <w:rPr>
          <w:color w:val="auto"/>
          <w:kern w:val="0"/>
          <w:highlight w:val="none"/>
        </w:rPr>
      </w:pPr>
      <w:r>
        <w:rPr>
          <w:rFonts w:hint="eastAsia"/>
          <w:color w:val="auto"/>
          <w:kern w:val="0"/>
          <w:highlight w:val="none"/>
        </w:rPr>
        <w:t>中标、成交投标人享受本办法规定的中小企业扶持政策的，中标投标人的《中小企业声明函》随中标结果公开。</w:t>
      </w:r>
    </w:p>
    <w:p>
      <w:pPr>
        <w:snapToGrid w:val="0"/>
        <w:ind w:firstLine="480"/>
        <w:rPr>
          <w:color w:val="auto"/>
          <w:kern w:val="0"/>
          <w:highlight w:val="none"/>
        </w:rPr>
      </w:pPr>
      <w:r>
        <w:rPr>
          <w:rFonts w:hint="eastAsia"/>
          <w:color w:val="auto"/>
          <w:kern w:val="0"/>
          <w:highlight w:val="none"/>
        </w:rPr>
        <w:t>残疾人福利性单位参与政府采购活动的，提供《残疾人福利性单位声明函》证明材料的，视为小微企业。如中标，《残疾人福利性单位声明函》（附后）将随中标结果公告一同公告。</w:t>
      </w:r>
    </w:p>
    <w:p>
      <w:pPr>
        <w:snapToGrid w:val="0"/>
        <w:ind w:firstLine="480"/>
        <w:rPr>
          <w:color w:val="auto"/>
          <w:kern w:val="0"/>
          <w:highlight w:val="none"/>
        </w:rPr>
      </w:pPr>
      <w:r>
        <w:rPr>
          <w:rFonts w:hint="eastAsia"/>
          <w:color w:val="auto"/>
          <w:kern w:val="0"/>
          <w:highlight w:val="none"/>
        </w:rPr>
        <w:t>监狱企业参与政府采购活动的，提供由省级以上监狱管理局、戒毒管理局（含新疆生产建设兵团）出具的属于监狱企业的证明文件证明材料的，视为小微企业。</w:t>
      </w:r>
    </w:p>
    <w:p>
      <w:pPr>
        <w:pStyle w:val="2"/>
        <w:spacing w:before="164"/>
        <w:rPr>
          <w:color w:val="auto"/>
          <w:highlight w:val="none"/>
        </w:rPr>
      </w:pPr>
      <w:r>
        <w:rPr>
          <w:rFonts w:hint="eastAsia"/>
          <w:color w:val="auto"/>
          <w:highlight w:val="none"/>
        </w:rPr>
        <w:t>2.享受扶持政策获得政府采购合同的。小微企业（监狱企业、残疾人福利单位）不得将合同分包给大中型企业，中型企业（监狱企业、残疾人福利单位）不得将合同分包给大企业。</w:t>
      </w:r>
    </w:p>
    <w:p>
      <w:pPr>
        <w:ind w:firstLine="480"/>
        <w:rPr>
          <w:color w:val="auto"/>
          <w:kern w:val="0"/>
          <w:highlight w:val="none"/>
        </w:rPr>
      </w:pPr>
      <w:r>
        <w:rPr>
          <w:rFonts w:hint="eastAsia"/>
          <w:color w:val="auto"/>
          <w:kern w:val="0"/>
          <w:highlight w:val="none"/>
        </w:rPr>
        <w:br w:type="page"/>
      </w:r>
    </w:p>
    <w:p>
      <w:pPr>
        <w:ind w:firstLine="0" w:firstLineChars="0"/>
        <w:jc w:val="left"/>
        <w:rPr>
          <w:rFonts w:ascii="宋体" w:hAnsi="宋体" w:cs="宋体"/>
          <w:b/>
          <w:bCs/>
          <w:color w:val="auto"/>
          <w:sz w:val="32"/>
          <w:szCs w:val="32"/>
          <w:highlight w:val="none"/>
        </w:rPr>
      </w:pPr>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本项目的特定资格要求</w:t>
      </w:r>
    </w:p>
    <w:p>
      <w:pPr>
        <w:pStyle w:val="19"/>
        <w:ind w:firstLine="482"/>
        <w:rPr>
          <w:color w:val="auto"/>
          <w:highlight w:val="none"/>
        </w:rPr>
      </w:pPr>
    </w:p>
    <w:p>
      <w:pPr>
        <w:keepNext/>
        <w:adjustRightInd w:val="0"/>
        <w:snapToGrid w:val="0"/>
        <w:ind w:firstLine="482"/>
        <w:textAlignment w:val="baseline"/>
        <w:rPr>
          <w:rFonts w:ascii="宋体" w:hAnsi="宋体" w:cs="宋体"/>
          <w:b/>
          <w:color w:val="auto"/>
          <w:highlight w:val="none"/>
        </w:rPr>
      </w:pPr>
      <w:r>
        <w:rPr>
          <w:rFonts w:hint="eastAsia" w:ascii="宋体" w:hAnsi="宋体" w:cs="宋体"/>
          <w:b/>
          <w:color w:val="auto"/>
          <w:highlight w:val="none"/>
        </w:rPr>
        <w:t>（根据招标公告本项目的特定资格要求提供相应的材料；未要求的，无需提供）</w:t>
      </w:r>
    </w:p>
    <w:p>
      <w:pPr>
        <w:pStyle w:val="4"/>
        <w:ind w:firstLine="482"/>
        <w:rPr>
          <w:rFonts w:asciiTheme="minorEastAsia" w:hAnsiTheme="minorEastAsia" w:eastAsiaTheme="minorEastAsia" w:cstheme="minorEastAsia"/>
          <w:bCs/>
          <w:color w:val="auto"/>
          <w:sz w:val="40"/>
          <w:szCs w:val="40"/>
          <w:highlight w:val="none"/>
        </w:rPr>
      </w:pPr>
      <w:r>
        <w:rPr>
          <w:rFonts w:hint="eastAsia" w:ascii="宋体" w:hAnsi="宋体" w:cs="宋体"/>
          <w:color w:val="auto"/>
          <w:highlight w:val="none"/>
        </w:rPr>
        <w:br w:type="page"/>
      </w:r>
      <w:bookmarkStart w:id="114" w:name="_Toc24106"/>
      <w:r>
        <w:rPr>
          <w:rFonts w:hint="eastAsia" w:ascii="宋体" w:hAnsi="宋体" w:cs="宋体"/>
          <w:color w:val="auto"/>
          <w:highlight w:val="none"/>
        </w:rPr>
        <w:t>二</w:t>
      </w:r>
      <w:r>
        <w:rPr>
          <w:rFonts w:hint="eastAsia" w:asciiTheme="minorEastAsia" w:hAnsiTheme="minorEastAsia" w:eastAsiaTheme="minorEastAsia" w:cstheme="minorEastAsia"/>
          <w:color w:val="auto"/>
          <w:sz w:val="28"/>
          <w:szCs w:val="28"/>
          <w:highlight w:val="none"/>
        </w:rPr>
        <w:t>、技术商务文件格式</w:t>
      </w:r>
      <w:bookmarkEnd w:id="114"/>
    </w:p>
    <w:p>
      <w:pPr>
        <w:spacing w:line="240" w:lineRule="auto"/>
        <w:ind w:firstLine="803"/>
        <w:jc w:val="center"/>
        <w:rPr>
          <w:rFonts w:asciiTheme="minorEastAsia" w:hAnsiTheme="minorEastAsia" w:eastAsiaTheme="minorEastAsia" w:cstheme="minorEastAsia"/>
          <w:b/>
          <w:bCs/>
          <w:color w:val="auto"/>
          <w:sz w:val="40"/>
          <w:szCs w:val="40"/>
          <w:highlight w:val="none"/>
        </w:rPr>
      </w:pPr>
    </w:p>
    <w:p>
      <w:pPr>
        <w:pStyle w:val="2"/>
        <w:spacing w:before="164"/>
        <w:ind w:firstLine="0" w:firstLineChars="0"/>
        <w:jc w:val="center"/>
        <w:rPr>
          <w:rFonts w:hint="eastAsia" w:eastAsia="宋体"/>
          <w:color w:val="auto"/>
          <w:spacing w:val="-11"/>
          <w:highlight w:val="none"/>
          <w:lang w:eastAsia="zh-CN"/>
        </w:rPr>
      </w:pPr>
      <w:r>
        <w:rPr>
          <w:rFonts w:hint="eastAsia" w:ascii="宋体" w:hAnsi="宋体" w:cs="宋体"/>
          <w:b/>
          <w:bCs/>
          <w:color w:val="auto"/>
          <w:spacing w:val="-11"/>
          <w:w w:val="72"/>
          <w:sz w:val="52"/>
          <w:szCs w:val="52"/>
          <w:highlight w:val="none"/>
          <w:lang w:eastAsia="zh-CN"/>
        </w:rPr>
        <w:t>浦江县通济桥水库灌区续建配套与节水改造项目（2023-2024年）（金属结构）设备采购项目（重新招标）</w:t>
      </w:r>
    </w:p>
    <w:p>
      <w:pPr>
        <w:pStyle w:val="2"/>
        <w:spacing w:before="164"/>
        <w:rPr>
          <w:color w:val="auto"/>
          <w:highlight w:val="none"/>
        </w:rPr>
      </w:pPr>
    </w:p>
    <w:p>
      <w:pPr>
        <w:spacing w:line="240" w:lineRule="auto"/>
        <w:ind w:firstLine="562"/>
        <w:jc w:val="center"/>
        <w:rPr>
          <w:rFonts w:asciiTheme="minorEastAsia" w:hAnsiTheme="minorEastAsia" w:eastAsiaTheme="minorEastAsia" w:cstheme="minorEastAsia"/>
          <w:b/>
          <w:bCs/>
          <w:color w:val="auto"/>
          <w:sz w:val="28"/>
          <w:szCs w:val="28"/>
          <w:highlight w:val="none"/>
        </w:rPr>
      </w:pPr>
    </w:p>
    <w:p>
      <w:pPr>
        <w:ind w:firstLine="0" w:firstLineChars="0"/>
        <w:jc w:val="center"/>
        <w:rPr>
          <w:rFonts w:ascii="宋体" w:hAnsi="宋体" w:cs="宋体"/>
          <w:b/>
          <w:bCs/>
          <w:color w:val="auto"/>
          <w:spacing w:val="45"/>
          <w:w w:val="70"/>
          <w:sz w:val="96"/>
          <w:szCs w:val="96"/>
          <w:highlight w:val="none"/>
        </w:rPr>
      </w:pPr>
      <w:r>
        <w:rPr>
          <w:rFonts w:hint="eastAsia" w:ascii="宋体" w:hAnsi="宋体" w:cs="宋体"/>
          <w:b/>
          <w:bCs/>
          <w:color w:val="auto"/>
          <w:spacing w:val="45"/>
          <w:w w:val="70"/>
          <w:sz w:val="96"/>
          <w:szCs w:val="96"/>
          <w:highlight w:val="none"/>
        </w:rPr>
        <w:t>投 标 文 件</w:t>
      </w:r>
    </w:p>
    <w:p>
      <w:pPr>
        <w:spacing w:line="240" w:lineRule="auto"/>
        <w:ind w:firstLine="0" w:firstLineChars="0"/>
        <w:jc w:val="center"/>
        <w:rPr>
          <w:rFonts w:ascii="宋体" w:hAnsi="宋体" w:cs="宋体"/>
          <w:b/>
          <w:bCs/>
          <w:color w:val="auto"/>
          <w:w w:val="80"/>
          <w:sz w:val="52"/>
          <w:szCs w:val="52"/>
          <w:highlight w:val="none"/>
        </w:rPr>
      </w:pPr>
      <w:r>
        <w:rPr>
          <w:rFonts w:hint="eastAsia" w:ascii="宋体" w:hAnsi="宋体" w:cs="宋体"/>
          <w:b/>
          <w:bCs/>
          <w:color w:val="auto"/>
          <w:w w:val="80"/>
          <w:sz w:val="52"/>
          <w:szCs w:val="52"/>
          <w:highlight w:val="none"/>
        </w:rPr>
        <w:t>（</w:t>
      </w:r>
      <w:r>
        <w:rPr>
          <w:rFonts w:hint="eastAsia" w:ascii="宋体" w:hAnsi="宋体" w:cs="宋体"/>
          <w:b/>
          <w:bCs/>
          <w:color w:val="auto"/>
          <w:w w:val="90"/>
          <w:sz w:val="52"/>
          <w:szCs w:val="52"/>
          <w:highlight w:val="none"/>
        </w:rPr>
        <w:t>技术商务</w:t>
      </w:r>
      <w:r>
        <w:rPr>
          <w:rFonts w:hint="eastAsia" w:ascii="宋体" w:hAnsi="宋体" w:cs="宋体"/>
          <w:b/>
          <w:bCs/>
          <w:color w:val="auto"/>
          <w:w w:val="80"/>
          <w:sz w:val="52"/>
          <w:szCs w:val="52"/>
          <w:highlight w:val="none"/>
        </w:rPr>
        <w:t>文件）</w:t>
      </w:r>
    </w:p>
    <w:p>
      <w:pPr>
        <w:spacing w:line="240" w:lineRule="auto"/>
        <w:ind w:firstLine="0" w:firstLineChars="0"/>
        <w:jc w:val="center"/>
        <w:rPr>
          <w:rFonts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rPr>
        <w:t>项目编号：</w:t>
      </w:r>
    </w:p>
    <w:p>
      <w:pPr>
        <w:spacing w:line="240" w:lineRule="auto"/>
        <w:ind w:firstLine="562"/>
        <w:jc w:val="center"/>
        <w:rPr>
          <w:rFonts w:asciiTheme="minorEastAsia" w:hAnsiTheme="minorEastAsia" w:eastAsiaTheme="minorEastAsia" w:cstheme="minorEastAsia"/>
          <w:b/>
          <w:bCs/>
          <w:color w:val="auto"/>
          <w:sz w:val="28"/>
          <w:szCs w:val="28"/>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pPr>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
        <w:spacing w:before="164"/>
        <w:rPr>
          <w:color w:val="auto"/>
          <w:highlight w:val="none"/>
        </w:rPr>
      </w:pPr>
    </w:p>
    <w:p>
      <w:pPr>
        <w:tabs>
          <w:tab w:val="left" w:pos="720"/>
        </w:tabs>
        <w:adjustRightInd w:val="0"/>
        <w:snapToGrid w:val="0"/>
        <w:ind w:firstLine="0" w:firstLineChars="0"/>
        <w:jc w:val="center"/>
        <w:rPr>
          <w:rFonts w:ascii="宋体" w:hAnsi="宋体" w:cs="宋体"/>
          <w:b/>
          <w:snapToGrid w:val="0"/>
          <w:color w:val="auto"/>
          <w:kern w:val="0"/>
          <w:sz w:val="36"/>
          <w:szCs w:val="36"/>
          <w:highlight w:val="none"/>
        </w:rPr>
      </w:pPr>
      <w:r>
        <w:rPr>
          <w:rFonts w:hint="eastAsia" w:ascii="宋体" w:hAnsi="宋体" w:cs="宋体"/>
          <w:b/>
          <w:snapToGrid w:val="0"/>
          <w:color w:val="auto"/>
          <w:kern w:val="0"/>
          <w:sz w:val="36"/>
          <w:szCs w:val="36"/>
          <w:highlight w:val="none"/>
        </w:rPr>
        <w:t>技术商务文件目录</w:t>
      </w:r>
    </w:p>
    <w:p>
      <w:pPr>
        <w:tabs>
          <w:tab w:val="right" w:leader="middleDot" w:pos="9030"/>
        </w:tabs>
        <w:snapToGrid w:val="0"/>
        <w:spacing w:before="164" w:beforeLines="50" w:line="276" w:lineRule="auto"/>
        <w:ind w:firstLine="0" w:firstLineChars="0"/>
        <w:jc w:val="left"/>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投标声明书（格式见附件）</w:t>
      </w:r>
      <w:r>
        <w:rPr>
          <w:rFonts w:hint="eastAsia" w:ascii="宋体" w:hAnsi="宋体" w:cs="宋体"/>
          <w:color w:val="auto"/>
          <w:highlight w:val="none"/>
        </w:rPr>
        <w:tab/>
      </w:r>
      <w:r>
        <w:rPr>
          <w:rFonts w:hint="eastAsia" w:ascii="宋体" w:hAnsi="宋体" w:cs="宋体"/>
          <w:color w:val="auto"/>
          <w:highlight w:val="none"/>
        </w:rPr>
        <w:t>页码</w:t>
      </w:r>
    </w:p>
    <w:p>
      <w:pPr>
        <w:tabs>
          <w:tab w:val="right" w:leader="middleDot" w:pos="9030"/>
        </w:tabs>
        <w:snapToGrid w:val="0"/>
        <w:spacing w:before="164" w:beforeLines="50" w:line="276" w:lineRule="auto"/>
        <w:ind w:firstLine="0" w:firstLineChars="0"/>
        <w:jc w:val="left"/>
        <w:rPr>
          <w:rFonts w:ascii="宋体" w:hAnsi="宋体" w:cs="宋体"/>
          <w:bCs/>
          <w:color w:val="auto"/>
          <w:highlight w:val="none"/>
        </w:rPr>
      </w:pPr>
      <w:bookmarkStart w:id="115" w:name="_Hlk93240284"/>
      <w:r>
        <w:rPr>
          <w:rFonts w:hint="eastAsia" w:ascii="宋体" w:hAnsi="宋体" w:cs="宋体"/>
          <w:bCs/>
          <w:color w:val="auto"/>
          <w:highlight w:val="none"/>
        </w:rPr>
        <w:t>2.投标人基本情况表</w:t>
      </w:r>
      <w:bookmarkEnd w:id="115"/>
      <w:r>
        <w:rPr>
          <w:rFonts w:hint="eastAsia" w:ascii="宋体" w:hAnsi="宋体" w:cs="宋体"/>
          <w:bCs/>
          <w:color w:val="auto"/>
          <w:highlight w:val="none"/>
        </w:rPr>
        <w:t>（格式见附件）</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napToGrid w:val="0"/>
        <w:spacing w:before="164" w:beforeLines="50" w:line="276" w:lineRule="auto"/>
        <w:ind w:firstLine="0" w:firstLineChars="0"/>
        <w:jc w:val="left"/>
        <w:rPr>
          <w:rFonts w:ascii="宋体" w:hAnsi="宋体" w:cs="宋体"/>
          <w:color w:val="auto"/>
          <w:highlight w:val="none"/>
        </w:rPr>
      </w:pPr>
      <w:bookmarkStart w:id="116" w:name="_Hlk93240316"/>
      <w:r>
        <w:rPr>
          <w:rFonts w:hint="eastAsia" w:ascii="宋体" w:hAnsi="宋体" w:cs="宋体"/>
          <w:bCs/>
          <w:color w:val="auto"/>
          <w:highlight w:val="none"/>
        </w:rPr>
        <w:t>3.</w:t>
      </w:r>
      <w:bookmarkEnd w:id="116"/>
      <w:r>
        <w:rPr>
          <w:rFonts w:hint="eastAsia" w:ascii="宋体" w:hAnsi="宋体" w:cs="宋体"/>
          <w:color w:val="auto"/>
          <w:highlight w:val="none"/>
        </w:rPr>
        <w:t>授权委托书或法定代表人（单位负责人、自然人本人）身份证明</w:t>
      </w:r>
      <w:r>
        <w:rPr>
          <w:rFonts w:hint="eastAsia" w:ascii="宋体" w:hAnsi="宋体" w:cs="宋体"/>
          <w:color w:val="auto"/>
          <w:highlight w:val="none"/>
        </w:rPr>
        <w:tab/>
      </w:r>
      <w:r>
        <w:rPr>
          <w:rFonts w:hint="eastAsia" w:ascii="宋体" w:hAnsi="宋体" w:cs="宋体"/>
          <w:color w:val="auto"/>
          <w:highlight w:val="none"/>
        </w:rPr>
        <w:t>页码</w:t>
      </w:r>
    </w:p>
    <w:p>
      <w:pPr>
        <w:tabs>
          <w:tab w:val="right" w:leader="middleDot" w:pos="9030"/>
        </w:tabs>
        <w:snapToGrid w:val="0"/>
        <w:spacing w:before="164" w:beforeLines="50" w:line="276" w:lineRule="auto"/>
        <w:ind w:firstLine="0" w:firstLineChars="0"/>
        <w:jc w:val="left"/>
        <w:rPr>
          <w:rFonts w:ascii="宋体" w:hAnsi="宋体" w:cs="宋体"/>
          <w:color w:val="auto"/>
          <w:highlight w:val="none"/>
        </w:rPr>
      </w:pPr>
      <w:bookmarkStart w:id="117" w:name="_Hlk93240347"/>
      <w:r>
        <w:rPr>
          <w:rFonts w:hint="eastAsia" w:ascii="宋体" w:hAnsi="宋体" w:cs="宋体"/>
          <w:bCs/>
          <w:color w:val="auto"/>
          <w:highlight w:val="none"/>
        </w:rPr>
        <w:t>4.</w:t>
      </w:r>
      <w:r>
        <w:rPr>
          <w:rFonts w:hint="eastAsia" w:ascii="宋体" w:hAnsi="宋体" w:cs="宋体"/>
          <w:color w:val="auto"/>
          <w:highlight w:val="none"/>
        </w:rPr>
        <w:t>商务响应表</w:t>
      </w:r>
      <w:bookmarkEnd w:id="117"/>
      <w:r>
        <w:rPr>
          <w:rFonts w:hint="eastAsia" w:ascii="宋体" w:hAnsi="宋体" w:cs="宋体"/>
          <w:color w:val="auto"/>
          <w:highlight w:val="none"/>
        </w:rPr>
        <w:t>（格式见附件）</w:t>
      </w:r>
      <w:r>
        <w:rPr>
          <w:rFonts w:hint="eastAsia" w:ascii="宋体" w:hAnsi="宋体" w:cs="宋体"/>
          <w:color w:val="auto"/>
          <w:highlight w:val="none"/>
        </w:rPr>
        <w:tab/>
      </w:r>
      <w:r>
        <w:rPr>
          <w:rFonts w:hint="eastAsia" w:ascii="宋体" w:hAnsi="宋体" w:cs="宋体"/>
          <w:color w:val="auto"/>
          <w:highlight w:val="none"/>
        </w:rPr>
        <w:t>页码</w:t>
      </w:r>
    </w:p>
    <w:p>
      <w:pPr>
        <w:tabs>
          <w:tab w:val="right" w:leader="middleDot" w:pos="9030"/>
        </w:tabs>
        <w:spacing w:before="164" w:beforeLines="50" w:line="276" w:lineRule="auto"/>
        <w:ind w:firstLine="0" w:firstLineChars="0"/>
        <w:rPr>
          <w:rFonts w:ascii="宋体" w:hAnsi="宋体" w:cs="宋体"/>
          <w:color w:val="auto"/>
          <w:highlight w:val="none"/>
        </w:rPr>
      </w:pPr>
      <w:bookmarkStart w:id="118" w:name="_Hlk93240372"/>
      <w:r>
        <w:rPr>
          <w:rFonts w:hint="eastAsia" w:ascii="宋体" w:hAnsi="宋体" w:cs="宋体"/>
          <w:bCs/>
          <w:color w:val="auto"/>
          <w:highlight w:val="none"/>
        </w:rPr>
        <w:t>5.</w:t>
      </w:r>
      <w:r>
        <w:rPr>
          <w:rFonts w:hint="eastAsia" w:ascii="宋体" w:hAnsi="宋体" w:cs="宋体"/>
          <w:color w:val="auto"/>
          <w:highlight w:val="none"/>
        </w:rPr>
        <w:t>技术商务分自评表</w:t>
      </w:r>
      <w:bookmarkEnd w:id="118"/>
      <w:r>
        <w:rPr>
          <w:rFonts w:hint="eastAsia" w:ascii="宋体" w:hAnsi="宋体" w:cs="宋体"/>
          <w:color w:val="auto"/>
          <w:highlight w:val="none"/>
        </w:rPr>
        <w:t>（格式自拟）</w:t>
      </w:r>
      <w:r>
        <w:rPr>
          <w:rFonts w:hint="eastAsia" w:ascii="宋体" w:hAnsi="宋体" w:cs="宋体"/>
          <w:color w:val="auto"/>
          <w:highlight w:val="none"/>
        </w:rPr>
        <w:tab/>
      </w:r>
      <w:r>
        <w:rPr>
          <w:rFonts w:hint="eastAsia" w:ascii="宋体" w:hAnsi="宋体" w:cs="宋体"/>
          <w:color w:val="auto"/>
          <w:highlight w:val="none"/>
        </w:rPr>
        <w:t>页码</w:t>
      </w:r>
    </w:p>
    <w:p>
      <w:pPr>
        <w:pStyle w:val="19"/>
        <w:tabs>
          <w:tab w:val="right" w:leader="middleDot" w:pos="9030"/>
        </w:tabs>
        <w:spacing w:before="164" w:beforeLines="50" w:line="276" w:lineRule="auto"/>
        <w:ind w:firstLine="0" w:firstLineChars="0"/>
        <w:rPr>
          <w:rFonts w:ascii="宋体" w:hAnsi="宋体" w:cs="宋体"/>
          <w:b w:val="0"/>
          <w:bCs/>
          <w:color w:val="auto"/>
          <w:highlight w:val="none"/>
        </w:rPr>
      </w:pPr>
      <w:r>
        <w:rPr>
          <w:rFonts w:hint="eastAsia" w:ascii="宋体" w:hAnsi="宋体" w:cs="宋体"/>
          <w:b w:val="0"/>
          <w:bCs/>
          <w:color w:val="auto"/>
          <w:highlight w:val="none"/>
        </w:rPr>
        <w:t>6.</w:t>
      </w:r>
      <w:r>
        <w:rPr>
          <w:rFonts w:hint="eastAsia" w:ascii="宋体" w:hAnsi="宋体" w:cs="宋体"/>
          <w:b w:val="0"/>
          <w:bCs/>
          <w:color w:val="auto"/>
          <w:highlight w:val="none"/>
          <w:lang w:val="en-US" w:eastAsia="zh-CN"/>
        </w:rPr>
        <w:t>技术</w:t>
      </w:r>
      <w:r>
        <w:rPr>
          <w:rFonts w:hint="eastAsia" w:ascii="宋体" w:hAnsi="宋体" w:cs="宋体"/>
          <w:b w:val="0"/>
          <w:bCs/>
          <w:color w:val="auto"/>
          <w:highlight w:val="none"/>
        </w:rPr>
        <w:t>方案</w:t>
      </w:r>
      <w:r>
        <w:rPr>
          <w:rFonts w:hint="eastAsia" w:ascii="宋体" w:hAnsi="宋体" w:cs="宋体"/>
          <w:b w:val="0"/>
          <w:bCs/>
          <w:color w:val="auto"/>
          <w:highlight w:val="none"/>
        </w:rPr>
        <w:tab/>
      </w:r>
      <w:r>
        <w:rPr>
          <w:rFonts w:hint="eastAsia" w:ascii="宋体" w:hAnsi="宋体" w:cs="宋体"/>
          <w:b w:val="0"/>
          <w:bCs/>
          <w:color w:val="auto"/>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7.项目组织实施与管理</w:t>
      </w:r>
      <w:r>
        <w:rPr>
          <w:rFonts w:hint="eastAsia" w:ascii="宋体" w:hAnsi="宋体" w:cs="宋体"/>
          <w:bCs/>
          <w:color w:val="auto"/>
          <w:highlight w:val="none"/>
        </w:rPr>
        <w:tab/>
      </w:r>
      <w:r>
        <w:rPr>
          <w:rFonts w:hint="eastAsia" w:ascii="宋体" w:hAnsi="宋体" w:cs="宋体"/>
          <w:bCs/>
          <w:color w:val="auto"/>
          <w:highlight w:val="none"/>
        </w:rPr>
        <w:t>页码</w:t>
      </w:r>
    </w:p>
    <w:p>
      <w:pPr>
        <w:pStyle w:val="2"/>
        <w:tabs>
          <w:tab w:val="right" w:leader="middleDot" w:pos="9030"/>
        </w:tabs>
        <w:spacing w:before="164"/>
        <w:ind w:firstLine="0" w:firstLineChars="0"/>
        <w:rPr>
          <w:rFonts w:ascii="宋体" w:hAnsi="宋体" w:cs="宋体"/>
          <w:color w:val="auto"/>
          <w:highlight w:val="none"/>
        </w:rPr>
      </w:pPr>
      <w:r>
        <w:rPr>
          <w:rFonts w:hint="eastAsia" w:ascii="宋体" w:hAnsi="宋体" w:cs="宋体"/>
          <w:bCs/>
          <w:color w:val="auto"/>
          <w:highlight w:val="none"/>
        </w:rPr>
        <w:t>8.售后服务方案</w:t>
      </w:r>
      <w:r>
        <w:rPr>
          <w:rFonts w:hint="eastAsia" w:ascii="宋体" w:hAnsi="宋体" w:cs="宋体"/>
          <w:color w:val="auto"/>
          <w:kern w:val="2"/>
          <w:highlight w:val="none"/>
        </w:rPr>
        <w:tab/>
      </w:r>
      <w:r>
        <w:rPr>
          <w:rFonts w:hint="eastAsia" w:ascii="宋体" w:hAnsi="宋体" w:cs="宋体"/>
          <w:color w:val="auto"/>
          <w:kern w:val="2"/>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9.</w:t>
      </w:r>
      <w:r>
        <w:rPr>
          <w:rFonts w:hint="eastAsia"/>
          <w:color w:val="auto"/>
          <w:highlight w:val="none"/>
        </w:rPr>
        <w:t>企业</w:t>
      </w:r>
      <w:r>
        <w:rPr>
          <w:rFonts w:hint="eastAsia"/>
          <w:color w:val="auto"/>
          <w:highlight w:val="none"/>
          <w:lang w:val="en-US" w:eastAsia="zh-CN"/>
        </w:rPr>
        <w:t>荣誉</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10.项目技术人员配备情况</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11.</w:t>
      </w:r>
      <w:r>
        <w:rPr>
          <w:rFonts w:hint="eastAsia"/>
          <w:color w:val="auto"/>
          <w:highlight w:val="none"/>
        </w:rPr>
        <w:t>投标标的清单</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color w:val="auto"/>
          <w:highlight w:val="none"/>
        </w:rPr>
      </w:pPr>
      <w:r>
        <w:rPr>
          <w:rFonts w:hint="eastAsia" w:ascii="宋体" w:hAnsi="宋体" w:cs="宋体"/>
          <w:bCs/>
          <w:color w:val="auto"/>
          <w:highlight w:val="none"/>
        </w:rPr>
        <w:t>12.</w:t>
      </w:r>
      <w:r>
        <w:rPr>
          <w:rFonts w:hint="eastAsia"/>
          <w:color w:val="auto"/>
          <w:highlight w:val="none"/>
        </w:rPr>
        <w:t>业绩</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13.</w:t>
      </w:r>
      <w:r>
        <w:rPr>
          <w:rFonts w:hint="eastAsia"/>
          <w:color w:val="auto"/>
          <w:highlight w:val="none"/>
        </w:rPr>
        <w:t>技术响应表</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rFonts w:ascii="宋体" w:hAnsi="宋体" w:cs="宋体"/>
          <w:bCs/>
          <w:color w:val="auto"/>
          <w:highlight w:val="none"/>
        </w:rPr>
      </w:pPr>
      <w:r>
        <w:rPr>
          <w:rFonts w:hint="eastAsia" w:ascii="宋体" w:hAnsi="宋体" w:cs="宋体"/>
          <w:bCs/>
          <w:color w:val="auto"/>
          <w:highlight w:val="none"/>
        </w:rPr>
        <w:t>14.符合性审查资料</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pacing w:before="164" w:beforeLines="50" w:line="276" w:lineRule="auto"/>
        <w:ind w:firstLine="0" w:firstLineChars="0"/>
        <w:rPr>
          <w:color w:val="auto"/>
          <w:highlight w:val="none"/>
        </w:rPr>
      </w:pPr>
      <w:r>
        <w:rPr>
          <w:rFonts w:hint="eastAsia" w:ascii="宋体" w:hAnsi="宋体" w:cs="宋体"/>
          <w:bCs/>
          <w:color w:val="auto"/>
          <w:highlight w:val="none"/>
        </w:rPr>
        <w:t>15.</w:t>
      </w:r>
      <w:r>
        <w:rPr>
          <w:rFonts w:hint="eastAsia" w:ascii="宋体" w:hAnsi="宋体" w:cs="宋体"/>
          <w:bCs/>
          <w:color w:val="auto"/>
          <w:highlight w:val="none"/>
          <w:lang w:val="zh-CN"/>
        </w:rPr>
        <w:t>政府采购供应商廉洁自律承诺书</w:t>
      </w:r>
      <w:r>
        <w:rPr>
          <w:rFonts w:hint="eastAsia" w:ascii="宋体" w:hAnsi="宋体" w:cs="宋体"/>
          <w:bCs/>
          <w:color w:val="auto"/>
          <w:highlight w:val="none"/>
        </w:rPr>
        <w:tab/>
      </w:r>
      <w:r>
        <w:rPr>
          <w:rFonts w:hint="eastAsia" w:ascii="宋体" w:hAnsi="宋体" w:cs="宋体"/>
          <w:bCs/>
          <w:color w:val="auto"/>
          <w:highlight w:val="none"/>
        </w:rPr>
        <w:t>页码</w:t>
      </w:r>
    </w:p>
    <w:p>
      <w:pPr>
        <w:tabs>
          <w:tab w:val="right" w:leader="middleDot" w:pos="9030"/>
        </w:tabs>
        <w:snapToGrid w:val="0"/>
        <w:spacing w:before="164" w:beforeLines="50" w:line="276" w:lineRule="auto"/>
        <w:ind w:firstLine="0" w:firstLineChars="0"/>
        <w:jc w:val="left"/>
        <w:rPr>
          <w:rFonts w:ascii="宋体" w:hAnsi="宋体" w:cs="宋体"/>
          <w:bCs/>
          <w:color w:val="auto"/>
          <w:highlight w:val="none"/>
        </w:rPr>
      </w:pPr>
      <w:r>
        <w:rPr>
          <w:rFonts w:hint="eastAsia" w:ascii="宋体" w:hAnsi="宋体" w:cs="宋体"/>
          <w:bCs/>
          <w:color w:val="auto"/>
          <w:highlight w:val="none"/>
        </w:rPr>
        <w:t>16.投标人需要说明的其他资料</w:t>
      </w:r>
      <w:r>
        <w:rPr>
          <w:rFonts w:hint="eastAsia" w:ascii="宋体" w:hAnsi="宋体" w:cs="宋体"/>
          <w:bCs/>
          <w:color w:val="auto"/>
          <w:highlight w:val="none"/>
        </w:rPr>
        <w:tab/>
      </w:r>
      <w:r>
        <w:rPr>
          <w:rFonts w:hint="eastAsia" w:ascii="宋体" w:hAnsi="宋体" w:cs="宋体"/>
          <w:bCs/>
          <w:color w:val="auto"/>
          <w:highlight w:val="none"/>
        </w:rPr>
        <w:t>页码</w:t>
      </w:r>
    </w:p>
    <w:p>
      <w:pPr>
        <w:pStyle w:val="4"/>
        <w:ind w:firstLine="482"/>
        <w:rPr>
          <w:color w:val="auto"/>
          <w:highlight w:val="none"/>
        </w:rPr>
      </w:pPr>
    </w:p>
    <w:p>
      <w:pPr>
        <w:spacing w:line="460" w:lineRule="exact"/>
        <w:ind w:firstLine="0" w:firstLineChars="0"/>
        <w:rPr>
          <w:rFonts w:ascii="宋体" w:hAnsi="宋体" w:cs="宋体"/>
          <w:b/>
          <w:color w:val="auto"/>
          <w:highlight w:val="none"/>
        </w:rPr>
      </w:pPr>
      <w:r>
        <w:rPr>
          <w:rFonts w:hint="eastAsia" w:ascii="宋体" w:hAnsi="宋体" w:cs="宋体"/>
          <w:b/>
          <w:color w:val="auto"/>
          <w:highlight w:val="none"/>
        </w:rPr>
        <w:t>注：1.投标人根据技术商务分评分细则附“技术商务分自评表”【格式自拟】</w:t>
      </w:r>
    </w:p>
    <w:p>
      <w:pPr>
        <w:spacing w:line="460" w:lineRule="exact"/>
        <w:ind w:firstLine="0" w:firstLineChars="0"/>
        <w:rPr>
          <w:rFonts w:ascii="宋体" w:hAnsi="宋体" w:cs="宋体"/>
          <w:b/>
          <w:color w:val="auto"/>
          <w:highlight w:val="none"/>
        </w:rPr>
      </w:pPr>
      <w:r>
        <w:rPr>
          <w:rFonts w:hint="eastAsia" w:ascii="宋体" w:hAnsi="宋体" w:cs="宋体"/>
          <w:b/>
          <w:color w:val="auto"/>
          <w:highlight w:val="none"/>
        </w:rPr>
        <w:t>2.技术商务文件的文字部分及其他未提供格式部分由各投标人根据招标文件要求、评分标准要求自行设置。</w:t>
      </w:r>
    </w:p>
    <w:p>
      <w:pPr>
        <w:spacing w:line="460" w:lineRule="exact"/>
        <w:ind w:firstLine="0" w:firstLineChars="0"/>
        <w:rPr>
          <w:rFonts w:ascii="宋体" w:hAnsi="宋体" w:cs="宋体"/>
          <w:b/>
          <w:color w:val="auto"/>
          <w:highlight w:val="none"/>
        </w:rPr>
      </w:pP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bookmarkStart w:id="119" w:name="_Toc21977"/>
      <w:bookmarkStart w:id="120" w:name="_Toc2897"/>
      <w:bookmarkStart w:id="121" w:name="_Toc12061"/>
      <w:bookmarkStart w:id="122" w:name="_Toc19110"/>
      <w:bookmarkStart w:id="123" w:name="_Toc5390"/>
      <w:bookmarkStart w:id="124" w:name="_Toc12529"/>
      <w:bookmarkStart w:id="125" w:name="_Toc24681"/>
      <w:r>
        <w:rPr>
          <w:color w:val="auto"/>
          <w:highlight w:val="none"/>
        </w:rPr>
        <w:t>1.投标声明书格式</w:t>
      </w:r>
      <w:bookmarkEnd w:id="119"/>
      <w:bookmarkEnd w:id="120"/>
      <w:bookmarkEnd w:id="121"/>
      <w:bookmarkEnd w:id="122"/>
      <w:bookmarkEnd w:id="123"/>
      <w:bookmarkEnd w:id="124"/>
      <w:bookmarkEnd w:id="125"/>
    </w:p>
    <w:p>
      <w:pPr>
        <w:pStyle w:val="37"/>
        <w:spacing w:before="164"/>
        <w:ind w:firstLine="0" w:firstLineChars="0"/>
        <w:rPr>
          <w:color w:val="auto"/>
          <w:highlight w:val="none"/>
        </w:rPr>
      </w:pPr>
      <w:bookmarkStart w:id="126" w:name="_Hlk93239460"/>
      <w:r>
        <w:rPr>
          <w:rFonts w:hint="eastAsia"/>
          <w:color w:val="auto"/>
          <w:highlight w:val="none"/>
        </w:rPr>
        <w:t>投标声明书</w:t>
      </w:r>
    </w:p>
    <w:p>
      <w:pPr>
        <w:snapToGrid w:val="0"/>
        <w:spacing w:before="164" w:beforeLines="50" w:after="50" w:line="380" w:lineRule="exact"/>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（采购单位）</w:t>
      </w:r>
    </w:p>
    <w:p>
      <w:pPr>
        <w:snapToGrid w:val="0"/>
        <w:spacing w:before="164" w:beforeLines="50" w:after="50" w:line="380" w:lineRule="exact"/>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14"/>
        <w:snapToGrid w:val="0"/>
        <w:spacing w:line="380" w:lineRule="exact"/>
        <w:ind w:firstLine="480"/>
        <w:rPr>
          <w:rFonts w:hAnsi="宋体" w:cs="宋体"/>
          <w:color w:val="auto"/>
          <w:szCs w:val="24"/>
          <w:highlight w:val="none"/>
        </w:rPr>
      </w:pPr>
      <w:r>
        <w:rPr>
          <w:rFonts w:hint="eastAsia" w:hAnsi="宋体" w:cs="宋体"/>
          <w:color w:val="auto"/>
          <w:szCs w:val="24"/>
          <w:highlight w:val="none"/>
        </w:rPr>
        <w:t>我，</w:t>
      </w:r>
      <w:r>
        <w:rPr>
          <w:rFonts w:hint="eastAsia" w:hAnsi="宋体" w:cs="宋体"/>
          <w:color w:val="auto"/>
          <w:szCs w:val="24"/>
          <w:highlight w:val="none"/>
          <w:u w:val="single"/>
        </w:rPr>
        <w:t xml:space="preserve">         </w:t>
      </w:r>
      <w:r>
        <w:rPr>
          <w:rFonts w:hint="eastAsia" w:hAnsi="宋体" w:cs="宋体"/>
          <w:color w:val="auto"/>
          <w:szCs w:val="24"/>
          <w:highlight w:val="none"/>
        </w:rPr>
        <w:t>（姓名）系</w:t>
      </w:r>
      <w:r>
        <w:rPr>
          <w:rFonts w:hint="eastAsia" w:hAnsi="宋体" w:cs="宋体"/>
          <w:color w:val="auto"/>
          <w:szCs w:val="24"/>
          <w:highlight w:val="none"/>
          <w:u w:val="single"/>
        </w:rPr>
        <w:t xml:space="preserve">              </w:t>
      </w:r>
      <w:r>
        <w:rPr>
          <w:rFonts w:hint="eastAsia" w:hAnsi="宋体" w:cs="宋体"/>
          <w:color w:val="auto"/>
          <w:szCs w:val="24"/>
          <w:highlight w:val="none"/>
        </w:rPr>
        <w:t>（投标人名称）的法定代表人，我方愿意参加贵方组织的</w:t>
      </w:r>
      <w:r>
        <w:rPr>
          <w:rFonts w:hint="eastAsia" w:hAnsi="宋体" w:cs="宋体"/>
          <w:color w:val="auto"/>
          <w:szCs w:val="24"/>
          <w:highlight w:val="none"/>
          <w:u w:val="single"/>
        </w:rPr>
        <w:t>（项目编号，项目名称）</w:t>
      </w:r>
      <w:r>
        <w:rPr>
          <w:rFonts w:hint="eastAsia" w:hAnsi="宋体" w:cs="宋体"/>
          <w:color w:val="auto"/>
          <w:szCs w:val="24"/>
          <w:highlight w:val="none"/>
        </w:rPr>
        <w:t>的投标，为便于贵方公正、择优地确定中标人及其投标产品和服务，我方就本次投标有关事项郑重声明如下：</w:t>
      </w:r>
    </w:p>
    <w:p>
      <w:pPr>
        <w:snapToGrid w:val="0"/>
        <w:spacing w:line="380" w:lineRule="exact"/>
        <w:ind w:firstLine="480"/>
        <w:rPr>
          <w:rFonts w:ascii="宋体" w:hAnsi="宋体" w:cs="宋体"/>
          <w:color w:val="auto"/>
          <w:highlight w:val="none"/>
        </w:rPr>
      </w:pPr>
      <w:r>
        <w:rPr>
          <w:rFonts w:hint="eastAsia" w:ascii="宋体" w:hAnsi="宋体" w:cs="宋体"/>
          <w:color w:val="auto"/>
          <w:highlight w:val="none"/>
        </w:rPr>
        <w:t>1.我方承诺投标有效期从提交投标文件的截止之日起</w:t>
      </w:r>
      <w:r>
        <w:rPr>
          <w:rFonts w:hint="eastAsia" w:ascii="宋体" w:hAnsi="宋体" w:cs="宋体"/>
          <w:color w:val="auto"/>
          <w:highlight w:val="none"/>
          <w:u w:val="single"/>
        </w:rPr>
        <w:t>120</w:t>
      </w:r>
      <w:r>
        <w:rPr>
          <w:rFonts w:hint="eastAsia" w:ascii="宋体" w:hAnsi="宋体" w:cs="宋体"/>
          <w:color w:val="auto"/>
          <w:highlight w:val="none"/>
        </w:rPr>
        <w:t xml:space="preserve">天，本投标文件在投标有效期满之前均具有约束力。 </w:t>
      </w:r>
    </w:p>
    <w:p>
      <w:pPr>
        <w:snapToGrid w:val="0"/>
        <w:spacing w:line="380" w:lineRule="exact"/>
        <w:ind w:firstLine="480"/>
        <w:rPr>
          <w:rFonts w:ascii="宋体" w:hAnsi="宋体" w:cs="宋体"/>
          <w:color w:val="auto"/>
          <w:highlight w:val="none"/>
        </w:rPr>
      </w:pPr>
      <w:r>
        <w:rPr>
          <w:rFonts w:hint="eastAsia" w:ascii="宋体" w:hAnsi="宋体" w:cs="宋体"/>
          <w:color w:val="auto"/>
          <w:highlight w:val="none"/>
        </w:rPr>
        <w:t>2.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pPr>
        <w:snapToGrid w:val="0"/>
        <w:spacing w:line="380" w:lineRule="exact"/>
        <w:ind w:firstLine="480"/>
        <w:rPr>
          <w:rFonts w:ascii="宋体" w:hAnsi="宋体" w:cs="宋体"/>
          <w:color w:val="auto"/>
          <w:highlight w:val="none"/>
        </w:rPr>
      </w:pPr>
      <w:r>
        <w:rPr>
          <w:rFonts w:hint="eastAsia" w:ascii="宋体" w:hAnsi="宋体" w:cs="宋体"/>
          <w:color w:val="auto"/>
          <w:highlight w:val="none"/>
        </w:rPr>
        <w:t>3.我方不是采购人的附属机构；在获知本项目采购信息后，与采购人聘请的为此项目提供咨询服务的公司及其附属机构没有任何联系。</w:t>
      </w:r>
    </w:p>
    <w:p>
      <w:pPr>
        <w:snapToGrid w:val="0"/>
        <w:spacing w:line="380" w:lineRule="exact"/>
        <w:ind w:firstLine="480"/>
        <w:rPr>
          <w:rFonts w:ascii="宋体" w:hAnsi="宋体" w:cs="宋体"/>
          <w:color w:val="auto"/>
          <w:highlight w:val="none"/>
        </w:rPr>
      </w:pPr>
      <w:r>
        <w:rPr>
          <w:rFonts w:hint="eastAsia" w:ascii="宋体" w:hAnsi="宋体" w:cs="宋体"/>
          <w:color w:val="auto"/>
          <w:highlight w:val="none"/>
        </w:rPr>
        <w:t>4.我方诚意提请贵方关注：近期有关服务的组织、人员、能力、售后服务等方面的重大决策和事项有：</w:t>
      </w:r>
      <w:r>
        <w:rPr>
          <w:rFonts w:hint="eastAsia" w:ascii="宋体" w:hAnsi="宋体" w:cs="宋体"/>
          <w:color w:val="auto"/>
          <w:highlight w:val="none"/>
          <w:u w:val="single"/>
        </w:rPr>
        <w:t>　　　　　　　　　　　　　　　　　　　　　　　　　　</w:t>
      </w:r>
    </w:p>
    <w:p>
      <w:pPr>
        <w:snapToGrid w:val="0"/>
        <w:spacing w:line="380" w:lineRule="exact"/>
        <w:ind w:firstLine="480"/>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spacing w:val="-4"/>
          <w:highlight w:val="none"/>
        </w:rPr>
        <w:t>我方及由本人担任法定代表人的其他机构最近三年内被通报或者被处罚的违法行为有：</w:t>
      </w:r>
      <w:r>
        <w:rPr>
          <w:rFonts w:hint="eastAsia" w:ascii="宋体" w:hAnsi="宋体" w:cs="宋体"/>
          <w:color w:val="auto"/>
          <w:highlight w:val="none"/>
          <w:u w:val="single"/>
        </w:rPr>
        <w:t xml:space="preserve">　　　　　　　　　　　　　　　　　　　　　　　　　　　   </w:t>
      </w:r>
    </w:p>
    <w:p>
      <w:pPr>
        <w:spacing w:line="380" w:lineRule="exact"/>
        <w:ind w:firstLine="480"/>
        <w:rPr>
          <w:rFonts w:ascii="宋体" w:hAnsi="宋体" w:cs="宋体"/>
          <w:color w:val="auto"/>
          <w:spacing w:val="-4"/>
          <w:highlight w:val="none"/>
        </w:rPr>
      </w:pPr>
      <w:r>
        <w:rPr>
          <w:rFonts w:hint="eastAsia" w:ascii="宋体" w:hAnsi="宋体" w:cs="宋体"/>
          <w:color w:val="auto"/>
          <w:highlight w:val="none"/>
        </w:rPr>
        <w:t>6.</w:t>
      </w:r>
      <w:r>
        <w:rPr>
          <w:rFonts w:hint="eastAsia" w:ascii="宋体" w:hAnsi="宋体" w:cs="宋体"/>
          <w:color w:val="auto"/>
          <w:spacing w:val="-4"/>
          <w:highlight w:val="none"/>
        </w:rPr>
        <w:t>我们已详细审查全部招标文件及有关的澄清、修改文件（若有的话），我们完全理解并同意放弃对这方面提出任何异议的权利。保证遵守招标文件有关条款规定。</w:t>
      </w:r>
    </w:p>
    <w:p>
      <w:pPr>
        <w:spacing w:line="380" w:lineRule="exact"/>
        <w:ind w:firstLine="480"/>
        <w:rPr>
          <w:rFonts w:ascii="宋体" w:hAnsi="宋体" w:cs="宋体"/>
          <w:color w:val="auto"/>
          <w:spacing w:val="-4"/>
          <w:highlight w:val="none"/>
        </w:rPr>
      </w:pPr>
      <w:r>
        <w:rPr>
          <w:rFonts w:hint="eastAsia" w:ascii="宋体" w:hAnsi="宋体" w:cs="宋体"/>
          <w:color w:val="auto"/>
          <w:highlight w:val="none"/>
        </w:rPr>
        <w:t>7.</w:t>
      </w:r>
      <w:r>
        <w:rPr>
          <w:rFonts w:hint="eastAsia" w:ascii="宋体" w:hAnsi="宋体" w:cs="宋体"/>
          <w:color w:val="auto"/>
          <w:spacing w:val="-4"/>
          <w:highlight w:val="none"/>
        </w:rPr>
        <w:t>保证在中标后忠实地执行与采购人所签署的合同，并承担合同规定的责任义务。保证在中标后按照招标文件的规定支付采购代理服务费。承诺按招标人要求作好保密工作。</w:t>
      </w:r>
    </w:p>
    <w:p>
      <w:pPr>
        <w:spacing w:line="380" w:lineRule="exact"/>
        <w:ind w:firstLine="480"/>
        <w:rPr>
          <w:rFonts w:ascii="宋体" w:hAnsi="宋体" w:cs="宋体"/>
          <w:color w:val="auto"/>
          <w:spacing w:val="-4"/>
          <w:highlight w:val="none"/>
        </w:rPr>
      </w:pPr>
      <w:r>
        <w:rPr>
          <w:rFonts w:hint="eastAsia" w:ascii="宋体" w:hAnsi="宋体" w:cs="宋体"/>
          <w:color w:val="auto"/>
          <w:highlight w:val="none"/>
        </w:rPr>
        <w:t>8.</w:t>
      </w:r>
      <w:r>
        <w:rPr>
          <w:rFonts w:hint="eastAsia" w:ascii="宋体" w:hAnsi="宋体" w:cs="宋体"/>
          <w:color w:val="auto"/>
          <w:spacing w:val="-4"/>
          <w:highlight w:val="none"/>
        </w:rPr>
        <w:t>我们郑重声明：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相应的服务能力。我公司未被列入失信被执行人名单、重大税收违法案件当事人名单、政府采购严重违法失信行为记录名单。</w:t>
      </w:r>
    </w:p>
    <w:p>
      <w:pPr>
        <w:snapToGrid w:val="0"/>
        <w:spacing w:line="380" w:lineRule="exact"/>
        <w:ind w:firstLine="480"/>
        <w:rPr>
          <w:rFonts w:ascii="宋体" w:hAnsi="宋体" w:cs="宋体"/>
          <w:color w:val="auto"/>
          <w:highlight w:val="none"/>
        </w:rPr>
      </w:pPr>
      <w:r>
        <w:rPr>
          <w:rFonts w:hint="eastAsia" w:ascii="宋体" w:hAnsi="宋体" w:cs="宋体"/>
          <w:color w:val="auto"/>
          <w:highlight w:val="none"/>
        </w:rPr>
        <w:t>9.以上事项如有虚假或隐瞒，我方愿意承担一切后果，并不再寻求任何旨在减轻或免除法律责任的辩解。</w:t>
      </w:r>
    </w:p>
    <w:p>
      <w:pPr>
        <w:snapToGrid w:val="0"/>
        <w:spacing w:before="164" w:beforeLines="50" w:line="380" w:lineRule="exact"/>
        <w:ind w:firstLine="480"/>
        <w:rPr>
          <w:rFonts w:ascii="宋体" w:hAnsi="宋体" w:cs="宋体"/>
          <w:color w:val="auto"/>
          <w:highlight w:val="none"/>
          <w:u w:val="single"/>
        </w:rPr>
      </w:pPr>
      <w:r>
        <w:rPr>
          <w:rFonts w:hint="eastAsia" w:ascii="宋体" w:hAnsi="宋体" w:cs="宋体"/>
          <w:color w:val="auto"/>
          <w:highlight w:val="none"/>
        </w:rPr>
        <w:t>法定代表人（签名或盖章）：</w:t>
      </w:r>
      <w:r>
        <w:rPr>
          <w:rFonts w:hint="eastAsia" w:ascii="宋体" w:hAnsi="宋体" w:cs="宋体"/>
          <w:color w:val="auto"/>
          <w:highlight w:val="none"/>
          <w:u w:val="single"/>
        </w:rPr>
        <w:t xml:space="preserve">             </w:t>
      </w:r>
    </w:p>
    <w:p>
      <w:pPr>
        <w:snapToGrid w:val="0"/>
        <w:spacing w:before="164" w:beforeLines="50" w:after="50" w:line="380" w:lineRule="exact"/>
        <w:ind w:firstLine="480"/>
        <w:rPr>
          <w:rFonts w:ascii="宋体" w:hAnsi="宋体" w:cs="宋体"/>
          <w:color w:val="auto"/>
          <w:highlight w:val="none"/>
        </w:rPr>
      </w:pPr>
      <w:r>
        <w:rPr>
          <w:rFonts w:hint="eastAsia" w:ascii="宋体" w:hAnsi="宋体" w:cs="宋体"/>
          <w:color w:val="auto"/>
          <w:highlight w:val="none"/>
        </w:rPr>
        <w:t>投标人名称（电子签章）：</w:t>
      </w:r>
      <w:r>
        <w:rPr>
          <w:rFonts w:hint="eastAsia" w:ascii="宋体" w:hAnsi="宋体" w:cs="宋体"/>
          <w:color w:val="auto"/>
          <w:highlight w:val="none"/>
          <w:u w:val="single"/>
        </w:rPr>
        <w:t xml:space="preserve">               </w:t>
      </w:r>
    </w:p>
    <w:p>
      <w:pPr>
        <w:pStyle w:val="2"/>
        <w:spacing w:before="164" w:line="380" w:lineRule="exact"/>
        <w:rPr>
          <w:rFonts w:ascii="宋体" w:hAnsi="宋体" w:cs="宋体"/>
          <w:snapToGrid w:val="0"/>
          <w:color w:val="auto"/>
          <w:highlight w:val="none"/>
        </w:rPr>
      </w:pPr>
      <w:r>
        <w:rPr>
          <w:rFonts w:hint="eastAsia" w:ascii="宋体" w:hAnsi="宋体" w:cs="宋体"/>
          <w:snapToGrid w:val="0"/>
          <w:color w:val="auto"/>
          <w:highlight w:val="none"/>
        </w:rPr>
        <w:t>日期：</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年</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月</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日</w:t>
      </w:r>
      <w:bookmarkEnd w:id="126"/>
    </w:p>
    <w:p>
      <w:pPr>
        <w:ind w:firstLine="480"/>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pPr>
        <w:pStyle w:val="77"/>
        <w:rPr>
          <w:rFonts w:hint="default"/>
          <w:color w:val="auto"/>
          <w:highlight w:val="none"/>
        </w:rPr>
      </w:pPr>
      <w:bookmarkStart w:id="127" w:name="_Toc27881"/>
      <w:bookmarkStart w:id="128" w:name="_Toc14591"/>
      <w:bookmarkStart w:id="129" w:name="_Toc13342"/>
      <w:bookmarkStart w:id="130" w:name="_Toc2437"/>
      <w:bookmarkStart w:id="131" w:name="_Toc23131"/>
      <w:bookmarkStart w:id="132" w:name="_Toc9726"/>
      <w:bookmarkStart w:id="133" w:name="_Toc225223761"/>
      <w:bookmarkStart w:id="134" w:name="_Toc110393361"/>
      <w:bookmarkStart w:id="135" w:name="_Toc483379796"/>
      <w:bookmarkStart w:id="136" w:name="_Toc14746861"/>
      <w:bookmarkStart w:id="137" w:name="_Toc479927873"/>
      <w:bookmarkStart w:id="138" w:name="_Toc488936100"/>
      <w:r>
        <w:rPr>
          <w:color w:val="auto"/>
          <w:highlight w:val="none"/>
        </w:rPr>
        <w:t>2.投标人基本情况表格式</w:t>
      </w:r>
      <w:bookmarkEnd w:id="127"/>
      <w:bookmarkEnd w:id="128"/>
      <w:bookmarkEnd w:id="129"/>
      <w:bookmarkEnd w:id="130"/>
      <w:bookmarkEnd w:id="131"/>
      <w:bookmarkEnd w:id="132"/>
    </w:p>
    <w:p>
      <w:pPr>
        <w:pStyle w:val="37"/>
        <w:spacing w:before="164"/>
        <w:ind w:firstLine="0" w:firstLineChars="0"/>
        <w:rPr>
          <w:color w:val="auto"/>
          <w:highlight w:val="none"/>
        </w:rPr>
      </w:pPr>
      <w:bookmarkStart w:id="139" w:name="_Hlk93240649"/>
      <w:r>
        <w:rPr>
          <w:rFonts w:hint="eastAsia"/>
          <w:color w:val="auto"/>
          <w:highlight w:val="none"/>
        </w:rPr>
        <w:t>投标人基本情况表</w:t>
      </w:r>
      <w:bookmarkEnd w:id="133"/>
      <w:bookmarkEnd w:id="134"/>
      <w:bookmarkEnd w:id="135"/>
      <w:bookmarkEnd w:id="136"/>
      <w:bookmarkEnd w:id="137"/>
      <w:bookmarkEnd w:id="138"/>
    </w:p>
    <w:tbl>
      <w:tblPr>
        <w:tblStyle w:val="26"/>
        <w:tblW w:w="861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253"/>
        <w:gridCol w:w="1017"/>
        <w:gridCol w:w="196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5" w:type="dxa"/>
            <w:vAlign w:val="center"/>
          </w:tcPr>
          <w:p>
            <w:pPr>
              <w:pStyle w:val="33"/>
              <w:rPr>
                <w:color w:val="auto"/>
                <w:highlight w:val="none"/>
              </w:rPr>
            </w:pPr>
            <w:bookmarkStart w:id="140" w:name="_Hlk93240906"/>
            <w:r>
              <w:rPr>
                <w:rFonts w:hint="eastAsia"/>
                <w:color w:val="auto"/>
                <w:highlight w:val="none"/>
              </w:rPr>
              <w:t>单位名称</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组织机构代码</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注册地址</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注册登记号</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经营地址</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税务登记证号</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单位性质</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注册资本</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5" w:type="dxa"/>
            <w:vAlign w:val="center"/>
          </w:tcPr>
          <w:p>
            <w:pPr>
              <w:pStyle w:val="33"/>
              <w:rPr>
                <w:color w:val="auto"/>
                <w:highlight w:val="none"/>
              </w:rPr>
            </w:pPr>
            <w:r>
              <w:rPr>
                <w:rFonts w:hint="eastAsia"/>
                <w:color w:val="auto"/>
                <w:highlight w:val="none"/>
              </w:rPr>
              <w:t>经营范围</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营业期限</w:t>
            </w:r>
          </w:p>
        </w:tc>
        <w:tc>
          <w:tcPr>
            <w:tcW w:w="1829" w:type="dxa"/>
            <w:vAlign w:val="center"/>
          </w:tcPr>
          <w:p>
            <w:pPr>
              <w:pStyle w:val="33"/>
              <w:rPr>
                <w:color w:val="auto"/>
                <w:highlight w:val="none"/>
              </w:rPr>
            </w:pPr>
            <w:r>
              <w:rPr>
                <w:rFonts w:hint="eastAsia"/>
                <w:color w:val="auto"/>
                <w:highlight w:val="none"/>
              </w:rPr>
              <w:t>年 月—年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资质情况</w:t>
            </w:r>
          </w:p>
        </w:tc>
        <w:tc>
          <w:tcPr>
            <w:tcW w:w="6989" w:type="dxa"/>
            <w:gridSpan w:val="5"/>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员工数量</w:t>
            </w:r>
          </w:p>
        </w:tc>
        <w:tc>
          <w:tcPr>
            <w:tcW w:w="6989" w:type="dxa"/>
            <w:gridSpan w:val="5"/>
            <w:vAlign w:val="center"/>
          </w:tcPr>
          <w:p>
            <w:pPr>
              <w:pStyle w:val="33"/>
              <w:rPr>
                <w:color w:val="auto"/>
                <w:highlight w:val="none"/>
              </w:rPr>
            </w:pPr>
            <w:r>
              <w:rPr>
                <w:rFonts w:hint="eastAsia"/>
                <w:color w:val="auto"/>
                <w:highlight w:val="none"/>
              </w:rPr>
              <w:t>共  人，其中，高级职称   人，中级职称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联系电话</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传真</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25" w:type="dxa"/>
            <w:vAlign w:val="center"/>
          </w:tcPr>
          <w:p>
            <w:pPr>
              <w:pStyle w:val="33"/>
              <w:rPr>
                <w:color w:val="auto"/>
                <w:highlight w:val="none"/>
              </w:rPr>
            </w:pPr>
            <w:r>
              <w:rPr>
                <w:rFonts w:hint="eastAsia"/>
                <w:color w:val="auto"/>
                <w:highlight w:val="none"/>
              </w:rPr>
              <w:t>主要业绩</w:t>
            </w:r>
          </w:p>
        </w:tc>
        <w:tc>
          <w:tcPr>
            <w:tcW w:w="6989" w:type="dxa"/>
            <w:gridSpan w:val="5"/>
            <w:vAlign w:val="center"/>
          </w:tcPr>
          <w:p>
            <w:pPr>
              <w:pStyle w:val="33"/>
              <w:rPr>
                <w:color w:val="auto"/>
                <w:highlight w:val="none"/>
              </w:rPr>
            </w:pPr>
          </w:p>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4" w:type="dxa"/>
            <w:gridSpan w:val="6"/>
            <w:vAlign w:val="center"/>
          </w:tcPr>
          <w:p>
            <w:pPr>
              <w:pStyle w:val="33"/>
              <w:jc w:val="center"/>
              <w:rPr>
                <w:color w:val="auto"/>
                <w:highlight w:val="none"/>
              </w:rPr>
            </w:pPr>
            <w:r>
              <w:rPr>
                <w:rFonts w:hint="eastAsia"/>
                <w:color w:val="auto"/>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pStyle w:val="33"/>
              <w:rPr>
                <w:color w:val="auto"/>
                <w:highlight w:val="none"/>
              </w:rPr>
            </w:pPr>
            <w:r>
              <w:rPr>
                <w:rFonts w:hint="eastAsia"/>
                <w:color w:val="auto"/>
                <w:highlight w:val="none"/>
              </w:rPr>
              <w:t>姓  名</w:t>
            </w:r>
          </w:p>
        </w:tc>
        <w:tc>
          <w:tcPr>
            <w:tcW w:w="3193" w:type="dxa"/>
            <w:gridSpan w:val="3"/>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身份证号码</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5" w:type="dxa"/>
            <w:vAlign w:val="center"/>
          </w:tcPr>
          <w:p>
            <w:pPr>
              <w:pStyle w:val="33"/>
              <w:rPr>
                <w:color w:val="auto"/>
                <w:highlight w:val="none"/>
              </w:rPr>
            </w:pPr>
            <w:r>
              <w:rPr>
                <w:rFonts w:hint="eastAsia"/>
                <w:color w:val="auto"/>
                <w:highlight w:val="none"/>
              </w:rPr>
              <w:t>职  务</w:t>
            </w:r>
          </w:p>
        </w:tc>
        <w:tc>
          <w:tcPr>
            <w:tcW w:w="923" w:type="dxa"/>
            <w:vAlign w:val="center"/>
          </w:tcPr>
          <w:p>
            <w:pPr>
              <w:pStyle w:val="33"/>
              <w:rPr>
                <w:color w:val="auto"/>
                <w:highlight w:val="none"/>
              </w:rPr>
            </w:pPr>
          </w:p>
        </w:tc>
        <w:tc>
          <w:tcPr>
            <w:tcW w:w="1253" w:type="dxa"/>
            <w:vAlign w:val="center"/>
          </w:tcPr>
          <w:p>
            <w:pPr>
              <w:pStyle w:val="33"/>
              <w:rPr>
                <w:color w:val="auto"/>
                <w:highlight w:val="none"/>
              </w:rPr>
            </w:pPr>
            <w:r>
              <w:rPr>
                <w:rFonts w:hint="eastAsia"/>
                <w:color w:val="auto"/>
                <w:highlight w:val="none"/>
              </w:rPr>
              <w:t>职  称</w:t>
            </w:r>
          </w:p>
        </w:tc>
        <w:tc>
          <w:tcPr>
            <w:tcW w:w="1017" w:type="dxa"/>
            <w:vAlign w:val="center"/>
          </w:tcPr>
          <w:p>
            <w:pPr>
              <w:pStyle w:val="33"/>
              <w:rPr>
                <w:color w:val="auto"/>
                <w:highlight w:val="none"/>
              </w:rPr>
            </w:pPr>
          </w:p>
        </w:tc>
        <w:tc>
          <w:tcPr>
            <w:tcW w:w="1967" w:type="dxa"/>
            <w:vAlign w:val="center"/>
          </w:tcPr>
          <w:p>
            <w:pPr>
              <w:pStyle w:val="33"/>
              <w:rPr>
                <w:color w:val="auto"/>
                <w:highlight w:val="none"/>
              </w:rPr>
            </w:pPr>
            <w:r>
              <w:rPr>
                <w:rFonts w:hint="eastAsia"/>
                <w:color w:val="auto"/>
                <w:highlight w:val="none"/>
              </w:rPr>
              <w:t>学    历</w:t>
            </w:r>
          </w:p>
        </w:tc>
        <w:tc>
          <w:tcPr>
            <w:tcW w:w="182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614" w:type="dxa"/>
            <w:gridSpan w:val="6"/>
          </w:tcPr>
          <w:p>
            <w:pPr>
              <w:pStyle w:val="33"/>
              <w:rPr>
                <w:color w:val="auto"/>
                <w:highlight w:val="none"/>
              </w:rPr>
            </w:pPr>
            <w:r>
              <w:rPr>
                <w:rFonts w:hint="eastAsia"/>
                <w:color w:val="auto"/>
                <w:highlight w:val="none"/>
              </w:rPr>
              <w:t>备注:</w:t>
            </w:r>
          </w:p>
        </w:tc>
      </w:tr>
      <w:bookmarkEnd w:id="140"/>
    </w:tbl>
    <w:p>
      <w:pPr>
        <w:ind w:firstLine="480"/>
        <w:rPr>
          <w:rFonts w:ascii="宋体" w:hAnsi="宋体" w:cs="宋体"/>
          <w:b/>
          <w:color w:val="auto"/>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 xml:space="preserve"> </w:t>
      </w:r>
      <w:r>
        <w:rPr>
          <w:rFonts w:hint="eastAsia" w:ascii="宋体" w:hAnsi="宋体" w:cs="宋体"/>
          <w:b/>
          <w:color w:val="auto"/>
          <w:highlight w:val="none"/>
        </w:rPr>
        <w:t>兹说明上述声明是真实、正确的，并提供了全部能提供的资料和数据，我们同意遵照贵方要求出示有关说明文件。</w:t>
      </w:r>
    </w:p>
    <w:p>
      <w:pPr>
        <w:ind w:firstLine="480"/>
        <w:rPr>
          <w:rFonts w:ascii="宋体" w:hAnsi="宋体" w:cs="宋体"/>
          <w:b/>
          <w:color w:val="auto"/>
          <w:highlight w:val="none"/>
        </w:rPr>
      </w:pPr>
      <w:r>
        <w:rPr>
          <w:rFonts w:hint="eastAsia" w:ascii="宋体" w:hAnsi="宋体" w:cs="宋体"/>
          <w:color w:val="auto"/>
          <w:highlight w:val="none"/>
        </w:rPr>
        <w:t>投标人名称（电子签章）：</w:t>
      </w:r>
      <w:r>
        <w:rPr>
          <w:rFonts w:hint="eastAsia" w:ascii="宋体" w:hAnsi="宋体" w:cs="宋体"/>
          <w:color w:val="auto"/>
          <w:highlight w:val="none"/>
          <w:u w:val="single"/>
        </w:rPr>
        <w:t xml:space="preserve">             </w:t>
      </w:r>
    </w:p>
    <w:p>
      <w:pPr>
        <w:ind w:firstLine="480"/>
        <w:rPr>
          <w:rFonts w:ascii="宋体" w:hAnsi="宋体" w:cs="宋体"/>
          <w:b/>
          <w:color w:val="auto"/>
          <w:highlight w:val="none"/>
        </w:rPr>
      </w:pPr>
      <w:r>
        <w:rPr>
          <w:rFonts w:hint="eastAsia" w:ascii="宋体" w:hAnsi="宋体" w:cs="宋体"/>
          <w:bCs/>
          <w:color w:val="auto"/>
          <w:highlight w:val="none"/>
        </w:rPr>
        <w:t>法定代表人或授权代表（签字或盖章）:</w:t>
      </w:r>
      <w:r>
        <w:rPr>
          <w:rFonts w:hint="eastAsia" w:ascii="宋体" w:hAnsi="宋体" w:cs="宋体"/>
          <w:color w:val="auto"/>
          <w:highlight w:val="none"/>
          <w:u w:val="single"/>
        </w:rPr>
        <w:t xml:space="preserve">             </w:t>
      </w:r>
      <w:r>
        <w:rPr>
          <w:rFonts w:hint="eastAsia" w:ascii="宋体" w:hAnsi="宋体" w:cs="宋体"/>
          <w:b/>
          <w:color w:val="auto"/>
          <w:highlight w:val="none"/>
        </w:rPr>
        <w:t xml:space="preserve">            </w:t>
      </w:r>
    </w:p>
    <w:p>
      <w:pPr>
        <w:snapToGrid w:val="0"/>
        <w:spacing w:before="50" w:after="164" w:afterLines="5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bookmarkEnd w:id="139"/>
    <w:p>
      <w:pPr>
        <w:ind w:firstLine="480"/>
        <w:rPr>
          <w:rFonts w:ascii="宋体" w:hAnsi="宋体" w:cs="宋体"/>
          <w:color w:val="auto"/>
          <w:highlight w:val="none"/>
        </w:rPr>
      </w:pPr>
      <w:r>
        <w:rPr>
          <w:rFonts w:ascii="宋体" w:hAnsi="宋体" w:cs="宋体"/>
          <w:color w:val="auto"/>
          <w:highlight w:val="none"/>
        </w:rPr>
        <w:br w:type="page"/>
      </w:r>
    </w:p>
    <w:p>
      <w:pPr>
        <w:pStyle w:val="77"/>
        <w:rPr>
          <w:rFonts w:hint="default"/>
          <w:color w:val="auto"/>
          <w:highlight w:val="none"/>
        </w:rPr>
      </w:pPr>
      <w:bookmarkStart w:id="141" w:name="_Toc9815"/>
      <w:bookmarkStart w:id="142" w:name="_Toc24997"/>
      <w:bookmarkStart w:id="143" w:name="_Toc2316"/>
      <w:r>
        <w:rPr>
          <w:color w:val="auto"/>
          <w:highlight w:val="none"/>
        </w:rPr>
        <w:t>3.</w:t>
      </w:r>
      <w:bookmarkEnd w:id="141"/>
      <w:bookmarkEnd w:id="142"/>
      <w:bookmarkEnd w:id="143"/>
      <w:r>
        <w:rPr>
          <w:color w:val="auto"/>
          <w:highlight w:val="none"/>
        </w:rPr>
        <w:t>授权委托书或法定代表人（单位负责人、自然人本人）身份证明</w:t>
      </w:r>
    </w:p>
    <w:p>
      <w:pPr>
        <w:pStyle w:val="77"/>
        <w:ind w:firstLine="562" w:firstLineChars="200"/>
        <w:rPr>
          <w:rFonts w:hint="default"/>
          <w:color w:val="auto"/>
          <w:highlight w:val="none"/>
        </w:rPr>
      </w:pPr>
      <w:bookmarkStart w:id="144" w:name="_Hlk92180897"/>
      <w:r>
        <w:rPr>
          <w:color w:val="auto"/>
          <w:highlight w:val="none"/>
        </w:rPr>
        <w:t>3.1授权委托书</w:t>
      </w:r>
    </w:p>
    <w:p>
      <w:pPr>
        <w:pStyle w:val="37"/>
        <w:spacing w:before="164"/>
        <w:ind w:firstLine="643"/>
        <w:rPr>
          <w:color w:val="auto"/>
          <w:highlight w:val="none"/>
        </w:rPr>
      </w:pPr>
    </w:p>
    <w:p>
      <w:pPr>
        <w:snapToGrid w:val="0"/>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pPr>
        <w:snapToGrid w:val="0"/>
        <w:ind w:firstLine="0" w:firstLineChars="0"/>
        <w:rPr>
          <w:rFonts w:ascii="宋体" w:hAnsi="宋体" w:cs="宋体"/>
          <w:color w:val="auto"/>
          <w:kern w:val="0"/>
          <w:highlight w:val="none"/>
        </w:rPr>
      </w:pPr>
      <w:r>
        <w:rPr>
          <w:rFonts w:hint="eastAsia" w:ascii="宋体" w:hAnsi="宋体" w:cs="宋体"/>
          <w:color w:val="auto"/>
          <w:highlight w:val="none"/>
          <w:lang w:eastAsia="zh-CN"/>
        </w:rPr>
        <w:t>浦江县浦阳江流域管理中心</w:t>
      </w:r>
      <w:r>
        <w:rPr>
          <w:rFonts w:hint="eastAsia" w:ascii="宋体" w:hAnsi="宋体" w:cs="宋体"/>
          <w:color w:val="auto"/>
          <w:highlight w:val="none"/>
        </w:rPr>
        <w:t>、</w:t>
      </w:r>
      <w:r>
        <w:rPr>
          <w:rFonts w:hint="eastAsia" w:ascii="宋体" w:hAnsi="宋体" w:cs="宋体"/>
          <w:color w:val="auto"/>
          <w:highlight w:val="none"/>
          <w:lang w:eastAsia="zh-CN"/>
        </w:rPr>
        <w:t>五洲工程顾问集团有限公司</w:t>
      </w: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政府采购投标的一切事项，其法律后果由我方承担。</w:t>
      </w:r>
    </w:p>
    <w:p>
      <w:pPr>
        <w:snapToGrid w:val="0"/>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snapToGrid w:val="0"/>
        <w:ind w:firstLine="480"/>
        <w:rPr>
          <w:rFonts w:ascii="宋体" w:hAnsi="宋体" w:cs="宋体"/>
          <w:color w:val="auto"/>
          <w:kern w:val="0"/>
          <w:highlight w:val="none"/>
        </w:rPr>
      </w:pPr>
      <w:r>
        <w:rPr>
          <w:rFonts w:hint="eastAsia" w:ascii="宋体" w:hAnsi="宋体" w:cs="宋体"/>
          <w:color w:val="auto"/>
          <w:kern w:val="0"/>
          <w:highlight w:val="none"/>
          <w:lang w:val="zh-CN"/>
        </w:rPr>
        <w:t xml:space="preserve">                                             投标人名称(电子签名)：</w:t>
      </w:r>
    </w:p>
    <w:p>
      <w:pPr>
        <w:adjustRightInd w:val="0"/>
        <w:spacing w:line="48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 xml:space="preserve">                                             签发日期：  年  月   日</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br w:type="page"/>
      </w:r>
    </w:p>
    <w:p>
      <w:pPr>
        <w:pStyle w:val="77"/>
        <w:ind w:firstLine="562" w:firstLineChars="200"/>
        <w:rPr>
          <w:rFonts w:hint="default"/>
          <w:color w:val="auto"/>
          <w:highlight w:val="none"/>
        </w:rPr>
      </w:pPr>
      <w:r>
        <w:rPr>
          <w:color w:val="auto"/>
          <w:highlight w:val="none"/>
        </w:rPr>
        <w:t>3.2 法定代表人、单位负责人或自然人本人的身份证明（适用于法定代表人、单位负责人或者自然人本人代表投标人参加投标）</w:t>
      </w:r>
    </w:p>
    <w:p>
      <w:pPr>
        <w:pStyle w:val="4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40"/>
              <w:adjustRightInd w:val="0"/>
              <w:spacing w:line="360" w:lineRule="auto"/>
              <w:rPr>
                <w:rFonts w:hAnsi="宋体" w:cs="宋体"/>
                <w:bCs/>
                <w:color w:val="auto"/>
                <w:sz w:val="24"/>
                <w:highlight w:val="none"/>
              </w:rPr>
            </w:pPr>
          </w:p>
        </w:tc>
      </w:tr>
    </w:tbl>
    <w:p>
      <w:pPr>
        <w:snapToGrid w:val="0"/>
        <w:ind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p>
    <w:p>
      <w:pPr>
        <w:snapToGrid w:val="0"/>
        <w:ind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投标人名称(电子签名)：                              </w:t>
      </w:r>
    </w:p>
    <w:p>
      <w:pPr>
        <w:ind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bookmarkEnd w:id="144"/>
    <w:p>
      <w:pPr>
        <w:adjustRightInd w:val="0"/>
        <w:spacing w:line="480" w:lineRule="auto"/>
        <w:ind w:firstLine="480"/>
        <w:jc w:val="left"/>
        <w:rPr>
          <w:rFonts w:ascii="宋体" w:hAnsi="宋体" w:cs="宋体"/>
          <w:snapToGrid w:val="0"/>
          <w:color w:val="auto"/>
          <w:kern w:val="0"/>
          <w:highlight w:val="none"/>
        </w:rPr>
      </w:pPr>
      <w:r>
        <w:rPr>
          <w:rFonts w:ascii="宋体" w:hAnsi="宋体" w:cs="宋体"/>
          <w:color w:val="auto"/>
          <w:highlight w:val="none"/>
        </w:rPr>
        <w:br w:type="page"/>
      </w:r>
      <w:bookmarkStart w:id="145" w:name="_Toc22265"/>
      <w:bookmarkStart w:id="146" w:name="_Toc863"/>
      <w:bookmarkStart w:id="147" w:name="_Toc11904"/>
      <w:bookmarkStart w:id="148" w:name="_Toc5333"/>
      <w:bookmarkStart w:id="149" w:name="_Toc11136"/>
      <w:bookmarkStart w:id="150" w:name="_Toc5124"/>
      <w:bookmarkStart w:id="151" w:name="_Toc9959"/>
    </w:p>
    <w:p>
      <w:pPr>
        <w:pStyle w:val="77"/>
        <w:rPr>
          <w:rFonts w:hint="default"/>
          <w:color w:val="auto"/>
          <w:highlight w:val="none"/>
        </w:rPr>
      </w:pPr>
      <w:r>
        <w:rPr>
          <w:color w:val="auto"/>
          <w:highlight w:val="none"/>
        </w:rPr>
        <w:t>4.商务响应表格式</w:t>
      </w:r>
      <w:bookmarkEnd w:id="145"/>
      <w:bookmarkEnd w:id="146"/>
      <w:bookmarkEnd w:id="147"/>
      <w:bookmarkEnd w:id="148"/>
      <w:bookmarkEnd w:id="149"/>
      <w:bookmarkEnd w:id="150"/>
      <w:bookmarkEnd w:id="151"/>
    </w:p>
    <w:p>
      <w:pPr>
        <w:pStyle w:val="37"/>
        <w:spacing w:before="164"/>
        <w:ind w:firstLine="0" w:firstLineChars="0"/>
        <w:rPr>
          <w:color w:val="auto"/>
          <w:highlight w:val="none"/>
        </w:rPr>
      </w:pPr>
      <w:r>
        <w:rPr>
          <w:rFonts w:hint="eastAsia"/>
          <w:color w:val="auto"/>
          <w:highlight w:val="none"/>
        </w:rPr>
        <w:t>商务响应表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pPr w:leftFromText="180" w:rightFromText="180" w:vertAnchor="text" w:horzAnchor="page" w:tblpX="1605" w:tblpY="461"/>
        <w:tblOverlap w:val="never"/>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822"/>
        <w:gridCol w:w="1233"/>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序号</w:t>
            </w:r>
          </w:p>
        </w:tc>
        <w:tc>
          <w:tcPr>
            <w:tcW w:w="2300"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项目</w:t>
            </w:r>
          </w:p>
        </w:tc>
        <w:tc>
          <w:tcPr>
            <w:tcW w:w="1822"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招标文件要求</w:t>
            </w:r>
          </w:p>
        </w:tc>
        <w:tc>
          <w:tcPr>
            <w:tcW w:w="1233"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822"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233"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47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bl>
    <w:p>
      <w:pPr>
        <w:snapToGrid w:val="0"/>
        <w:spacing w:before="164" w:beforeLines="50"/>
        <w:ind w:firstLine="480"/>
        <w:rPr>
          <w:rFonts w:ascii="宋体" w:hAnsi="宋体" w:cs="宋体"/>
          <w:color w:val="auto"/>
          <w:szCs w:val="20"/>
          <w:highlight w:val="none"/>
        </w:rPr>
      </w:pPr>
      <w:r>
        <w:rPr>
          <w:rFonts w:hint="eastAsia" w:ascii="宋体" w:hAnsi="宋体" w:cs="宋体"/>
          <w:color w:val="auto"/>
          <w:szCs w:val="20"/>
          <w:highlight w:val="none"/>
        </w:rPr>
        <w:t>注：如不填写，招标人将视为 “无偏离”。</w:t>
      </w:r>
    </w:p>
    <w:p>
      <w:pPr>
        <w:snapToGrid w:val="0"/>
        <w:spacing w:before="164" w:beforeLines="50"/>
        <w:ind w:firstLine="480"/>
        <w:rPr>
          <w:rFonts w:ascii="宋体" w:hAnsi="宋体" w:cs="宋体"/>
          <w:color w:val="auto"/>
          <w:szCs w:val="20"/>
          <w:highlight w:val="none"/>
        </w:rPr>
      </w:pPr>
    </w:p>
    <w:p>
      <w:pPr>
        <w:snapToGrid w:val="0"/>
        <w:ind w:firstLine="4478" w:firstLineChars="1866"/>
        <w:jc w:val="right"/>
        <w:rPr>
          <w:rFonts w:ascii="宋体" w:hAnsi="宋体" w:cs="宋体"/>
          <w:snapToGrid w:val="0"/>
          <w:color w:val="auto"/>
          <w:highlight w:val="none"/>
        </w:rPr>
      </w:pP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snapToGrid w:val="0"/>
          <w:color w:val="auto"/>
          <w:highlight w:val="none"/>
        </w:rPr>
        <w:t xml:space="preserve">                                  </w:t>
      </w:r>
    </w:p>
    <w:p>
      <w:pPr>
        <w:adjustRightInd w:val="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bookmarkStart w:id="152" w:name="_Toc4359"/>
      <w:bookmarkStart w:id="153" w:name="_Toc8012"/>
      <w:bookmarkStart w:id="154" w:name="_Toc2574"/>
      <w:bookmarkStart w:id="155" w:name="_Toc551"/>
      <w:bookmarkStart w:id="156" w:name="_Toc2557"/>
      <w:bookmarkStart w:id="157" w:name="_Toc27060"/>
      <w:bookmarkStart w:id="158" w:name="_Toc7025"/>
      <w:r>
        <w:rPr>
          <w:color w:val="auto"/>
          <w:highlight w:val="none"/>
        </w:rPr>
        <w:t>5.技术商务分自评表格式</w:t>
      </w:r>
      <w:bookmarkEnd w:id="152"/>
      <w:bookmarkEnd w:id="153"/>
      <w:bookmarkEnd w:id="154"/>
      <w:bookmarkEnd w:id="155"/>
      <w:bookmarkEnd w:id="156"/>
      <w:bookmarkEnd w:id="157"/>
      <w:bookmarkEnd w:id="158"/>
    </w:p>
    <w:p>
      <w:pPr>
        <w:ind w:firstLine="0" w:firstLineChars="0"/>
        <w:jc w:val="center"/>
        <w:rPr>
          <w:rFonts w:ascii="宋体" w:hAnsi="宋体"/>
          <w:b/>
          <w:bCs/>
          <w:color w:val="auto"/>
          <w:highlight w:val="none"/>
        </w:rPr>
      </w:pPr>
      <w:r>
        <w:rPr>
          <w:rFonts w:hint="eastAsia"/>
          <w:b/>
          <w:bCs/>
          <w:color w:val="auto"/>
          <w:sz w:val="32"/>
          <w:szCs w:val="32"/>
          <w:highlight w:val="none"/>
        </w:rPr>
        <w:t>技术商务自评表</w:t>
      </w:r>
    </w:p>
    <w:p>
      <w:pPr>
        <w:ind w:firstLine="480"/>
        <w:rPr>
          <w:rFonts w:ascii="宋体" w:hAnsi="宋体"/>
          <w:bCs/>
          <w:color w:val="auto"/>
          <w:highlight w:val="none"/>
          <w:u w:val="single"/>
        </w:rPr>
      </w:pPr>
      <w:r>
        <w:rPr>
          <w:rFonts w:hint="eastAsia" w:ascii="宋体" w:hAnsi="宋体"/>
          <w:bCs/>
          <w:color w:val="auto"/>
          <w:highlight w:val="none"/>
        </w:rPr>
        <w:t>项目名称：</w:t>
      </w:r>
      <w:r>
        <w:rPr>
          <w:rFonts w:hint="eastAsia" w:ascii="宋体" w:hAnsi="宋体"/>
          <w:bCs/>
          <w:color w:val="auto"/>
          <w:highlight w:val="none"/>
          <w:u w:val="single"/>
        </w:rPr>
        <w:t xml:space="preserve">                            </w:t>
      </w:r>
    </w:p>
    <w:p>
      <w:pPr>
        <w:spacing w:after="200"/>
        <w:ind w:firstLine="480"/>
        <w:rPr>
          <w:color w:val="auto"/>
          <w:highlight w:val="none"/>
        </w:rPr>
      </w:pPr>
      <w:r>
        <w:rPr>
          <w:rFonts w:hint="eastAsia" w:ascii="宋体" w:hAnsi="宋体"/>
          <w:bCs/>
          <w:color w:val="auto"/>
          <w:highlight w:val="none"/>
        </w:rPr>
        <w:t>项目编号：</w:t>
      </w:r>
      <w:r>
        <w:rPr>
          <w:rFonts w:ascii="宋体" w:hAnsi="宋体"/>
          <w:bCs/>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rPr>
        <w:t xml:space="preserve">          </w:t>
      </w:r>
    </w:p>
    <w:tbl>
      <w:tblPr>
        <w:tblStyle w:val="2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314"/>
        <w:gridCol w:w="823"/>
        <w:gridCol w:w="1181"/>
        <w:gridCol w:w="243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18" w:type="dxa"/>
            <w:gridSpan w:val="2"/>
            <w:vAlign w:val="center"/>
          </w:tcPr>
          <w:p>
            <w:pPr>
              <w:pStyle w:val="42"/>
              <w:spacing w:before="164" w:after="164"/>
              <w:rPr>
                <w:color w:val="auto"/>
                <w:highlight w:val="none"/>
              </w:rPr>
            </w:pPr>
            <w:r>
              <w:rPr>
                <w:rFonts w:hint="eastAsia"/>
                <w:color w:val="auto"/>
                <w:highlight w:val="none"/>
              </w:rPr>
              <w:t>评标内容</w:t>
            </w:r>
          </w:p>
        </w:tc>
        <w:tc>
          <w:tcPr>
            <w:tcW w:w="823" w:type="dxa"/>
            <w:vAlign w:val="center"/>
          </w:tcPr>
          <w:p>
            <w:pPr>
              <w:pStyle w:val="42"/>
              <w:spacing w:before="164" w:after="164"/>
              <w:rPr>
                <w:color w:val="auto"/>
                <w:highlight w:val="none"/>
              </w:rPr>
            </w:pPr>
            <w:r>
              <w:rPr>
                <w:rFonts w:hint="eastAsia"/>
                <w:color w:val="auto"/>
                <w:highlight w:val="none"/>
              </w:rPr>
              <w:t>分值</w:t>
            </w:r>
          </w:p>
        </w:tc>
        <w:tc>
          <w:tcPr>
            <w:tcW w:w="1181" w:type="dxa"/>
            <w:tcBorders>
              <w:top w:val="single" w:color="auto" w:sz="4" w:space="0"/>
              <w:left w:val="nil"/>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投标文件</w:t>
            </w:r>
          </w:p>
          <w:p>
            <w:pPr>
              <w:pStyle w:val="42"/>
              <w:spacing w:before="164" w:after="164"/>
              <w:rPr>
                <w:color w:val="auto"/>
                <w:highlight w:val="none"/>
              </w:rPr>
            </w:pPr>
            <w:r>
              <w:rPr>
                <w:rFonts w:hint="eastAsia"/>
                <w:color w:val="auto"/>
                <w:highlight w:val="none"/>
              </w:rPr>
              <w:t>响应页码</w:t>
            </w:r>
          </w:p>
        </w:tc>
        <w:tc>
          <w:tcPr>
            <w:tcW w:w="2438" w:type="dxa"/>
            <w:tcBorders>
              <w:top w:val="single" w:color="auto" w:sz="4" w:space="0"/>
              <w:left w:val="nil"/>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投标人</w:t>
            </w:r>
          </w:p>
          <w:p>
            <w:pPr>
              <w:pStyle w:val="42"/>
              <w:spacing w:before="164" w:after="164"/>
              <w:rPr>
                <w:color w:val="auto"/>
                <w:highlight w:val="none"/>
              </w:rPr>
            </w:pPr>
            <w:r>
              <w:rPr>
                <w:rFonts w:hint="eastAsia"/>
                <w:color w:val="auto"/>
                <w:highlight w:val="none"/>
              </w:rPr>
              <w:t>应标情况</w:t>
            </w:r>
          </w:p>
        </w:tc>
        <w:tc>
          <w:tcPr>
            <w:tcW w:w="1559" w:type="dxa"/>
            <w:tcBorders>
              <w:top w:val="single" w:color="auto" w:sz="4" w:space="0"/>
              <w:left w:val="nil"/>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ascii="Arial" w:hAnsi="Arial" w:cs="Arial"/>
                <w:bCs w:val="0"/>
                <w:color w:val="auto"/>
                <w:spacing w:val="0"/>
                <w:kern w:val="2"/>
                <w:sz w:val="24"/>
                <w:szCs w:val="24"/>
                <w:highlight w:val="none"/>
              </w:rPr>
              <w:t>1</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Borders>
              <w:top w:val="nil"/>
              <w:left w:val="nil"/>
              <w:bottom w:val="single" w:color="auto" w:sz="4" w:space="0"/>
              <w:right w:val="single" w:color="auto" w:sz="4" w:space="0"/>
            </w:tcBorders>
          </w:tcPr>
          <w:p>
            <w:pPr>
              <w:pStyle w:val="33"/>
              <w:jc w:val="center"/>
              <w:rPr>
                <w:color w:val="auto"/>
                <w:highlight w:val="none"/>
              </w:rPr>
            </w:pPr>
          </w:p>
        </w:tc>
        <w:tc>
          <w:tcPr>
            <w:tcW w:w="1559" w:type="dxa"/>
            <w:tcBorders>
              <w:top w:val="nil"/>
              <w:left w:val="nil"/>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ascii="Arial" w:hAnsi="Arial" w:cs="Arial"/>
                <w:bCs w:val="0"/>
                <w:color w:val="auto"/>
                <w:spacing w:val="0"/>
                <w:kern w:val="2"/>
                <w:sz w:val="24"/>
                <w:szCs w:val="24"/>
                <w:highlight w:val="none"/>
              </w:rPr>
              <w:t>2</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ascii="Arial" w:hAnsi="Arial" w:cs="Arial"/>
                <w:bCs w:val="0"/>
                <w:color w:val="auto"/>
                <w:spacing w:val="0"/>
                <w:kern w:val="2"/>
                <w:sz w:val="24"/>
                <w:szCs w:val="24"/>
                <w:highlight w:val="none"/>
              </w:rPr>
              <w:t>3</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ascii="Arial" w:hAnsi="Arial" w:cs="Arial"/>
                <w:bCs w:val="0"/>
                <w:color w:val="auto"/>
                <w:spacing w:val="0"/>
                <w:kern w:val="2"/>
                <w:sz w:val="24"/>
                <w:szCs w:val="24"/>
                <w:highlight w:val="none"/>
              </w:rPr>
              <w:t>4</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ascii="Arial" w:hAnsi="Arial" w:cs="Arial"/>
                <w:bCs w:val="0"/>
                <w:color w:val="auto"/>
                <w:spacing w:val="0"/>
                <w:kern w:val="2"/>
                <w:sz w:val="24"/>
                <w:szCs w:val="24"/>
                <w:highlight w:val="none"/>
              </w:rPr>
              <w:t>5</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hint="eastAsia" w:ascii="Arial" w:hAnsi="Arial" w:cs="Arial"/>
                <w:bCs w:val="0"/>
                <w:color w:val="auto"/>
                <w:spacing w:val="0"/>
                <w:kern w:val="2"/>
                <w:sz w:val="24"/>
                <w:szCs w:val="24"/>
                <w:highlight w:val="none"/>
              </w:rPr>
              <w:t>6</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hint="eastAsia" w:ascii="Arial" w:hAnsi="Arial" w:cs="Arial"/>
                <w:bCs w:val="0"/>
                <w:color w:val="auto"/>
                <w:spacing w:val="0"/>
                <w:kern w:val="2"/>
                <w:sz w:val="24"/>
                <w:szCs w:val="24"/>
                <w:highlight w:val="none"/>
              </w:rPr>
              <w:t>7</w:t>
            </w:r>
          </w:p>
        </w:tc>
        <w:tc>
          <w:tcPr>
            <w:tcW w:w="2314" w:type="dxa"/>
            <w:vAlign w:val="center"/>
          </w:tcPr>
          <w:p>
            <w:pPr>
              <w:pStyle w:val="33"/>
              <w:rPr>
                <w:color w:val="auto"/>
                <w:highlight w:val="none"/>
              </w:rPr>
            </w:pP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vAlign w:val="center"/>
          </w:tcPr>
          <w:p>
            <w:pPr>
              <w:pStyle w:val="33"/>
              <w:rPr>
                <w:rFonts w:ascii="Arial" w:hAnsi="Arial" w:cs="Arial"/>
                <w:bCs w:val="0"/>
                <w:color w:val="auto"/>
                <w:spacing w:val="0"/>
                <w:kern w:val="2"/>
                <w:sz w:val="24"/>
                <w:szCs w:val="24"/>
                <w:highlight w:val="none"/>
              </w:rPr>
            </w:pPr>
            <w:r>
              <w:rPr>
                <w:rFonts w:hint="eastAsia" w:ascii="Arial" w:hAnsi="Arial" w:cs="Arial"/>
                <w:bCs w:val="0"/>
                <w:color w:val="auto"/>
                <w:spacing w:val="0"/>
                <w:kern w:val="2"/>
                <w:sz w:val="24"/>
                <w:szCs w:val="24"/>
                <w:highlight w:val="none"/>
              </w:rPr>
              <w:t>…</w:t>
            </w:r>
          </w:p>
        </w:tc>
        <w:tc>
          <w:tcPr>
            <w:tcW w:w="2314" w:type="dxa"/>
            <w:vAlign w:val="center"/>
          </w:tcPr>
          <w:p>
            <w:pPr>
              <w:pStyle w:val="33"/>
              <w:jc w:val="center"/>
              <w:rPr>
                <w:color w:val="auto"/>
                <w:highlight w:val="none"/>
              </w:rPr>
            </w:pPr>
            <w:r>
              <w:rPr>
                <w:rFonts w:hint="eastAsia"/>
                <w:color w:val="auto"/>
                <w:highlight w:val="none"/>
              </w:rPr>
              <w:t>……</w:t>
            </w:r>
          </w:p>
        </w:tc>
        <w:tc>
          <w:tcPr>
            <w:tcW w:w="823" w:type="dxa"/>
            <w:vAlign w:val="center"/>
          </w:tcPr>
          <w:p>
            <w:pPr>
              <w:pStyle w:val="33"/>
              <w:rPr>
                <w:color w:val="auto"/>
                <w:highlight w:val="none"/>
              </w:rPr>
            </w:pPr>
          </w:p>
        </w:tc>
        <w:tc>
          <w:tcPr>
            <w:tcW w:w="1181" w:type="dxa"/>
            <w:vAlign w:val="center"/>
          </w:tcPr>
          <w:p>
            <w:pPr>
              <w:pStyle w:val="33"/>
              <w:rPr>
                <w:color w:val="auto"/>
                <w:highlight w:val="none"/>
              </w:rPr>
            </w:pPr>
          </w:p>
        </w:tc>
        <w:tc>
          <w:tcPr>
            <w:tcW w:w="2438" w:type="dxa"/>
          </w:tcPr>
          <w:p>
            <w:pPr>
              <w:pStyle w:val="33"/>
              <w:rPr>
                <w:color w:val="auto"/>
                <w:highlight w:val="none"/>
              </w:rPr>
            </w:pPr>
          </w:p>
        </w:tc>
        <w:tc>
          <w:tcPr>
            <w:tcW w:w="1559" w:type="dxa"/>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18" w:type="dxa"/>
            <w:gridSpan w:val="2"/>
            <w:vAlign w:val="center"/>
          </w:tcPr>
          <w:p>
            <w:pPr>
              <w:pStyle w:val="33"/>
              <w:jc w:val="center"/>
              <w:rPr>
                <w:color w:val="auto"/>
                <w:highlight w:val="none"/>
              </w:rPr>
            </w:pPr>
            <w:r>
              <w:rPr>
                <w:rFonts w:hint="eastAsia"/>
                <w:color w:val="auto"/>
                <w:highlight w:val="none"/>
              </w:rPr>
              <w:t>合计</w:t>
            </w:r>
          </w:p>
        </w:tc>
        <w:tc>
          <w:tcPr>
            <w:tcW w:w="823" w:type="dxa"/>
            <w:vAlign w:val="center"/>
          </w:tcPr>
          <w:p>
            <w:pPr>
              <w:pStyle w:val="33"/>
              <w:rPr>
                <w:color w:val="auto"/>
                <w:highlight w:val="none"/>
              </w:rPr>
            </w:pPr>
          </w:p>
        </w:tc>
        <w:tc>
          <w:tcPr>
            <w:tcW w:w="1181" w:type="dxa"/>
            <w:vAlign w:val="center"/>
          </w:tcPr>
          <w:p>
            <w:pPr>
              <w:pStyle w:val="33"/>
              <w:rPr>
                <w:color w:val="auto"/>
                <w:highlight w:val="none"/>
                <w:lang w:val="zh-CN"/>
              </w:rPr>
            </w:pPr>
          </w:p>
        </w:tc>
        <w:tc>
          <w:tcPr>
            <w:tcW w:w="2438" w:type="dxa"/>
          </w:tcPr>
          <w:p>
            <w:pPr>
              <w:pStyle w:val="33"/>
              <w:rPr>
                <w:color w:val="auto"/>
                <w:highlight w:val="none"/>
                <w:lang w:val="zh-CN"/>
              </w:rPr>
            </w:pPr>
          </w:p>
        </w:tc>
        <w:tc>
          <w:tcPr>
            <w:tcW w:w="1559" w:type="dxa"/>
          </w:tcPr>
          <w:p>
            <w:pPr>
              <w:pStyle w:val="33"/>
              <w:rPr>
                <w:color w:val="auto"/>
                <w:highlight w:val="none"/>
                <w:lang w:val="zh-CN"/>
              </w:rPr>
            </w:pPr>
          </w:p>
        </w:tc>
      </w:tr>
    </w:tbl>
    <w:p>
      <w:pPr>
        <w:ind w:firstLine="480"/>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pPr>
        <w:ind w:firstLine="480"/>
        <w:rPr>
          <w:color w:val="auto"/>
          <w:highlight w:val="none"/>
        </w:rPr>
      </w:pPr>
      <w:r>
        <w:rPr>
          <w:rFonts w:hint="eastAsia"/>
          <w:color w:val="auto"/>
          <w:highlight w:val="none"/>
        </w:rPr>
        <w:t>法定代表人或授权代表（签字或盖章）:</w:t>
      </w:r>
      <w:r>
        <w:rPr>
          <w:rFonts w:hint="eastAsia"/>
          <w:color w:val="auto"/>
          <w:highlight w:val="none"/>
          <w:u w:val="single"/>
        </w:rPr>
        <w:t xml:space="preserve">            </w:t>
      </w:r>
      <w:r>
        <w:rPr>
          <w:rFonts w:hint="eastAsia"/>
          <w:color w:val="auto"/>
          <w:highlight w:val="none"/>
        </w:rPr>
        <w:t xml:space="preserve">                                </w:t>
      </w:r>
    </w:p>
    <w:p>
      <w:pPr>
        <w:ind w:firstLine="480"/>
        <w:rPr>
          <w:color w:val="auto"/>
          <w:highlight w:val="none"/>
        </w:rPr>
      </w:pPr>
      <w:r>
        <w:rPr>
          <w:rFonts w:hint="eastAsia"/>
          <w:color w:val="auto"/>
          <w:highlight w:val="none"/>
        </w:rPr>
        <w:t xml:space="preserve">日期： </w:t>
      </w:r>
      <w:r>
        <w:rPr>
          <w:rFonts w:hint="eastAsia" w:ascii="宋体" w:hAnsi="宋体" w:cs="宋体"/>
          <w:color w:val="auto"/>
          <w:highlight w:val="none"/>
          <w:u w:val="single"/>
        </w:rPr>
        <w:t xml:space="preserve">       </w:t>
      </w:r>
      <w:r>
        <w:rPr>
          <w:rFonts w:hint="eastAsia"/>
          <w:color w:val="auto"/>
          <w:highlight w:val="none"/>
        </w:rPr>
        <w:t>年</w:t>
      </w:r>
      <w:r>
        <w:rPr>
          <w:rFonts w:hint="eastAsia" w:ascii="宋体" w:hAnsi="宋体" w:cs="宋体"/>
          <w:color w:val="auto"/>
          <w:highlight w:val="none"/>
          <w:u w:val="single"/>
        </w:rPr>
        <w:t xml:space="preserve">       </w:t>
      </w:r>
      <w:r>
        <w:rPr>
          <w:rFonts w:hint="eastAsia"/>
          <w:color w:val="auto"/>
          <w:highlight w:val="none"/>
        </w:rPr>
        <w:t xml:space="preserve">月 </w:t>
      </w:r>
      <w:r>
        <w:rPr>
          <w:rFonts w:hint="eastAsia" w:ascii="宋体" w:hAnsi="宋体" w:cs="宋体"/>
          <w:color w:val="auto"/>
          <w:highlight w:val="none"/>
          <w:u w:val="single"/>
        </w:rPr>
        <w:t xml:space="preserve">      </w:t>
      </w:r>
      <w:r>
        <w:rPr>
          <w:rFonts w:hint="eastAsia"/>
          <w:color w:val="auto"/>
          <w:highlight w:val="none"/>
        </w:rPr>
        <w:t>日</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bookmarkStart w:id="159" w:name="_Toc32387"/>
      <w:bookmarkStart w:id="160" w:name="_Toc7139"/>
      <w:bookmarkStart w:id="161" w:name="_Toc21264"/>
      <w:bookmarkStart w:id="162" w:name="_Toc25848"/>
      <w:bookmarkStart w:id="163" w:name="_Toc24893"/>
      <w:bookmarkStart w:id="164" w:name="_Toc1664"/>
      <w:bookmarkStart w:id="165" w:name="_Toc9003"/>
      <w:r>
        <w:rPr>
          <w:color w:val="auto"/>
          <w:highlight w:val="none"/>
        </w:rPr>
        <w:t>6</w:t>
      </w:r>
      <w:r>
        <w:rPr>
          <w:rFonts w:hint="eastAsia"/>
          <w:color w:val="auto"/>
          <w:highlight w:val="none"/>
          <w:lang w:val="en-US" w:eastAsia="zh-CN"/>
        </w:rPr>
        <w:t>.技术</w:t>
      </w:r>
      <w:r>
        <w:rPr>
          <w:color w:val="auto"/>
          <w:highlight w:val="none"/>
        </w:rPr>
        <w:t>方案</w:t>
      </w:r>
    </w:p>
    <w:p>
      <w:pPr>
        <w:pStyle w:val="77"/>
        <w:rPr>
          <w:rFonts w:hint="default"/>
          <w:color w:val="auto"/>
          <w:highlight w:val="none"/>
        </w:rPr>
      </w:pPr>
      <w:r>
        <w:rPr>
          <w:color w:val="auto"/>
          <w:highlight w:val="none"/>
        </w:rPr>
        <w:t>（按招标文件第四部分评标办法前附表中“投标文件中评标标准相应的商务技术资料目录”提供资料。）</w:t>
      </w:r>
    </w:p>
    <w:p>
      <w:pPr>
        <w:pStyle w:val="77"/>
        <w:rPr>
          <w:rFonts w:hint="default"/>
          <w:color w:val="auto"/>
          <w:highlight w:val="none"/>
        </w:rPr>
      </w:pPr>
      <w:r>
        <w:rPr>
          <w:color w:val="auto"/>
          <w:highlight w:val="none"/>
        </w:rPr>
        <w:t>7</w:t>
      </w:r>
      <w:r>
        <w:rPr>
          <w:rFonts w:hint="eastAsia"/>
          <w:color w:val="auto"/>
          <w:highlight w:val="none"/>
          <w:lang w:val="en-US" w:eastAsia="zh-CN"/>
        </w:rPr>
        <w:t>.</w:t>
      </w:r>
      <w:r>
        <w:rPr>
          <w:color w:val="auto"/>
          <w:highlight w:val="none"/>
        </w:rPr>
        <w:t>项目组织实施方案</w:t>
      </w:r>
    </w:p>
    <w:p>
      <w:pPr>
        <w:pStyle w:val="77"/>
        <w:rPr>
          <w:rFonts w:hint="default"/>
          <w:color w:val="auto"/>
          <w:highlight w:val="none"/>
        </w:rPr>
      </w:pPr>
      <w:r>
        <w:rPr>
          <w:color w:val="auto"/>
          <w:highlight w:val="none"/>
        </w:rPr>
        <w:t>（按招标文件第四部分评标办法前附表中“投标文件中评标标准相应的商务技术资料目录”提供资料。）</w:t>
      </w:r>
    </w:p>
    <w:p>
      <w:pPr>
        <w:pStyle w:val="77"/>
        <w:rPr>
          <w:rFonts w:hint="default"/>
          <w:color w:val="auto"/>
          <w:highlight w:val="none"/>
        </w:rPr>
      </w:pPr>
      <w:r>
        <w:rPr>
          <w:color w:val="auto"/>
          <w:highlight w:val="none"/>
        </w:rPr>
        <w:t>8</w:t>
      </w:r>
      <w:r>
        <w:rPr>
          <w:rFonts w:hint="eastAsia"/>
          <w:color w:val="auto"/>
          <w:highlight w:val="none"/>
          <w:lang w:val="en-US" w:eastAsia="zh-CN"/>
        </w:rPr>
        <w:t>.</w:t>
      </w:r>
      <w:r>
        <w:rPr>
          <w:color w:val="auto"/>
          <w:highlight w:val="none"/>
        </w:rPr>
        <w:t>售后服务方案</w:t>
      </w:r>
    </w:p>
    <w:p>
      <w:pPr>
        <w:pStyle w:val="77"/>
        <w:rPr>
          <w:rFonts w:hint="default"/>
          <w:color w:val="auto"/>
          <w:highlight w:val="none"/>
        </w:rPr>
      </w:pPr>
      <w:r>
        <w:rPr>
          <w:color w:val="auto"/>
          <w:highlight w:val="none"/>
        </w:rPr>
        <w:t>（按招标文件第四部分评标办法前附表中“投标文件中评标标准相应的商务技术资料目录”提供资料。）</w:t>
      </w:r>
    </w:p>
    <w:p>
      <w:pPr>
        <w:pStyle w:val="77"/>
        <w:rPr>
          <w:rFonts w:hint="eastAsia" w:eastAsia="宋体"/>
          <w:color w:val="auto"/>
          <w:highlight w:val="none"/>
          <w:lang w:eastAsia="zh-CN"/>
        </w:rPr>
      </w:pPr>
      <w:r>
        <w:rPr>
          <w:color w:val="auto"/>
          <w:highlight w:val="none"/>
        </w:rPr>
        <w:t>9</w:t>
      </w:r>
      <w:r>
        <w:rPr>
          <w:rFonts w:hint="eastAsia"/>
          <w:color w:val="auto"/>
          <w:highlight w:val="none"/>
          <w:lang w:val="en-US" w:eastAsia="zh-CN"/>
        </w:rPr>
        <w:t>.</w:t>
      </w:r>
      <w:r>
        <w:rPr>
          <w:color w:val="auto"/>
          <w:highlight w:val="none"/>
        </w:rPr>
        <w:t>企业</w:t>
      </w:r>
      <w:r>
        <w:rPr>
          <w:rFonts w:hint="eastAsia"/>
          <w:color w:val="auto"/>
          <w:highlight w:val="none"/>
          <w:lang w:val="en-US" w:eastAsia="zh-CN"/>
        </w:rPr>
        <w:t>荣誉</w:t>
      </w:r>
    </w:p>
    <w:p>
      <w:pPr>
        <w:pStyle w:val="77"/>
        <w:rPr>
          <w:rFonts w:hint="default"/>
          <w:color w:val="auto"/>
          <w:highlight w:val="none"/>
        </w:rPr>
      </w:pPr>
      <w:r>
        <w:rPr>
          <w:color w:val="auto"/>
          <w:highlight w:val="none"/>
        </w:rPr>
        <w:t>（按招标文件第四部分评标办法前附表中“投标文件中评标标准相应的商务技术资料目录”提供资料。）</w:t>
      </w:r>
    </w:p>
    <w:p>
      <w:pPr>
        <w:pStyle w:val="77"/>
        <w:rPr>
          <w:rFonts w:hint="default"/>
          <w:color w:val="auto"/>
          <w:highlight w:val="none"/>
        </w:rPr>
      </w:pPr>
    </w:p>
    <w:p>
      <w:pPr>
        <w:ind w:firstLine="602"/>
        <w:rPr>
          <w:rStyle w:val="39"/>
          <w:rFonts w:eastAsia="宋体"/>
          <w:color w:val="auto"/>
          <w:highlight w:val="none"/>
        </w:rPr>
      </w:pPr>
      <w:r>
        <w:rPr>
          <w:rStyle w:val="39"/>
          <w:rFonts w:hint="eastAsia" w:eastAsia="宋体"/>
          <w:color w:val="auto"/>
          <w:highlight w:val="none"/>
        </w:rPr>
        <w:br w:type="page"/>
      </w:r>
    </w:p>
    <w:bookmarkEnd w:id="159"/>
    <w:bookmarkEnd w:id="160"/>
    <w:bookmarkEnd w:id="161"/>
    <w:bookmarkEnd w:id="162"/>
    <w:bookmarkEnd w:id="163"/>
    <w:bookmarkEnd w:id="164"/>
    <w:bookmarkEnd w:id="165"/>
    <w:p>
      <w:pPr>
        <w:pStyle w:val="77"/>
        <w:rPr>
          <w:rFonts w:hint="default"/>
          <w:color w:val="auto"/>
          <w:highlight w:val="none"/>
        </w:rPr>
      </w:pPr>
      <w:r>
        <w:rPr>
          <w:color w:val="auto"/>
          <w:highlight w:val="none"/>
        </w:rPr>
        <w:t>10.人员配备情况</w:t>
      </w:r>
    </w:p>
    <w:p>
      <w:pPr>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10.1项目总负责人简历表</w:t>
      </w:r>
    </w:p>
    <w:p>
      <w:pPr>
        <w:pStyle w:val="37"/>
        <w:spacing w:before="164"/>
        <w:ind w:firstLine="0" w:firstLineChars="0"/>
        <w:rPr>
          <w:color w:val="auto"/>
          <w:highlight w:val="none"/>
        </w:rPr>
      </w:pPr>
      <w:r>
        <w:rPr>
          <w:rFonts w:hint="eastAsia"/>
          <w:color w:val="auto"/>
          <w:highlight w:val="none"/>
        </w:rPr>
        <w:t>项目总负责人简历表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9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267" w:type="dxa"/>
            <w:tcBorders>
              <w:top w:val="single" w:color="auto" w:sz="12" w:space="0"/>
            </w:tcBorders>
            <w:vAlign w:val="center"/>
          </w:tcPr>
          <w:p>
            <w:pPr>
              <w:ind w:firstLine="0" w:firstLineChars="0"/>
              <w:jc w:val="center"/>
              <w:rPr>
                <w:rFonts w:ascii="宋体" w:hAnsi="宋体" w:cs="宋体"/>
                <w:color w:val="auto"/>
                <w:sz w:val="21"/>
                <w:szCs w:val="21"/>
                <w:highlight w:val="none"/>
              </w:rPr>
            </w:pPr>
          </w:p>
        </w:tc>
        <w:tc>
          <w:tcPr>
            <w:tcW w:w="1563" w:type="dxa"/>
            <w:gridSpan w:val="2"/>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性别</w:t>
            </w:r>
          </w:p>
        </w:tc>
        <w:tc>
          <w:tcPr>
            <w:tcW w:w="1293" w:type="dxa"/>
            <w:gridSpan w:val="2"/>
            <w:tcBorders>
              <w:top w:val="single" w:color="auto" w:sz="12" w:space="0"/>
            </w:tcBorders>
            <w:vAlign w:val="center"/>
          </w:tcPr>
          <w:p>
            <w:pPr>
              <w:ind w:firstLine="0" w:firstLineChars="0"/>
              <w:jc w:val="center"/>
              <w:rPr>
                <w:rFonts w:ascii="宋体" w:hAnsi="宋体" w:cs="宋体"/>
                <w:color w:val="auto"/>
                <w:sz w:val="21"/>
                <w:szCs w:val="21"/>
                <w:highlight w:val="none"/>
              </w:rPr>
            </w:pPr>
          </w:p>
        </w:tc>
        <w:tc>
          <w:tcPr>
            <w:tcW w:w="1038" w:type="dxa"/>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年龄</w:t>
            </w:r>
          </w:p>
        </w:tc>
        <w:tc>
          <w:tcPr>
            <w:tcW w:w="1927" w:type="dxa"/>
            <w:tcBorders>
              <w:top w:val="single" w:color="auto" w:sz="12" w:space="0"/>
            </w:tcBorders>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267" w:type="dxa"/>
            <w:vAlign w:val="center"/>
          </w:tcPr>
          <w:p>
            <w:pPr>
              <w:ind w:firstLine="0" w:firstLineChars="0"/>
              <w:jc w:val="center"/>
              <w:rPr>
                <w:rFonts w:ascii="宋体" w:hAnsi="宋体" w:cs="宋体"/>
                <w:color w:val="auto"/>
                <w:sz w:val="21"/>
                <w:szCs w:val="21"/>
                <w:highlight w:val="none"/>
              </w:rPr>
            </w:pPr>
          </w:p>
        </w:tc>
        <w:tc>
          <w:tcPr>
            <w:tcW w:w="1563"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拟担任本</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项目职务</w:t>
            </w:r>
          </w:p>
        </w:tc>
        <w:tc>
          <w:tcPr>
            <w:tcW w:w="1293" w:type="dxa"/>
            <w:gridSpan w:val="2"/>
            <w:vAlign w:val="center"/>
          </w:tcPr>
          <w:p>
            <w:pPr>
              <w:ind w:firstLine="0" w:firstLineChars="0"/>
              <w:jc w:val="center"/>
              <w:rPr>
                <w:rFonts w:ascii="宋体" w:hAnsi="宋体" w:cs="宋体"/>
                <w:color w:val="auto"/>
                <w:sz w:val="21"/>
                <w:szCs w:val="21"/>
                <w:highlight w:val="none"/>
              </w:rPr>
            </w:pPr>
          </w:p>
        </w:tc>
        <w:tc>
          <w:tcPr>
            <w:tcW w:w="1038"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学历</w:t>
            </w:r>
          </w:p>
        </w:tc>
        <w:tc>
          <w:tcPr>
            <w:tcW w:w="1927" w:type="dxa"/>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1267" w:type="dxa"/>
            <w:vAlign w:val="center"/>
          </w:tcPr>
          <w:p>
            <w:pPr>
              <w:ind w:firstLine="0" w:firstLineChars="0"/>
              <w:jc w:val="center"/>
              <w:rPr>
                <w:rFonts w:ascii="宋体" w:hAnsi="宋体" w:cs="宋体"/>
                <w:color w:val="auto"/>
                <w:sz w:val="21"/>
                <w:szCs w:val="21"/>
                <w:highlight w:val="none"/>
              </w:rPr>
            </w:pPr>
          </w:p>
        </w:tc>
        <w:tc>
          <w:tcPr>
            <w:tcW w:w="3894" w:type="dxa"/>
            <w:gridSpan w:val="5"/>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从事项目负责人</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年限</w:t>
            </w:r>
          </w:p>
        </w:tc>
        <w:tc>
          <w:tcPr>
            <w:tcW w:w="1927" w:type="dxa"/>
            <w:vAlign w:val="center"/>
          </w:tcPr>
          <w:p>
            <w:pPr>
              <w:widowControl/>
              <w:spacing w:line="240" w:lineRule="auto"/>
              <w:ind w:firstLine="0" w:firstLineChars="0"/>
              <w:jc w:val="left"/>
              <w:rPr>
                <w:rFonts w:ascii="宋体" w:hAnsi="宋体" w:cs="宋体"/>
                <w:color w:val="auto"/>
                <w:sz w:val="21"/>
                <w:szCs w:val="21"/>
                <w:highlight w:val="none"/>
              </w:rPr>
            </w:pPr>
          </w:p>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证书1</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证书2</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证书3</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98" w:type="dxa"/>
            <w:gridSpan w:val="8"/>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已完成项目情况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423"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规模</w:t>
            </w:r>
          </w:p>
        </w:tc>
        <w:tc>
          <w:tcPr>
            <w:tcW w:w="1586"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开始完成日期</w:t>
            </w:r>
          </w:p>
        </w:tc>
        <w:tc>
          <w:tcPr>
            <w:tcW w:w="2152"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负担的技术</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927"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p>
        </w:tc>
        <w:tc>
          <w:tcPr>
            <w:tcW w:w="1423" w:type="dxa"/>
            <w:gridSpan w:val="2"/>
            <w:vAlign w:val="center"/>
          </w:tcPr>
          <w:p>
            <w:pPr>
              <w:ind w:firstLine="0" w:firstLineChars="0"/>
              <w:jc w:val="center"/>
              <w:rPr>
                <w:rFonts w:ascii="宋体" w:hAnsi="宋体" w:cs="宋体"/>
                <w:color w:val="auto"/>
                <w:sz w:val="21"/>
                <w:szCs w:val="21"/>
                <w:highlight w:val="none"/>
              </w:rPr>
            </w:pPr>
          </w:p>
        </w:tc>
        <w:tc>
          <w:tcPr>
            <w:tcW w:w="1586" w:type="dxa"/>
            <w:gridSpan w:val="2"/>
            <w:vAlign w:val="center"/>
          </w:tcPr>
          <w:p>
            <w:pPr>
              <w:ind w:firstLine="0" w:firstLineChars="0"/>
              <w:jc w:val="center"/>
              <w:rPr>
                <w:rFonts w:ascii="宋体" w:hAnsi="宋体" w:cs="宋体"/>
                <w:color w:val="auto"/>
                <w:sz w:val="21"/>
                <w:szCs w:val="21"/>
                <w:highlight w:val="none"/>
              </w:rPr>
            </w:pPr>
          </w:p>
        </w:tc>
        <w:tc>
          <w:tcPr>
            <w:tcW w:w="2152" w:type="dxa"/>
            <w:gridSpan w:val="2"/>
            <w:vAlign w:val="center"/>
          </w:tcPr>
          <w:p>
            <w:pPr>
              <w:ind w:firstLine="0" w:firstLineChars="0"/>
              <w:jc w:val="center"/>
              <w:rPr>
                <w:rFonts w:ascii="宋体" w:hAnsi="宋体" w:cs="宋体"/>
                <w:color w:val="auto"/>
                <w:sz w:val="21"/>
                <w:szCs w:val="21"/>
                <w:highlight w:val="none"/>
              </w:rPr>
            </w:pPr>
          </w:p>
        </w:tc>
        <w:tc>
          <w:tcPr>
            <w:tcW w:w="1927" w:type="dxa"/>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p>
        </w:tc>
        <w:tc>
          <w:tcPr>
            <w:tcW w:w="1423" w:type="dxa"/>
            <w:gridSpan w:val="2"/>
            <w:vAlign w:val="center"/>
          </w:tcPr>
          <w:p>
            <w:pPr>
              <w:ind w:firstLine="0" w:firstLineChars="0"/>
              <w:jc w:val="center"/>
              <w:rPr>
                <w:rFonts w:ascii="宋体" w:hAnsi="宋体" w:cs="宋体"/>
                <w:color w:val="auto"/>
                <w:sz w:val="21"/>
                <w:szCs w:val="21"/>
                <w:highlight w:val="none"/>
              </w:rPr>
            </w:pPr>
          </w:p>
        </w:tc>
        <w:tc>
          <w:tcPr>
            <w:tcW w:w="1586" w:type="dxa"/>
            <w:gridSpan w:val="2"/>
            <w:vAlign w:val="center"/>
          </w:tcPr>
          <w:p>
            <w:pPr>
              <w:ind w:firstLine="0" w:firstLineChars="0"/>
              <w:jc w:val="center"/>
              <w:rPr>
                <w:rFonts w:ascii="宋体" w:hAnsi="宋体" w:cs="宋体"/>
                <w:color w:val="auto"/>
                <w:sz w:val="21"/>
                <w:szCs w:val="21"/>
                <w:highlight w:val="none"/>
              </w:rPr>
            </w:pPr>
          </w:p>
        </w:tc>
        <w:tc>
          <w:tcPr>
            <w:tcW w:w="2152" w:type="dxa"/>
            <w:gridSpan w:val="2"/>
            <w:vAlign w:val="center"/>
          </w:tcPr>
          <w:p>
            <w:pPr>
              <w:ind w:firstLine="0" w:firstLineChars="0"/>
              <w:jc w:val="center"/>
              <w:rPr>
                <w:rFonts w:ascii="宋体" w:hAnsi="宋体" w:cs="宋体"/>
                <w:color w:val="auto"/>
                <w:sz w:val="21"/>
                <w:szCs w:val="21"/>
                <w:highlight w:val="none"/>
              </w:rPr>
            </w:pPr>
          </w:p>
        </w:tc>
        <w:tc>
          <w:tcPr>
            <w:tcW w:w="1927" w:type="dxa"/>
            <w:vAlign w:val="center"/>
          </w:tcPr>
          <w:p>
            <w:pPr>
              <w:ind w:firstLine="0" w:firstLineChars="0"/>
              <w:jc w:val="center"/>
              <w:rPr>
                <w:rFonts w:ascii="宋体" w:hAnsi="宋体" w:cs="宋体"/>
                <w:color w:val="auto"/>
                <w:sz w:val="21"/>
                <w:szCs w:val="21"/>
                <w:highlight w:val="none"/>
              </w:rPr>
            </w:pPr>
          </w:p>
        </w:tc>
      </w:tr>
    </w:tbl>
    <w:p>
      <w:pPr>
        <w:snapToGrid w:val="0"/>
        <w:ind w:firstLine="420"/>
        <w:jc w:val="lef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注：1.项目负责人应附资格证书及社保缴纳证明等复印件或扫描件并加盖单位公章（按评标办法提供）。</w:t>
      </w:r>
    </w:p>
    <w:p>
      <w:pPr>
        <w:snapToGrid w:val="0"/>
        <w:ind w:firstLine="420"/>
        <w:jc w:val="lef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2.在填写时，如本表格不适合投标单位的实际情况，可根据本表格式按评标办法要求自行划表填写并提供相关资料。</w:t>
      </w:r>
    </w:p>
    <w:p>
      <w:pPr>
        <w:snapToGrid w:val="0"/>
        <w:ind w:firstLine="0" w:firstLineChars="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rPr>
        <w:t>投标人名称（电子签章）：</w:t>
      </w:r>
      <w:r>
        <w:rPr>
          <w:rFonts w:hint="eastAsia" w:ascii="宋体" w:hAnsi="宋体" w:cs="宋体"/>
          <w:snapToGrid w:val="0"/>
          <w:color w:val="auto"/>
          <w:sz w:val="22"/>
          <w:szCs w:val="22"/>
          <w:highlight w:val="none"/>
          <w:u w:val="single"/>
        </w:rPr>
        <w:t xml:space="preserve">                       </w:t>
      </w:r>
    </w:p>
    <w:p>
      <w:pPr>
        <w:snapToGrid w:val="0"/>
        <w:ind w:firstLine="0" w:firstLineChars="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rPr>
        <w:t>法定代表人或授权代表（签字或盖章）:</w:t>
      </w:r>
      <w:r>
        <w:rPr>
          <w:rFonts w:hint="eastAsia" w:ascii="宋体" w:hAnsi="宋体" w:cs="宋体"/>
          <w:snapToGrid w:val="0"/>
          <w:color w:val="auto"/>
          <w:sz w:val="22"/>
          <w:szCs w:val="22"/>
          <w:highlight w:val="none"/>
          <w:u w:val="single"/>
        </w:rPr>
        <w:t xml:space="preserve">      </w:t>
      </w:r>
      <w:r>
        <w:rPr>
          <w:rFonts w:hint="eastAsia" w:cs="宋体"/>
          <w:snapToGrid w:val="0"/>
          <w:color w:val="auto"/>
          <w:sz w:val="22"/>
          <w:szCs w:val="22"/>
          <w:highlight w:val="none"/>
          <w:u w:val="single"/>
        </w:rPr>
        <w:t xml:space="preserve">  </w:t>
      </w:r>
      <w:r>
        <w:rPr>
          <w:rFonts w:hint="eastAsia" w:ascii="宋体" w:hAnsi="宋体" w:cs="宋体"/>
          <w:snapToGrid w:val="0"/>
          <w:color w:val="auto"/>
          <w:sz w:val="22"/>
          <w:szCs w:val="22"/>
          <w:highlight w:val="none"/>
          <w:u w:val="single"/>
        </w:rPr>
        <w:t xml:space="preserve">    </w:t>
      </w:r>
    </w:p>
    <w:p>
      <w:pPr>
        <w:tabs>
          <w:tab w:val="left" w:pos="900"/>
        </w:tabs>
        <w:ind w:firstLine="0" w:firstLineChars="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日期：</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年</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月</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日</w:t>
      </w:r>
    </w:p>
    <w:p>
      <w:pPr>
        <w:pStyle w:val="37"/>
        <w:spacing w:before="164"/>
        <w:ind w:firstLine="0" w:firstLineChars="0"/>
        <w:rPr>
          <w:rFonts w:ascii="宋体" w:hAnsi="宋体" w:cs="宋体"/>
          <w:b w:val="0"/>
          <w:bCs/>
          <w:snapToGrid w:val="0"/>
          <w:color w:val="auto"/>
          <w:kern w:val="0"/>
          <w:sz w:val="24"/>
          <w:highlight w:val="none"/>
        </w:rPr>
      </w:pPr>
      <w:r>
        <w:rPr>
          <w:rFonts w:hint="eastAsia" w:ascii="宋体" w:hAnsi="宋体" w:cs="宋体"/>
          <w:b w:val="0"/>
          <w:bCs/>
          <w:snapToGrid w:val="0"/>
          <w:color w:val="auto"/>
          <w:kern w:val="0"/>
          <w:sz w:val="24"/>
          <w:highlight w:val="none"/>
        </w:rPr>
        <w:br w:type="page"/>
      </w:r>
    </w:p>
    <w:p>
      <w:pPr>
        <w:pStyle w:val="77"/>
        <w:rPr>
          <w:rFonts w:hint="default"/>
          <w:color w:val="auto"/>
          <w:highlight w:val="none"/>
        </w:rPr>
      </w:pPr>
      <w:r>
        <w:rPr>
          <w:color w:val="auto"/>
          <w:highlight w:val="none"/>
        </w:rPr>
        <w:t>10.2项目技术负责人简历表</w:t>
      </w:r>
    </w:p>
    <w:p>
      <w:pPr>
        <w:pStyle w:val="37"/>
        <w:spacing w:before="164"/>
        <w:ind w:firstLine="0" w:firstLineChars="0"/>
        <w:rPr>
          <w:color w:val="auto"/>
          <w:highlight w:val="none"/>
        </w:rPr>
      </w:pPr>
      <w:r>
        <w:rPr>
          <w:rFonts w:hint="eastAsia"/>
          <w:color w:val="auto"/>
          <w:highlight w:val="none"/>
        </w:rPr>
        <w:t>项目技术负责人简历表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9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267" w:type="dxa"/>
            <w:tcBorders>
              <w:top w:val="single" w:color="auto" w:sz="12" w:space="0"/>
            </w:tcBorders>
            <w:vAlign w:val="center"/>
          </w:tcPr>
          <w:p>
            <w:pPr>
              <w:ind w:firstLine="0" w:firstLineChars="0"/>
              <w:jc w:val="center"/>
              <w:rPr>
                <w:rFonts w:ascii="宋体" w:hAnsi="宋体" w:cs="宋体"/>
                <w:color w:val="auto"/>
                <w:sz w:val="21"/>
                <w:szCs w:val="21"/>
                <w:highlight w:val="none"/>
              </w:rPr>
            </w:pPr>
          </w:p>
        </w:tc>
        <w:tc>
          <w:tcPr>
            <w:tcW w:w="1563" w:type="dxa"/>
            <w:gridSpan w:val="2"/>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性别</w:t>
            </w:r>
          </w:p>
        </w:tc>
        <w:tc>
          <w:tcPr>
            <w:tcW w:w="1293" w:type="dxa"/>
            <w:gridSpan w:val="2"/>
            <w:tcBorders>
              <w:top w:val="single" w:color="auto" w:sz="12" w:space="0"/>
            </w:tcBorders>
            <w:vAlign w:val="center"/>
          </w:tcPr>
          <w:p>
            <w:pPr>
              <w:ind w:firstLine="0" w:firstLineChars="0"/>
              <w:jc w:val="center"/>
              <w:rPr>
                <w:rFonts w:ascii="宋体" w:hAnsi="宋体" w:cs="宋体"/>
                <w:color w:val="auto"/>
                <w:sz w:val="21"/>
                <w:szCs w:val="21"/>
                <w:highlight w:val="none"/>
              </w:rPr>
            </w:pPr>
          </w:p>
        </w:tc>
        <w:tc>
          <w:tcPr>
            <w:tcW w:w="1038" w:type="dxa"/>
            <w:tcBorders>
              <w:top w:val="single" w:color="auto" w:sz="12"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年龄</w:t>
            </w:r>
          </w:p>
        </w:tc>
        <w:tc>
          <w:tcPr>
            <w:tcW w:w="1927" w:type="dxa"/>
            <w:tcBorders>
              <w:top w:val="single" w:color="auto" w:sz="12" w:space="0"/>
            </w:tcBorders>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267" w:type="dxa"/>
            <w:vAlign w:val="center"/>
          </w:tcPr>
          <w:p>
            <w:pPr>
              <w:ind w:firstLine="0" w:firstLineChars="0"/>
              <w:jc w:val="center"/>
              <w:rPr>
                <w:rFonts w:ascii="宋体" w:hAnsi="宋体" w:cs="宋体"/>
                <w:color w:val="auto"/>
                <w:sz w:val="21"/>
                <w:szCs w:val="21"/>
                <w:highlight w:val="none"/>
              </w:rPr>
            </w:pPr>
          </w:p>
        </w:tc>
        <w:tc>
          <w:tcPr>
            <w:tcW w:w="1563"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拟担任本</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项目职务</w:t>
            </w:r>
          </w:p>
        </w:tc>
        <w:tc>
          <w:tcPr>
            <w:tcW w:w="1293" w:type="dxa"/>
            <w:gridSpan w:val="2"/>
            <w:vAlign w:val="center"/>
          </w:tcPr>
          <w:p>
            <w:pPr>
              <w:ind w:firstLine="0" w:firstLineChars="0"/>
              <w:jc w:val="center"/>
              <w:rPr>
                <w:rFonts w:ascii="宋体" w:hAnsi="宋体" w:cs="宋体"/>
                <w:color w:val="auto"/>
                <w:sz w:val="21"/>
                <w:szCs w:val="21"/>
                <w:highlight w:val="none"/>
              </w:rPr>
            </w:pPr>
          </w:p>
        </w:tc>
        <w:tc>
          <w:tcPr>
            <w:tcW w:w="1038"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学历</w:t>
            </w:r>
          </w:p>
        </w:tc>
        <w:tc>
          <w:tcPr>
            <w:tcW w:w="1927" w:type="dxa"/>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1267" w:type="dxa"/>
            <w:vAlign w:val="center"/>
          </w:tcPr>
          <w:p>
            <w:pPr>
              <w:ind w:firstLine="0" w:firstLineChars="0"/>
              <w:jc w:val="center"/>
              <w:rPr>
                <w:rFonts w:ascii="宋体" w:hAnsi="宋体" w:cs="宋体"/>
                <w:color w:val="auto"/>
                <w:sz w:val="21"/>
                <w:szCs w:val="21"/>
                <w:highlight w:val="none"/>
              </w:rPr>
            </w:pPr>
          </w:p>
        </w:tc>
        <w:tc>
          <w:tcPr>
            <w:tcW w:w="3894" w:type="dxa"/>
            <w:gridSpan w:val="5"/>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从事项目技术负责人</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年限</w:t>
            </w:r>
          </w:p>
        </w:tc>
        <w:tc>
          <w:tcPr>
            <w:tcW w:w="1927" w:type="dxa"/>
            <w:vAlign w:val="center"/>
          </w:tcPr>
          <w:p>
            <w:pPr>
              <w:widowControl/>
              <w:spacing w:line="240" w:lineRule="auto"/>
              <w:ind w:firstLine="0" w:firstLineChars="0"/>
              <w:jc w:val="left"/>
              <w:rPr>
                <w:rFonts w:ascii="宋体" w:hAnsi="宋体" w:cs="宋体"/>
                <w:color w:val="auto"/>
                <w:sz w:val="21"/>
                <w:szCs w:val="21"/>
                <w:highlight w:val="none"/>
              </w:rPr>
            </w:pPr>
          </w:p>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证书1</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证书2</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证书3</w:t>
            </w:r>
          </w:p>
        </w:tc>
        <w:tc>
          <w:tcPr>
            <w:tcW w:w="7088" w:type="dxa"/>
            <w:gridSpan w:val="7"/>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98" w:type="dxa"/>
            <w:gridSpan w:val="8"/>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已完成项目情况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423"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规模</w:t>
            </w:r>
          </w:p>
        </w:tc>
        <w:tc>
          <w:tcPr>
            <w:tcW w:w="1586"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开始完成日期</w:t>
            </w:r>
          </w:p>
        </w:tc>
        <w:tc>
          <w:tcPr>
            <w:tcW w:w="2152" w:type="dxa"/>
            <w:gridSpan w:val="2"/>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负担的技术</w:t>
            </w:r>
          </w:p>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927" w:type="dxa"/>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p>
        </w:tc>
        <w:tc>
          <w:tcPr>
            <w:tcW w:w="1423" w:type="dxa"/>
            <w:gridSpan w:val="2"/>
            <w:vAlign w:val="center"/>
          </w:tcPr>
          <w:p>
            <w:pPr>
              <w:ind w:firstLine="0" w:firstLineChars="0"/>
              <w:jc w:val="center"/>
              <w:rPr>
                <w:rFonts w:ascii="宋体" w:hAnsi="宋体" w:cs="宋体"/>
                <w:color w:val="auto"/>
                <w:sz w:val="21"/>
                <w:szCs w:val="21"/>
                <w:highlight w:val="none"/>
              </w:rPr>
            </w:pPr>
          </w:p>
        </w:tc>
        <w:tc>
          <w:tcPr>
            <w:tcW w:w="1586" w:type="dxa"/>
            <w:gridSpan w:val="2"/>
            <w:vAlign w:val="center"/>
          </w:tcPr>
          <w:p>
            <w:pPr>
              <w:ind w:firstLine="0" w:firstLineChars="0"/>
              <w:jc w:val="center"/>
              <w:rPr>
                <w:rFonts w:ascii="宋体" w:hAnsi="宋体" w:cs="宋体"/>
                <w:color w:val="auto"/>
                <w:sz w:val="21"/>
                <w:szCs w:val="21"/>
                <w:highlight w:val="none"/>
              </w:rPr>
            </w:pPr>
          </w:p>
        </w:tc>
        <w:tc>
          <w:tcPr>
            <w:tcW w:w="2152" w:type="dxa"/>
            <w:gridSpan w:val="2"/>
            <w:vAlign w:val="center"/>
          </w:tcPr>
          <w:p>
            <w:pPr>
              <w:ind w:firstLine="0" w:firstLineChars="0"/>
              <w:jc w:val="center"/>
              <w:rPr>
                <w:rFonts w:ascii="宋体" w:hAnsi="宋体" w:cs="宋体"/>
                <w:color w:val="auto"/>
                <w:sz w:val="21"/>
                <w:szCs w:val="21"/>
                <w:highlight w:val="none"/>
              </w:rPr>
            </w:pPr>
          </w:p>
        </w:tc>
        <w:tc>
          <w:tcPr>
            <w:tcW w:w="1927" w:type="dxa"/>
            <w:vAlign w:val="center"/>
          </w:tcPr>
          <w:p>
            <w:pPr>
              <w:ind w:firstLine="0" w:firstLineChars="0"/>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0" w:type="dxa"/>
            <w:vAlign w:val="center"/>
          </w:tcPr>
          <w:p>
            <w:pPr>
              <w:ind w:firstLine="0" w:firstLineChars="0"/>
              <w:jc w:val="center"/>
              <w:rPr>
                <w:rFonts w:ascii="宋体" w:hAnsi="宋体" w:cs="宋体"/>
                <w:color w:val="auto"/>
                <w:sz w:val="21"/>
                <w:szCs w:val="21"/>
                <w:highlight w:val="none"/>
              </w:rPr>
            </w:pPr>
          </w:p>
        </w:tc>
        <w:tc>
          <w:tcPr>
            <w:tcW w:w="1423" w:type="dxa"/>
            <w:gridSpan w:val="2"/>
            <w:vAlign w:val="center"/>
          </w:tcPr>
          <w:p>
            <w:pPr>
              <w:ind w:firstLine="0" w:firstLineChars="0"/>
              <w:jc w:val="center"/>
              <w:rPr>
                <w:rFonts w:ascii="宋体" w:hAnsi="宋体" w:cs="宋体"/>
                <w:color w:val="auto"/>
                <w:sz w:val="21"/>
                <w:szCs w:val="21"/>
                <w:highlight w:val="none"/>
              </w:rPr>
            </w:pPr>
          </w:p>
        </w:tc>
        <w:tc>
          <w:tcPr>
            <w:tcW w:w="1586" w:type="dxa"/>
            <w:gridSpan w:val="2"/>
            <w:vAlign w:val="center"/>
          </w:tcPr>
          <w:p>
            <w:pPr>
              <w:ind w:firstLine="0" w:firstLineChars="0"/>
              <w:jc w:val="center"/>
              <w:rPr>
                <w:rFonts w:ascii="宋体" w:hAnsi="宋体" w:cs="宋体"/>
                <w:color w:val="auto"/>
                <w:sz w:val="21"/>
                <w:szCs w:val="21"/>
                <w:highlight w:val="none"/>
              </w:rPr>
            </w:pPr>
          </w:p>
        </w:tc>
        <w:tc>
          <w:tcPr>
            <w:tcW w:w="2152" w:type="dxa"/>
            <w:gridSpan w:val="2"/>
            <w:vAlign w:val="center"/>
          </w:tcPr>
          <w:p>
            <w:pPr>
              <w:ind w:firstLine="0" w:firstLineChars="0"/>
              <w:jc w:val="center"/>
              <w:rPr>
                <w:rFonts w:ascii="宋体" w:hAnsi="宋体" w:cs="宋体"/>
                <w:color w:val="auto"/>
                <w:sz w:val="21"/>
                <w:szCs w:val="21"/>
                <w:highlight w:val="none"/>
              </w:rPr>
            </w:pPr>
          </w:p>
        </w:tc>
        <w:tc>
          <w:tcPr>
            <w:tcW w:w="1927" w:type="dxa"/>
            <w:vAlign w:val="center"/>
          </w:tcPr>
          <w:p>
            <w:pPr>
              <w:ind w:firstLine="0" w:firstLineChars="0"/>
              <w:jc w:val="center"/>
              <w:rPr>
                <w:rFonts w:ascii="宋体" w:hAnsi="宋体" w:cs="宋体"/>
                <w:color w:val="auto"/>
                <w:sz w:val="21"/>
                <w:szCs w:val="21"/>
                <w:highlight w:val="none"/>
              </w:rPr>
            </w:pPr>
          </w:p>
        </w:tc>
      </w:tr>
    </w:tbl>
    <w:p>
      <w:pPr>
        <w:snapToGrid w:val="0"/>
        <w:ind w:firstLine="420"/>
        <w:jc w:val="lef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注：1.项目技术负责人应附资格证书及社保缴纳证明等复印件或扫描件并加盖单位公章（按评标办法提供）。</w:t>
      </w:r>
    </w:p>
    <w:p>
      <w:pPr>
        <w:snapToGrid w:val="0"/>
        <w:ind w:firstLine="420"/>
        <w:jc w:val="lef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2.在填写时，如本表格不适合投标单位的实际情况，可根据本表格式按评标办法要求自行划表填写并提供相关资料。</w:t>
      </w:r>
    </w:p>
    <w:p>
      <w:pPr>
        <w:snapToGrid w:val="0"/>
        <w:ind w:firstLine="0" w:firstLineChars="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rPr>
        <w:t>投标人名称（电子签章）：</w:t>
      </w:r>
      <w:r>
        <w:rPr>
          <w:rFonts w:hint="eastAsia" w:ascii="宋体" w:hAnsi="宋体" w:cs="宋体"/>
          <w:snapToGrid w:val="0"/>
          <w:color w:val="auto"/>
          <w:sz w:val="22"/>
          <w:szCs w:val="22"/>
          <w:highlight w:val="none"/>
          <w:u w:val="single"/>
        </w:rPr>
        <w:t xml:space="preserve">                       </w:t>
      </w:r>
    </w:p>
    <w:p>
      <w:pPr>
        <w:snapToGrid w:val="0"/>
        <w:ind w:firstLine="0" w:firstLineChars="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rPr>
        <w:t>法定代表人或授权代表（签字或盖章）:</w:t>
      </w:r>
      <w:r>
        <w:rPr>
          <w:rFonts w:hint="eastAsia" w:ascii="宋体" w:hAnsi="宋体" w:cs="宋体"/>
          <w:snapToGrid w:val="0"/>
          <w:color w:val="auto"/>
          <w:sz w:val="22"/>
          <w:szCs w:val="22"/>
          <w:highlight w:val="none"/>
          <w:u w:val="single"/>
        </w:rPr>
        <w:t xml:space="preserve">      </w:t>
      </w:r>
      <w:r>
        <w:rPr>
          <w:rFonts w:hint="eastAsia" w:cs="宋体"/>
          <w:snapToGrid w:val="0"/>
          <w:color w:val="auto"/>
          <w:sz w:val="22"/>
          <w:szCs w:val="22"/>
          <w:highlight w:val="none"/>
          <w:u w:val="single"/>
        </w:rPr>
        <w:t xml:space="preserve">  </w:t>
      </w:r>
      <w:r>
        <w:rPr>
          <w:rFonts w:hint="eastAsia" w:ascii="宋体" w:hAnsi="宋体" w:cs="宋体"/>
          <w:snapToGrid w:val="0"/>
          <w:color w:val="auto"/>
          <w:sz w:val="22"/>
          <w:szCs w:val="22"/>
          <w:highlight w:val="none"/>
          <w:u w:val="single"/>
        </w:rPr>
        <w:t xml:space="preserve">    </w:t>
      </w:r>
    </w:p>
    <w:p>
      <w:pPr>
        <w:tabs>
          <w:tab w:val="left" w:pos="900"/>
        </w:tabs>
        <w:ind w:firstLine="0" w:firstLineChars="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日期：</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年</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月</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日</w:t>
      </w:r>
    </w:p>
    <w:p>
      <w:pPr>
        <w:ind w:firstLine="602"/>
        <w:rPr>
          <w:rStyle w:val="39"/>
          <w:color w:val="auto"/>
          <w:highlight w:val="none"/>
        </w:rPr>
      </w:pPr>
      <w:r>
        <w:rPr>
          <w:rStyle w:val="39"/>
          <w:rFonts w:hint="eastAsia"/>
          <w:color w:val="auto"/>
          <w:highlight w:val="none"/>
        </w:rPr>
        <w:br w:type="page"/>
      </w:r>
    </w:p>
    <w:p>
      <w:pPr>
        <w:pStyle w:val="77"/>
        <w:rPr>
          <w:rFonts w:hint="default"/>
          <w:color w:val="auto"/>
          <w:highlight w:val="none"/>
        </w:rPr>
      </w:pPr>
      <w:r>
        <w:rPr>
          <w:color w:val="auto"/>
          <w:highlight w:val="none"/>
        </w:rPr>
        <w:t>10.3项目组人员配备情况一览表</w:t>
      </w:r>
    </w:p>
    <w:p>
      <w:pPr>
        <w:pStyle w:val="37"/>
        <w:spacing w:before="164"/>
        <w:ind w:firstLine="0" w:firstLineChars="0"/>
        <w:rPr>
          <w:b w:val="0"/>
          <w:bCs/>
          <w:color w:val="auto"/>
          <w:highlight w:val="none"/>
        </w:rPr>
      </w:pPr>
      <w:r>
        <w:rPr>
          <w:rFonts w:hint="eastAsia" w:ascii="等线" w:hAnsi="等线" w:cs="宋体"/>
          <w:color w:val="auto"/>
          <w:highlight w:val="none"/>
        </w:rPr>
        <w:t>项目组人员配备情况一览表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pPr w:leftFromText="180" w:rightFromText="180" w:vertAnchor="text" w:horzAnchor="page" w:tblpX="1665" w:tblpY="462"/>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692"/>
        <w:gridCol w:w="1050"/>
        <w:gridCol w:w="909"/>
        <w:gridCol w:w="1050"/>
        <w:gridCol w:w="1009"/>
        <w:gridCol w:w="1422"/>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020" w:type="dxa"/>
            <w:vMerge w:val="restart"/>
            <w:vAlign w:val="center"/>
          </w:tcPr>
          <w:p>
            <w:pPr>
              <w:pStyle w:val="42"/>
              <w:spacing w:before="164" w:after="164"/>
              <w:rPr>
                <w:color w:val="auto"/>
                <w:highlight w:val="none"/>
              </w:rPr>
            </w:pPr>
            <w:r>
              <w:rPr>
                <w:rFonts w:hint="eastAsia"/>
                <w:color w:val="auto"/>
                <w:highlight w:val="none"/>
              </w:rPr>
              <w:t>拟在本项目担任的职务</w:t>
            </w:r>
          </w:p>
          <w:p>
            <w:pPr>
              <w:pStyle w:val="42"/>
              <w:spacing w:before="164" w:after="164"/>
              <w:rPr>
                <w:color w:val="auto"/>
                <w:highlight w:val="none"/>
              </w:rPr>
            </w:pPr>
            <w:r>
              <w:rPr>
                <w:rFonts w:hint="eastAsia"/>
                <w:color w:val="auto"/>
                <w:highlight w:val="none"/>
              </w:rPr>
              <w:t>(岗位)</w:t>
            </w:r>
          </w:p>
        </w:tc>
        <w:tc>
          <w:tcPr>
            <w:tcW w:w="692" w:type="dxa"/>
            <w:vMerge w:val="restart"/>
            <w:vAlign w:val="center"/>
          </w:tcPr>
          <w:p>
            <w:pPr>
              <w:pStyle w:val="42"/>
              <w:spacing w:before="164" w:after="164"/>
              <w:rPr>
                <w:color w:val="auto"/>
                <w:highlight w:val="none"/>
              </w:rPr>
            </w:pPr>
            <w:r>
              <w:rPr>
                <w:rFonts w:hint="eastAsia"/>
                <w:color w:val="auto"/>
                <w:highlight w:val="none"/>
              </w:rPr>
              <w:t>姓名</w:t>
            </w:r>
          </w:p>
        </w:tc>
        <w:tc>
          <w:tcPr>
            <w:tcW w:w="5440" w:type="dxa"/>
            <w:gridSpan w:val="5"/>
            <w:vAlign w:val="center"/>
          </w:tcPr>
          <w:p>
            <w:pPr>
              <w:pStyle w:val="42"/>
              <w:spacing w:before="164" w:after="164"/>
              <w:rPr>
                <w:color w:val="auto"/>
                <w:highlight w:val="none"/>
              </w:rPr>
            </w:pPr>
            <w:r>
              <w:rPr>
                <w:rFonts w:hint="eastAsia" w:ascii="宋体" w:hAnsi="宋体" w:cs="宋体"/>
                <w:color w:val="auto"/>
                <w:szCs w:val="24"/>
                <w:highlight w:val="none"/>
              </w:rPr>
              <w:t>资格</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职称</w:t>
            </w:r>
            <w:r>
              <w:rPr>
                <w:rFonts w:hint="eastAsia" w:ascii="宋体" w:hAnsi="宋体" w:cs="宋体"/>
                <w:color w:val="auto"/>
                <w:szCs w:val="24"/>
                <w:highlight w:val="none"/>
                <w:lang w:eastAsia="zh-CN"/>
              </w:rPr>
              <w:t>）</w:t>
            </w:r>
            <w:r>
              <w:rPr>
                <w:rFonts w:hint="eastAsia" w:ascii="宋体" w:hAnsi="宋体" w:cs="宋体"/>
                <w:color w:val="auto"/>
                <w:szCs w:val="24"/>
                <w:highlight w:val="none"/>
              </w:rPr>
              <w:t>证件</w:t>
            </w:r>
          </w:p>
        </w:tc>
        <w:tc>
          <w:tcPr>
            <w:tcW w:w="790" w:type="dxa"/>
            <w:vMerge w:val="restart"/>
            <w:vAlign w:val="center"/>
          </w:tcPr>
          <w:p>
            <w:pPr>
              <w:pStyle w:val="42"/>
              <w:spacing w:before="164" w:after="164"/>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2020" w:type="dxa"/>
            <w:vMerge w:val="continue"/>
            <w:vAlign w:val="center"/>
          </w:tcPr>
          <w:p>
            <w:pPr>
              <w:pStyle w:val="33"/>
              <w:rPr>
                <w:color w:val="auto"/>
                <w:highlight w:val="none"/>
              </w:rPr>
            </w:pPr>
          </w:p>
        </w:tc>
        <w:tc>
          <w:tcPr>
            <w:tcW w:w="692" w:type="dxa"/>
            <w:vMerge w:val="continue"/>
            <w:vAlign w:val="center"/>
          </w:tcPr>
          <w:p>
            <w:pPr>
              <w:pStyle w:val="33"/>
              <w:rPr>
                <w:color w:val="auto"/>
                <w:highlight w:val="none"/>
              </w:rPr>
            </w:pPr>
          </w:p>
        </w:tc>
        <w:tc>
          <w:tcPr>
            <w:tcW w:w="1050" w:type="dxa"/>
            <w:vAlign w:val="center"/>
          </w:tcPr>
          <w:p>
            <w:pPr>
              <w:pStyle w:val="42"/>
              <w:spacing w:before="164" w:after="164"/>
              <w:rPr>
                <w:color w:val="auto"/>
                <w:highlight w:val="none"/>
              </w:rPr>
            </w:pPr>
            <w:r>
              <w:rPr>
                <w:rFonts w:hint="eastAsia"/>
                <w:color w:val="auto"/>
                <w:highlight w:val="none"/>
              </w:rPr>
              <w:t>证书名称</w:t>
            </w:r>
          </w:p>
        </w:tc>
        <w:tc>
          <w:tcPr>
            <w:tcW w:w="909" w:type="dxa"/>
            <w:vAlign w:val="center"/>
          </w:tcPr>
          <w:p>
            <w:pPr>
              <w:pStyle w:val="42"/>
              <w:spacing w:before="164" w:after="164"/>
              <w:rPr>
                <w:color w:val="auto"/>
                <w:highlight w:val="none"/>
              </w:rPr>
            </w:pPr>
            <w:r>
              <w:rPr>
                <w:rFonts w:hint="eastAsia"/>
                <w:color w:val="auto"/>
                <w:highlight w:val="none"/>
              </w:rPr>
              <w:t>级别</w:t>
            </w:r>
          </w:p>
        </w:tc>
        <w:tc>
          <w:tcPr>
            <w:tcW w:w="1050" w:type="dxa"/>
            <w:vAlign w:val="center"/>
          </w:tcPr>
          <w:p>
            <w:pPr>
              <w:pStyle w:val="42"/>
              <w:spacing w:before="164" w:after="164"/>
              <w:rPr>
                <w:color w:val="auto"/>
                <w:highlight w:val="none"/>
              </w:rPr>
            </w:pPr>
            <w:r>
              <w:rPr>
                <w:rFonts w:hint="eastAsia"/>
                <w:color w:val="auto"/>
                <w:highlight w:val="none"/>
              </w:rPr>
              <w:t>证号</w:t>
            </w:r>
          </w:p>
        </w:tc>
        <w:tc>
          <w:tcPr>
            <w:tcW w:w="1009" w:type="dxa"/>
            <w:vAlign w:val="center"/>
          </w:tcPr>
          <w:p>
            <w:pPr>
              <w:pStyle w:val="42"/>
              <w:spacing w:before="164" w:after="164"/>
              <w:rPr>
                <w:color w:val="auto"/>
                <w:highlight w:val="none"/>
              </w:rPr>
            </w:pPr>
            <w:r>
              <w:rPr>
                <w:rFonts w:hint="eastAsia"/>
                <w:color w:val="auto"/>
                <w:highlight w:val="none"/>
              </w:rPr>
              <w:t>专业</w:t>
            </w:r>
          </w:p>
        </w:tc>
        <w:tc>
          <w:tcPr>
            <w:tcW w:w="1422" w:type="dxa"/>
            <w:vAlign w:val="center"/>
          </w:tcPr>
          <w:p>
            <w:pPr>
              <w:pStyle w:val="42"/>
              <w:spacing w:before="164" w:after="164"/>
              <w:rPr>
                <w:color w:val="auto"/>
                <w:highlight w:val="none"/>
              </w:rPr>
            </w:pPr>
            <w:r>
              <w:rPr>
                <w:rFonts w:hint="eastAsia"/>
                <w:color w:val="auto"/>
                <w:highlight w:val="none"/>
              </w:rPr>
              <w:t>工作年限</w:t>
            </w:r>
          </w:p>
        </w:tc>
        <w:tc>
          <w:tcPr>
            <w:tcW w:w="790" w:type="dxa"/>
            <w:vMerge w:val="continue"/>
            <w:vAlign w:val="center"/>
          </w:tcPr>
          <w:p>
            <w:pPr>
              <w:pStyle w:val="42"/>
              <w:spacing w:before="164" w:after="164"/>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942" w:type="dxa"/>
            <w:gridSpan w:val="8"/>
            <w:vAlign w:val="center"/>
          </w:tcPr>
          <w:p>
            <w:pPr>
              <w:pStyle w:val="33"/>
              <w:jc w:val="both"/>
              <w:rPr>
                <w:color w:val="auto"/>
                <w:highlight w:val="none"/>
              </w:rPr>
            </w:pPr>
            <w:r>
              <w:rPr>
                <w:rFonts w:hint="eastAsia"/>
                <w:color w:val="auto"/>
                <w:highlight w:val="none"/>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2020" w:type="dxa"/>
            <w:vAlign w:val="center"/>
          </w:tcPr>
          <w:p>
            <w:pPr>
              <w:pStyle w:val="33"/>
              <w:rPr>
                <w:color w:val="auto"/>
                <w:highlight w:val="none"/>
              </w:rPr>
            </w:pPr>
            <w:r>
              <w:rPr>
                <w:rFonts w:hint="eastAsia"/>
                <w:color w:val="auto"/>
                <w:highlight w:val="none"/>
              </w:rPr>
              <w:t>专业技术人员</w:t>
            </w: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020" w:type="dxa"/>
            <w:vAlign w:val="center"/>
          </w:tcPr>
          <w:p>
            <w:pPr>
              <w:pStyle w:val="33"/>
              <w:rPr>
                <w:color w:val="auto"/>
                <w:highlight w:val="none"/>
              </w:rPr>
            </w:pPr>
            <w:r>
              <w:rPr>
                <w:rFonts w:hint="eastAsia"/>
                <w:color w:val="auto"/>
                <w:highlight w:val="none"/>
              </w:rPr>
              <w:t>…</w:t>
            </w: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020" w:type="dxa"/>
            <w:vAlign w:val="center"/>
          </w:tcPr>
          <w:p>
            <w:pPr>
              <w:pStyle w:val="33"/>
              <w:rPr>
                <w:color w:val="auto"/>
                <w:highlight w:val="none"/>
              </w:rPr>
            </w:pPr>
          </w:p>
        </w:tc>
        <w:tc>
          <w:tcPr>
            <w:tcW w:w="692" w:type="dxa"/>
            <w:vAlign w:val="center"/>
          </w:tcPr>
          <w:p>
            <w:pPr>
              <w:pStyle w:val="33"/>
              <w:rPr>
                <w:color w:val="auto"/>
                <w:highlight w:val="none"/>
              </w:rPr>
            </w:pPr>
          </w:p>
        </w:tc>
        <w:tc>
          <w:tcPr>
            <w:tcW w:w="1050" w:type="dxa"/>
            <w:vAlign w:val="center"/>
          </w:tcPr>
          <w:p>
            <w:pPr>
              <w:pStyle w:val="33"/>
              <w:rPr>
                <w:color w:val="auto"/>
                <w:highlight w:val="none"/>
              </w:rPr>
            </w:pPr>
          </w:p>
        </w:tc>
        <w:tc>
          <w:tcPr>
            <w:tcW w:w="909" w:type="dxa"/>
            <w:vAlign w:val="center"/>
          </w:tcPr>
          <w:p>
            <w:pPr>
              <w:pStyle w:val="33"/>
              <w:rPr>
                <w:color w:val="auto"/>
                <w:highlight w:val="none"/>
              </w:rPr>
            </w:pPr>
          </w:p>
        </w:tc>
        <w:tc>
          <w:tcPr>
            <w:tcW w:w="1050" w:type="dxa"/>
            <w:vAlign w:val="center"/>
          </w:tcPr>
          <w:p>
            <w:pPr>
              <w:pStyle w:val="33"/>
              <w:rPr>
                <w:color w:val="auto"/>
                <w:highlight w:val="none"/>
              </w:rPr>
            </w:pPr>
          </w:p>
        </w:tc>
        <w:tc>
          <w:tcPr>
            <w:tcW w:w="1009" w:type="dxa"/>
            <w:vAlign w:val="center"/>
          </w:tcPr>
          <w:p>
            <w:pPr>
              <w:pStyle w:val="33"/>
              <w:rPr>
                <w:color w:val="auto"/>
                <w:highlight w:val="none"/>
              </w:rPr>
            </w:pPr>
          </w:p>
        </w:tc>
        <w:tc>
          <w:tcPr>
            <w:tcW w:w="1422" w:type="dxa"/>
            <w:vAlign w:val="center"/>
          </w:tcPr>
          <w:p>
            <w:pPr>
              <w:pStyle w:val="33"/>
              <w:rPr>
                <w:color w:val="auto"/>
                <w:highlight w:val="none"/>
              </w:rPr>
            </w:pPr>
          </w:p>
        </w:tc>
        <w:tc>
          <w:tcPr>
            <w:tcW w:w="790" w:type="dxa"/>
            <w:vAlign w:val="center"/>
          </w:tcPr>
          <w:p>
            <w:pPr>
              <w:pStyle w:val="33"/>
              <w:rPr>
                <w:color w:val="auto"/>
                <w:highlight w:val="none"/>
              </w:rPr>
            </w:pPr>
          </w:p>
        </w:tc>
      </w:tr>
    </w:tbl>
    <w:p>
      <w:pPr>
        <w:ind w:firstLine="0" w:firstLineChars="0"/>
        <w:rPr>
          <w:color w:val="auto"/>
          <w:highlight w:val="none"/>
        </w:rPr>
      </w:pPr>
      <w:r>
        <w:rPr>
          <w:rFonts w:hint="eastAsia" w:ascii="宋体" w:hAnsi="宋体" w:cs="宋体"/>
          <w:color w:val="auto"/>
          <w:highlight w:val="none"/>
        </w:rPr>
        <w:t>注：</w:t>
      </w:r>
      <w:r>
        <w:rPr>
          <w:rFonts w:hint="eastAsia"/>
          <w:color w:val="auto"/>
          <w:highlight w:val="none"/>
        </w:rPr>
        <w:t>1.项目组人员应附</w:t>
      </w:r>
      <w:r>
        <w:rPr>
          <w:rFonts w:hint="eastAsia" w:ascii="宋体" w:hAnsi="宋体" w:cs="宋体"/>
          <w:snapToGrid w:val="0"/>
          <w:color w:val="auto"/>
          <w:highlight w:val="none"/>
        </w:rPr>
        <w:t>资格</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lang w:val="en-US" w:eastAsia="zh-CN"/>
        </w:rPr>
        <w:t>职称</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证书及社保缴纳证明等复印件或扫描件并加盖单位公章等复印件或扫描件（具体按评标办法提供）</w:t>
      </w:r>
      <w:r>
        <w:rPr>
          <w:rFonts w:hint="eastAsia"/>
          <w:color w:val="auto"/>
          <w:highlight w:val="none"/>
        </w:rPr>
        <w:t>。</w:t>
      </w:r>
    </w:p>
    <w:p>
      <w:pPr>
        <w:ind w:firstLine="480"/>
        <w:rPr>
          <w:color w:val="auto"/>
          <w:highlight w:val="none"/>
        </w:rPr>
      </w:pPr>
      <w:r>
        <w:rPr>
          <w:rFonts w:hint="eastAsia"/>
          <w:color w:val="auto"/>
          <w:highlight w:val="none"/>
        </w:rPr>
        <w:t>2.在填写时，如本表格不适合投标单位的实际情况，可根据本表格式按评标办法要求自行划表填写并提供相关资料。</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 xml:space="preserve">                      </w:t>
      </w:r>
    </w:p>
    <w:p>
      <w:pPr>
        <w:adjustRightInd w:val="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adjustRightInd w:val="0"/>
        <w:ind w:firstLine="480"/>
        <w:jc w:val="left"/>
        <w:rPr>
          <w:rFonts w:ascii="宋体" w:hAnsi="宋体" w:cs="宋体"/>
          <w:snapToGrid w:val="0"/>
          <w:color w:val="auto"/>
          <w:kern w:val="0"/>
          <w:highlight w:val="none"/>
        </w:rPr>
      </w:pPr>
      <w:r>
        <w:rPr>
          <w:rFonts w:hint="eastAsia"/>
          <w:color w:val="auto"/>
          <w:highlight w:val="none"/>
        </w:rPr>
        <w:br w:type="page"/>
      </w:r>
    </w:p>
    <w:p>
      <w:pPr>
        <w:pStyle w:val="77"/>
        <w:rPr>
          <w:rFonts w:hint="default"/>
          <w:color w:val="auto"/>
          <w:highlight w:val="none"/>
        </w:rPr>
      </w:pPr>
      <w:r>
        <w:rPr>
          <w:color w:val="auto"/>
          <w:highlight w:val="none"/>
        </w:rPr>
        <w:t>11.投标标的清单</w:t>
      </w:r>
    </w:p>
    <w:p>
      <w:pPr>
        <w:tabs>
          <w:tab w:val="right" w:pos="8847"/>
        </w:tabs>
        <w:ind w:firstLine="643"/>
        <w:jc w:val="center"/>
        <w:rPr>
          <w:rFonts w:ascii="等线" w:hAnsi="等线" w:cs="宋体"/>
          <w:b/>
          <w:color w:val="auto"/>
          <w:sz w:val="32"/>
          <w:highlight w:val="none"/>
        </w:rPr>
      </w:pPr>
      <w:r>
        <w:rPr>
          <w:rFonts w:hint="eastAsia" w:ascii="等线" w:hAnsi="等线" w:cs="宋体"/>
          <w:b/>
          <w:color w:val="auto"/>
          <w:sz w:val="32"/>
          <w:highlight w:val="none"/>
        </w:rPr>
        <w:t>投标标的清单</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spacing w:after="200"/>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0"/>
        <w:gridCol w:w="749"/>
        <w:gridCol w:w="1111"/>
        <w:gridCol w:w="1732"/>
        <w:gridCol w:w="1253"/>
        <w:gridCol w:w="137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编号</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设备（器具）名称</w:t>
            </w: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w:t>
            </w:r>
          </w:p>
        </w:tc>
        <w:tc>
          <w:tcPr>
            <w:tcW w:w="1111"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1732"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配置及技术参数说明</w:t>
            </w:r>
          </w:p>
        </w:tc>
        <w:tc>
          <w:tcPr>
            <w:tcW w:w="1253"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品牌、型号</w:t>
            </w:r>
          </w:p>
        </w:tc>
        <w:tc>
          <w:tcPr>
            <w:tcW w:w="1371"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制造商名称</w:t>
            </w:r>
          </w:p>
        </w:tc>
        <w:tc>
          <w:tcPr>
            <w:tcW w:w="875"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10"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w:t>
            </w:r>
          </w:p>
        </w:tc>
        <w:tc>
          <w:tcPr>
            <w:tcW w:w="749"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11"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732"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253"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c>
          <w:tcPr>
            <w:tcW w:w="1371" w:type="dxa"/>
            <w:tcBorders>
              <w:tl2br w:val="nil"/>
              <w:tr2bl w:val="nil"/>
            </w:tcBorders>
          </w:tcPr>
          <w:p>
            <w:pPr>
              <w:widowControl/>
              <w:spacing w:line="240" w:lineRule="auto"/>
              <w:ind w:firstLine="0" w:firstLineChars="0"/>
              <w:jc w:val="right"/>
              <w:rPr>
                <w:rFonts w:ascii="宋体" w:hAnsi="宋体" w:cs="宋体"/>
                <w:color w:val="auto"/>
                <w:kern w:val="0"/>
                <w:sz w:val="21"/>
                <w:szCs w:val="21"/>
                <w:highlight w:val="none"/>
              </w:rPr>
            </w:pPr>
          </w:p>
        </w:tc>
        <w:tc>
          <w:tcPr>
            <w:tcW w:w="875" w:type="dxa"/>
            <w:tcBorders>
              <w:tl2br w:val="nil"/>
              <w:tr2bl w:val="nil"/>
            </w:tcBorders>
            <w:vAlign w:val="center"/>
          </w:tcPr>
          <w:p>
            <w:pPr>
              <w:widowControl/>
              <w:spacing w:line="240" w:lineRule="auto"/>
              <w:ind w:firstLine="0" w:firstLineChars="0"/>
              <w:jc w:val="right"/>
              <w:rPr>
                <w:rFonts w:ascii="宋体" w:hAnsi="宋体" w:cs="宋体"/>
                <w:color w:val="auto"/>
                <w:kern w:val="0"/>
                <w:sz w:val="21"/>
                <w:szCs w:val="21"/>
                <w:highlight w:val="none"/>
              </w:rPr>
            </w:pPr>
          </w:p>
        </w:tc>
      </w:tr>
    </w:tbl>
    <w:p>
      <w:pPr>
        <w:snapToGrid w:val="0"/>
        <w:ind w:firstLine="0" w:firstLineChars="0"/>
        <w:rPr>
          <w:rFonts w:ascii="宋体" w:hAnsi="宋体" w:cs="宋体"/>
          <w:snapToGrid w:val="0"/>
          <w:color w:val="auto"/>
          <w:highlight w:val="none"/>
        </w:rPr>
      </w:pPr>
    </w:p>
    <w:p>
      <w:pPr>
        <w:snapToGrid w:val="0"/>
        <w:ind w:firstLine="0" w:firstLineChars="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ind w:firstLine="0" w:firstLineChars="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 xml:space="preserve">                                   </w:t>
      </w:r>
    </w:p>
    <w:p>
      <w:pPr>
        <w:adjustRightInd w:val="0"/>
        <w:ind w:firstLine="0" w:firstLineChars="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r>
        <w:rPr>
          <w:color w:val="auto"/>
          <w:highlight w:val="none"/>
        </w:rPr>
        <w:t>12.业绩</w:t>
      </w:r>
    </w:p>
    <w:p>
      <w:pPr>
        <w:pStyle w:val="37"/>
        <w:spacing w:before="164"/>
        <w:ind w:firstLine="0" w:firstLineChars="0"/>
        <w:rPr>
          <w:color w:val="auto"/>
          <w:highlight w:val="none"/>
        </w:rPr>
      </w:pPr>
      <w:r>
        <w:rPr>
          <w:color w:val="auto"/>
          <w:highlight w:val="none"/>
        </w:rPr>
        <w:t>投标</w:t>
      </w:r>
      <w:r>
        <w:rPr>
          <w:rFonts w:hint="eastAsia"/>
          <w:color w:val="auto"/>
          <w:highlight w:val="none"/>
          <w:lang w:val="en-US" w:eastAsia="zh-CN"/>
        </w:rPr>
        <w:t>类似</w:t>
      </w:r>
      <w:r>
        <w:rPr>
          <w:color w:val="auto"/>
          <w:highlight w:val="none"/>
        </w:rPr>
        <w:t>项目的业绩</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spacing w:after="200"/>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923"/>
        <w:gridCol w:w="1884"/>
        <w:gridCol w:w="135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pPr>
              <w:pStyle w:val="42"/>
              <w:spacing w:before="164" w:after="164"/>
              <w:rPr>
                <w:color w:val="auto"/>
                <w:highlight w:val="none"/>
              </w:rPr>
            </w:pPr>
            <w:r>
              <w:rPr>
                <w:color w:val="auto"/>
                <w:highlight w:val="none"/>
              </w:rPr>
              <w:t>序号</w:t>
            </w:r>
          </w:p>
        </w:tc>
        <w:tc>
          <w:tcPr>
            <w:tcW w:w="1806" w:type="dxa"/>
            <w:vAlign w:val="center"/>
          </w:tcPr>
          <w:p>
            <w:pPr>
              <w:pStyle w:val="42"/>
              <w:spacing w:before="164" w:after="164"/>
              <w:rPr>
                <w:color w:val="auto"/>
                <w:highlight w:val="none"/>
              </w:rPr>
            </w:pPr>
            <w:r>
              <w:rPr>
                <w:color w:val="auto"/>
                <w:highlight w:val="none"/>
              </w:rPr>
              <w:t>项目名称</w:t>
            </w:r>
          </w:p>
        </w:tc>
        <w:tc>
          <w:tcPr>
            <w:tcW w:w="1923" w:type="dxa"/>
            <w:vAlign w:val="center"/>
          </w:tcPr>
          <w:p>
            <w:pPr>
              <w:pStyle w:val="42"/>
              <w:spacing w:before="164" w:after="164"/>
              <w:rPr>
                <w:color w:val="auto"/>
                <w:highlight w:val="none"/>
              </w:rPr>
            </w:pPr>
            <w:r>
              <w:rPr>
                <w:rFonts w:hint="eastAsia"/>
                <w:color w:val="auto"/>
                <w:highlight w:val="none"/>
              </w:rPr>
              <w:t>采购单位名称</w:t>
            </w:r>
          </w:p>
        </w:tc>
        <w:tc>
          <w:tcPr>
            <w:tcW w:w="1884" w:type="dxa"/>
            <w:vAlign w:val="center"/>
          </w:tcPr>
          <w:p>
            <w:pPr>
              <w:pStyle w:val="42"/>
              <w:spacing w:before="164" w:after="164"/>
              <w:rPr>
                <w:color w:val="auto"/>
                <w:highlight w:val="none"/>
              </w:rPr>
            </w:pPr>
            <w:r>
              <w:rPr>
                <w:rFonts w:hint="eastAsia"/>
                <w:color w:val="auto"/>
                <w:highlight w:val="none"/>
              </w:rPr>
              <w:t>采购内容</w:t>
            </w:r>
          </w:p>
        </w:tc>
        <w:tc>
          <w:tcPr>
            <w:tcW w:w="1359" w:type="dxa"/>
            <w:vAlign w:val="center"/>
          </w:tcPr>
          <w:p>
            <w:pPr>
              <w:pStyle w:val="42"/>
              <w:spacing w:before="164" w:after="164"/>
              <w:rPr>
                <w:color w:val="auto"/>
                <w:highlight w:val="none"/>
              </w:rPr>
            </w:pPr>
            <w:r>
              <w:rPr>
                <w:rFonts w:hint="eastAsia"/>
                <w:color w:val="auto"/>
                <w:highlight w:val="none"/>
              </w:rPr>
              <w:t>采购时间</w:t>
            </w:r>
          </w:p>
        </w:tc>
        <w:tc>
          <w:tcPr>
            <w:tcW w:w="1253" w:type="dxa"/>
            <w:vAlign w:val="center"/>
          </w:tcPr>
          <w:p>
            <w:pPr>
              <w:pStyle w:val="42"/>
              <w:spacing w:before="164" w:after="164"/>
              <w:rPr>
                <w:color w:val="auto"/>
                <w:highlight w:val="none"/>
              </w:rPr>
            </w:pPr>
            <w:r>
              <w:rPr>
                <w:color w:val="auto"/>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pPr>
              <w:pStyle w:val="33"/>
              <w:rPr>
                <w:color w:val="auto"/>
                <w:highlight w:val="none"/>
              </w:rPr>
            </w:pPr>
            <w:r>
              <w:rPr>
                <w:color w:val="auto"/>
                <w:highlight w:val="none"/>
              </w:rPr>
              <w:t>1</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pPr>
              <w:pStyle w:val="33"/>
              <w:rPr>
                <w:color w:val="auto"/>
                <w:highlight w:val="none"/>
              </w:rPr>
            </w:pPr>
            <w:r>
              <w:rPr>
                <w:color w:val="auto"/>
                <w:highlight w:val="none"/>
              </w:rPr>
              <w:t>2</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pPr>
              <w:pStyle w:val="33"/>
              <w:rPr>
                <w:color w:val="auto"/>
                <w:highlight w:val="none"/>
              </w:rPr>
            </w:pPr>
            <w:r>
              <w:rPr>
                <w:color w:val="auto"/>
                <w:highlight w:val="none"/>
              </w:rPr>
              <w:t>3</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pPr>
              <w:pStyle w:val="33"/>
              <w:rPr>
                <w:color w:val="auto"/>
                <w:highlight w:val="none"/>
              </w:rPr>
            </w:pPr>
            <w:r>
              <w:rPr>
                <w:color w:val="auto"/>
                <w:highlight w:val="none"/>
              </w:rPr>
              <w:t>4</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pPr>
              <w:pStyle w:val="33"/>
              <w:rPr>
                <w:color w:val="auto"/>
                <w:highlight w:val="none"/>
              </w:rPr>
            </w:pPr>
            <w:r>
              <w:rPr>
                <w:color w:val="auto"/>
                <w:highlight w:val="none"/>
              </w:rPr>
              <w:t>5</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pPr>
              <w:pStyle w:val="33"/>
              <w:rPr>
                <w:color w:val="auto"/>
                <w:highlight w:val="none"/>
              </w:rPr>
            </w:pPr>
            <w:r>
              <w:rPr>
                <w:color w:val="auto"/>
                <w:highlight w:val="none"/>
              </w:rPr>
              <w:t>6</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pPr>
              <w:pStyle w:val="33"/>
              <w:rPr>
                <w:color w:val="auto"/>
                <w:highlight w:val="none"/>
              </w:rPr>
            </w:pPr>
            <w:r>
              <w:rPr>
                <w:color w:val="auto"/>
                <w:highlight w:val="none"/>
              </w:rPr>
              <w:t>7</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pPr>
              <w:pStyle w:val="33"/>
              <w:rPr>
                <w:color w:val="auto"/>
                <w:highlight w:val="none"/>
              </w:rPr>
            </w:pPr>
            <w:r>
              <w:rPr>
                <w:color w:val="auto"/>
                <w:highlight w:val="none"/>
              </w:rPr>
              <w:t>……</w:t>
            </w:r>
          </w:p>
        </w:tc>
        <w:tc>
          <w:tcPr>
            <w:tcW w:w="1806" w:type="dxa"/>
            <w:vAlign w:val="center"/>
          </w:tcPr>
          <w:p>
            <w:pPr>
              <w:pStyle w:val="33"/>
              <w:rPr>
                <w:color w:val="auto"/>
                <w:highlight w:val="none"/>
              </w:rPr>
            </w:pPr>
          </w:p>
        </w:tc>
        <w:tc>
          <w:tcPr>
            <w:tcW w:w="1923" w:type="dxa"/>
            <w:vAlign w:val="center"/>
          </w:tcPr>
          <w:p>
            <w:pPr>
              <w:pStyle w:val="33"/>
              <w:rPr>
                <w:color w:val="auto"/>
                <w:highlight w:val="none"/>
              </w:rPr>
            </w:pPr>
          </w:p>
        </w:tc>
        <w:tc>
          <w:tcPr>
            <w:tcW w:w="1884" w:type="dxa"/>
            <w:vAlign w:val="center"/>
          </w:tcPr>
          <w:p>
            <w:pPr>
              <w:pStyle w:val="33"/>
              <w:rPr>
                <w:color w:val="auto"/>
                <w:highlight w:val="none"/>
              </w:rPr>
            </w:pPr>
          </w:p>
        </w:tc>
        <w:tc>
          <w:tcPr>
            <w:tcW w:w="1359" w:type="dxa"/>
            <w:vAlign w:val="center"/>
          </w:tcPr>
          <w:p>
            <w:pPr>
              <w:pStyle w:val="33"/>
              <w:rPr>
                <w:color w:val="auto"/>
                <w:highlight w:val="none"/>
              </w:rPr>
            </w:pPr>
          </w:p>
        </w:tc>
        <w:tc>
          <w:tcPr>
            <w:tcW w:w="1253" w:type="dxa"/>
            <w:vAlign w:val="center"/>
          </w:tcPr>
          <w:p>
            <w:pPr>
              <w:pStyle w:val="33"/>
              <w:rPr>
                <w:color w:val="auto"/>
                <w:highlight w:val="none"/>
              </w:rPr>
            </w:pPr>
          </w:p>
        </w:tc>
      </w:tr>
    </w:tbl>
    <w:p>
      <w:pPr>
        <w:pStyle w:val="14"/>
        <w:ind w:firstLine="482"/>
        <w:rPr>
          <w:rFonts w:ascii="Times New Roman" w:hAnsi="Times New Roman"/>
          <w:b/>
          <w:bCs/>
          <w:color w:val="auto"/>
          <w:highlight w:val="none"/>
        </w:rPr>
      </w:pPr>
      <w:r>
        <w:rPr>
          <w:rFonts w:ascii="Times New Roman" w:hAnsi="Times New Roman"/>
          <w:b/>
          <w:color w:val="auto"/>
          <w:highlight w:val="none"/>
        </w:rPr>
        <w:t>注：表中所列的业绩，以提供合同</w:t>
      </w:r>
      <w:r>
        <w:rPr>
          <w:rFonts w:hint="eastAsia" w:ascii="Times New Roman" w:hAnsi="Times New Roman"/>
          <w:b/>
          <w:color w:val="auto"/>
          <w:highlight w:val="none"/>
          <w:lang w:val="en-US" w:eastAsia="zh-CN"/>
        </w:rPr>
        <w:t>和</w:t>
      </w:r>
      <w:r>
        <w:rPr>
          <w:rFonts w:hint="eastAsia" w:ascii="Times New Roman" w:hAnsi="Times New Roman"/>
          <w:b/>
          <w:color w:val="auto"/>
          <w:highlight w:val="none"/>
          <w:lang w:eastAsia="zh-CN"/>
        </w:rPr>
        <w:t>项目验收报告</w:t>
      </w:r>
      <w:r>
        <w:rPr>
          <w:rFonts w:ascii="Times New Roman" w:hAnsi="Times New Roman"/>
          <w:b/>
          <w:color w:val="auto"/>
          <w:highlight w:val="none"/>
        </w:rPr>
        <w:t>的</w:t>
      </w:r>
      <w:r>
        <w:rPr>
          <w:rFonts w:hint="eastAsia" w:ascii="Times New Roman" w:hAnsi="Times New Roman"/>
          <w:b/>
          <w:color w:val="auto"/>
          <w:highlight w:val="none"/>
          <w:lang w:val="en-US" w:eastAsia="zh-CN"/>
        </w:rPr>
        <w:t>扫描</w:t>
      </w:r>
      <w:r>
        <w:rPr>
          <w:rFonts w:ascii="Times New Roman" w:hAnsi="Times New Roman"/>
          <w:b/>
          <w:color w:val="auto"/>
          <w:highlight w:val="none"/>
        </w:rPr>
        <w:t>件为准</w:t>
      </w:r>
      <w:r>
        <w:rPr>
          <w:rFonts w:ascii="Times New Roman" w:hAnsi="Times New Roman"/>
          <w:b/>
          <w:bCs/>
          <w:color w:val="auto"/>
          <w:highlight w:val="none"/>
        </w:rPr>
        <w:t>。</w:t>
      </w:r>
    </w:p>
    <w:p>
      <w:pPr>
        <w:pStyle w:val="8"/>
        <w:ind w:firstLine="400"/>
        <w:rPr>
          <w:color w:val="auto"/>
          <w:highlight w:val="none"/>
        </w:rPr>
      </w:pP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snapToGrid w:val="0"/>
          <w:color w:val="auto"/>
          <w:highlight w:val="none"/>
          <w:u w:val="single"/>
        </w:rPr>
        <w:t xml:space="preserve">      </w:t>
      </w:r>
      <w:r>
        <w:rPr>
          <w:rFonts w:hint="eastAsia" w:cs="宋体"/>
          <w:snapToGrid w:val="0"/>
          <w:color w:val="auto"/>
          <w:highlight w:val="none"/>
          <w:u w:val="single"/>
        </w:rPr>
        <w:t xml:space="preserve">  </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 xml:space="preserve">                         </w:t>
      </w:r>
    </w:p>
    <w:p>
      <w:pPr>
        <w:adjustRightInd w:val="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bookmarkStart w:id="166" w:name="_Toc7516"/>
      <w:bookmarkStart w:id="167" w:name="_Toc2014"/>
      <w:bookmarkStart w:id="168" w:name="_Toc18029"/>
      <w:bookmarkStart w:id="169" w:name="_Toc10231"/>
      <w:bookmarkStart w:id="170" w:name="_Toc16968"/>
      <w:bookmarkStart w:id="171" w:name="_Toc26985"/>
      <w:bookmarkStart w:id="172" w:name="_Toc2441"/>
      <w:r>
        <w:rPr>
          <w:color w:val="auto"/>
          <w:highlight w:val="none"/>
        </w:rPr>
        <w:t>13.技术响应表</w:t>
      </w:r>
      <w:bookmarkEnd w:id="166"/>
      <w:bookmarkEnd w:id="167"/>
      <w:bookmarkEnd w:id="168"/>
      <w:bookmarkEnd w:id="169"/>
      <w:bookmarkEnd w:id="170"/>
      <w:bookmarkEnd w:id="171"/>
      <w:bookmarkEnd w:id="172"/>
    </w:p>
    <w:p>
      <w:pPr>
        <w:snapToGrid w:val="0"/>
        <w:spacing w:before="50" w:after="50"/>
        <w:ind w:firstLine="0" w:firstLineChars="0"/>
        <w:jc w:val="left"/>
        <w:rPr>
          <w:rStyle w:val="36"/>
          <w:color w:val="auto"/>
          <w:highlight w:val="none"/>
        </w:rPr>
      </w:pPr>
      <w:r>
        <w:rPr>
          <w:rFonts w:hint="eastAsia" w:ascii="宋体" w:hAnsi="宋体" w:cs="宋体"/>
          <w:b/>
          <w:bCs/>
          <w:color w:val="auto"/>
          <w:sz w:val="30"/>
          <w:szCs w:val="30"/>
          <w:highlight w:val="none"/>
        </w:rPr>
        <w:t xml:space="preserve">                     </w:t>
      </w:r>
      <w:r>
        <w:rPr>
          <w:rStyle w:val="36"/>
          <w:rFonts w:hint="eastAsia"/>
          <w:color w:val="auto"/>
          <w:highlight w:val="none"/>
        </w:rPr>
        <w:t xml:space="preserve"> 技术响应表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spacing w:after="200"/>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4"/>
        <w:gridCol w:w="1966"/>
        <w:gridCol w:w="1790"/>
        <w:gridCol w:w="1850"/>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3990" w:type="dxa"/>
            <w:gridSpan w:val="2"/>
            <w:tcBorders>
              <w:top w:val="single" w:color="auto" w:sz="4" w:space="0"/>
              <w:left w:val="single" w:color="auto" w:sz="4" w:space="0"/>
              <w:bottom w:val="single" w:color="auto" w:sz="4" w:space="0"/>
              <w:right w:val="single" w:color="auto" w:sz="4" w:space="0"/>
            </w:tcBorders>
          </w:tcPr>
          <w:p>
            <w:pPr>
              <w:pStyle w:val="42"/>
              <w:spacing w:before="164" w:after="164"/>
              <w:rPr>
                <w:color w:val="auto"/>
                <w:highlight w:val="none"/>
              </w:rPr>
            </w:pPr>
            <w:r>
              <w:rPr>
                <w:rFonts w:hint="eastAsia"/>
                <w:color w:val="auto"/>
                <w:highlight w:val="none"/>
              </w:rPr>
              <w:t>招标文件要求</w:t>
            </w:r>
          </w:p>
        </w:tc>
        <w:tc>
          <w:tcPr>
            <w:tcW w:w="3640" w:type="dxa"/>
            <w:gridSpan w:val="2"/>
            <w:tcBorders>
              <w:top w:val="single" w:color="auto" w:sz="4" w:space="0"/>
              <w:left w:val="single" w:color="auto" w:sz="4" w:space="0"/>
              <w:bottom w:val="single" w:color="auto" w:sz="4" w:space="0"/>
              <w:right w:val="single" w:color="auto" w:sz="4" w:space="0"/>
            </w:tcBorders>
          </w:tcPr>
          <w:p>
            <w:pPr>
              <w:pStyle w:val="42"/>
              <w:spacing w:before="164" w:after="164"/>
              <w:rPr>
                <w:color w:val="auto"/>
                <w:highlight w:val="none"/>
              </w:rPr>
            </w:pPr>
            <w:r>
              <w:rPr>
                <w:rFonts w:hint="eastAsia"/>
                <w:color w:val="auto"/>
                <w:highlight w:val="none"/>
              </w:rPr>
              <w:t>投标文件响应</w:t>
            </w:r>
          </w:p>
        </w:tc>
        <w:tc>
          <w:tcPr>
            <w:tcW w:w="1610" w:type="dxa"/>
            <w:vMerge w:val="restart"/>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7"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项目</w:t>
            </w:r>
          </w:p>
        </w:tc>
        <w:tc>
          <w:tcPr>
            <w:tcW w:w="1966"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要求</w:t>
            </w:r>
          </w:p>
        </w:tc>
        <w:tc>
          <w:tcPr>
            <w:tcW w:w="1790"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项目</w:t>
            </w:r>
          </w:p>
        </w:tc>
        <w:tc>
          <w:tcPr>
            <w:tcW w:w="1850"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投标人的承诺或说明</w:t>
            </w: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2024" w:type="dxa"/>
            <w:tcBorders>
              <w:top w:val="single" w:color="auto" w:sz="4" w:space="0"/>
              <w:left w:val="single" w:color="auto" w:sz="4" w:space="0"/>
              <w:bottom w:val="single" w:color="auto" w:sz="4" w:space="0"/>
              <w:right w:val="single" w:color="auto" w:sz="4" w:space="0"/>
            </w:tcBorders>
          </w:tcPr>
          <w:p>
            <w:pPr>
              <w:pStyle w:val="33"/>
              <w:rPr>
                <w:color w:val="auto"/>
                <w:highlight w:val="none"/>
              </w:rPr>
            </w:pPr>
            <w:r>
              <w:rPr>
                <w:rFonts w:hint="eastAsia"/>
                <w:color w:val="auto"/>
                <w:highlight w:val="none"/>
              </w:rPr>
              <w:t>......</w:t>
            </w:r>
          </w:p>
        </w:tc>
        <w:tc>
          <w:tcPr>
            <w:tcW w:w="1966"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79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1610"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bl>
    <w:p>
      <w:pPr>
        <w:snapToGrid w:val="0"/>
        <w:ind w:firstLine="480"/>
        <w:rPr>
          <w:rFonts w:ascii="宋体" w:hAnsi="宋体" w:cs="宋体"/>
          <w:color w:val="auto"/>
          <w:highlight w:val="none"/>
        </w:rPr>
      </w:pPr>
      <w:r>
        <w:rPr>
          <w:rFonts w:hint="eastAsia" w:ascii="宋体" w:hAnsi="宋体" w:cs="宋体"/>
          <w:color w:val="auto"/>
          <w:highlight w:val="none"/>
        </w:rPr>
        <w:t>注：1.列明招标文件的产品设备要求与投标文件对应响应，并说明偏离状况；</w:t>
      </w:r>
    </w:p>
    <w:p>
      <w:pPr>
        <w:snapToGrid w:val="0"/>
        <w:ind w:firstLine="960" w:firstLineChars="400"/>
        <w:rPr>
          <w:rFonts w:ascii="宋体" w:hAnsi="宋体" w:cs="宋体"/>
          <w:color w:val="auto"/>
          <w:highlight w:val="none"/>
        </w:rPr>
      </w:pPr>
      <w:r>
        <w:rPr>
          <w:rFonts w:hint="eastAsia" w:ascii="宋体" w:hAnsi="宋体" w:cs="宋体"/>
          <w:color w:val="auto"/>
          <w:highlight w:val="none"/>
        </w:rPr>
        <w:t>2.无偏离应在本表空白处醒目地注明“无偏离”的字样。</w:t>
      </w:r>
    </w:p>
    <w:p>
      <w:pPr>
        <w:snapToGrid w:val="0"/>
        <w:ind w:firstLine="960" w:firstLineChars="400"/>
        <w:rPr>
          <w:rFonts w:ascii="宋体" w:hAnsi="宋体" w:cs="宋体"/>
          <w:color w:val="auto"/>
          <w:highlight w:val="none"/>
        </w:rPr>
      </w:pPr>
      <w:r>
        <w:rPr>
          <w:rFonts w:hint="eastAsia" w:ascii="宋体" w:hAnsi="宋体" w:cs="宋体"/>
          <w:color w:val="auto"/>
          <w:highlight w:val="none"/>
        </w:rPr>
        <w:t>3.如不填写，招标人将视为 “无偏离”。</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ind w:firstLine="48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 xml:space="preserve">                                </w:t>
      </w:r>
    </w:p>
    <w:p>
      <w:pPr>
        <w:adjustRightInd w:val="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r>
        <w:rPr>
          <w:color w:val="auto"/>
          <w:highlight w:val="none"/>
        </w:rPr>
        <w:t>14.符合性审查资料表</w:t>
      </w:r>
    </w:p>
    <w:p>
      <w:pPr>
        <w:tabs>
          <w:tab w:val="right" w:pos="8847"/>
        </w:tabs>
        <w:ind w:firstLine="464"/>
        <w:rPr>
          <w:rFonts w:ascii="宋体" w:hAnsi="宋体" w:cs="宋体"/>
          <w:color w:val="auto"/>
          <w:spacing w:val="-4"/>
          <w:highlight w:val="none"/>
          <w:u w:val="single"/>
        </w:rPr>
      </w:pPr>
      <w:r>
        <w:rPr>
          <w:rFonts w:hint="eastAsia" w:ascii="宋体" w:hAnsi="宋体" w:cs="宋体"/>
          <w:color w:val="auto"/>
          <w:spacing w:val="-4"/>
          <w:highlight w:val="none"/>
        </w:rPr>
        <w:t>项目名称：</w:t>
      </w:r>
      <w:r>
        <w:rPr>
          <w:rFonts w:hint="eastAsia" w:ascii="宋体" w:hAnsi="宋体" w:cs="宋体"/>
          <w:color w:val="auto"/>
          <w:spacing w:val="-4"/>
          <w:highlight w:val="none"/>
          <w:u w:val="single"/>
        </w:rPr>
        <w:t xml:space="preserve">                                   </w:t>
      </w:r>
    </w:p>
    <w:p>
      <w:pPr>
        <w:spacing w:after="200"/>
        <w:ind w:firstLine="464"/>
        <w:rPr>
          <w:rFonts w:ascii="宋体" w:hAnsi="宋体" w:cs="宋体"/>
          <w:color w:val="auto"/>
          <w:spacing w:val="-4"/>
          <w:highlight w:val="none"/>
          <w:u w:val="single"/>
        </w:rPr>
      </w:pPr>
      <w:r>
        <w:rPr>
          <w:rFonts w:hint="eastAsia" w:ascii="宋体" w:hAnsi="宋体" w:cs="宋体"/>
          <w:color w:val="auto"/>
          <w:spacing w:val="-4"/>
          <w:highlight w:val="none"/>
        </w:rPr>
        <w:t>项目编号：</w:t>
      </w:r>
      <w:r>
        <w:rPr>
          <w:rFonts w:hint="eastAsia" w:ascii="宋体" w:hAnsi="宋体" w:cs="宋体"/>
          <w:color w:val="auto"/>
          <w:spacing w:val="-4"/>
          <w:highlight w:val="none"/>
          <w:u w:val="single"/>
        </w:rPr>
        <w:t xml:space="preserve">                                   </w:t>
      </w:r>
    </w:p>
    <w:tbl>
      <w:tblPr>
        <w:tblStyle w:val="26"/>
        <w:tblW w:w="88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3020"/>
        <w:gridCol w:w="2797"/>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序号</w:t>
            </w:r>
          </w:p>
        </w:tc>
        <w:tc>
          <w:tcPr>
            <w:tcW w:w="3020"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实质性要求</w:t>
            </w:r>
          </w:p>
        </w:tc>
        <w:tc>
          <w:tcPr>
            <w:tcW w:w="2797"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需要提供的符合性审查资料</w:t>
            </w:r>
          </w:p>
        </w:tc>
        <w:tc>
          <w:tcPr>
            <w:tcW w:w="2147" w:type="dxa"/>
            <w:tcBorders>
              <w:top w:val="single" w:color="auto" w:sz="4" w:space="0"/>
              <w:left w:val="single" w:color="auto" w:sz="4" w:space="0"/>
              <w:bottom w:val="single" w:color="auto" w:sz="4" w:space="0"/>
              <w:right w:val="single" w:color="auto" w:sz="4" w:space="0"/>
            </w:tcBorders>
            <w:vAlign w:val="center"/>
          </w:tcPr>
          <w:p>
            <w:pPr>
              <w:pStyle w:val="42"/>
              <w:spacing w:before="164" w:after="164"/>
              <w:rPr>
                <w:color w:val="auto"/>
                <w:highlight w:val="none"/>
              </w:rPr>
            </w:pPr>
            <w:r>
              <w:rPr>
                <w:rFonts w:hint="eastAsia"/>
                <w:color w:val="auto"/>
                <w:highlight w:val="none"/>
              </w:rPr>
              <w:t>是否响应，详见投标文件页码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1</w:t>
            </w:r>
          </w:p>
        </w:tc>
        <w:tc>
          <w:tcPr>
            <w:tcW w:w="302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投标文件按照招标文件要求签署、盖章。</w:t>
            </w:r>
          </w:p>
        </w:tc>
        <w:tc>
          <w:tcPr>
            <w:tcW w:w="279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r>
              <w:rPr>
                <w:rFonts w:hint="eastAsia"/>
                <w:color w:val="auto"/>
                <w:highlight w:val="none"/>
              </w:rPr>
              <w:t>需要使用电子签名或者签字盖章的投标文件的组成部分</w:t>
            </w:r>
          </w:p>
        </w:tc>
        <w:tc>
          <w:tcPr>
            <w:tcW w:w="214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2</w:t>
            </w:r>
          </w:p>
        </w:tc>
        <w:tc>
          <w:tcPr>
            <w:tcW w:w="302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投标文件中承诺的投标有效期不少于招标文件中载明的投标有效期。</w:t>
            </w:r>
          </w:p>
        </w:tc>
        <w:tc>
          <w:tcPr>
            <w:tcW w:w="2797"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投标声明书</w:t>
            </w:r>
          </w:p>
        </w:tc>
        <w:tc>
          <w:tcPr>
            <w:tcW w:w="214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3</w:t>
            </w:r>
          </w:p>
        </w:tc>
        <w:tc>
          <w:tcPr>
            <w:tcW w:w="302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投标文件满足招标文件的其它实质性要求。</w:t>
            </w:r>
          </w:p>
        </w:tc>
        <w:tc>
          <w:tcPr>
            <w:tcW w:w="279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r>
              <w:rPr>
                <w:rFonts w:hint="eastAsia"/>
                <w:color w:val="auto"/>
                <w:highlight w:val="none"/>
              </w:rPr>
              <w:t>招标文件其它实质性要求相应的材料（“▲” 系指实质性要求条款，招标文件无其它实质性要求的，无需提供）</w:t>
            </w:r>
          </w:p>
        </w:tc>
        <w:tc>
          <w:tcPr>
            <w:tcW w:w="214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pStyle w:val="33"/>
              <w:rPr>
                <w:color w:val="auto"/>
                <w:highlight w:val="none"/>
              </w:rPr>
            </w:pPr>
            <w:r>
              <w:rPr>
                <w:rFonts w:hint="eastAsia"/>
                <w:color w:val="auto"/>
                <w:highlight w:val="none"/>
              </w:rPr>
              <w:t>......</w:t>
            </w:r>
          </w:p>
        </w:tc>
        <w:tc>
          <w:tcPr>
            <w:tcW w:w="279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c>
          <w:tcPr>
            <w:tcW w:w="2147" w:type="dxa"/>
            <w:tcBorders>
              <w:top w:val="single" w:color="auto" w:sz="4" w:space="0"/>
              <w:left w:val="single" w:color="auto" w:sz="4" w:space="0"/>
              <w:bottom w:val="single" w:color="auto" w:sz="4" w:space="0"/>
              <w:right w:val="single" w:color="auto" w:sz="4" w:space="0"/>
            </w:tcBorders>
          </w:tcPr>
          <w:p>
            <w:pPr>
              <w:pStyle w:val="33"/>
              <w:rPr>
                <w:color w:val="auto"/>
                <w:highlight w:val="none"/>
              </w:rPr>
            </w:pPr>
          </w:p>
        </w:tc>
      </w:tr>
    </w:tbl>
    <w:p>
      <w:pPr>
        <w:snapToGrid w:val="0"/>
        <w:spacing w:line="480" w:lineRule="auto"/>
        <w:ind w:firstLine="4478" w:firstLineChars="1866"/>
        <w:jc w:val="right"/>
        <w:rPr>
          <w:rFonts w:ascii="宋体" w:hAnsi="宋体" w:cs="宋体"/>
          <w:snapToGrid w:val="0"/>
          <w:color w:val="auto"/>
          <w:highlight w:val="none"/>
        </w:rPr>
      </w:pPr>
    </w:p>
    <w:p>
      <w:pPr>
        <w:snapToGrid w:val="0"/>
        <w:spacing w:line="480" w:lineRule="auto"/>
        <w:ind w:firstLine="480"/>
        <w:rPr>
          <w:rFonts w:ascii="宋体" w:hAnsi="宋体" w:cs="宋体"/>
          <w:snapToGrid w:val="0"/>
          <w:color w:val="auto"/>
          <w:highlight w:val="none"/>
          <w:u w:val="single"/>
        </w:rPr>
      </w:pPr>
      <w:r>
        <w:rPr>
          <w:rFonts w:hint="eastAsia" w:ascii="宋体" w:hAnsi="宋体" w:cs="宋体"/>
          <w:snapToGrid w:val="0"/>
          <w:color w:val="auto"/>
          <w:highlight w:val="none"/>
        </w:rPr>
        <w:t>投标人名称（电子签章）：</w:t>
      </w:r>
      <w:r>
        <w:rPr>
          <w:rFonts w:hint="eastAsia" w:ascii="宋体" w:hAnsi="宋体" w:cs="宋体"/>
          <w:snapToGrid w:val="0"/>
          <w:color w:val="auto"/>
          <w:highlight w:val="none"/>
          <w:u w:val="single"/>
        </w:rPr>
        <w:t xml:space="preserve">                                 </w:t>
      </w:r>
    </w:p>
    <w:p>
      <w:pPr>
        <w:snapToGrid w:val="0"/>
        <w:spacing w:line="480" w:lineRule="auto"/>
        <w:ind w:firstLine="480"/>
        <w:rPr>
          <w:rFonts w:ascii="宋体" w:hAnsi="宋体" w:cs="宋体"/>
          <w:snapToGrid w:val="0"/>
          <w:color w:val="auto"/>
          <w:highlight w:val="none"/>
          <w:u w:val="single"/>
        </w:rPr>
      </w:pPr>
      <w:r>
        <w:rPr>
          <w:rFonts w:hint="eastAsia" w:ascii="宋体" w:hAnsi="宋体" w:cs="宋体"/>
          <w:snapToGrid w:val="0"/>
          <w:color w:val="auto"/>
          <w:highlight w:val="none"/>
        </w:rPr>
        <w:t>法定代表人或授权代表（签字或盖章）:</w:t>
      </w:r>
      <w:r>
        <w:rPr>
          <w:rFonts w:hint="eastAsia" w:ascii="宋体" w:hAnsi="宋体" w:cs="宋体"/>
          <w:snapToGrid w:val="0"/>
          <w:color w:val="auto"/>
          <w:highlight w:val="none"/>
          <w:u w:val="single"/>
        </w:rPr>
        <w:t xml:space="preserve">                      </w:t>
      </w:r>
    </w:p>
    <w:p>
      <w:pPr>
        <w:adjustRightInd w:val="0"/>
        <w:spacing w:line="480" w:lineRule="auto"/>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color w:val="auto"/>
          <w:highlight w:val="none"/>
        </w:rPr>
      </w:pPr>
      <w:r>
        <w:rPr>
          <w:rFonts w:hint="eastAsia"/>
          <w:color w:val="auto"/>
          <w:highlight w:val="none"/>
        </w:rPr>
        <w:br w:type="page"/>
      </w:r>
    </w:p>
    <w:p>
      <w:pPr>
        <w:rPr>
          <w:rFonts w:ascii="宋体" w:hAnsi="宋体" w:cs="宋体"/>
          <w:b/>
          <w:color w:val="auto"/>
          <w:kern w:val="0"/>
          <w:sz w:val="32"/>
          <w:szCs w:val="32"/>
          <w:highlight w:val="none"/>
        </w:rPr>
      </w:pPr>
      <w:r>
        <w:rPr>
          <w:rFonts w:hint="eastAsia" w:ascii="宋体" w:hAnsi="宋体" w:cs="宋体"/>
          <w:b/>
          <w:bCs/>
          <w:color w:val="auto"/>
          <w:sz w:val="32"/>
          <w:szCs w:val="32"/>
          <w:highlight w:val="none"/>
        </w:rPr>
        <w:t>15.</w:t>
      </w:r>
      <w:r>
        <w:rPr>
          <w:rFonts w:hint="eastAsia" w:ascii="宋体" w:hAnsi="宋体" w:cs="宋体"/>
          <w:b/>
          <w:color w:val="auto"/>
          <w:kern w:val="0"/>
          <w:sz w:val="32"/>
          <w:szCs w:val="32"/>
          <w:highlight w:val="none"/>
          <w:lang w:val="zh-CN"/>
        </w:rPr>
        <w:t>政府采购供应商廉洁自律承诺书</w:t>
      </w:r>
    </w:p>
    <w:p>
      <w:pPr>
        <w:snapToGrid w:val="0"/>
        <w:ind w:firstLine="480"/>
        <w:rPr>
          <w:rFonts w:ascii="宋体" w:hAnsi="宋体" w:cs="宋体"/>
          <w:color w:val="auto"/>
          <w:highlight w:val="none"/>
        </w:rPr>
      </w:pPr>
    </w:p>
    <w:p>
      <w:pPr>
        <w:snapToGrid w:val="0"/>
        <w:ind w:firstLine="480"/>
        <w:rPr>
          <w:rFonts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pPr>
        <w:autoSpaceDE w:val="0"/>
        <w:autoSpaceDN w:val="0"/>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我单位响应你</w:t>
      </w:r>
      <w:r>
        <w:rPr>
          <w:rFonts w:hint="eastAsia" w:ascii="宋体" w:hAnsi="宋体" w:cs="宋体"/>
          <w:color w:val="auto"/>
          <w:highlight w:val="none"/>
        </w:rPr>
        <w:t>单位</w:t>
      </w:r>
      <w:r>
        <w:rPr>
          <w:rFonts w:hint="eastAsia" w:ascii="宋体" w:hAnsi="宋体" w:cs="宋体"/>
          <w:color w:val="auto"/>
          <w:kern w:val="0"/>
          <w:highlight w:val="none"/>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pPr>
        <w:autoSpaceDE w:val="0"/>
        <w:autoSpaceDN w:val="0"/>
        <w:ind w:left="550" w:leftChars="229"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w:t>
      </w:r>
    </w:p>
    <w:p>
      <w:pPr>
        <w:autoSpaceDE w:val="0"/>
        <w:autoSpaceDN w:val="0"/>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好处；</w:t>
      </w:r>
    </w:p>
    <w:p>
      <w:pPr>
        <w:autoSpaceDE w:val="0"/>
        <w:autoSpaceDN w:val="0"/>
        <w:ind w:left="550" w:leftChars="229"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六、严格遵守《</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政府采购法》《</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招标投标</w:t>
      </w:r>
    </w:p>
    <w:p>
      <w:pPr>
        <w:autoSpaceDE w:val="0"/>
        <w:autoSpaceDN w:val="0"/>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法》</w:t>
      </w:r>
      <w:r>
        <w:rPr>
          <w:rFonts w:hint="eastAsia" w:ascii="宋体" w:hAnsi="宋体" w:cs="宋体"/>
          <w:color w:val="auto"/>
          <w:highlight w:val="none"/>
          <w:lang w:val="zh-CN"/>
        </w:rPr>
        <w:t>《中华人民共和国民法典》</w:t>
      </w:r>
      <w:r>
        <w:rPr>
          <w:rFonts w:hint="eastAsia" w:ascii="宋体" w:hAnsi="宋体" w:cs="宋体"/>
          <w:color w:val="auto"/>
          <w:kern w:val="0"/>
          <w:highlight w:val="none"/>
          <w:lang w:val="zh-CN"/>
        </w:rPr>
        <w:t xml:space="preserve">等法律法规，诚实守信，合法经营，坚决抵制各种违法违纪行为。 </w:t>
      </w:r>
    </w:p>
    <w:p>
      <w:pPr>
        <w:autoSpaceDE w:val="0"/>
        <w:autoSpaceDN w:val="0"/>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有权立即取消我单位投标、中标或在建项目的建设资格，有权拒绝我单位在一定时期内进入你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进行项目建设或其他经营活动，并通报市财政局。由此引起的相应损失均由我单位承担。</w:t>
      </w:r>
    </w:p>
    <w:p>
      <w:pPr>
        <w:autoSpaceDE w:val="0"/>
        <w:autoSpaceDN w:val="0"/>
        <w:ind w:left="2" w:firstLine="480"/>
        <w:jc w:val="left"/>
        <w:rPr>
          <w:rFonts w:ascii="宋体" w:hAnsi="宋体" w:cs="宋体"/>
          <w:color w:val="auto"/>
          <w:kern w:val="0"/>
          <w:highlight w:val="none"/>
          <w:lang w:val="zh-CN"/>
        </w:rPr>
      </w:pPr>
    </w:p>
    <w:p>
      <w:pPr>
        <w:autoSpaceDE w:val="0"/>
        <w:autoSpaceDN w:val="0"/>
        <w:ind w:left="2" w:firstLine="480"/>
        <w:jc w:val="left"/>
        <w:rPr>
          <w:rFonts w:ascii="宋体" w:hAnsi="宋体" w:cs="宋体"/>
          <w:color w:val="auto"/>
          <w:kern w:val="0"/>
          <w:highlight w:val="none"/>
          <w:lang w:val="zh-CN"/>
        </w:rPr>
      </w:pPr>
    </w:p>
    <w:p>
      <w:pPr>
        <w:autoSpaceDE w:val="0"/>
        <w:autoSpaceDN w:val="0"/>
        <w:ind w:left="2" w:firstLine="480"/>
        <w:jc w:val="left"/>
        <w:rPr>
          <w:rFonts w:ascii="宋体" w:hAnsi="宋体" w:cs="宋体"/>
          <w:color w:val="auto"/>
          <w:kern w:val="0"/>
          <w:highlight w:val="none"/>
          <w:lang w:val="zh-CN"/>
        </w:rPr>
      </w:pPr>
    </w:p>
    <w:p>
      <w:pPr>
        <w:autoSpaceDE w:val="0"/>
        <w:autoSpaceDN w:val="0"/>
        <w:ind w:left="2" w:leftChars="1" w:right="1120" w:firstLine="4560" w:firstLineChars="1900"/>
        <w:jc w:val="left"/>
        <w:rPr>
          <w:rFonts w:ascii="宋体" w:hAnsi="宋体" w:cs="宋体"/>
          <w:color w:val="auto"/>
          <w:kern w:val="0"/>
          <w:highlight w:val="none"/>
          <w:lang w:val="zh-CN"/>
        </w:rPr>
      </w:pPr>
      <w:r>
        <w:rPr>
          <w:rFonts w:hint="eastAsia" w:ascii="宋体" w:hAnsi="宋体" w:cs="宋体"/>
          <w:color w:val="auto"/>
          <w:kern w:val="0"/>
          <w:highlight w:val="none"/>
          <w:lang w:val="zh-CN"/>
        </w:rPr>
        <w:t>投标人名称（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pPr>
        <w:ind w:left="5280" w:leftChars="2200" w:firstLine="480"/>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lang w:val="zh-CN"/>
        </w:rPr>
        <w:t xml:space="preserve">   年   月   日</w:t>
      </w:r>
    </w:p>
    <w:p>
      <w:pPr>
        <w:ind w:firstLine="482"/>
        <w:jc w:val="center"/>
        <w:rPr>
          <w:rFonts w:ascii="宋体" w:hAnsi="宋体" w:cs="宋体"/>
          <w:b/>
          <w:bCs/>
          <w:color w:val="auto"/>
          <w:highlight w:val="none"/>
        </w:rPr>
      </w:pPr>
    </w:p>
    <w:p>
      <w:pPr>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ind w:firstLine="602"/>
        <w:rPr>
          <w:rStyle w:val="39"/>
          <w:color w:val="auto"/>
          <w:highlight w:val="none"/>
        </w:rPr>
      </w:pPr>
      <w:r>
        <w:rPr>
          <w:rStyle w:val="39"/>
          <w:rFonts w:hint="eastAsia"/>
          <w:color w:val="auto"/>
          <w:highlight w:val="none"/>
        </w:rPr>
        <w:br w:type="page"/>
      </w:r>
    </w:p>
    <w:p>
      <w:pPr>
        <w:pStyle w:val="77"/>
        <w:rPr>
          <w:rFonts w:hint="default"/>
          <w:color w:val="auto"/>
          <w:highlight w:val="none"/>
        </w:rPr>
      </w:pPr>
      <w:r>
        <w:rPr>
          <w:color w:val="auto"/>
          <w:highlight w:val="none"/>
        </w:rPr>
        <w:t>16.投标人需要说明的其他资料</w:t>
      </w:r>
    </w:p>
    <w:p>
      <w:pPr>
        <w:pStyle w:val="2"/>
        <w:spacing w:before="164"/>
        <w:rPr>
          <w:color w:val="auto"/>
          <w:highlight w:val="none"/>
        </w:rPr>
      </w:pPr>
    </w:p>
    <w:p>
      <w:pPr>
        <w:pStyle w:val="2"/>
        <w:spacing w:before="164"/>
        <w:rPr>
          <w:color w:val="auto"/>
          <w:highlight w:val="none"/>
        </w:rPr>
      </w:pPr>
    </w:p>
    <w:p>
      <w:pPr>
        <w:pStyle w:val="2"/>
        <w:spacing w:before="164"/>
        <w:ind w:firstLine="0" w:firstLineChars="0"/>
        <w:jc w:val="center"/>
        <w:rPr>
          <w:color w:val="auto"/>
          <w:highlight w:val="none"/>
        </w:rPr>
      </w:pPr>
      <w:r>
        <w:rPr>
          <w:rFonts w:hint="eastAsia"/>
          <w:color w:val="auto"/>
          <w:highlight w:val="none"/>
        </w:rPr>
        <w:t>格式自拟</w:t>
      </w:r>
    </w:p>
    <w:p>
      <w:pPr>
        <w:ind w:firstLine="480"/>
        <w:rPr>
          <w:color w:val="auto"/>
          <w:kern w:val="0"/>
          <w:highlight w:val="none"/>
        </w:rPr>
      </w:pPr>
      <w:r>
        <w:rPr>
          <w:rFonts w:hint="eastAsia"/>
          <w:color w:val="auto"/>
          <w:kern w:val="0"/>
          <w:highlight w:val="none"/>
        </w:rPr>
        <w:br w:type="page"/>
      </w:r>
    </w:p>
    <w:p>
      <w:pPr>
        <w:pStyle w:val="2"/>
        <w:spacing w:before="164"/>
        <w:rPr>
          <w:color w:val="auto"/>
          <w:highlight w:val="none"/>
        </w:rPr>
      </w:pPr>
    </w:p>
    <w:p>
      <w:pPr>
        <w:pStyle w:val="4"/>
        <w:ind w:firstLine="482"/>
        <w:rPr>
          <w:color w:val="auto"/>
          <w:highlight w:val="none"/>
        </w:rPr>
      </w:pPr>
      <w:bookmarkStart w:id="173" w:name="_Toc1673"/>
      <w:r>
        <w:rPr>
          <w:rFonts w:hint="eastAsia"/>
          <w:color w:val="auto"/>
          <w:highlight w:val="none"/>
        </w:rPr>
        <w:t>三、报价文件格式</w:t>
      </w:r>
      <w:bookmarkEnd w:id="173"/>
    </w:p>
    <w:p>
      <w:pPr>
        <w:spacing w:line="240" w:lineRule="auto"/>
        <w:ind w:firstLine="803"/>
        <w:jc w:val="center"/>
        <w:rPr>
          <w:rFonts w:asciiTheme="minorEastAsia" w:hAnsiTheme="minorEastAsia" w:eastAsiaTheme="minorEastAsia" w:cstheme="minorEastAsia"/>
          <w:b/>
          <w:bCs/>
          <w:color w:val="auto"/>
          <w:sz w:val="40"/>
          <w:szCs w:val="40"/>
          <w:highlight w:val="none"/>
        </w:rPr>
      </w:pPr>
    </w:p>
    <w:p>
      <w:pPr>
        <w:pStyle w:val="2"/>
        <w:spacing w:before="164"/>
        <w:ind w:firstLine="0" w:firstLineChars="0"/>
        <w:jc w:val="center"/>
        <w:rPr>
          <w:rFonts w:hint="eastAsia" w:eastAsia="宋体"/>
          <w:color w:val="auto"/>
          <w:spacing w:val="-11"/>
          <w:w w:val="72"/>
          <w:highlight w:val="none"/>
          <w:lang w:eastAsia="zh-CN"/>
        </w:rPr>
      </w:pPr>
      <w:r>
        <w:rPr>
          <w:rFonts w:hint="eastAsia" w:ascii="宋体" w:hAnsi="宋体" w:cs="宋体"/>
          <w:b/>
          <w:bCs/>
          <w:color w:val="auto"/>
          <w:spacing w:val="-11"/>
          <w:w w:val="72"/>
          <w:sz w:val="52"/>
          <w:szCs w:val="52"/>
          <w:highlight w:val="none"/>
          <w:lang w:eastAsia="zh-CN"/>
        </w:rPr>
        <w:t>浦江县通济桥水库灌区续建配套与节水改造项目（2023-2024年）（金属结构）设备采购项目（重新招标）</w:t>
      </w:r>
    </w:p>
    <w:p>
      <w:pPr>
        <w:pStyle w:val="2"/>
        <w:spacing w:before="164"/>
        <w:rPr>
          <w:color w:val="auto"/>
          <w:highlight w:val="none"/>
        </w:rPr>
      </w:pPr>
    </w:p>
    <w:p>
      <w:pPr>
        <w:spacing w:line="240" w:lineRule="auto"/>
        <w:ind w:firstLine="562"/>
        <w:jc w:val="center"/>
        <w:rPr>
          <w:rFonts w:asciiTheme="minorEastAsia" w:hAnsiTheme="minorEastAsia" w:eastAsiaTheme="minorEastAsia" w:cstheme="minorEastAsia"/>
          <w:b/>
          <w:bCs/>
          <w:color w:val="auto"/>
          <w:sz w:val="28"/>
          <w:szCs w:val="28"/>
          <w:highlight w:val="none"/>
        </w:rPr>
      </w:pPr>
    </w:p>
    <w:p>
      <w:pPr>
        <w:ind w:firstLine="0" w:firstLineChars="0"/>
        <w:jc w:val="center"/>
        <w:rPr>
          <w:rFonts w:ascii="宋体" w:hAnsi="宋体" w:cs="宋体"/>
          <w:b/>
          <w:bCs/>
          <w:color w:val="auto"/>
          <w:spacing w:val="45"/>
          <w:w w:val="70"/>
          <w:sz w:val="96"/>
          <w:szCs w:val="96"/>
          <w:highlight w:val="none"/>
        </w:rPr>
      </w:pPr>
      <w:r>
        <w:rPr>
          <w:rFonts w:hint="eastAsia" w:ascii="宋体" w:hAnsi="宋体" w:cs="宋体"/>
          <w:b/>
          <w:bCs/>
          <w:color w:val="auto"/>
          <w:spacing w:val="45"/>
          <w:w w:val="70"/>
          <w:sz w:val="96"/>
          <w:szCs w:val="96"/>
          <w:highlight w:val="none"/>
        </w:rPr>
        <w:t>投 标 文 件</w:t>
      </w:r>
    </w:p>
    <w:p>
      <w:pPr>
        <w:spacing w:line="240" w:lineRule="auto"/>
        <w:ind w:firstLine="0" w:firstLineChars="0"/>
        <w:jc w:val="center"/>
        <w:rPr>
          <w:rFonts w:ascii="宋体" w:hAnsi="宋体" w:cs="宋体"/>
          <w:b/>
          <w:bCs/>
          <w:color w:val="auto"/>
          <w:w w:val="80"/>
          <w:sz w:val="52"/>
          <w:szCs w:val="52"/>
          <w:highlight w:val="none"/>
        </w:rPr>
      </w:pPr>
      <w:r>
        <w:rPr>
          <w:rFonts w:hint="eastAsia" w:ascii="宋体" w:hAnsi="宋体" w:cs="宋体"/>
          <w:b/>
          <w:bCs/>
          <w:color w:val="auto"/>
          <w:w w:val="80"/>
          <w:sz w:val="52"/>
          <w:szCs w:val="52"/>
          <w:highlight w:val="none"/>
        </w:rPr>
        <w:t>（报价文件）</w:t>
      </w:r>
    </w:p>
    <w:p>
      <w:pPr>
        <w:spacing w:line="240" w:lineRule="auto"/>
        <w:ind w:firstLine="0" w:firstLineChars="0"/>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rPr>
        <w:t>项目编号：</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ind w:firstLine="643"/>
        <w:rPr>
          <w:rFonts w:asciiTheme="minorEastAsia" w:hAnsiTheme="minorEastAsia" w:eastAsiaTheme="minorEastAsia" w:cstheme="minorEastAsia"/>
          <w:b/>
          <w:color w:val="auto"/>
          <w:sz w:val="32"/>
          <w:szCs w:val="32"/>
          <w:highlight w:val="none"/>
        </w:rPr>
      </w:pPr>
    </w:p>
    <w:p>
      <w:pPr>
        <w:autoSpaceDE w:val="0"/>
        <w:autoSpaceDN w:val="0"/>
        <w:adjustRightInd w:val="0"/>
        <w:ind w:firstLine="643"/>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pPr>
        <w:ind w:firstLine="643"/>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
        <w:spacing w:before="164"/>
        <w:rPr>
          <w:color w:val="auto"/>
          <w:highlight w:val="none"/>
        </w:rPr>
      </w:pPr>
    </w:p>
    <w:p>
      <w:pPr>
        <w:tabs>
          <w:tab w:val="left" w:pos="720"/>
        </w:tabs>
        <w:adjustRightInd w:val="0"/>
        <w:snapToGrid w:val="0"/>
        <w:spacing w:line="480" w:lineRule="auto"/>
        <w:ind w:firstLine="0" w:firstLineChars="0"/>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报价文件目录</w:t>
      </w:r>
    </w:p>
    <w:p>
      <w:pPr>
        <w:numPr>
          <w:ilvl w:val="0"/>
          <w:numId w:val="6"/>
        </w:numPr>
        <w:tabs>
          <w:tab w:val="right" w:leader="middleDot" w:pos="9030"/>
        </w:tabs>
        <w:snapToGrid w:val="0"/>
        <w:spacing w:line="480" w:lineRule="auto"/>
        <w:ind w:right="-149" w:rightChars="-62" w:firstLine="0" w:firstLineChars="0"/>
        <w:jc w:val="left"/>
        <w:rPr>
          <w:rFonts w:ascii="宋体" w:hAnsi="宋体" w:cs="宋体"/>
          <w:color w:val="auto"/>
          <w:highlight w:val="none"/>
        </w:rPr>
      </w:pPr>
      <w:r>
        <w:rPr>
          <w:rFonts w:hint="eastAsia" w:ascii="宋体" w:hAnsi="宋体" w:cs="宋体"/>
          <w:color w:val="auto"/>
          <w:highlight w:val="none"/>
        </w:rPr>
        <w:t>投标函</w:t>
      </w:r>
      <w:r>
        <w:rPr>
          <w:rFonts w:hint="eastAsia" w:ascii="宋体" w:hAnsi="宋体" w:cs="宋体"/>
          <w:color w:val="auto"/>
          <w:highlight w:val="none"/>
        </w:rPr>
        <w:tab/>
      </w:r>
      <w:r>
        <w:rPr>
          <w:rFonts w:hint="eastAsia" w:ascii="宋体" w:hAnsi="宋体" w:cs="宋体"/>
          <w:color w:val="auto"/>
          <w:highlight w:val="none"/>
        </w:rPr>
        <w:t>页码</w:t>
      </w:r>
    </w:p>
    <w:p>
      <w:pPr>
        <w:tabs>
          <w:tab w:val="right" w:leader="middleDot" w:pos="9030"/>
        </w:tabs>
        <w:snapToGrid w:val="0"/>
        <w:spacing w:line="480" w:lineRule="auto"/>
        <w:ind w:right="-149" w:rightChars="-62" w:firstLine="0" w:firstLineChars="0"/>
        <w:jc w:val="left"/>
        <w:rPr>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开标一览表（</w:t>
      </w:r>
      <w:r>
        <w:rPr>
          <w:rFonts w:hint="eastAsia" w:ascii="宋体" w:hAnsi="宋体" w:cs="宋体"/>
          <w:color w:val="auto"/>
          <w:highlight w:val="none"/>
        </w:rPr>
        <w:t>格式见附件</w:t>
      </w:r>
      <w:r>
        <w:rPr>
          <w:rFonts w:hint="eastAsia" w:ascii="宋体" w:hAnsi="宋体" w:cs="宋体"/>
          <w:color w:val="auto"/>
          <w:highlight w:val="none"/>
          <w:lang w:val="zh-CN"/>
        </w:rPr>
        <w:t>）</w:t>
      </w:r>
      <w:r>
        <w:rPr>
          <w:rFonts w:hint="eastAsia" w:ascii="宋体" w:hAnsi="宋体" w:cs="宋体"/>
          <w:color w:val="auto"/>
          <w:highlight w:val="none"/>
        </w:rPr>
        <w:tab/>
      </w:r>
      <w:r>
        <w:rPr>
          <w:rFonts w:hint="eastAsia" w:ascii="宋体" w:hAnsi="宋体" w:cs="宋体"/>
          <w:color w:val="auto"/>
          <w:highlight w:val="none"/>
        </w:rPr>
        <w:t>页码</w:t>
      </w:r>
    </w:p>
    <w:p>
      <w:pPr>
        <w:tabs>
          <w:tab w:val="right" w:leader="middleDot" w:pos="9030"/>
        </w:tabs>
        <w:snapToGrid w:val="0"/>
        <w:spacing w:line="480" w:lineRule="auto"/>
        <w:ind w:right="-149" w:rightChars="-62" w:firstLine="0" w:firstLineChars="0"/>
        <w:jc w:val="left"/>
        <w:rPr>
          <w:rFonts w:ascii="宋体" w:hAnsi="宋体" w:cs="宋体"/>
          <w:color w:val="auto"/>
          <w:highlight w:val="none"/>
        </w:rPr>
      </w:pPr>
      <w:r>
        <w:rPr>
          <w:rFonts w:hint="eastAsia" w:ascii="等线" w:hAnsi="等线" w:eastAsia="等线" w:cs="等线"/>
          <w:color w:val="auto"/>
          <w:highlight w:val="none"/>
        </w:rPr>
        <w:t>3、</w:t>
      </w:r>
      <w:r>
        <w:rPr>
          <w:rFonts w:hint="eastAsia" w:ascii="宋体" w:hAnsi="宋体" w:cs="宋体"/>
          <w:color w:val="auto"/>
          <w:highlight w:val="none"/>
        </w:rPr>
        <w:t>投标人针对报价需要说明的其他文件和说明（格式自拟）</w:t>
      </w:r>
      <w:r>
        <w:rPr>
          <w:rFonts w:hint="eastAsia" w:ascii="宋体" w:hAnsi="宋体" w:cs="宋体"/>
          <w:color w:val="auto"/>
          <w:highlight w:val="none"/>
        </w:rPr>
        <w:tab/>
      </w:r>
      <w:r>
        <w:rPr>
          <w:rFonts w:hint="eastAsia" w:ascii="宋体" w:hAnsi="宋体" w:cs="宋体"/>
          <w:color w:val="auto"/>
          <w:highlight w:val="none"/>
        </w:rPr>
        <w:t>页码</w:t>
      </w:r>
    </w:p>
    <w:p>
      <w:pPr>
        <w:ind w:firstLine="480"/>
        <w:rPr>
          <w:color w:val="auto"/>
          <w:kern w:val="0"/>
          <w:highlight w:val="none"/>
        </w:rPr>
      </w:pPr>
      <w:r>
        <w:rPr>
          <w:rFonts w:hint="eastAsia"/>
          <w:color w:val="auto"/>
          <w:kern w:val="0"/>
          <w:highlight w:val="none"/>
        </w:rPr>
        <w:br w:type="page"/>
      </w:r>
    </w:p>
    <w:p>
      <w:pPr>
        <w:pStyle w:val="77"/>
        <w:rPr>
          <w:rFonts w:hint="default"/>
          <w:color w:val="auto"/>
          <w:highlight w:val="none"/>
        </w:rPr>
      </w:pPr>
      <w:bookmarkStart w:id="174" w:name="_Toc94"/>
      <w:r>
        <w:rPr>
          <w:color w:val="auto"/>
          <w:highlight w:val="none"/>
        </w:rPr>
        <w:t>1.投标函格式：</w:t>
      </w:r>
      <w:bookmarkEnd w:id="174"/>
    </w:p>
    <w:p>
      <w:pPr>
        <w:pStyle w:val="37"/>
        <w:spacing w:before="164"/>
        <w:ind w:left="-1" w:firstLine="0" w:firstLineChars="0"/>
        <w:rPr>
          <w:color w:val="auto"/>
          <w:highlight w:val="none"/>
        </w:rPr>
      </w:pPr>
      <w:r>
        <w:rPr>
          <w:rFonts w:hint="eastAsia"/>
          <w:color w:val="auto"/>
          <w:highlight w:val="none"/>
        </w:rPr>
        <w:t>投标函</w:t>
      </w:r>
    </w:p>
    <w:p>
      <w:pPr>
        <w:spacing w:line="340" w:lineRule="exact"/>
        <w:ind w:firstLine="0" w:firstLineChars="0"/>
        <w:rPr>
          <w:rFonts w:ascii="宋体" w:hAnsi="宋体" w:cs="宋体"/>
          <w:color w:val="auto"/>
          <w:spacing w:val="-4"/>
          <w:highlight w:val="none"/>
        </w:rPr>
      </w:pPr>
      <w:r>
        <w:rPr>
          <w:rFonts w:hint="eastAsia" w:ascii="宋体" w:hAnsi="宋体" w:cs="宋体"/>
          <w:color w:val="auto"/>
          <w:spacing w:val="-4"/>
          <w:highlight w:val="none"/>
        </w:rPr>
        <w:t>致：</w:t>
      </w:r>
      <w:r>
        <w:rPr>
          <w:rFonts w:hint="eastAsia" w:ascii="宋体" w:hAnsi="宋体" w:cs="宋体"/>
          <w:color w:val="auto"/>
          <w:spacing w:val="-4"/>
          <w:highlight w:val="none"/>
          <w:u w:val="single"/>
          <w:lang w:eastAsia="zh-CN"/>
        </w:rPr>
        <w:t>浦江县浦阳江流域管理中心</w:t>
      </w:r>
      <w:r>
        <w:rPr>
          <w:rFonts w:hint="eastAsia" w:ascii="宋体" w:hAnsi="宋体" w:cs="宋体"/>
          <w:color w:val="auto"/>
          <w:spacing w:val="-4"/>
          <w:highlight w:val="none"/>
          <w:u w:val="single"/>
        </w:rPr>
        <w:t xml:space="preserve"> </w:t>
      </w:r>
    </w:p>
    <w:p>
      <w:pPr>
        <w:spacing w:line="340" w:lineRule="exact"/>
        <w:ind w:firstLine="464"/>
        <w:rPr>
          <w:rFonts w:ascii="宋体" w:hAnsi="宋体" w:cs="宋体"/>
          <w:color w:val="auto"/>
          <w:spacing w:val="-4"/>
          <w:highlight w:val="none"/>
          <w:u w:val="single"/>
        </w:rPr>
      </w:pP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w:t>
      </w:r>
      <w:r>
        <w:rPr>
          <w:rFonts w:hint="eastAsia" w:cs="宋体"/>
          <w:color w:val="auto"/>
          <w:spacing w:val="-4"/>
          <w:highlight w:val="none"/>
        </w:rPr>
        <w:t>投标人</w:t>
      </w:r>
      <w:r>
        <w:rPr>
          <w:rFonts w:hint="eastAsia" w:ascii="宋体" w:hAnsi="宋体" w:cs="宋体"/>
          <w:color w:val="auto"/>
          <w:spacing w:val="-4"/>
          <w:highlight w:val="none"/>
        </w:rPr>
        <w:t>全称）授权</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（全权代表姓名、职务）</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为本公司合法代理人，参加贵方组织的</w:t>
      </w:r>
      <w:r>
        <w:rPr>
          <w:rFonts w:hint="eastAsia" w:ascii="宋体" w:hAnsi="宋体" w:cs="宋体"/>
          <w:color w:val="auto"/>
          <w:spacing w:val="-4"/>
          <w:highlight w:val="none"/>
          <w:u w:val="single"/>
        </w:rPr>
        <w:t xml:space="preserve">       项目名称 （项目编号：）      </w:t>
      </w:r>
      <w:r>
        <w:rPr>
          <w:rFonts w:hint="eastAsia" w:ascii="宋体" w:hAnsi="宋体" w:cs="宋体"/>
          <w:color w:val="auto"/>
          <w:spacing w:val="-4"/>
          <w:highlight w:val="none"/>
        </w:rPr>
        <w:t>招投标活动，代表本公司处理招投标活动中的一切事宜，为对</w:t>
      </w:r>
      <w:r>
        <w:rPr>
          <w:rFonts w:hint="eastAsia" w:ascii="宋体" w:hAnsi="宋体" w:cs="宋体"/>
          <w:color w:val="auto"/>
          <w:spacing w:val="-4"/>
          <w:highlight w:val="none"/>
          <w:u w:val="single"/>
        </w:rPr>
        <w:t xml:space="preserve">     （标项名称）                     </w:t>
      </w:r>
      <w:r>
        <w:rPr>
          <w:rFonts w:hint="eastAsia" w:ascii="宋体" w:hAnsi="宋体" w:cs="宋体"/>
          <w:color w:val="auto"/>
          <w:spacing w:val="-4"/>
          <w:highlight w:val="none"/>
        </w:rPr>
        <w:t>进行投标，在此：</w:t>
      </w:r>
    </w:p>
    <w:p>
      <w:pPr>
        <w:numPr>
          <w:ilvl w:val="0"/>
          <w:numId w:val="7"/>
        </w:numPr>
        <w:tabs>
          <w:tab w:val="left" w:pos="426"/>
        </w:tabs>
        <w:spacing w:line="340" w:lineRule="exact"/>
        <w:ind w:firstLineChars="0"/>
        <w:rPr>
          <w:rFonts w:ascii="宋体" w:hAnsi="宋体" w:cs="宋体"/>
          <w:color w:val="auto"/>
          <w:spacing w:val="-4"/>
          <w:highlight w:val="none"/>
        </w:rPr>
      </w:pPr>
      <w:r>
        <w:rPr>
          <w:rFonts w:hint="eastAsia" w:ascii="宋体" w:hAnsi="宋体" w:cs="宋体"/>
          <w:color w:val="auto"/>
          <w:spacing w:val="-4"/>
          <w:highlight w:val="none"/>
        </w:rPr>
        <w:t>提供招标文件中规定的全部投标文件。</w:t>
      </w:r>
    </w:p>
    <w:p>
      <w:pPr>
        <w:numPr>
          <w:ilvl w:val="0"/>
          <w:numId w:val="7"/>
        </w:numPr>
        <w:tabs>
          <w:tab w:val="left" w:pos="426"/>
        </w:tabs>
        <w:spacing w:line="340" w:lineRule="exact"/>
        <w:ind w:firstLineChars="0"/>
        <w:rPr>
          <w:rFonts w:ascii="宋体" w:hAnsi="宋体" w:cs="宋体"/>
          <w:color w:val="auto"/>
          <w:spacing w:val="-4"/>
          <w:highlight w:val="none"/>
        </w:rPr>
      </w:pPr>
      <w:r>
        <w:rPr>
          <w:rFonts w:hint="eastAsia" w:ascii="宋体" w:hAnsi="宋体" w:cs="宋体"/>
          <w:color w:val="auto"/>
          <w:spacing w:val="-4"/>
          <w:highlight w:val="none"/>
        </w:rPr>
        <w:t>据此函，签字代表宣布并承诺如下：</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（1） 投标的投标总价为《开标一览表》所列金额。</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本报价已经包含了所供产品应纳的税金及招标文件规定的报价方式应包含的其它费用。本报价在投标有效期内固定不变，并在合同有效期内不受利率、物价、政策等波动的影响。</w:t>
      </w:r>
    </w:p>
    <w:p>
      <w:pPr>
        <w:numPr>
          <w:ilvl w:val="0"/>
          <w:numId w:val="8"/>
        </w:num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本投标自开标之日起</w:t>
      </w:r>
      <w:r>
        <w:rPr>
          <w:rFonts w:hint="eastAsia" w:ascii="宋体" w:hAnsi="宋体" w:cs="宋体"/>
          <w:color w:val="auto"/>
          <w:spacing w:val="-4"/>
          <w:highlight w:val="none"/>
          <w:u w:val="single"/>
        </w:rPr>
        <w:t>120</w:t>
      </w:r>
      <w:r>
        <w:rPr>
          <w:rFonts w:hint="eastAsia" w:ascii="宋体" w:hAnsi="宋体" w:cs="宋体"/>
          <w:color w:val="auto"/>
          <w:spacing w:val="-4"/>
          <w:highlight w:val="none"/>
        </w:rPr>
        <w:t>天内有效。</w:t>
      </w:r>
    </w:p>
    <w:p>
      <w:pPr>
        <w:numPr>
          <w:ilvl w:val="0"/>
          <w:numId w:val="8"/>
        </w:numPr>
        <w:spacing w:line="340" w:lineRule="exact"/>
        <w:ind w:firstLine="464"/>
        <w:rPr>
          <w:rFonts w:ascii="宋体" w:hAnsi="宋体" w:cs="宋体"/>
          <w:color w:val="auto"/>
          <w:spacing w:val="-4"/>
          <w:highlight w:val="none"/>
        </w:rPr>
      </w:pPr>
      <w:r>
        <w:rPr>
          <w:rFonts w:hint="eastAsia" w:ascii="宋体" w:hAnsi="宋体" w:cs="宋体"/>
          <w:color w:val="auto"/>
          <w:spacing w:val="-4"/>
          <w:szCs w:val="20"/>
          <w:highlight w:val="none"/>
        </w:rPr>
        <w:t>我方此次向贵方提供的项目名称为：</w:t>
      </w:r>
      <w:r>
        <w:rPr>
          <w:rFonts w:hint="eastAsia" w:ascii="宋体" w:hAnsi="宋体" w:cs="宋体"/>
          <w:color w:val="auto"/>
          <w:spacing w:val="-4"/>
          <w:szCs w:val="20"/>
          <w:highlight w:val="none"/>
          <w:u w:val="single"/>
        </w:rPr>
        <w:t xml:space="preserve">  </w:t>
      </w:r>
      <w:r>
        <w:rPr>
          <w:rFonts w:hint="eastAsia" w:ascii="宋体" w:hAnsi="宋体" w:cs="宋体"/>
          <w:bCs/>
          <w:color w:val="auto"/>
          <w:spacing w:val="-4"/>
          <w:szCs w:val="20"/>
          <w:highlight w:val="none"/>
          <w:u w:val="single"/>
        </w:rPr>
        <w:t xml:space="preserve">    </w:t>
      </w:r>
      <w:r>
        <w:rPr>
          <w:rFonts w:hint="eastAsia" w:ascii="宋体" w:hAnsi="宋体" w:cs="宋体"/>
          <w:color w:val="auto"/>
          <w:spacing w:val="-4"/>
          <w:szCs w:val="20"/>
          <w:highlight w:val="none"/>
          <w:u w:val="single"/>
        </w:rPr>
        <w:t xml:space="preserve">  </w:t>
      </w:r>
      <w:r>
        <w:rPr>
          <w:rFonts w:hint="eastAsia" w:ascii="宋体" w:hAnsi="宋体" w:cs="宋体"/>
          <w:color w:val="auto"/>
          <w:spacing w:val="-4"/>
          <w:szCs w:val="20"/>
          <w:highlight w:val="none"/>
        </w:rPr>
        <w:t>，该项目我方有能力完成。</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（4） 我们已详细审查全部招标文件及有关的澄清、修改文件（若有的话），我们完全理解并同意放弃对这方面提出任何异议的权利。保证遵守招标文件有关条款规定。</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（5） 保证在中标后忠实地执行与采购人所签署的合同，并承担合同规定的责任义务。保证在中标后按照招标文件的规定支付采购代理服务费。</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（6） 承诺应贵方要求提供任何与该项目投标有关的数据、情况和技术资料。</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（7） 我们承诺，与为采购人采购本次招标的产品进行设计、编制规范和其他文件所委托的咨询公司或其附属机构无任何直接或间接的关联。</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（8）</w:t>
      </w:r>
      <w:r>
        <w:rPr>
          <w:rFonts w:hint="eastAsia" w:ascii="宋体" w:hAnsi="宋体" w:cs="宋体"/>
          <w:color w:val="auto"/>
          <w:spacing w:val="-4"/>
          <w:szCs w:val="20"/>
          <w:highlight w:val="none"/>
        </w:rPr>
        <w:t>我方向贵方提交的所有投标文件、资料都是准确的和真实的。若未中标，我单位同意招标人免费采用我单位全部或部分方案。</w:t>
      </w:r>
    </w:p>
    <w:p>
      <w:pPr>
        <w:spacing w:line="340" w:lineRule="exact"/>
        <w:ind w:firstLine="464"/>
        <w:rPr>
          <w:rFonts w:ascii="宋体" w:hAnsi="宋体" w:cs="宋体"/>
          <w:color w:val="auto"/>
          <w:spacing w:val="-4"/>
          <w:highlight w:val="none"/>
        </w:rPr>
      </w:pPr>
      <w:r>
        <w:rPr>
          <w:rFonts w:hint="eastAsia" w:ascii="宋体" w:hAnsi="宋体" w:cs="宋体"/>
          <w:color w:val="auto"/>
          <w:spacing w:val="-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cs="宋体"/>
          <w:color w:val="auto"/>
          <w:spacing w:val="-4"/>
          <w:szCs w:val="20"/>
          <w:highlight w:val="none"/>
        </w:rPr>
        <w:t>并在人员、设备、资金等方面具有相应的供货及安装能力</w:t>
      </w:r>
      <w:r>
        <w:rPr>
          <w:rFonts w:hint="eastAsia" w:ascii="宋体" w:hAnsi="宋体" w:cs="宋体"/>
          <w:color w:val="auto"/>
          <w:spacing w:val="-4"/>
          <w:highlight w:val="none"/>
        </w:rPr>
        <w:t>。我公司</w:t>
      </w:r>
      <w:r>
        <w:rPr>
          <w:rFonts w:hint="eastAsia" w:ascii="宋体" w:hAnsi="宋体" w:cs="宋体"/>
          <w:color w:val="auto"/>
          <w:spacing w:val="-4"/>
          <w:szCs w:val="20"/>
          <w:highlight w:val="none"/>
        </w:rPr>
        <w:t>未被列入失信被执行人名单、重大税收违法案件当事人名单、政府采购严重违法失信行为记录名单。</w:t>
      </w:r>
    </w:p>
    <w:p>
      <w:pPr>
        <w:numPr>
          <w:ilvl w:val="0"/>
          <w:numId w:val="7"/>
        </w:numPr>
        <w:tabs>
          <w:tab w:val="left" w:pos="426"/>
        </w:tabs>
        <w:spacing w:line="340" w:lineRule="exact"/>
        <w:ind w:firstLineChars="0"/>
        <w:rPr>
          <w:rFonts w:ascii="宋体" w:hAnsi="宋体" w:cs="宋体"/>
          <w:color w:val="auto"/>
          <w:spacing w:val="-4"/>
          <w:highlight w:val="none"/>
        </w:rPr>
      </w:pPr>
      <w:r>
        <w:rPr>
          <w:rFonts w:hint="eastAsia" w:ascii="宋体" w:hAnsi="宋体" w:cs="宋体"/>
          <w:color w:val="auto"/>
          <w:spacing w:val="-4"/>
          <w:highlight w:val="none"/>
        </w:rPr>
        <w:t>与本投标有关的一切往来通讯请寄：</w:t>
      </w:r>
    </w:p>
    <w:p>
      <w:pPr>
        <w:snapToGrid w:val="0"/>
        <w:ind w:firstLine="480"/>
        <w:rPr>
          <w:rFonts w:ascii="宋体" w:hAnsi="宋体" w:cs="宋体"/>
          <w:color w:val="auto"/>
          <w:szCs w:val="20"/>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邮编：</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电话：</w:t>
      </w:r>
      <w:r>
        <w:rPr>
          <w:rFonts w:hint="eastAsia" w:ascii="宋体" w:hAnsi="宋体" w:cs="宋体"/>
          <w:color w:val="auto"/>
          <w:highlight w:val="none"/>
          <w:u w:val="single"/>
        </w:rPr>
        <w:t xml:space="preserve">              </w:t>
      </w:r>
    </w:p>
    <w:p>
      <w:pPr>
        <w:snapToGrid w:val="0"/>
        <w:ind w:firstLine="480"/>
        <w:rPr>
          <w:rFonts w:ascii="宋体" w:hAnsi="宋体" w:cs="宋体"/>
          <w:color w:val="auto"/>
          <w:szCs w:val="20"/>
          <w:highlight w:val="none"/>
        </w:rPr>
      </w:pPr>
      <w:r>
        <w:rPr>
          <w:rFonts w:hint="eastAsia" w:ascii="宋体" w:hAnsi="宋体" w:cs="宋体"/>
          <w:color w:val="auto"/>
          <w:highlight w:val="none"/>
        </w:rPr>
        <w:t>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电子邮箱：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ind w:firstLine="480"/>
        <w:rPr>
          <w:rFonts w:ascii="宋体" w:hAnsi="宋体" w:cs="宋体"/>
          <w:color w:val="auto"/>
          <w:szCs w:val="20"/>
          <w:highlight w:val="none"/>
        </w:rPr>
      </w:pPr>
      <w:r>
        <w:rPr>
          <w:rFonts w:hint="eastAsia" w:ascii="宋体" w:hAnsi="宋体" w:cs="宋体"/>
          <w:color w:val="auto"/>
          <w:highlight w:val="none"/>
        </w:rPr>
        <w:t>投标人名称（电子签章）: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2"/>
        <w:rPr>
          <w:rFonts w:ascii="宋体" w:hAnsi="宋体" w:cs="宋体"/>
          <w:b/>
          <w:color w:val="auto"/>
          <w:kern w:val="0"/>
          <w:highlight w:val="none"/>
          <w:lang w:val="zh-CN"/>
        </w:rPr>
        <w:sectPr>
          <w:headerReference r:id="rId21" w:type="default"/>
          <w:pgSz w:w="11906" w:h="16838"/>
          <w:pgMar w:top="1474" w:right="1417" w:bottom="1247" w:left="1417" w:header="567" w:footer="567" w:gutter="0"/>
          <w:cols w:space="0" w:num="1"/>
          <w:docGrid w:type="lines" w:linePitch="328" w:charSpace="0"/>
        </w:sectPr>
      </w:pPr>
      <w:r>
        <w:rPr>
          <w:rFonts w:hint="eastAsia" w:ascii="宋体" w:hAnsi="宋体" w:cs="宋体"/>
          <w:b/>
          <w:color w:val="auto"/>
          <w:kern w:val="0"/>
          <w:highlight w:val="none"/>
          <w:lang w:val="zh-CN"/>
        </w:rPr>
        <w:br w:type="page"/>
      </w:r>
    </w:p>
    <w:p>
      <w:pPr>
        <w:pStyle w:val="77"/>
        <w:rPr>
          <w:rFonts w:hint="default"/>
          <w:color w:val="auto"/>
          <w:highlight w:val="none"/>
        </w:rPr>
      </w:pPr>
      <w:r>
        <w:rPr>
          <w:color w:val="auto"/>
          <w:highlight w:val="none"/>
        </w:rPr>
        <w:t>2.开标一览表（报价表）</w:t>
      </w:r>
    </w:p>
    <w:p>
      <w:pPr>
        <w:snapToGrid w:val="0"/>
        <w:ind w:firstLine="480"/>
        <w:rPr>
          <w:rFonts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highlight w:val="none"/>
        </w:rPr>
        <w:t>（</w:t>
      </w:r>
      <w:r>
        <w:rPr>
          <w:rFonts w:hint="eastAsia" w:ascii="宋体" w:hAnsi="宋体" w:cs="宋体"/>
          <w:color w:val="auto"/>
          <w:highlight w:val="none"/>
          <w:lang w:eastAsia="zh-CN"/>
        </w:rPr>
        <w:t>浦江县通济桥水库灌区续建配套与节水改造项目（2023-2024年）（金属结构）设备采购项目（重新招标）</w:t>
      </w:r>
      <w:r>
        <w:rPr>
          <w:rFonts w:hint="eastAsia" w:ascii="宋体" w:hAnsi="宋体" w:cs="宋体"/>
          <w:color w:val="auto"/>
          <w:highlight w:val="none"/>
        </w:rPr>
        <w:t>）</w:t>
      </w:r>
      <w:r>
        <w:rPr>
          <w:rFonts w:hint="eastAsia" w:ascii="宋体" w:hAnsi="宋体" w:cs="宋体"/>
          <w:color w:val="auto"/>
          <w:kern w:val="0"/>
          <w:highlight w:val="none"/>
          <w:lang w:val="zh-CN"/>
        </w:rPr>
        <w:t>【招标编号：</w:t>
      </w:r>
      <w:r>
        <w:rPr>
          <w:rFonts w:hint="eastAsia" w:ascii="宋体" w:hAnsi="宋体" w:cs="宋体"/>
          <w:color w:val="auto"/>
          <w:highlight w:val="none"/>
        </w:rPr>
        <w:t>（</w:t>
      </w:r>
      <w:r>
        <w:rPr>
          <w:rFonts w:hint="eastAsia" w:ascii="宋体" w:hAnsi="宋体" w:cs="宋体"/>
          <w:color w:val="auto"/>
          <w:highlight w:val="none"/>
          <w:lang w:eastAsia="zh-CN"/>
        </w:rPr>
        <w:t>WZGCPJ2023-002</w:t>
      </w:r>
      <w:r>
        <w:rPr>
          <w:rFonts w:hint="eastAsia" w:ascii="宋体" w:hAnsi="宋体" w:cs="宋体"/>
          <w:color w:val="auto"/>
          <w:highlight w:val="none"/>
        </w:rPr>
        <w:t>）】的实施</w:t>
      </w:r>
      <w:r>
        <w:rPr>
          <w:rFonts w:hint="eastAsia" w:ascii="宋体" w:hAnsi="宋体" w:cs="宋体"/>
          <w:color w:val="auto"/>
          <w:kern w:val="0"/>
          <w:highlight w:val="none"/>
          <w:lang w:val="zh-CN"/>
        </w:rPr>
        <w:t>。</w:t>
      </w:r>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1417"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843" w:type="dxa"/>
          </w:tcPr>
          <w:p>
            <w:pPr>
              <w:ind w:firstLine="0" w:firstLineChars="0"/>
              <w:jc w:val="center"/>
              <w:rPr>
                <w:rFonts w:ascii="宋体" w:hAnsi="宋体" w:cs="宋体"/>
                <w:b/>
                <w:color w:val="auto"/>
                <w:highlight w:val="none"/>
              </w:rPr>
            </w:pPr>
          </w:p>
          <w:p>
            <w:pPr>
              <w:ind w:firstLine="0" w:firstLineChars="0"/>
              <w:jc w:val="center"/>
              <w:rPr>
                <w:rFonts w:ascii="宋体" w:hAnsi="宋体" w:cs="宋体"/>
                <w:b/>
                <w:color w:val="auto"/>
                <w:highlight w:val="none"/>
              </w:rPr>
            </w:pPr>
            <w:r>
              <w:rPr>
                <w:rFonts w:hint="eastAsia" w:ascii="宋体" w:hAnsi="宋体" w:cs="宋体"/>
                <w:b/>
                <w:color w:val="auto"/>
                <w:highlight w:val="none"/>
              </w:rPr>
              <w:t>品牌（如果有）</w:t>
            </w:r>
          </w:p>
        </w:tc>
        <w:tc>
          <w:tcPr>
            <w:tcW w:w="3118"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993"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1559"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1984" w:type="dxa"/>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合计</w:t>
            </w:r>
          </w:p>
        </w:tc>
        <w:tc>
          <w:tcPr>
            <w:tcW w:w="3119" w:type="dxa"/>
            <w:vAlign w:val="center"/>
          </w:tcPr>
          <w:p>
            <w:pPr>
              <w:ind w:firstLine="0" w:firstLineChars="0"/>
              <w:jc w:val="center"/>
              <w:rPr>
                <w:rFonts w:ascii="宋体" w:hAnsi="宋体" w:cs="宋体"/>
                <w:b/>
                <w:color w:val="auto"/>
                <w:highlight w:val="none"/>
              </w:rPr>
            </w:pPr>
          </w:p>
          <w:p>
            <w:pPr>
              <w:ind w:firstLine="0" w:firstLineChars="0"/>
              <w:jc w:val="center"/>
              <w:rPr>
                <w:rFonts w:ascii="宋体" w:hAnsi="宋体" w:cs="宋体"/>
                <w:b/>
                <w:color w:val="auto"/>
                <w:highlight w:val="none"/>
              </w:rPr>
            </w:pPr>
            <w:r>
              <w:rPr>
                <w:rFonts w:hint="eastAsia" w:ascii="宋体" w:hAnsi="宋体" w:cs="宋体"/>
                <w:b/>
                <w:color w:val="auto"/>
                <w:highlight w:val="none"/>
              </w:rPr>
              <w:t>备注（如果有）</w:t>
            </w:r>
          </w:p>
          <w:p>
            <w:pPr>
              <w:ind w:firstLine="0" w:firstLineChars="0"/>
              <w:jc w:val="center"/>
              <w:rPr>
                <w:rFonts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417" w:type="dxa"/>
            <w:vAlign w:val="center"/>
          </w:tcPr>
          <w:p>
            <w:pPr>
              <w:snapToGrid w:val="0"/>
              <w:ind w:firstLine="0" w:firstLineChars="0"/>
              <w:jc w:val="center"/>
              <w:rPr>
                <w:rFonts w:ascii="宋体" w:hAnsi="宋体" w:cs="宋体"/>
                <w:color w:val="auto"/>
                <w:highlight w:val="none"/>
              </w:rPr>
            </w:pPr>
            <w:r>
              <w:rPr>
                <w:rFonts w:hint="eastAsia" w:ascii="宋体" w:hAnsi="宋体" w:cs="宋体"/>
                <w:color w:val="auto"/>
                <w:highlight w:val="none"/>
              </w:rPr>
              <w:t>X</w:t>
            </w:r>
            <w:r>
              <w:rPr>
                <w:rFonts w:ascii="宋体" w:hAnsi="宋体" w:cs="宋体"/>
                <w:color w:val="auto"/>
                <w:highlight w:val="none"/>
              </w:rPr>
              <w:t>X</w:t>
            </w:r>
          </w:p>
        </w:tc>
        <w:tc>
          <w:tcPr>
            <w:tcW w:w="1843" w:type="dxa"/>
            <w:vAlign w:val="center"/>
          </w:tcPr>
          <w:p>
            <w:pPr>
              <w:snapToGrid w:val="0"/>
              <w:ind w:firstLine="0" w:firstLineChars="0"/>
              <w:jc w:val="center"/>
              <w:rPr>
                <w:rFonts w:ascii="宋体" w:hAnsi="宋体" w:cs="宋体"/>
                <w:color w:val="auto"/>
                <w:highlight w:val="none"/>
              </w:rPr>
            </w:pPr>
          </w:p>
        </w:tc>
        <w:tc>
          <w:tcPr>
            <w:tcW w:w="3118" w:type="dxa"/>
            <w:vAlign w:val="center"/>
          </w:tcPr>
          <w:p>
            <w:pPr>
              <w:snapToGrid w:val="0"/>
              <w:ind w:firstLine="0" w:firstLineChars="0"/>
              <w:jc w:val="center"/>
              <w:rPr>
                <w:rFonts w:ascii="宋体" w:hAnsi="宋体" w:cs="宋体"/>
                <w:color w:val="auto"/>
                <w:highlight w:val="none"/>
              </w:rPr>
            </w:pPr>
          </w:p>
        </w:tc>
        <w:tc>
          <w:tcPr>
            <w:tcW w:w="993" w:type="dxa"/>
            <w:vAlign w:val="center"/>
          </w:tcPr>
          <w:p>
            <w:pPr>
              <w:snapToGrid w:val="0"/>
              <w:ind w:firstLine="0" w:firstLineChars="0"/>
              <w:jc w:val="center"/>
              <w:rPr>
                <w:rFonts w:ascii="宋体" w:hAnsi="宋体" w:cs="宋体"/>
                <w:color w:val="auto"/>
                <w:highlight w:val="none"/>
              </w:rPr>
            </w:pPr>
          </w:p>
        </w:tc>
        <w:tc>
          <w:tcPr>
            <w:tcW w:w="1559" w:type="dxa"/>
            <w:vAlign w:val="center"/>
          </w:tcPr>
          <w:p>
            <w:pPr>
              <w:ind w:firstLine="0" w:firstLineChars="0"/>
              <w:jc w:val="center"/>
              <w:rPr>
                <w:rFonts w:ascii="宋体" w:hAnsi="宋体" w:cs="宋体"/>
                <w:color w:val="auto"/>
                <w:highlight w:val="none"/>
              </w:rPr>
            </w:pPr>
          </w:p>
        </w:tc>
        <w:tc>
          <w:tcPr>
            <w:tcW w:w="1984" w:type="dxa"/>
            <w:vAlign w:val="center"/>
          </w:tcPr>
          <w:p>
            <w:pPr>
              <w:ind w:firstLine="0" w:firstLineChars="0"/>
              <w:jc w:val="center"/>
              <w:rPr>
                <w:rFonts w:ascii="宋体" w:hAnsi="宋体" w:cs="宋体"/>
                <w:color w:val="auto"/>
                <w:highlight w:val="none"/>
              </w:rPr>
            </w:pPr>
          </w:p>
        </w:tc>
        <w:tc>
          <w:tcPr>
            <w:tcW w:w="3119" w:type="dxa"/>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417" w:type="dxa"/>
            <w:vAlign w:val="center"/>
          </w:tcPr>
          <w:p>
            <w:pPr>
              <w:snapToGrid w:val="0"/>
              <w:ind w:firstLine="0" w:firstLineChars="0"/>
              <w:jc w:val="center"/>
              <w:rPr>
                <w:rFonts w:ascii="宋体" w:hAnsi="宋体" w:cs="宋体"/>
                <w:color w:val="auto"/>
                <w:highlight w:val="none"/>
              </w:rPr>
            </w:pPr>
            <w:r>
              <w:rPr>
                <w:rFonts w:hint="eastAsia" w:ascii="宋体" w:hAnsi="宋体" w:cs="宋体"/>
                <w:color w:val="auto"/>
                <w:highlight w:val="none"/>
              </w:rPr>
              <w:t>X</w:t>
            </w:r>
            <w:r>
              <w:rPr>
                <w:rFonts w:ascii="宋体" w:hAnsi="宋体" w:cs="宋体"/>
                <w:color w:val="auto"/>
                <w:highlight w:val="none"/>
              </w:rPr>
              <w:t>X</w:t>
            </w:r>
          </w:p>
        </w:tc>
        <w:tc>
          <w:tcPr>
            <w:tcW w:w="1843" w:type="dxa"/>
            <w:vAlign w:val="center"/>
          </w:tcPr>
          <w:p>
            <w:pPr>
              <w:snapToGrid w:val="0"/>
              <w:ind w:firstLine="0" w:firstLineChars="0"/>
              <w:jc w:val="center"/>
              <w:rPr>
                <w:rFonts w:ascii="宋体" w:hAnsi="宋体" w:cs="宋体"/>
                <w:color w:val="auto"/>
                <w:highlight w:val="none"/>
              </w:rPr>
            </w:pPr>
          </w:p>
        </w:tc>
        <w:tc>
          <w:tcPr>
            <w:tcW w:w="3118" w:type="dxa"/>
            <w:vAlign w:val="center"/>
          </w:tcPr>
          <w:p>
            <w:pPr>
              <w:snapToGrid w:val="0"/>
              <w:ind w:firstLine="0" w:firstLineChars="0"/>
              <w:jc w:val="center"/>
              <w:rPr>
                <w:rFonts w:ascii="宋体" w:hAnsi="宋体" w:cs="宋体"/>
                <w:color w:val="auto"/>
                <w:highlight w:val="none"/>
              </w:rPr>
            </w:pPr>
          </w:p>
        </w:tc>
        <w:tc>
          <w:tcPr>
            <w:tcW w:w="993" w:type="dxa"/>
            <w:vAlign w:val="center"/>
          </w:tcPr>
          <w:p>
            <w:pPr>
              <w:snapToGrid w:val="0"/>
              <w:ind w:firstLine="0" w:firstLineChars="0"/>
              <w:jc w:val="center"/>
              <w:rPr>
                <w:rFonts w:ascii="宋体" w:hAnsi="宋体" w:cs="宋体"/>
                <w:color w:val="auto"/>
                <w:highlight w:val="none"/>
              </w:rPr>
            </w:pPr>
          </w:p>
        </w:tc>
        <w:tc>
          <w:tcPr>
            <w:tcW w:w="1559" w:type="dxa"/>
            <w:vAlign w:val="center"/>
          </w:tcPr>
          <w:p>
            <w:pPr>
              <w:ind w:firstLine="0" w:firstLineChars="0"/>
              <w:jc w:val="center"/>
              <w:rPr>
                <w:rFonts w:ascii="宋体" w:hAnsi="宋体" w:cs="宋体"/>
                <w:color w:val="auto"/>
                <w:highlight w:val="none"/>
              </w:rPr>
            </w:pPr>
          </w:p>
        </w:tc>
        <w:tc>
          <w:tcPr>
            <w:tcW w:w="1984" w:type="dxa"/>
            <w:vAlign w:val="center"/>
          </w:tcPr>
          <w:p>
            <w:pPr>
              <w:ind w:firstLine="0" w:firstLineChars="0"/>
              <w:jc w:val="center"/>
              <w:rPr>
                <w:rFonts w:ascii="宋体" w:hAnsi="宋体" w:cs="宋体"/>
                <w:color w:val="auto"/>
                <w:highlight w:val="none"/>
              </w:rPr>
            </w:pPr>
          </w:p>
        </w:tc>
        <w:tc>
          <w:tcPr>
            <w:tcW w:w="3119" w:type="dxa"/>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417" w:type="dxa"/>
            <w:vAlign w:val="center"/>
          </w:tcPr>
          <w:p>
            <w:pPr>
              <w:snapToGrid w:val="0"/>
              <w:ind w:firstLine="0" w:firstLineChars="0"/>
              <w:jc w:val="center"/>
              <w:rPr>
                <w:rFonts w:ascii="宋体" w:hAnsi="宋体" w:cs="宋体"/>
                <w:color w:val="auto"/>
                <w:highlight w:val="none"/>
              </w:rPr>
            </w:pPr>
          </w:p>
        </w:tc>
        <w:tc>
          <w:tcPr>
            <w:tcW w:w="1843" w:type="dxa"/>
            <w:vAlign w:val="center"/>
          </w:tcPr>
          <w:p>
            <w:pPr>
              <w:snapToGrid w:val="0"/>
              <w:ind w:firstLine="0" w:firstLineChars="0"/>
              <w:jc w:val="center"/>
              <w:rPr>
                <w:rFonts w:ascii="宋体" w:hAnsi="宋体" w:cs="宋体"/>
                <w:color w:val="auto"/>
                <w:highlight w:val="none"/>
              </w:rPr>
            </w:pPr>
          </w:p>
        </w:tc>
        <w:tc>
          <w:tcPr>
            <w:tcW w:w="3118" w:type="dxa"/>
            <w:vAlign w:val="center"/>
          </w:tcPr>
          <w:p>
            <w:pPr>
              <w:snapToGrid w:val="0"/>
              <w:ind w:firstLine="0" w:firstLineChars="0"/>
              <w:jc w:val="center"/>
              <w:rPr>
                <w:rFonts w:ascii="宋体" w:hAnsi="宋体" w:cs="宋体"/>
                <w:color w:val="auto"/>
                <w:highlight w:val="none"/>
              </w:rPr>
            </w:pPr>
          </w:p>
        </w:tc>
        <w:tc>
          <w:tcPr>
            <w:tcW w:w="993" w:type="dxa"/>
            <w:vAlign w:val="center"/>
          </w:tcPr>
          <w:p>
            <w:pPr>
              <w:snapToGrid w:val="0"/>
              <w:ind w:firstLine="0" w:firstLineChars="0"/>
              <w:jc w:val="center"/>
              <w:rPr>
                <w:rFonts w:ascii="宋体" w:hAnsi="宋体" w:cs="宋体"/>
                <w:color w:val="auto"/>
                <w:highlight w:val="none"/>
              </w:rPr>
            </w:pPr>
          </w:p>
        </w:tc>
        <w:tc>
          <w:tcPr>
            <w:tcW w:w="1559" w:type="dxa"/>
            <w:vAlign w:val="center"/>
          </w:tcPr>
          <w:p>
            <w:pPr>
              <w:ind w:firstLine="0" w:firstLineChars="0"/>
              <w:jc w:val="center"/>
              <w:rPr>
                <w:rFonts w:ascii="宋体" w:hAnsi="宋体" w:cs="宋体"/>
                <w:color w:val="auto"/>
                <w:highlight w:val="none"/>
              </w:rPr>
            </w:pPr>
          </w:p>
        </w:tc>
        <w:tc>
          <w:tcPr>
            <w:tcW w:w="1984" w:type="dxa"/>
            <w:vAlign w:val="center"/>
          </w:tcPr>
          <w:p>
            <w:pPr>
              <w:ind w:firstLine="0" w:firstLineChars="0"/>
              <w:jc w:val="center"/>
              <w:rPr>
                <w:rFonts w:ascii="宋体" w:hAnsi="宋体" w:cs="宋体"/>
                <w:color w:val="auto"/>
                <w:highlight w:val="none"/>
              </w:rPr>
            </w:pPr>
          </w:p>
        </w:tc>
        <w:tc>
          <w:tcPr>
            <w:tcW w:w="3119" w:type="dxa"/>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ascii="宋体" w:hAnsi="宋体" w:cs="宋体"/>
                <w:color w:val="auto"/>
                <w:highlight w:val="none"/>
              </w:rPr>
            </w:pPr>
          </w:p>
        </w:tc>
        <w:tc>
          <w:tcPr>
            <w:tcW w:w="1417" w:type="dxa"/>
            <w:vAlign w:val="center"/>
          </w:tcPr>
          <w:p>
            <w:pPr>
              <w:snapToGrid w:val="0"/>
              <w:ind w:firstLine="0" w:firstLineChars="0"/>
              <w:jc w:val="center"/>
              <w:rPr>
                <w:rFonts w:ascii="宋体" w:hAnsi="宋体" w:cs="宋体"/>
                <w:color w:val="auto"/>
                <w:highlight w:val="none"/>
              </w:rPr>
            </w:pPr>
          </w:p>
        </w:tc>
        <w:tc>
          <w:tcPr>
            <w:tcW w:w="1843" w:type="dxa"/>
            <w:vAlign w:val="center"/>
          </w:tcPr>
          <w:p>
            <w:pPr>
              <w:snapToGrid w:val="0"/>
              <w:ind w:firstLine="0" w:firstLineChars="0"/>
              <w:jc w:val="center"/>
              <w:rPr>
                <w:rFonts w:ascii="宋体" w:hAnsi="宋体" w:cs="宋体"/>
                <w:color w:val="auto"/>
                <w:highlight w:val="none"/>
              </w:rPr>
            </w:pPr>
          </w:p>
        </w:tc>
        <w:tc>
          <w:tcPr>
            <w:tcW w:w="3118" w:type="dxa"/>
            <w:vAlign w:val="center"/>
          </w:tcPr>
          <w:p>
            <w:pPr>
              <w:snapToGrid w:val="0"/>
              <w:ind w:firstLine="0" w:firstLineChars="0"/>
              <w:jc w:val="center"/>
              <w:rPr>
                <w:rFonts w:ascii="宋体" w:hAnsi="宋体" w:cs="宋体"/>
                <w:color w:val="auto"/>
                <w:highlight w:val="none"/>
              </w:rPr>
            </w:pPr>
          </w:p>
        </w:tc>
        <w:tc>
          <w:tcPr>
            <w:tcW w:w="993" w:type="dxa"/>
            <w:vAlign w:val="center"/>
          </w:tcPr>
          <w:p>
            <w:pPr>
              <w:snapToGrid w:val="0"/>
              <w:ind w:firstLine="0" w:firstLineChars="0"/>
              <w:jc w:val="center"/>
              <w:rPr>
                <w:rFonts w:ascii="宋体" w:hAnsi="宋体" w:cs="宋体"/>
                <w:color w:val="auto"/>
                <w:highlight w:val="none"/>
              </w:rPr>
            </w:pPr>
          </w:p>
        </w:tc>
        <w:tc>
          <w:tcPr>
            <w:tcW w:w="1559" w:type="dxa"/>
            <w:vAlign w:val="center"/>
          </w:tcPr>
          <w:p>
            <w:pPr>
              <w:ind w:firstLine="0" w:firstLineChars="0"/>
              <w:jc w:val="center"/>
              <w:rPr>
                <w:rFonts w:ascii="宋体" w:hAnsi="宋体" w:cs="宋体"/>
                <w:color w:val="auto"/>
                <w:highlight w:val="none"/>
              </w:rPr>
            </w:pPr>
          </w:p>
        </w:tc>
        <w:tc>
          <w:tcPr>
            <w:tcW w:w="1984" w:type="dxa"/>
            <w:vAlign w:val="center"/>
          </w:tcPr>
          <w:p>
            <w:pPr>
              <w:ind w:firstLine="0" w:firstLineChars="0"/>
              <w:jc w:val="center"/>
              <w:rPr>
                <w:rFonts w:ascii="宋体" w:hAnsi="宋体" w:cs="宋体"/>
                <w:color w:val="auto"/>
                <w:highlight w:val="none"/>
              </w:rPr>
            </w:pPr>
          </w:p>
        </w:tc>
        <w:tc>
          <w:tcPr>
            <w:tcW w:w="3119" w:type="dxa"/>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ascii="宋体" w:hAnsi="宋体" w:cs="宋体"/>
                <w:color w:val="auto"/>
                <w:highlight w:val="none"/>
              </w:rPr>
            </w:pPr>
          </w:p>
        </w:tc>
        <w:tc>
          <w:tcPr>
            <w:tcW w:w="1417" w:type="dxa"/>
            <w:vAlign w:val="center"/>
          </w:tcPr>
          <w:p>
            <w:pPr>
              <w:snapToGrid w:val="0"/>
              <w:ind w:firstLine="0" w:firstLineChars="0"/>
              <w:jc w:val="center"/>
              <w:rPr>
                <w:rFonts w:ascii="宋体" w:hAnsi="宋体" w:cs="宋体"/>
                <w:color w:val="auto"/>
                <w:highlight w:val="none"/>
              </w:rPr>
            </w:pPr>
          </w:p>
        </w:tc>
        <w:tc>
          <w:tcPr>
            <w:tcW w:w="1843" w:type="dxa"/>
            <w:vAlign w:val="center"/>
          </w:tcPr>
          <w:p>
            <w:pPr>
              <w:snapToGrid w:val="0"/>
              <w:ind w:firstLine="0" w:firstLineChars="0"/>
              <w:jc w:val="center"/>
              <w:rPr>
                <w:rFonts w:ascii="宋体" w:hAnsi="宋体" w:cs="宋体"/>
                <w:color w:val="auto"/>
                <w:highlight w:val="none"/>
              </w:rPr>
            </w:pPr>
          </w:p>
        </w:tc>
        <w:tc>
          <w:tcPr>
            <w:tcW w:w="3118" w:type="dxa"/>
            <w:vAlign w:val="center"/>
          </w:tcPr>
          <w:p>
            <w:pPr>
              <w:snapToGrid w:val="0"/>
              <w:ind w:firstLine="0" w:firstLineChars="0"/>
              <w:jc w:val="center"/>
              <w:rPr>
                <w:rFonts w:ascii="宋体" w:hAnsi="宋体" w:cs="宋体"/>
                <w:color w:val="auto"/>
                <w:highlight w:val="none"/>
              </w:rPr>
            </w:pPr>
          </w:p>
        </w:tc>
        <w:tc>
          <w:tcPr>
            <w:tcW w:w="993" w:type="dxa"/>
            <w:vAlign w:val="center"/>
          </w:tcPr>
          <w:p>
            <w:pPr>
              <w:snapToGrid w:val="0"/>
              <w:ind w:firstLine="0" w:firstLineChars="0"/>
              <w:jc w:val="center"/>
              <w:rPr>
                <w:rFonts w:ascii="宋体" w:hAnsi="宋体" w:cs="宋体"/>
                <w:color w:val="auto"/>
                <w:highlight w:val="none"/>
              </w:rPr>
            </w:pPr>
          </w:p>
        </w:tc>
        <w:tc>
          <w:tcPr>
            <w:tcW w:w="1559" w:type="dxa"/>
            <w:vAlign w:val="center"/>
          </w:tcPr>
          <w:p>
            <w:pPr>
              <w:ind w:firstLine="0" w:firstLineChars="0"/>
              <w:jc w:val="center"/>
              <w:rPr>
                <w:rFonts w:ascii="宋体" w:hAnsi="宋体" w:cs="宋体"/>
                <w:color w:val="auto"/>
                <w:highlight w:val="none"/>
              </w:rPr>
            </w:pPr>
          </w:p>
        </w:tc>
        <w:tc>
          <w:tcPr>
            <w:tcW w:w="1984" w:type="dxa"/>
            <w:vAlign w:val="center"/>
          </w:tcPr>
          <w:p>
            <w:pPr>
              <w:ind w:firstLine="0" w:firstLineChars="0"/>
              <w:jc w:val="center"/>
              <w:rPr>
                <w:rFonts w:ascii="宋体" w:hAnsi="宋体" w:cs="宋体"/>
                <w:color w:val="auto"/>
                <w:highlight w:val="none"/>
              </w:rPr>
            </w:pPr>
          </w:p>
        </w:tc>
        <w:tc>
          <w:tcPr>
            <w:tcW w:w="3119" w:type="dxa"/>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投标报价（小写）</w:t>
            </w:r>
          </w:p>
        </w:tc>
        <w:tc>
          <w:tcPr>
            <w:tcW w:w="7655" w:type="dxa"/>
            <w:gridSpan w:val="4"/>
            <w:vAlign w:val="center"/>
          </w:tcPr>
          <w:p>
            <w:pPr>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投标报价（大写）</w:t>
            </w:r>
          </w:p>
        </w:tc>
        <w:tc>
          <w:tcPr>
            <w:tcW w:w="7655" w:type="dxa"/>
            <w:gridSpan w:val="4"/>
            <w:vAlign w:val="center"/>
          </w:tcPr>
          <w:p>
            <w:pPr>
              <w:ind w:firstLine="0" w:firstLineChars="0"/>
              <w:jc w:val="center"/>
              <w:rPr>
                <w:rFonts w:ascii="宋体" w:hAnsi="宋体" w:cs="宋体"/>
                <w:color w:val="auto"/>
                <w:highlight w:val="none"/>
              </w:rPr>
            </w:pPr>
          </w:p>
        </w:tc>
      </w:tr>
    </w:tbl>
    <w:p>
      <w:pPr>
        <w:snapToGrid w:val="0"/>
        <w:ind w:left="480" w:firstLine="482"/>
        <w:rPr>
          <w:rFonts w:ascii="宋体" w:hAnsi="宋体" w:cs="宋体"/>
          <w:b/>
          <w:color w:val="auto"/>
          <w:kern w:val="0"/>
          <w:highlight w:val="none"/>
          <w:lang w:val="zh-CN"/>
        </w:rPr>
      </w:pPr>
      <w:r>
        <w:rPr>
          <w:rFonts w:hint="eastAsia" w:ascii="宋体" w:hAnsi="宋体" w:cs="宋体"/>
          <w:b/>
          <w:color w:val="auto"/>
          <w:kern w:val="0"/>
          <w:highlight w:val="none"/>
          <w:lang w:val="zh-CN"/>
        </w:rPr>
        <w:t>注：</w:t>
      </w:r>
    </w:p>
    <w:p>
      <w:pPr>
        <w:ind w:left="-2" w:leftChars="-1" w:firstLine="480"/>
        <w:rPr>
          <w:rFonts w:ascii="宋体" w:hAnsi="宋体" w:cs="宋体"/>
          <w:color w:val="auto"/>
          <w:kern w:val="0"/>
          <w:highlight w:val="none"/>
          <w:lang w:val="zh-CN"/>
        </w:rPr>
      </w:pPr>
      <w:r>
        <w:rPr>
          <w:rFonts w:hint="eastAsia" w:ascii="宋体" w:hAnsi="宋体" w:cs="宋体"/>
          <w:color w:val="auto"/>
          <w:kern w:val="0"/>
          <w:highlight w:val="none"/>
          <w:lang w:val="zh-CN"/>
        </w:rPr>
        <w:t>1、投标人需按本表格式填写</w:t>
      </w:r>
      <w:r>
        <w:rPr>
          <w:rFonts w:hint="eastAsia" w:ascii="宋体" w:hAnsi="宋体" w:cs="宋体"/>
          <w:b/>
          <w:color w:val="auto"/>
          <w:kern w:val="0"/>
          <w:highlight w:val="none"/>
          <w:lang w:val="zh-CN"/>
        </w:rPr>
        <w:t>，</w:t>
      </w:r>
      <w:r>
        <w:rPr>
          <w:rFonts w:hint="eastAsia" w:ascii="宋体" w:hAnsi="宋体" w:cs="宋体"/>
          <w:b/>
          <w:color w:val="auto"/>
          <w:kern w:val="0"/>
          <w:highlight w:val="none"/>
        </w:rPr>
        <w:t>否则视为</w:t>
      </w:r>
      <w:r>
        <w:rPr>
          <w:rFonts w:hint="eastAsia" w:ascii="宋体" w:hAnsi="宋体" w:cs="宋体"/>
          <w:b/>
          <w:color w:val="auto"/>
          <w:highlight w:val="none"/>
        </w:rPr>
        <w:t>投标文件含有采购人不能接受的附加条件，投标无效</w:t>
      </w:r>
      <w:r>
        <w:rPr>
          <w:rFonts w:hint="eastAsia" w:ascii="宋体" w:hAnsi="宋体" w:cs="宋体"/>
          <w:color w:val="auto"/>
          <w:kern w:val="0"/>
          <w:highlight w:val="none"/>
          <w:lang w:val="zh-CN"/>
        </w:rPr>
        <w:t>。</w:t>
      </w:r>
    </w:p>
    <w:p>
      <w:pPr>
        <w:ind w:firstLine="480"/>
        <w:rPr>
          <w:rFonts w:ascii="宋体" w:hAnsi="宋体" w:cs="宋体"/>
          <w:color w:val="auto"/>
          <w:kern w:val="0"/>
          <w:highlight w:val="none"/>
        </w:rPr>
      </w:pPr>
      <w:r>
        <w:rPr>
          <w:rFonts w:hint="eastAsia" w:ascii="宋体" w:hAnsi="宋体" w:cs="宋体"/>
          <w:color w:val="auto"/>
          <w:kern w:val="0"/>
          <w:highlight w:val="none"/>
          <w:lang w:val="zh-CN"/>
        </w:rPr>
        <w:t>2、有关本项目实施所涉及的一切费用均计入报价。</w:t>
      </w:r>
      <w:r>
        <w:rPr>
          <w:rFonts w:hint="eastAsia" w:ascii="宋体" w:hAnsi="宋体" w:cs="宋体"/>
          <w:b/>
          <w:color w:val="auto"/>
          <w:kern w:val="0"/>
          <w:highlight w:val="none"/>
          <w:lang w:val="zh-CN"/>
        </w:rPr>
        <w:t>采购人将以合同形式有偿取得货物或服务，不接受投标人给予的赠品、回扣或者与采购无关的其他商品、服务</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不得出现“0元”“免费赠送”等形式的无偿报价，</w:t>
      </w:r>
      <w:r>
        <w:rPr>
          <w:rFonts w:hint="eastAsia" w:ascii="宋体" w:hAnsi="宋体" w:cs="宋体"/>
          <w:b/>
          <w:color w:val="auto"/>
          <w:kern w:val="0"/>
          <w:highlight w:val="none"/>
        </w:rPr>
        <w:t>否则视为</w:t>
      </w:r>
      <w:r>
        <w:rPr>
          <w:rFonts w:hint="eastAsia" w:ascii="宋体" w:hAnsi="宋体" w:cs="宋体"/>
          <w:b/>
          <w:color w:val="auto"/>
          <w:highlight w:val="none"/>
        </w:rPr>
        <w:t>投标文件含有采购人不能接受的附加条件，投标无效</w:t>
      </w:r>
      <w:r>
        <w:rPr>
          <w:rFonts w:hint="eastAsia" w:ascii="宋体" w:hAnsi="宋体" w:cs="宋体"/>
          <w:b/>
          <w:color w:val="auto"/>
          <w:kern w:val="0"/>
          <w:highlight w:val="none"/>
          <w:lang w:val="zh-CN"/>
        </w:rPr>
        <w:t>；采购内容未包含在《开标一览表（报价表）》名称栏中，投标人不能作出合理解释的，</w:t>
      </w:r>
      <w:r>
        <w:rPr>
          <w:rFonts w:hint="eastAsia" w:ascii="宋体" w:hAnsi="宋体" w:cs="宋体"/>
          <w:b/>
          <w:color w:val="auto"/>
          <w:kern w:val="0"/>
          <w:highlight w:val="none"/>
        </w:rPr>
        <w:t>视为</w:t>
      </w:r>
      <w:r>
        <w:rPr>
          <w:rFonts w:hint="eastAsia" w:ascii="宋体" w:hAnsi="宋体" w:cs="宋体"/>
          <w:b/>
          <w:color w:val="auto"/>
          <w:highlight w:val="none"/>
        </w:rPr>
        <w:t>投标文件含有采购人不能接受的附加条件的，投标无效。</w:t>
      </w:r>
    </w:p>
    <w:p>
      <w:pPr>
        <w:snapToGrid w:val="0"/>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3、特别提示：采购代理机构将对项目名称和项目编号，中标供应商名称、地址和中标金额，主要中标标的名称、品牌（如果有）、规格型号、数量、单价等予以公示。</w:t>
      </w:r>
    </w:p>
    <w:p>
      <w:pPr>
        <w:ind w:firstLine="480"/>
        <w:rPr>
          <w:rFonts w:ascii="宋体" w:hAnsi="宋体" w:cs="宋体"/>
          <w:color w:val="auto"/>
          <w:highlight w:val="none"/>
        </w:rPr>
      </w:pPr>
      <w:r>
        <w:rPr>
          <w:rFonts w:ascii="宋体" w:hAnsi="宋体" w:cs="宋体"/>
          <w:color w:val="auto"/>
          <w:kern w:val="0"/>
          <w:szCs w:val="22"/>
          <w:highlight w:val="none"/>
          <w:lang w:val="zh-CN"/>
        </w:rPr>
        <w:t>4</w:t>
      </w:r>
      <w:r>
        <w:rPr>
          <w:rFonts w:hint="eastAsia" w:ascii="宋体" w:hAnsi="宋体" w:cs="宋体"/>
          <w:color w:val="auto"/>
          <w:kern w:val="0"/>
          <w:szCs w:val="22"/>
          <w:highlight w:val="none"/>
          <w:lang w:val="zh-CN"/>
        </w:rPr>
        <w:t>、</w:t>
      </w:r>
      <w:r>
        <w:rPr>
          <w:rFonts w:hint="eastAsia" w:ascii="宋体" w:hAnsi="宋体" w:cs="宋体"/>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0"/>
        <w:rPr>
          <w:rFonts w:ascii="宋体" w:hAnsi="宋体" w:cs="宋体"/>
          <w:color w:val="auto"/>
          <w:spacing w:val="20"/>
          <w:highlight w:val="none"/>
          <w:u w:val="single"/>
        </w:rPr>
      </w:pPr>
      <w:r>
        <w:rPr>
          <w:rFonts w:hint="eastAsia" w:ascii="宋体" w:hAnsi="宋体" w:cs="宋体"/>
          <w:color w:val="auto"/>
          <w:highlight w:val="none"/>
        </w:rPr>
        <w:t>投标人名称（电子签章）</w:t>
      </w:r>
      <w:r>
        <w:rPr>
          <w:rFonts w:hint="eastAsia" w:ascii="宋体" w:hAnsi="宋体" w:cs="宋体"/>
          <w:color w:val="auto"/>
          <w:spacing w:val="20"/>
          <w:highlight w:val="none"/>
        </w:rPr>
        <w:t>：</w:t>
      </w:r>
      <w:r>
        <w:rPr>
          <w:rFonts w:hint="eastAsia" w:ascii="宋体" w:hAnsi="宋体" w:cs="宋体"/>
          <w:color w:val="auto"/>
          <w:spacing w:val="20"/>
          <w:highlight w:val="none"/>
          <w:u w:val="single"/>
        </w:rPr>
        <w:t xml:space="preserve">            </w:t>
      </w:r>
    </w:p>
    <w:p>
      <w:pPr>
        <w:ind w:firstLine="480"/>
        <w:rPr>
          <w:rFonts w:ascii="宋体" w:hAnsi="宋体" w:cs="宋体"/>
          <w:color w:val="auto"/>
          <w:spacing w:val="20"/>
          <w:highlight w:val="none"/>
        </w:rPr>
      </w:pPr>
      <w:r>
        <w:rPr>
          <w:rFonts w:hint="eastAsia" w:ascii="宋体" w:hAnsi="宋体" w:cs="宋体"/>
          <w:color w:val="auto"/>
          <w:highlight w:val="none"/>
        </w:rPr>
        <w:t>法定代表人（签字）</w:t>
      </w:r>
      <w:r>
        <w:rPr>
          <w:rFonts w:hint="eastAsia" w:ascii="宋体" w:hAnsi="宋体" w:cs="宋体"/>
          <w:color w:val="auto"/>
          <w:spacing w:val="20"/>
          <w:highlight w:val="none"/>
        </w:rPr>
        <w:t>：</w:t>
      </w:r>
      <w:r>
        <w:rPr>
          <w:rFonts w:hint="eastAsia" w:ascii="宋体" w:hAnsi="宋体" w:cs="宋体"/>
          <w:color w:val="auto"/>
          <w:spacing w:val="20"/>
          <w:highlight w:val="none"/>
          <w:u w:val="single"/>
        </w:rPr>
        <w:t xml:space="preserve">               </w:t>
      </w:r>
    </w:p>
    <w:p>
      <w:pPr>
        <w:snapToGrid w:val="0"/>
        <w:spacing w:before="50" w:after="164" w:afterLines="50"/>
        <w:ind w:firstLine="48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rPr>
          <w:rFonts w:ascii="宋体" w:hAnsi="宋体" w:cs="宋体"/>
          <w:snapToGrid w:val="0"/>
          <w:color w:val="auto"/>
          <w:kern w:val="0"/>
          <w:highlight w:val="none"/>
        </w:rPr>
        <w:sectPr>
          <w:pgSz w:w="16838" w:h="11906" w:orient="landscape"/>
          <w:pgMar w:top="1417" w:right="1474" w:bottom="1417" w:left="1247" w:header="567" w:footer="567" w:gutter="0"/>
          <w:cols w:space="0" w:num="1"/>
          <w:docGrid w:type="lines" w:linePitch="328" w:charSpace="0"/>
        </w:sectPr>
      </w:pPr>
      <w:r>
        <w:rPr>
          <w:rFonts w:hint="eastAsia" w:ascii="宋体" w:hAnsi="宋体" w:cs="宋体"/>
          <w:snapToGrid w:val="0"/>
          <w:color w:val="auto"/>
          <w:kern w:val="0"/>
          <w:highlight w:val="none"/>
        </w:rPr>
        <w:br w:type="page"/>
      </w:r>
    </w:p>
    <w:p>
      <w:pPr>
        <w:pStyle w:val="3"/>
        <w:rPr>
          <w:color w:val="auto"/>
          <w:highlight w:val="none"/>
        </w:rPr>
      </w:pPr>
      <w:bookmarkStart w:id="175" w:name="_Toc14417"/>
      <w:r>
        <w:rPr>
          <w:rFonts w:hint="eastAsia"/>
          <w:color w:val="auto"/>
          <w:highlight w:val="none"/>
        </w:rPr>
        <w:t>第七部分 其他</w:t>
      </w:r>
      <w:bookmarkEnd w:id="175"/>
    </w:p>
    <w:p>
      <w:pPr>
        <w:snapToGrid w:val="0"/>
        <w:spacing w:after="164" w:afterLines="50" w:line="312" w:lineRule="auto"/>
        <w:ind w:firstLine="0" w:firstLineChars="0"/>
        <w:jc w:val="center"/>
        <w:rPr>
          <w:rStyle w:val="36"/>
          <w:color w:val="auto"/>
          <w:sz w:val="28"/>
          <w:szCs w:val="28"/>
          <w:highlight w:val="none"/>
        </w:rPr>
      </w:pPr>
      <w:r>
        <w:rPr>
          <w:rStyle w:val="36"/>
          <w:rFonts w:hint="eastAsia"/>
          <w:color w:val="auto"/>
          <w:sz w:val="28"/>
          <w:szCs w:val="28"/>
          <w:highlight w:val="none"/>
        </w:rPr>
        <w:t>政府采购活动现场确认声明书</w:t>
      </w:r>
    </w:p>
    <w:p>
      <w:pPr>
        <w:snapToGrid w:val="0"/>
        <w:spacing w:after="164" w:afterLines="50" w:line="312" w:lineRule="auto"/>
        <w:ind w:firstLine="0" w:firstLineChars="0"/>
        <w:jc w:val="left"/>
        <w:rPr>
          <w:rFonts w:ascii="宋体" w:hAnsi="宋体" w:cs="宋体"/>
          <w:b/>
          <w:color w:val="auto"/>
          <w:highlight w:val="none"/>
        </w:rPr>
      </w:pPr>
      <w:r>
        <w:rPr>
          <w:rFonts w:hint="eastAsia" w:ascii="宋体" w:hAnsi="宋体" w:cs="宋体"/>
          <w:color w:val="auto"/>
          <w:kern w:val="0"/>
          <w:highlight w:val="none"/>
          <w:u w:val="single"/>
        </w:rPr>
        <w:t xml:space="preserve">                      </w:t>
      </w:r>
      <w:r>
        <w:rPr>
          <w:rFonts w:asciiTheme="minorEastAsia" w:hAnsiTheme="minorEastAsia" w:eastAsiaTheme="minorEastAsia" w:cstheme="minorEastAsia"/>
          <w:color w:val="auto"/>
          <w:kern w:val="0"/>
          <w:highlight w:val="none"/>
        </w:rPr>
        <w:t>（采购组织机构名称）</w:t>
      </w:r>
      <w:r>
        <w:rPr>
          <w:rFonts w:hint="eastAsia" w:ascii="宋体" w:hAnsi="宋体" w:cs="宋体"/>
          <w:color w:val="auto"/>
          <w:kern w:val="0"/>
          <w:highlight w:val="none"/>
        </w:rPr>
        <w:t>：</w:t>
      </w:r>
    </w:p>
    <w:p>
      <w:pPr>
        <w:snapToGrid w:val="0"/>
        <w:spacing w:line="400" w:lineRule="exact"/>
        <w:ind w:firstLine="504"/>
        <w:rPr>
          <w:rFonts w:ascii="宋体" w:hAnsi="宋体" w:cs="宋体"/>
          <w:color w:val="auto"/>
          <w:spacing w:val="6"/>
          <w:highlight w:val="none"/>
        </w:rPr>
      </w:pPr>
      <w:r>
        <w:rPr>
          <w:rFonts w:hint="eastAsia" w:ascii="宋体" w:hAnsi="宋体" w:cs="宋体"/>
          <w:color w:val="auto"/>
          <w:spacing w:val="6"/>
          <w:highlight w:val="none"/>
        </w:rPr>
        <w:t>本人经由</w:t>
      </w:r>
      <w:r>
        <w:rPr>
          <w:rFonts w:hint="eastAsia" w:ascii="宋体" w:hAnsi="宋体" w:cs="宋体"/>
          <w:color w:val="auto"/>
          <w:spacing w:val="6"/>
          <w:highlight w:val="none"/>
          <w:u w:val="single"/>
        </w:rPr>
        <w:t xml:space="preserve">                     （</w:t>
      </w:r>
      <w:r>
        <w:rPr>
          <w:rFonts w:hint="eastAsia" w:cs="宋体"/>
          <w:color w:val="auto"/>
          <w:spacing w:val="6"/>
          <w:highlight w:val="none"/>
          <w:u w:val="single"/>
        </w:rPr>
        <w:t>投标人名称</w:t>
      </w:r>
      <w:r>
        <w:rPr>
          <w:rFonts w:hint="eastAsia" w:ascii="宋体" w:hAnsi="宋体" w:cs="宋体"/>
          <w:color w:val="auto"/>
          <w:spacing w:val="6"/>
          <w:highlight w:val="none"/>
          <w:u w:val="single"/>
        </w:rPr>
        <w:t>）</w:t>
      </w:r>
      <w:r>
        <w:rPr>
          <w:rFonts w:hint="eastAsia" w:ascii="宋体" w:hAnsi="宋体" w:cs="宋体"/>
          <w:color w:val="auto"/>
          <w:spacing w:val="6"/>
          <w:highlight w:val="none"/>
        </w:rPr>
        <w:t>负责人</w:t>
      </w:r>
      <w:r>
        <w:rPr>
          <w:rFonts w:hint="eastAsia" w:cs="宋体"/>
          <w:color w:val="auto"/>
          <w:spacing w:val="6"/>
          <w:highlight w:val="none"/>
          <w:u w:val="single"/>
        </w:rPr>
        <w:t xml:space="preserve"> </w:t>
      </w:r>
      <w:r>
        <w:rPr>
          <w:rFonts w:hint="eastAsia" w:ascii="宋体" w:hAnsi="宋体" w:cs="宋体"/>
          <w:color w:val="auto"/>
          <w:spacing w:val="6"/>
          <w:highlight w:val="none"/>
          <w:u w:val="single"/>
        </w:rPr>
        <w:t xml:space="preserve">        （姓名）</w:t>
      </w:r>
      <w:r>
        <w:rPr>
          <w:rFonts w:hint="eastAsia" w:ascii="宋体" w:hAnsi="宋体" w:cs="宋体"/>
          <w:color w:val="auto"/>
          <w:spacing w:val="6"/>
          <w:highlight w:val="none"/>
        </w:rPr>
        <w:t>合法授权参加</w:t>
      </w:r>
      <w:r>
        <w:rPr>
          <w:rFonts w:hint="eastAsia" w:ascii="宋体" w:hAnsi="宋体" w:cs="宋体"/>
          <w:color w:val="auto"/>
          <w:spacing w:val="6"/>
          <w:highlight w:val="none"/>
          <w:u w:val="single"/>
        </w:rPr>
        <w:t xml:space="preserve">      </w:t>
      </w:r>
      <w:r>
        <w:rPr>
          <w:rFonts w:hint="eastAsia"/>
          <w:color w:val="auto"/>
          <w:highlight w:val="none"/>
          <w:u w:val="single"/>
        </w:rPr>
        <w:t xml:space="preserve">（项目名称）            </w:t>
      </w:r>
      <w:r>
        <w:rPr>
          <w:rFonts w:hint="eastAsia" w:ascii="宋体" w:hAnsi="宋体" w:cs="宋体"/>
          <w:color w:val="auto"/>
          <w:spacing w:val="6"/>
          <w:highlight w:val="none"/>
        </w:rPr>
        <w:t>政府采购项目（编号：</w:t>
      </w:r>
      <w:r>
        <w:rPr>
          <w:rFonts w:hint="eastAsia" w:hAnsi="宋体" w:cs="宋体"/>
          <w:color w:val="auto"/>
          <w:highlight w:val="none"/>
          <w:u w:val="single"/>
        </w:rPr>
        <w:t xml:space="preserve">           </w:t>
      </w:r>
      <w:r>
        <w:rPr>
          <w:rFonts w:hint="eastAsia" w:ascii="宋体" w:hAnsi="宋体" w:cs="宋体"/>
          <w:color w:val="auto"/>
          <w:kern w:val="0"/>
          <w:highlight w:val="none"/>
        </w:rPr>
        <w:t>）的</w:t>
      </w:r>
      <w:r>
        <w:rPr>
          <w:rFonts w:hint="eastAsia" w:ascii="宋体" w:hAnsi="宋体" w:cs="宋体"/>
          <w:color w:val="auto"/>
          <w:spacing w:val="6"/>
          <w:highlight w:val="none"/>
        </w:rPr>
        <w:t xml:space="preserve">政府采购活动，经与本单位法人代表（负责人）联系确认，现就有关公平竞争事项郑重声明如下： </w:t>
      </w:r>
    </w:p>
    <w:p>
      <w:pPr>
        <w:widowControl/>
        <w:snapToGrid w:val="0"/>
        <w:spacing w:line="400" w:lineRule="exact"/>
        <w:ind w:right="89" w:rightChars="37" w:firstLine="480"/>
        <w:rPr>
          <w:rFonts w:ascii="宋体" w:hAnsi="宋体" w:cs="宋体"/>
          <w:color w:val="auto"/>
          <w:kern w:val="0"/>
          <w:highlight w:val="none"/>
        </w:rPr>
      </w:pPr>
      <w:r>
        <w:rPr>
          <w:rFonts w:hint="eastAsia" w:cs="宋体"/>
          <w:color w:val="auto"/>
          <w:kern w:val="0"/>
          <w:highlight w:val="none"/>
        </w:rPr>
        <w:t>一、</w:t>
      </w:r>
      <w:r>
        <w:rPr>
          <w:rFonts w:hint="eastAsia" w:ascii="宋体" w:hAnsi="宋体" w:cs="宋体"/>
          <w:color w:val="auto"/>
          <w:kern w:val="0"/>
          <w:highlight w:val="none"/>
        </w:rPr>
        <w:t>本单位与采购人之间  □不存在利害关系  □存在下列利害关系</w:t>
      </w:r>
      <w:r>
        <w:rPr>
          <w:rFonts w:hint="eastAsia" w:ascii="宋体" w:hAnsi="宋体" w:cs="宋体"/>
          <w:color w:val="auto"/>
          <w:kern w:val="0"/>
          <w:highlight w:val="none"/>
          <w:u w:val="single"/>
        </w:rPr>
        <w:t xml:space="preserve">    </w:t>
      </w:r>
      <w:r>
        <w:rPr>
          <w:rFonts w:hint="eastAsia" w:cs="宋体"/>
          <w:color w:val="auto"/>
          <w:kern w:val="0"/>
          <w:highlight w:val="none"/>
          <w:u w:val="single"/>
        </w:rPr>
        <w:t xml:space="preserve">      </w:t>
      </w:r>
      <w:r>
        <w:rPr>
          <w:rFonts w:hint="eastAsia" w:ascii="宋体" w:hAnsi="宋体" w:cs="宋体"/>
          <w:color w:val="auto"/>
          <w:kern w:val="0"/>
          <w:highlight w:val="none"/>
        </w:rPr>
        <w:t>：</w:t>
      </w:r>
    </w:p>
    <w:p>
      <w:pPr>
        <w:spacing w:line="400" w:lineRule="exact"/>
        <w:ind w:firstLine="480"/>
        <w:rPr>
          <w:color w:val="auto"/>
          <w:highlight w:val="none"/>
        </w:rPr>
      </w:pPr>
      <w:r>
        <w:rPr>
          <w:rFonts w:hint="eastAsia"/>
          <w:color w:val="auto"/>
          <w:highlight w:val="none"/>
        </w:rPr>
        <w:t>A.投资关系    B.行政隶属关系    C.业务指导关系</w:t>
      </w:r>
    </w:p>
    <w:p>
      <w:pPr>
        <w:spacing w:line="400" w:lineRule="exact"/>
        <w:ind w:firstLine="480"/>
        <w:rPr>
          <w:color w:val="auto"/>
          <w:highlight w:val="none"/>
          <w:u w:val="single"/>
        </w:rPr>
      </w:pPr>
      <w:r>
        <w:rPr>
          <w:rFonts w:hint="eastAsia"/>
          <w:color w:val="auto"/>
          <w:highlight w:val="none"/>
        </w:rPr>
        <w:t>D.其他可能影响采购公正的利害关系</w:t>
      </w:r>
      <w:r>
        <w:rPr>
          <w:rFonts w:hint="eastAsia"/>
          <w:color w:val="auto"/>
          <w:highlight w:val="none"/>
          <w:u w:val="single"/>
        </w:rPr>
        <w:t xml:space="preserve">（如有，请如实说明）        </w:t>
      </w:r>
      <w:r>
        <w:rPr>
          <w:rFonts w:hint="eastAsia"/>
          <w:color w:val="auto"/>
          <w:highlight w:val="none"/>
        </w:rPr>
        <w:t>。</w:t>
      </w:r>
    </w:p>
    <w:p>
      <w:pPr>
        <w:widowControl/>
        <w:snapToGrid w:val="0"/>
        <w:spacing w:line="400" w:lineRule="exact"/>
        <w:ind w:firstLine="504"/>
        <w:rPr>
          <w:rFonts w:ascii="宋体" w:hAnsi="宋体" w:cs="宋体"/>
          <w:color w:val="auto"/>
          <w:kern w:val="0"/>
          <w:highlight w:val="none"/>
        </w:rPr>
      </w:pPr>
      <w:r>
        <w:rPr>
          <w:rFonts w:hint="eastAsia" w:ascii="宋体" w:hAnsi="宋体" w:cs="宋体"/>
          <w:color w:val="auto"/>
          <w:spacing w:val="6"/>
          <w:highlight w:val="none"/>
        </w:rPr>
        <w:t>二、</w:t>
      </w:r>
      <w:r>
        <w:rPr>
          <w:rFonts w:hint="eastAsia" w:ascii="宋体" w:hAnsi="宋体" w:cs="宋体"/>
          <w:color w:val="auto"/>
          <w:kern w:val="0"/>
          <w:highlight w:val="none"/>
        </w:rPr>
        <w:t>现已清楚知道参加本项目采购活动的其他所有</w:t>
      </w:r>
      <w:r>
        <w:rPr>
          <w:rFonts w:hint="eastAsia" w:cs="宋体"/>
          <w:color w:val="auto"/>
          <w:kern w:val="0"/>
          <w:highlight w:val="none"/>
        </w:rPr>
        <w:t>投标人</w:t>
      </w:r>
      <w:r>
        <w:rPr>
          <w:rFonts w:hint="eastAsia" w:ascii="宋体" w:hAnsi="宋体" w:cs="宋体"/>
          <w:color w:val="auto"/>
          <w:kern w:val="0"/>
          <w:highlight w:val="none"/>
        </w:rPr>
        <w:t>名称，本单位 □与其他所有</w:t>
      </w:r>
      <w:r>
        <w:rPr>
          <w:rFonts w:hint="eastAsia" w:cs="宋体"/>
          <w:color w:val="auto"/>
          <w:kern w:val="0"/>
          <w:highlight w:val="none"/>
        </w:rPr>
        <w:t>投标人</w:t>
      </w:r>
      <w:r>
        <w:rPr>
          <w:rFonts w:hint="eastAsia" w:ascii="宋体" w:hAnsi="宋体" w:cs="宋体"/>
          <w:color w:val="auto"/>
          <w:kern w:val="0"/>
          <w:highlight w:val="none"/>
        </w:rPr>
        <w:t>之间均不存在利害关系 □与</w:t>
      </w:r>
      <w:r>
        <w:rPr>
          <w:rFonts w:hint="eastAsia" w:ascii="宋体" w:hAnsi="宋体" w:cs="宋体"/>
          <w:color w:val="auto"/>
          <w:kern w:val="0"/>
          <w:highlight w:val="none"/>
          <w:u w:val="single"/>
        </w:rPr>
        <w:t xml:space="preserve">     （</w:t>
      </w:r>
      <w:r>
        <w:rPr>
          <w:rFonts w:hint="eastAsia" w:cs="宋体"/>
          <w:color w:val="auto"/>
          <w:kern w:val="0"/>
          <w:highlight w:val="none"/>
          <w:u w:val="single"/>
        </w:rPr>
        <w:t>投标人</w:t>
      </w:r>
      <w:r>
        <w:rPr>
          <w:rFonts w:hint="eastAsia" w:ascii="宋体" w:hAnsi="宋体" w:cs="宋体"/>
          <w:color w:val="auto"/>
          <w:kern w:val="0"/>
          <w:highlight w:val="none"/>
          <w:u w:val="single"/>
        </w:rPr>
        <w:t>名称）</w:t>
      </w:r>
      <w:r>
        <w:rPr>
          <w:rFonts w:hint="eastAsia" w:ascii="宋体" w:hAnsi="宋体" w:cs="宋体"/>
          <w:color w:val="auto"/>
          <w:kern w:val="0"/>
          <w:highlight w:val="none"/>
        </w:rPr>
        <w:t>之间存在下列利害关系</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pacing w:line="400" w:lineRule="exact"/>
        <w:ind w:firstLine="480"/>
        <w:rPr>
          <w:color w:val="auto"/>
          <w:highlight w:val="none"/>
        </w:rPr>
      </w:pPr>
      <w:r>
        <w:rPr>
          <w:rFonts w:hint="eastAsia"/>
          <w:color w:val="auto"/>
          <w:highlight w:val="none"/>
        </w:rPr>
        <w:t>A.法定代表人或负责人或实际控制人是同一人</w:t>
      </w:r>
    </w:p>
    <w:p>
      <w:pPr>
        <w:spacing w:line="400" w:lineRule="exact"/>
        <w:ind w:firstLine="480"/>
        <w:rPr>
          <w:color w:val="auto"/>
          <w:highlight w:val="none"/>
        </w:rPr>
      </w:pPr>
      <w:r>
        <w:rPr>
          <w:rFonts w:hint="eastAsia"/>
          <w:color w:val="auto"/>
          <w:highlight w:val="none"/>
        </w:rPr>
        <w:t>B.法定代表人或负责人或实际控制人是夫妻关系</w:t>
      </w:r>
    </w:p>
    <w:p>
      <w:pPr>
        <w:spacing w:line="400" w:lineRule="exact"/>
        <w:ind w:firstLine="480"/>
        <w:rPr>
          <w:color w:val="auto"/>
          <w:highlight w:val="none"/>
        </w:rPr>
      </w:pPr>
      <w:r>
        <w:rPr>
          <w:rFonts w:hint="eastAsia"/>
          <w:color w:val="auto"/>
          <w:highlight w:val="none"/>
        </w:rPr>
        <w:t>C.法定代表人或负责人或实际控制人是直系血亲关系</w:t>
      </w:r>
    </w:p>
    <w:p>
      <w:pPr>
        <w:spacing w:line="400" w:lineRule="exact"/>
        <w:ind w:firstLine="480"/>
        <w:rPr>
          <w:color w:val="auto"/>
          <w:highlight w:val="none"/>
        </w:rPr>
      </w:pPr>
      <w:r>
        <w:rPr>
          <w:rFonts w:hint="eastAsia"/>
          <w:color w:val="auto"/>
          <w:highlight w:val="none"/>
        </w:rPr>
        <w:t>D.法定代表人或负责人或实际控制人存在三代以内旁系血亲关系</w:t>
      </w:r>
    </w:p>
    <w:p>
      <w:pPr>
        <w:spacing w:line="400" w:lineRule="exact"/>
        <w:ind w:firstLine="480"/>
        <w:rPr>
          <w:color w:val="auto"/>
          <w:highlight w:val="none"/>
        </w:rPr>
      </w:pPr>
      <w:r>
        <w:rPr>
          <w:rFonts w:hint="eastAsia"/>
          <w:color w:val="auto"/>
          <w:highlight w:val="none"/>
        </w:rPr>
        <w:t>E.法定代表人或负责人或实际控制人存在近姻亲关系</w:t>
      </w:r>
    </w:p>
    <w:p>
      <w:pPr>
        <w:spacing w:line="400" w:lineRule="exact"/>
        <w:ind w:firstLine="480"/>
        <w:rPr>
          <w:color w:val="auto"/>
          <w:highlight w:val="none"/>
        </w:rPr>
      </w:pPr>
      <w:r>
        <w:rPr>
          <w:rFonts w:hint="eastAsia"/>
          <w:color w:val="auto"/>
          <w:highlight w:val="none"/>
        </w:rPr>
        <w:t>F.法定代表人或负责人或实际控制人存在股份控制或实际控制关系</w:t>
      </w:r>
    </w:p>
    <w:p>
      <w:pPr>
        <w:spacing w:line="400" w:lineRule="exact"/>
        <w:ind w:firstLine="480"/>
        <w:rPr>
          <w:color w:val="auto"/>
          <w:highlight w:val="none"/>
        </w:rPr>
      </w:pPr>
      <w:r>
        <w:rPr>
          <w:rFonts w:hint="eastAsia"/>
          <w:color w:val="auto"/>
          <w:highlight w:val="none"/>
        </w:rPr>
        <w:t>G.存在共同直接或间接投资设立子公司、联营企业和合营企业情况</w:t>
      </w:r>
    </w:p>
    <w:p>
      <w:pPr>
        <w:spacing w:line="400" w:lineRule="exact"/>
        <w:ind w:firstLine="480"/>
        <w:rPr>
          <w:color w:val="auto"/>
          <w:highlight w:val="none"/>
        </w:rPr>
      </w:pPr>
      <w:r>
        <w:rPr>
          <w:rFonts w:hint="eastAsia"/>
          <w:color w:val="auto"/>
          <w:highlight w:val="none"/>
        </w:rPr>
        <w:t>H.存在分级代理或代销关系、同一生产制造商关系、管理关系、重要业务（占主营业务收入50%以上）或重要财务往来关系（如融资）等其他实质性控制关系</w:t>
      </w:r>
    </w:p>
    <w:p>
      <w:pPr>
        <w:spacing w:line="400" w:lineRule="exact"/>
        <w:ind w:firstLine="480"/>
        <w:rPr>
          <w:color w:val="auto"/>
          <w:highlight w:val="none"/>
        </w:rPr>
      </w:pPr>
      <w:r>
        <w:rPr>
          <w:rFonts w:hint="eastAsia"/>
          <w:color w:val="auto"/>
          <w:highlight w:val="none"/>
        </w:rPr>
        <w:t>I.其他利害关系情况</w:t>
      </w:r>
      <w:r>
        <w:rPr>
          <w:rFonts w:hint="eastAsia"/>
          <w:color w:val="auto"/>
          <w:highlight w:val="none"/>
          <w:u w:val="single"/>
        </w:rPr>
        <w:t xml:space="preserve">                              </w:t>
      </w:r>
      <w:r>
        <w:rPr>
          <w:rFonts w:hint="eastAsia"/>
          <w:color w:val="auto"/>
          <w:highlight w:val="none"/>
        </w:rPr>
        <w:t>。</w:t>
      </w:r>
    </w:p>
    <w:p>
      <w:pPr>
        <w:widowControl/>
        <w:numPr>
          <w:ilvl w:val="0"/>
          <w:numId w:val="9"/>
        </w:numPr>
        <w:snapToGrid w:val="0"/>
        <w:spacing w:line="400" w:lineRule="exact"/>
        <w:ind w:firstLine="453" w:firstLineChars="189"/>
        <w:rPr>
          <w:rFonts w:ascii="宋体" w:hAnsi="宋体" w:cs="宋体"/>
          <w:color w:val="auto"/>
          <w:kern w:val="0"/>
          <w:highlight w:val="none"/>
        </w:rPr>
      </w:pPr>
      <w:r>
        <w:rPr>
          <w:rFonts w:hint="eastAsia" w:ascii="宋体" w:hAnsi="宋体" w:cs="宋体"/>
          <w:color w:val="auto"/>
          <w:highlight w:val="none"/>
        </w:rPr>
        <w:t>现已清楚知道并</w:t>
      </w:r>
      <w:r>
        <w:rPr>
          <w:rFonts w:hint="eastAsia" w:ascii="宋体" w:hAnsi="宋体" w:cs="宋体"/>
          <w:color w:val="auto"/>
          <w:kern w:val="0"/>
          <w:highlight w:val="none"/>
        </w:rPr>
        <w:t>严格遵守政府采购法律法规和现场纪律。</w:t>
      </w:r>
    </w:p>
    <w:p>
      <w:pPr>
        <w:widowControl/>
        <w:numPr>
          <w:ilvl w:val="0"/>
          <w:numId w:val="9"/>
        </w:numPr>
        <w:snapToGrid w:val="0"/>
        <w:spacing w:line="400" w:lineRule="exact"/>
        <w:ind w:firstLine="453" w:firstLineChars="189"/>
        <w:rPr>
          <w:rFonts w:ascii="宋体" w:hAnsi="宋体" w:cs="宋体"/>
          <w:color w:val="auto"/>
          <w:kern w:val="0"/>
          <w:highlight w:val="none"/>
        </w:rPr>
      </w:pPr>
      <w:r>
        <w:rPr>
          <w:rFonts w:hint="eastAsia" w:ascii="宋体" w:hAnsi="宋体" w:cs="宋体"/>
          <w:color w:val="auto"/>
          <w:kern w:val="0"/>
          <w:highlight w:val="none"/>
        </w:rPr>
        <w:t>我发现</w:t>
      </w:r>
      <w:r>
        <w:rPr>
          <w:rFonts w:hint="eastAsia" w:ascii="宋体" w:hAnsi="宋体" w:cs="宋体"/>
          <w:color w:val="auto"/>
          <w:kern w:val="0"/>
          <w:highlight w:val="none"/>
          <w:u w:val="single"/>
        </w:rPr>
        <w:t xml:space="preserve">                    </w:t>
      </w:r>
      <w:r>
        <w:rPr>
          <w:rFonts w:hint="eastAsia" w:cs="宋体"/>
          <w:color w:val="auto"/>
          <w:kern w:val="0"/>
          <w:highlight w:val="none"/>
          <w:u w:val="single"/>
        </w:rPr>
        <w:t xml:space="preserve">  </w:t>
      </w:r>
      <w:r>
        <w:rPr>
          <w:rFonts w:hint="eastAsia" w:cs="宋体"/>
          <w:color w:val="auto"/>
          <w:kern w:val="0"/>
          <w:highlight w:val="none"/>
        </w:rPr>
        <w:t xml:space="preserve"> 投标人</w:t>
      </w:r>
      <w:r>
        <w:rPr>
          <w:rFonts w:hint="eastAsia" w:ascii="宋体" w:hAnsi="宋体" w:cs="宋体"/>
          <w:color w:val="auto"/>
          <w:kern w:val="0"/>
          <w:highlight w:val="none"/>
        </w:rPr>
        <w:t>之间存在或可能存在上述第二条第</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项利害关系。</w:t>
      </w:r>
    </w:p>
    <w:p>
      <w:pPr>
        <w:snapToGrid w:val="0"/>
        <w:spacing w:line="400" w:lineRule="exact"/>
        <w:ind w:left="7680" w:leftChars="200" w:hanging="7200" w:hangingChars="3000"/>
        <w:rPr>
          <w:rFonts w:ascii="宋体" w:hAnsi="宋体" w:cs="宋体"/>
          <w:color w:val="auto"/>
          <w:highlight w:val="none"/>
        </w:rPr>
      </w:pPr>
      <w:r>
        <w:rPr>
          <w:rFonts w:hint="eastAsia" w:ascii="宋体" w:hAnsi="宋体" w:cs="宋体"/>
          <w:color w:val="auto"/>
          <w:highlight w:val="none"/>
        </w:rPr>
        <w:t xml:space="preserve">                                （</w:t>
      </w:r>
      <w:r>
        <w:rPr>
          <w:rFonts w:hint="eastAsia" w:cs="宋体"/>
          <w:color w:val="auto"/>
          <w:highlight w:val="none"/>
        </w:rPr>
        <w:t>供应商</w:t>
      </w:r>
      <w:r>
        <w:rPr>
          <w:rFonts w:hint="eastAsia" w:ascii="宋体" w:hAnsi="宋体" w:cs="宋体"/>
          <w:color w:val="auto"/>
          <w:highlight w:val="none"/>
        </w:rPr>
        <w:t>代表签名）：</w:t>
      </w:r>
      <w:r>
        <w:rPr>
          <w:rFonts w:hint="eastAsia"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line="400" w:lineRule="exact"/>
        <w:ind w:firstLine="480"/>
        <w:jc w:val="right"/>
        <w:rPr>
          <w:rFonts w:ascii="黑体" w:hAnsi="黑体" w:eastAsia="黑体" w:cs="黑体"/>
          <w:b/>
          <w:bCs/>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2"/>
        <w:spacing w:before="164"/>
        <w:ind w:firstLine="482"/>
        <w:rPr>
          <w:rFonts w:ascii="黑体" w:hAnsi="黑体" w:eastAsia="黑体" w:cs="黑体"/>
          <w:bCs/>
          <w:color w:val="auto"/>
          <w:highlight w:val="none"/>
        </w:rPr>
      </w:pPr>
      <w:r>
        <w:rPr>
          <w:rFonts w:ascii="黑体" w:hAnsi="黑体" w:eastAsia="黑体" w:cs="黑体"/>
          <w:b/>
          <w:bCs/>
          <w:color w:val="auto"/>
          <w:highlight w:val="none"/>
        </w:rPr>
        <w:t>注：项目结束解密后，各投标人将《政府采购活动现场确认声明书》以扫描件的形式发至代理机构邮箱（</w:t>
      </w:r>
      <w:r>
        <w:rPr>
          <w:rFonts w:hint="eastAsia" w:ascii="黑体" w:hAnsi="黑体" w:eastAsia="黑体" w:cs="黑体"/>
          <w:b/>
          <w:bCs/>
          <w:color w:val="auto"/>
          <w:highlight w:val="none"/>
          <w:lang w:eastAsia="zh-CN"/>
        </w:rPr>
        <w:t>774582605</w:t>
      </w:r>
      <w:r>
        <w:rPr>
          <w:rFonts w:ascii="黑体" w:hAnsi="黑体" w:eastAsia="黑体" w:cs="黑体"/>
          <w:b/>
          <w:bCs/>
          <w:color w:val="auto"/>
          <w:highlight w:val="none"/>
        </w:rPr>
        <w:t>@qq.com），联系人：</w:t>
      </w:r>
      <w:r>
        <w:rPr>
          <w:rFonts w:hint="eastAsia" w:ascii="黑体" w:hAnsi="黑体" w:eastAsia="黑体" w:cs="黑体"/>
          <w:b/>
          <w:bCs/>
          <w:color w:val="auto"/>
          <w:highlight w:val="none"/>
          <w:lang w:eastAsia="zh-CN"/>
        </w:rPr>
        <w:t>吴先生</w:t>
      </w:r>
      <w:r>
        <w:rPr>
          <w:rFonts w:ascii="黑体" w:hAnsi="黑体" w:eastAsia="黑体" w:cs="黑体"/>
          <w:b/>
          <w:bCs/>
          <w:color w:val="auto"/>
          <w:highlight w:val="none"/>
        </w:rPr>
        <w:t>，电话：</w:t>
      </w:r>
      <w:r>
        <w:rPr>
          <w:rFonts w:hint="eastAsia" w:ascii="黑体" w:hAnsi="黑体" w:eastAsia="黑体" w:cs="黑体"/>
          <w:b/>
          <w:bCs/>
          <w:color w:val="auto"/>
          <w:highlight w:val="none"/>
          <w:lang w:eastAsia="zh-CN"/>
        </w:rPr>
        <w:t>18258954800</w:t>
      </w:r>
      <w:r>
        <w:rPr>
          <w:rFonts w:ascii="黑体" w:hAnsi="黑体" w:eastAsia="黑体" w:cs="黑体"/>
          <w:b/>
          <w:bCs/>
          <w:color w:val="auto"/>
          <w:highlight w:val="none"/>
        </w:rPr>
        <w:t>。未按规定发送的，视为无异议，后果由投标人承担。</w:t>
      </w:r>
      <w:r>
        <w:rPr>
          <w:rFonts w:ascii="黑体" w:hAnsi="黑体" w:eastAsia="黑体" w:cs="黑体"/>
          <w:bCs/>
          <w:color w:val="auto"/>
          <w:highlight w:val="none"/>
        </w:rPr>
        <w:t xml:space="preserve">  </w:t>
      </w:r>
    </w:p>
    <w:p>
      <w:pPr>
        <w:ind w:firstLine="480"/>
        <w:rPr>
          <w:rFonts w:ascii="黑体" w:hAnsi="黑体" w:eastAsia="黑体" w:cs="黑体"/>
          <w:bCs/>
          <w:color w:val="auto"/>
          <w:highlight w:val="none"/>
        </w:rPr>
      </w:pPr>
      <w:r>
        <w:rPr>
          <w:rFonts w:ascii="黑体" w:hAnsi="黑体" w:eastAsia="黑体" w:cs="黑体"/>
          <w:bCs/>
          <w:color w:val="auto"/>
          <w:highlight w:val="none"/>
        </w:rPr>
        <w:br w:type="page"/>
      </w:r>
    </w:p>
    <w:p>
      <w:pPr>
        <w:ind w:firstLine="0" w:firstLineChars="0"/>
        <w:rPr>
          <w:rFonts w:ascii="黑体" w:hAnsi="黑体" w:eastAsia="黑体" w:cs="黑体"/>
          <w:b/>
          <w:bCs/>
          <w:color w:val="auto"/>
          <w:kern w:val="0"/>
          <w:highlight w:val="none"/>
        </w:rPr>
      </w:pPr>
      <w:r>
        <w:rPr>
          <w:rFonts w:hint="eastAsia" w:ascii="黑体" w:hAnsi="黑体" w:eastAsia="黑体" w:cs="黑体"/>
          <w:b/>
          <w:bCs/>
          <w:color w:val="auto"/>
          <w:kern w:val="0"/>
          <w:highlight w:val="none"/>
        </w:rPr>
        <w:t>附件1：质疑函范本及制作说明</w:t>
      </w:r>
    </w:p>
    <w:p>
      <w:pPr>
        <w:spacing w:line="312" w:lineRule="auto"/>
        <w:ind w:firstLine="723"/>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pPr>
        <w:adjustRightInd w:val="0"/>
        <w:snapToGrid w:val="0"/>
        <w:spacing w:before="328" w:beforeLines="100" w:line="312" w:lineRule="auto"/>
        <w:ind w:firstLine="560"/>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一、质疑供应商基本信息</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ascii="仿宋" w:hAnsi="仿宋" w:eastAsia="仿宋" w:cs="仿宋"/>
          <w:color w:val="auto"/>
          <w:sz w:val="28"/>
          <w:szCs w:val="28"/>
          <w:highlight w:val="none"/>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二、质疑项目基本情况</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三、质疑事项具体内容</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u w:val="dotted"/>
        </w:rPr>
        <w:t xml:space="preserve">                                                     </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ind w:firstLine="560"/>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四、与质疑事项相关的质疑请求</w:t>
      </w:r>
    </w:p>
    <w:p>
      <w:pPr>
        <w:adjustRightInd w:val="0"/>
        <w:snapToGrid w:val="0"/>
        <w:spacing w:line="312" w:lineRule="auto"/>
        <w:ind w:firstLine="560"/>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pPr>
        <w:pStyle w:val="2"/>
        <w:spacing w:before="164"/>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签字(签章)：                   公章：</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br w:type="page"/>
      </w:r>
    </w:p>
    <w:p>
      <w:pPr>
        <w:ind w:firstLine="0" w:firstLineChars="0"/>
        <w:rPr>
          <w:rFonts w:ascii="黑体" w:hAnsi="黑体" w:eastAsia="黑体"/>
          <w:b/>
          <w:color w:val="auto"/>
          <w:sz w:val="28"/>
          <w:szCs w:val="28"/>
          <w:highlight w:val="none"/>
        </w:rPr>
      </w:pPr>
      <w:r>
        <w:rPr>
          <w:rFonts w:hint="eastAsia" w:ascii="黑体" w:hAnsi="黑体" w:eastAsia="黑体"/>
          <w:b/>
          <w:color w:val="auto"/>
          <w:sz w:val="28"/>
          <w:szCs w:val="28"/>
          <w:highlight w:val="none"/>
        </w:rPr>
        <w:t>质疑函制作说明：</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1.供应商提出质疑时，应提交质疑函和必要的证明材料。</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3.质疑供应商若对项目的某一分包进行质疑，质疑函中应列明具体分包号。</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4.质疑函的质疑事项应具体、明确，并有必要的事实依据和法律依据。</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5.质疑函的质疑请求应与质疑事项相关。</w:t>
      </w:r>
    </w:p>
    <w:p>
      <w:pPr>
        <w:pStyle w:val="2"/>
        <w:spacing w:before="164"/>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br w:type="page"/>
      </w:r>
    </w:p>
    <w:p>
      <w:pPr>
        <w:ind w:firstLine="0" w:firstLineChars="0"/>
        <w:rPr>
          <w:rFonts w:ascii="宋体" w:hAnsi="宋体" w:cs="宋体"/>
          <w:b/>
          <w:bCs/>
          <w:color w:val="auto"/>
          <w:kern w:val="0"/>
          <w:highlight w:val="none"/>
        </w:rPr>
      </w:pPr>
      <w:r>
        <w:rPr>
          <w:rFonts w:hint="eastAsia" w:ascii="黑体" w:hAnsi="黑体" w:eastAsia="黑体" w:cs="黑体"/>
          <w:b/>
          <w:bCs/>
          <w:color w:val="auto"/>
          <w:kern w:val="0"/>
          <w:highlight w:val="none"/>
        </w:rPr>
        <w:t>附件2：投诉书范本及制作说明</w:t>
      </w:r>
    </w:p>
    <w:p>
      <w:pPr>
        <w:ind w:firstLine="723"/>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投诉书范本</w:t>
      </w:r>
    </w:p>
    <w:p>
      <w:pPr>
        <w:ind w:firstLine="560"/>
        <w:rPr>
          <w:rFonts w:ascii="黑体" w:hAnsi="黑体" w:eastAsia="黑体"/>
          <w:color w:val="auto"/>
          <w:sz w:val="28"/>
          <w:szCs w:val="28"/>
          <w:highlight w:val="none"/>
        </w:rPr>
      </w:pPr>
    </w:p>
    <w:p>
      <w:pPr>
        <w:ind w:firstLine="560"/>
        <w:rPr>
          <w:rFonts w:ascii="黑体" w:hAnsi="黑体" w:eastAsia="黑体"/>
          <w:color w:val="auto"/>
          <w:sz w:val="28"/>
          <w:szCs w:val="28"/>
          <w:highlight w:val="none"/>
        </w:rPr>
      </w:pPr>
      <w:r>
        <w:rPr>
          <w:rFonts w:hint="eastAsia" w:ascii="黑体" w:hAnsi="黑体" w:eastAsia="黑体"/>
          <w:color w:val="auto"/>
          <w:sz w:val="28"/>
          <w:szCs w:val="28"/>
          <w:highlight w:val="none"/>
        </w:rPr>
        <w:t>一、投诉相关主体基本情况</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投诉人：</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p>
    <w:p>
      <w:pPr>
        <w:tabs>
          <w:tab w:val="left" w:pos="6510"/>
        </w:tabs>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法定代表人/主要负责人：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tabs>
          <w:tab w:val="left" w:pos="6510"/>
        </w:tabs>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授权代表：</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被投诉人1：</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被投诉人2</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相关供应商：</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ind w:firstLine="560"/>
        <w:rPr>
          <w:rFonts w:ascii="黑体" w:hAnsi="黑体" w:eastAsia="黑体"/>
          <w:color w:val="auto"/>
          <w:sz w:val="28"/>
          <w:szCs w:val="28"/>
          <w:highlight w:val="none"/>
        </w:rPr>
      </w:pPr>
      <w:r>
        <w:rPr>
          <w:rFonts w:hint="eastAsia" w:ascii="黑体" w:hAnsi="黑体" w:eastAsia="黑体"/>
          <w:color w:val="auto"/>
          <w:sz w:val="28"/>
          <w:szCs w:val="28"/>
          <w:highlight w:val="none"/>
        </w:rPr>
        <w:t>二、投诉项目基本情况</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采购项目名称：</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采购项目编号：</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包号：</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采购人名称：</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br w:type="page"/>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代理机构名称：</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采购文件公告:</w:t>
      </w:r>
      <w:r>
        <w:rPr>
          <w:rFonts w:hint="eastAsia" w:ascii="仿宋_GB2312" w:eastAsia="仿宋_GB2312"/>
          <w:color w:val="auto"/>
          <w:sz w:val="28"/>
          <w:szCs w:val="28"/>
          <w:highlight w:val="none"/>
          <w:u w:val="dotted"/>
        </w:rPr>
        <w:t xml:space="preserve">是/否 </w:t>
      </w:r>
      <w:r>
        <w:rPr>
          <w:rFonts w:hint="eastAsia" w:ascii="仿宋_GB2312" w:eastAsia="仿宋_GB2312"/>
          <w:color w:val="auto"/>
          <w:sz w:val="28"/>
          <w:szCs w:val="28"/>
          <w:highlight w:val="none"/>
        </w:rPr>
        <w:t>公告期限：</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采购结果公告:</w:t>
      </w:r>
      <w:r>
        <w:rPr>
          <w:rFonts w:hint="eastAsia" w:ascii="仿宋_GB2312" w:eastAsia="仿宋_GB2312"/>
          <w:color w:val="auto"/>
          <w:sz w:val="28"/>
          <w:szCs w:val="28"/>
          <w:highlight w:val="none"/>
          <w:u w:val="dotted"/>
        </w:rPr>
        <w:t xml:space="preserve">是/否 </w:t>
      </w:r>
      <w:r>
        <w:rPr>
          <w:rFonts w:hint="eastAsia" w:ascii="仿宋_GB2312" w:eastAsia="仿宋_GB2312"/>
          <w:color w:val="auto"/>
          <w:sz w:val="28"/>
          <w:szCs w:val="28"/>
          <w:highlight w:val="none"/>
        </w:rPr>
        <w:t>公告期限：</w:t>
      </w:r>
      <w:r>
        <w:rPr>
          <w:rFonts w:hint="eastAsia" w:ascii="仿宋_GB2312" w:eastAsia="仿宋_GB2312"/>
          <w:color w:val="auto"/>
          <w:sz w:val="28"/>
          <w:szCs w:val="28"/>
          <w:highlight w:val="none"/>
          <w:u w:val="dotted"/>
        </w:rPr>
        <w:t xml:space="preserve">                        </w:t>
      </w:r>
    </w:p>
    <w:p>
      <w:pPr>
        <w:ind w:firstLine="560"/>
        <w:rPr>
          <w:rFonts w:ascii="黑体" w:hAnsi="黑体" w:eastAsia="黑体"/>
          <w:color w:val="auto"/>
          <w:sz w:val="28"/>
          <w:szCs w:val="28"/>
          <w:highlight w:val="none"/>
        </w:rPr>
      </w:pPr>
      <w:r>
        <w:rPr>
          <w:rFonts w:hint="eastAsia" w:ascii="黑体" w:hAnsi="黑体" w:eastAsia="黑体"/>
          <w:color w:val="auto"/>
          <w:sz w:val="28"/>
          <w:szCs w:val="28"/>
          <w:highlight w:val="none"/>
        </w:rPr>
        <w:t>三、质疑基本情况</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投诉人于</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日,向</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提出质疑，质疑事项为：</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u w:val="dotted"/>
        </w:rPr>
        <w:t>采购人/代理机构</w:t>
      </w:r>
      <w:r>
        <w:rPr>
          <w:rFonts w:hint="eastAsia" w:ascii="仿宋_GB2312" w:eastAsia="仿宋_GB2312"/>
          <w:color w:val="auto"/>
          <w:sz w:val="28"/>
          <w:szCs w:val="28"/>
          <w:highlight w:val="none"/>
        </w:rPr>
        <w:t>于</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日,就质疑事项作出了答复/没有在法定期限内作出答复。</w:t>
      </w:r>
    </w:p>
    <w:p>
      <w:pPr>
        <w:ind w:firstLine="560"/>
        <w:rPr>
          <w:rFonts w:ascii="黑体" w:hAnsi="黑体" w:eastAsia="黑体"/>
          <w:color w:val="auto"/>
          <w:sz w:val="28"/>
          <w:szCs w:val="28"/>
          <w:highlight w:val="none"/>
        </w:rPr>
      </w:pPr>
      <w:r>
        <w:rPr>
          <w:rFonts w:hint="eastAsia" w:ascii="黑体" w:hAnsi="黑体" w:eastAsia="黑体"/>
          <w:color w:val="auto"/>
          <w:sz w:val="28"/>
          <w:szCs w:val="28"/>
          <w:highlight w:val="none"/>
        </w:rPr>
        <w:t>四、投诉事项具体内容</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投诉事项 1：</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事实依据：</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法律依据：</w:t>
      </w: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投诉事项2</w:t>
      </w:r>
    </w:p>
    <w:p>
      <w:pPr>
        <w:ind w:firstLine="560"/>
        <w:rPr>
          <w:rFonts w:ascii="黑体" w:hAnsi="黑体" w:eastAsia="黑体"/>
          <w:color w:val="auto"/>
          <w:sz w:val="28"/>
          <w:szCs w:val="28"/>
          <w:highlight w:val="none"/>
        </w:rPr>
      </w:pPr>
      <w:r>
        <w:rPr>
          <w:rFonts w:hint="eastAsia" w:ascii="黑体" w:hAnsi="黑体" w:eastAsia="黑体"/>
          <w:color w:val="auto"/>
          <w:sz w:val="28"/>
          <w:szCs w:val="28"/>
          <w:highlight w:val="none"/>
        </w:rPr>
        <w:t>五、与投诉事项相关的投诉请求</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请求：</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ind w:firstLine="56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签字(签章)：                   公章：                      </w:t>
      </w:r>
    </w:p>
    <w:p>
      <w:pPr>
        <w:ind w:firstLine="560"/>
        <w:rPr>
          <w:rFonts w:ascii="黑体" w:hAnsi="黑体" w:eastAsia="黑体"/>
          <w:b/>
          <w:color w:val="auto"/>
          <w:sz w:val="28"/>
          <w:szCs w:val="28"/>
          <w:highlight w:val="none"/>
        </w:rPr>
      </w:pPr>
      <w:r>
        <w:rPr>
          <w:rFonts w:hint="eastAsia" w:ascii="仿宋_GB2312" w:eastAsia="仿宋_GB2312"/>
          <w:color w:val="auto"/>
          <w:sz w:val="28"/>
          <w:szCs w:val="28"/>
          <w:highlight w:val="none"/>
        </w:rPr>
        <w:t xml:space="preserve">日期：    </w:t>
      </w:r>
      <w:r>
        <w:rPr>
          <w:rFonts w:hint="eastAsia" w:ascii="黑体" w:hAnsi="黑体" w:eastAsia="黑体"/>
          <w:b/>
          <w:color w:val="auto"/>
          <w:sz w:val="28"/>
          <w:szCs w:val="28"/>
          <w:highlight w:val="none"/>
        </w:rPr>
        <w:br w:type="page"/>
      </w:r>
      <w:r>
        <w:rPr>
          <w:rFonts w:hint="eastAsia" w:ascii="黑体" w:hAnsi="黑体" w:eastAsia="黑体"/>
          <w:b/>
          <w:color w:val="auto"/>
          <w:sz w:val="28"/>
          <w:szCs w:val="28"/>
          <w:highlight w:val="none"/>
        </w:rPr>
        <w:t>投诉书制作说明：</w:t>
      </w:r>
    </w:p>
    <w:p>
      <w:pPr>
        <w:widowControl/>
        <w:ind w:firstLine="56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1.投诉人提起投诉时，应当提交投诉书和必要的证明材料，并按照被投诉人和与投诉事项有关的供应商数量提供投诉书副本。</w:t>
      </w:r>
    </w:p>
    <w:p>
      <w:pPr>
        <w:widowControl/>
        <w:ind w:firstLine="560"/>
        <w:jc w:val="left"/>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28"/>
          <w:szCs w:val="28"/>
          <w:highlight w:val="none"/>
        </w:rPr>
        <w:t>投诉人签署的授权委托书。授权委托书应当载明代理人的姓名或者名称、代理事项、具体权限、期限和相关事项。</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3.投诉人若对项目的某一分包进行投诉，投诉书应列明具体分包号。</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4.投诉书应简要列明质疑事项，质疑函、质疑答复等作为附件材料提供。</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5.投诉书的投诉事项应具体、明确，并有必要的事实依据和法律依据。</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6.投诉书的投诉请求应与投诉事项相关。</w:t>
      </w:r>
    </w:p>
    <w:p>
      <w:pPr>
        <w:widowControl/>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7.投诉人为自然人的，投诉书应当由本人签字；投诉人为法人或者其他组织的，投诉书应当由法定代表人、主要负责人，或者其授权代表签字或者盖章，并加盖公章。</w:t>
      </w:r>
    </w:p>
    <w:p>
      <w:pPr>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br w:type="page"/>
      </w:r>
    </w:p>
    <w:p>
      <w:pPr>
        <w:ind w:firstLine="0" w:firstLineChars="0"/>
        <w:rPr>
          <w:rFonts w:ascii="黑体" w:hAnsi="黑体" w:eastAsia="黑体" w:cs="黑体"/>
          <w:b/>
          <w:bCs/>
          <w:color w:val="auto"/>
          <w:kern w:val="0"/>
          <w:highlight w:val="none"/>
        </w:rPr>
      </w:pPr>
      <w:r>
        <w:rPr>
          <w:rFonts w:hint="eastAsia" w:ascii="黑体" w:hAnsi="黑体" w:eastAsia="黑体" w:cs="黑体"/>
          <w:b/>
          <w:bCs/>
          <w:color w:val="auto"/>
          <w:kern w:val="0"/>
          <w:highlight w:val="none"/>
        </w:rPr>
        <w:t>附件3：业务专用章使用说明函</w:t>
      </w:r>
    </w:p>
    <w:p>
      <w:pPr>
        <w:autoSpaceDE w:val="0"/>
        <w:autoSpaceDN w:val="0"/>
        <w:ind w:firstLine="0" w:firstLineChars="0"/>
        <w:rPr>
          <w:rFonts w:ascii="仿宋" w:hAnsi="仿宋" w:eastAsia="仿宋"/>
          <w:b/>
          <w:bCs/>
          <w:color w:val="auto"/>
          <w:sz w:val="32"/>
          <w:szCs w:val="32"/>
          <w:highlight w:val="none"/>
        </w:rPr>
      </w:pPr>
    </w:p>
    <w:p>
      <w:pPr>
        <w:autoSpaceDE w:val="0"/>
        <w:autoSpaceDN w:val="0"/>
        <w:ind w:firstLine="643"/>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业务专用章使用说明函</w:t>
      </w:r>
    </w:p>
    <w:p>
      <w:pPr>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（采购人）、（采购代理机构）</w:t>
      </w:r>
    </w:p>
    <w:p>
      <w:pPr>
        <w:ind w:firstLine="56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我方</w:t>
      </w:r>
      <w:r>
        <w:rPr>
          <w:rFonts w:hint="eastAsia" w:ascii="仿宋" w:hAnsi="仿宋" w:eastAsia="仿宋" w:cs="仿宋"/>
          <w:color w:val="auto"/>
          <w:kern w:val="0"/>
          <w:sz w:val="28"/>
          <w:szCs w:val="28"/>
          <w:highlight w:val="none"/>
          <w:u w:val="single"/>
          <w:lang w:val="zh-CN"/>
        </w:rPr>
        <w:t xml:space="preserve">                         </w:t>
      </w:r>
      <w:r>
        <w:rPr>
          <w:rFonts w:hint="eastAsia" w:ascii="仿宋" w:hAnsi="仿宋" w:eastAsia="仿宋" w:cs="仿宋"/>
          <w:color w:val="auto"/>
          <w:sz w:val="28"/>
          <w:szCs w:val="28"/>
          <w:highlight w:val="none"/>
        </w:rPr>
        <w:t>(投标人全称)是中华人民共和国依法登记注册的合法企业，</w:t>
      </w:r>
      <w:r>
        <w:rPr>
          <w:rFonts w:hint="eastAsia" w:ascii="仿宋" w:hAnsi="仿宋" w:eastAsia="仿宋" w:cs="仿宋"/>
          <w:bCs/>
          <w:color w:val="auto"/>
          <w:sz w:val="28"/>
          <w:szCs w:val="28"/>
          <w:highlight w:val="none"/>
        </w:rPr>
        <w:t>在参加</w:t>
      </w:r>
      <w:r>
        <w:rPr>
          <w:rFonts w:hint="eastAsia" w:ascii="仿宋" w:hAnsi="仿宋" w:eastAsia="仿宋" w:cs="仿宋"/>
          <w:color w:val="auto"/>
          <w:sz w:val="28"/>
          <w:szCs w:val="28"/>
          <w:highlight w:val="none"/>
        </w:rPr>
        <w:t>你方组织的（项目名称，标项号，标项名称）项目【招标编号：（采购编号）】</w:t>
      </w:r>
      <w:r>
        <w:rPr>
          <w:rFonts w:hint="eastAsia" w:ascii="仿宋" w:hAnsi="仿宋" w:eastAsia="仿宋" w:cs="仿宋"/>
          <w:bCs/>
          <w:color w:val="auto"/>
          <w:sz w:val="28"/>
          <w:szCs w:val="28"/>
          <w:highlight w:val="none"/>
        </w:rPr>
        <w:t>投标活动中作如下说明：</w:t>
      </w:r>
      <w:r>
        <w:rPr>
          <w:rFonts w:hint="eastAsia" w:ascii="仿宋" w:hAnsi="仿宋" w:eastAsia="仿宋" w:cs="仿宋"/>
          <w:color w:val="auto"/>
          <w:sz w:val="28"/>
          <w:szCs w:val="28"/>
          <w:highlight w:val="none"/>
        </w:rPr>
        <w:t xml:space="preserve">我方所使用的“XX专用章”与法定名称章具有同等的法律效力，对使用“XX专用章”的行为予以完全承认，并愿意承担相应责任。   </w:t>
      </w:r>
    </w:p>
    <w:p>
      <w:p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特此说明。</w:t>
      </w:r>
    </w:p>
    <w:p>
      <w:pPr>
        <w:ind w:firstLine="560"/>
        <w:rPr>
          <w:rFonts w:ascii="仿宋" w:hAnsi="仿宋" w:eastAsia="仿宋" w:cs="仿宋"/>
          <w:color w:val="auto"/>
          <w:sz w:val="28"/>
          <w:szCs w:val="28"/>
          <w:highlight w:val="none"/>
        </w:rPr>
      </w:pPr>
    </w:p>
    <w:p>
      <w:pPr>
        <w:ind w:right="480" w:firstLine="4200" w:firstLineChars="15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投标单位（法定名称章）：</w:t>
      </w:r>
    </w:p>
    <w:p>
      <w:pPr>
        <w:ind w:right="1440" w:firstLine="56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pPr>
        <w:ind w:firstLine="562"/>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w:t>
      </w:r>
    </w:p>
    <w:p>
      <w:pPr>
        <w:ind w:firstLine="0" w:firstLineChars="0"/>
        <w:rPr>
          <w:rFonts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8"/>
          <w:szCs w:val="28"/>
          <w:highlight w:val="none"/>
        </w:rPr>
        <w:t>投标单位法定名称章（印模）          投标单位“XX专用章”（印模）</w:t>
      </w:r>
    </w:p>
    <w:p>
      <w:pPr>
        <w:autoSpaceDE w:val="0"/>
        <w:autoSpaceDN w:val="0"/>
        <w:ind w:firstLine="667"/>
        <w:jc w:val="center"/>
        <w:rPr>
          <w:rFonts w:ascii="仿宋" w:hAnsi="仿宋" w:eastAsia="仿宋"/>
          <w:b/>
          <w:color w:val="auto"/>
          <w:spacing w:val="6"/>
          <w:sz w:val="32"/>
          <w:szCs w:val="32"/>
          <w:highlight w:val="none"/>
        </w:rPr>
      </w:pPr>
    </w:p>
    <w:p>
      <w:pPr>
        <w:autoSpaceDE w:val="0"/>
        <w:autoSpaceDN w:val="0"/>
        <w:ind w:firstLine="667"/>
        <w:jc w:val="center"/>
        <w:rPr>
          <w:rFonts w:ascii="仿宋" w:hAnsi="仿宋" w:eastAsia="仿宋"/>
          <w:b/>
          <w:color w:val="auto"/>
          <w:spacing w:val="6"/>
          <w:sz w:val="32"/>
          <w:szCs w:val="32"/>
          <w:highlight w:val="none"/>
        </w:rPr>
      </w:pPr>
    </w:p>
    <w:p>
      <w:pPr>
        <w:autoSpaceDE w:val="0"/>
        <w:autoSpaceDN w:val="0"/>
        <w:ind w:firstLine="667"/>
        <w:jc w:val="center"/>
        <w:rPr>
          <w:rFonts w:ascii="仿宋" w:hAnsi="仿宋" w:eastAsia="仿宋"/>
          <w:b/>
          <w:color w:val="auto"/>
          <w:spacing w:val="6"/>
          <w:sz w:val="32"/>
          <w:szCs w:val="32"/>
          <w:highlight w:val="none"/>
        </w:rPr>
      </w:pPr>
    </w:p>
    <w:p>
      <w:pPr>
        <w:autoSpaceDE w:val="0"/>
        <w:autoSpaceDN w:val="0"/>
        <w:ind w:firstLine="667"/>
        <w:jc w:val="center"/>
        <w:rPr>
          <w:rFonts w:ascii="仿宋" w:hAnsi="仿宋" w:eastAsia="仿宋"/>
          <w:b/>
          <w:color w:val="auto"/>
          <w:spacing w:val="6"/>
          <w:sz w:val="32"/>
          <w:szCs w:val="32"/>
          <w:highlight w:val="none"/>
        </w:rPr>
      </w:pPr>
    </w:p>
    <w:p>
      <w:pPr>
        <w:autoSpaceDE w:val="0"/>
        <w:autoSpaceDN w:val="0"/>
        <w:ind w:firstLine="667"/>
        <w:jc w:val="center"/>
        <w:rPr>
          <w:rFonts w:ascii="仿宋" w:hAnsi="仿宋" w:eastAsia="仿宋"/>
          <w:b/>
          <w:color w:val="auto"/>
          <w:spacing w:val="6"/>
          <w:sz w:val="32"/>
          <w:szCs w:val="32"/>
          <w:highlight w:val="none"/>
        </w:rPr>
      </w:pPr>
    </w:p>
    <w:p>
      <w:pPr>
        <w:autoSpaceDE w:val="0"/>
        <w:autoSpaceDN w:val="0"/>
        <w:ind w:firstLine="667"/>
        <w:jc w:val="center"/>
        <w:rPr>
          <w:rFonts w:ascii="仿宋" w:hAnsi="仿宋" w:eastAsia="仿宋"/>
          <w:b/>
          <w:color w:val="auto"/>
          <w:spacing w:val="6"/>
          <w:sz w:val="32"/>
          <w:szCs w:val="32"/>
          <w:highlight w:val="none"/>
        </w:rPr>
      </w:pPr>
    </w:p>
    <w:p>
      <w:pPr>
        <w:ind w:firstLine="480"/>
        <w:rPr>
          <w:color w:val="auto"/>
          <w:highlight w:val="none"/>
        </w:rPr>
      </w:pPr>
      <w:r>
        <w:rPr>
          <w:rFonts w:hint="eastAsia"/>
          <w:color w:val="auto"/>
          <w:highlight w:val="none"/>
        </w:rPr>
        <w:br w:type="page"/>
      </w:r>
    </w:p>
    <w:p>
      <w:pPr>
        <w:ind w:firstLine="0" w:firstLineChars="0"/>
        <w:rPr>
          <w:rFonts w:hint="eastAsia" w:ascii="黑体" w:hAnsi="黑体" w:eastAsia="黑体" w:cs="黑体"/>
          <w:b/>
          <w:bCs/>
          <w:color w:val="auto"/>
          <w:kern w:val="0"/>
          <w:highlight w:val="none"/>
          <w:lang w:val="zh-CN"/>
        </w:rPr>
      </w:pPr>
      <w:r>
        <w:rPr>
          <w:rFonts w:hint="eastAsia" w:ascii="黑体" w:hAnsi="黑体" w:eastAsia="黑体" w:cs="黑体"/>
          <w:b/>
          <w:bCs/>
          <w:color w:val="auto"/>
          <w:kern w:val="0"/>
          <w:highlight w:val="none"/>
        </w:rPr>
        <w:t>附件4：</w:t>
      </w:r>
      <w:r>
        <w:rPr>
          <w:rFonts w:hint="eastAsia" w:ascii="黑体" w:hAnsi="黑体" w:eastAsia="黑体" w:cs="黑体"/>
          <w:b/>
          <w:bCs/>
          <w:color w:val="auto"/>
          <w:kern w:val="0"/>
          <w:highlight w:val="none"/>
          <w:lang w:val="zh-CN"/>
        </w:rPr>
        <w:t>联合协议</w:t>
      </w:r>
    </w:p>
    <w:p>
      <w:pPr>
        <w:widowControl/>
        <w:ind w:firstLine="482"/>
        <w:jc w:val="left"/>
        <w:rPr>
          <w:rFonts w:ascii="宋体" w:hAnsi="宋体" w:cs="宋体"/>
          <w:b/>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组成一个联合体，以一个投标人的身份</w:t>
      </w:r>
      <w:r>
        <w:rPr>
          <w:rFonts w:hint="eastAsia" w:ascii="宋体" w:hAnsi="宋体" w:cs="宋体"/>
          <w:color w:val="auto"/>
          <w:kern w:val="0"/>
          <w:highlight w:val="none"/>
        </w:rPr>
        <w:t>参加</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 xml:space="preserve">投标。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，代表所有联合体成员负责投标和合同实施阶段的主办、协调工作</w:t>
      </w: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授权代表根据招标文件规定及投标内容而对采购人、采购代理机构所作的任何合法承诺，包括书面澄清及相应等均对联合投标各方产生约束力。</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三、本次联合投标中，分工如下：</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（联合体成员1）</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w:t>
      </w:r>
      <w:r>
        <w:rPr>
          <w:rFonts w:ascii="宋体" w:hAnsi="宋体" w:cs="宋体"/>
          <w:color w:val="auto"/>
          <w:kern w:val="0"/>
          <w:highlight w:val="none"/>
          <w:u w:val="single"/>
        </w:rPr>
        <w:t>2</w:t>
      </w:r>
      <w:r>
        <w:rPr>
          <w:rFonts w:hint="eastAsia" w:ascii="宋体" w:hAnsi="宋体" w:cs="宋体"/>
          <w:color w:val="auto"/>
          <w:kern w:val="0"/>
          <w:highlight w:val="none"/>
          <w:u w:val="single"/>
        </w:rPr>
        <w:t>）</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四、联合体成员中小企业合同份额。</w:t>
      </w:r>
    </w:p>
    <w:p>
      <w:pPr>
        <w:snapToGrid w:val="0"/>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w:t>
      </w:r>
      <w:bookmarkStart w:id="176" w:name="_Hlk101131882"/>
      <w:r>
        <w:rPr>
          <w:rFonts w:hint="eastAsia" w:ascii="宋体" w:hAnsi="宋体" w:cs="宋体"/>
          <w:color w:val="auto"/>
          <w:kern w:val="0"/>
          <w:highlight w:val="none"/>
          <w:u w:val="single"/>
        </w:rPr>
        <w:t>联合体成员X</w:t>
      </w:r>
      <w:r>
        <w:rPr>
          <w:rFonts w:ascii="宋体" w:hAnsi="宋体" w:cs="宋体"/>
          <w:color w:val="auto"/>
          <w:kern w:val="0"/>
          <w:highlight w:val="none"/>
          <w:u w:val="single"/>
        </w:rPr>
        <w:t>,</w:t>
      </w:r>
      <w:r>
        <w:rPr>
          <w:rFonts w:hint="eastAsia" w:ascii="宋体" w:hAnsi="宋体" w:cs="宋体"/>
          <w:color w:val="auto"/>
          <w:kern w:val="0"/>
          <w:highlight w:val="none"/>
          <w:u w:val="single"/>
        </w:rPr>
        <w:t>……</w:t>
      </w:r>
      <w:bookmarkEnd w:id="176"/>
      <w:r>
        <w:rPr>
          <w:rFonts w:hint="eastAsia" w:ascii="宋体" w:hAnsi="宋体" w:cs="宋体"/>
          <w:color w:val="auto"/>
          <w:kern w:val="0"/>
          <w:highlight w:val="none"/>
          <w:u w:val="single"/>
        </w:rPr>
        <w:t>）</w:t>
      </w:r>
      <w:r>
        <w:rPr>
          <w:rFonts w:hint="eastAsia" w:ascii="宋体" w:hAnsi="宋体" w:cs="宋体"/>
          <w:color w:val="auto"/>
          <w:kern w:val="0"/>
          <w:highlight w:val="none"/>
        </w:rPr>
        <w:t>提供的服务由小微企业承接，其合同份额占到合同总金额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w:t>
      </w:r>
      <w:bookmarkStart w:id="177" w:name="_Hlk101133598"/>
      <w:r>
        <w:rPr>
          <w:rFonts w:hint="eastAsia" w:ascii="宋体" w:hAnsi="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highlight w:val="none"/>
        </w:rPr>
        <w:t>拟享受以上价格扣除政策的，填写有关内容。</w:t>
      </w:r>
      <w:bookmarkEnd w:id="177"/>
      <w:r>
        <w:rPr>
          <w:rFonts w:hint="eastAsia" w:ascii="宋体" w:hAnsi="宋体" w:cs="宋体"/>
          <w:b/>
          <w:color w:val="auto"/>
          <w:kern w:val="0"/>
          <w:highlight w:val="none"/>
          <w:lang w:val="zh-CN"/>
        </w:rPr>
        <w:t>）</w:t>
      </w:r>
    </w:p>
    <w:p>
      <w:pPr>
        <w:ind w:firstLine="480"/>
        <w:rPr>
          <w:rFonts w:ascii="宋体" w:hAnsi="宋体" w:cs="宋体"/>
          <w:b/>
          <w:bCs/>
          <w:color w:val="auto"/>
          <w:kern w:val="0"/>
          <w:highlight w:val="none"/>
          <w:lang w:val="zh-CN"/>
        </w:rPr>
      </w:pPr>
      <w:r>
        <w:rPr>
          <w:rFonts w:hint="eastAsia" w:ascii="宋体" w:hAnsi="宋体" w:cs="宋体"/>
          <w:color w:val="auto"/>
          <w:highlight w:val="none"/>
        </w:rPr>
        <w:t>2、</w:t>
      </w:r>
      <w:bookmarkStart w:id="178" w:name="_Hlk101133173"/>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highlight w:val="none"/>
          <w:lang w:val="zh-CN"/>
        </w:rPr>
        <w:t>）</w:t>
      </w:r>
      <w:bookmarkEnd w:id="178"/>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五、如果中标，</w:t>
      </w:r>
      <w:r>
        <w:rPr>
          <w:rFonts w:hint="eastAsia" w:ascii="宋体" w:hAnsi="宋体" w:cs="宋体"/>
          <w:color w:val="auto"/>
          <w:highlight w:val="none"/>
        </w:rPr>
        <w:t>联合体各成员方共同与采购人签订合同，并就采购合同约定的事项对采购人承担连带责任。</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六、有关本次联合投标的其他事宜：</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1、联合体各方不再单独参加或者与其他供应商另外组成联合体参加同一合同项下的政府采购活动。</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进行修改或撤销。</w:t>
      </w:r>
    </w:p>
    <w:p>
      <w:pPr>
        <w:snapToGrid w:val="0"/>
        <w:ind w:firstLine="504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snapToGrid w:val="0"/>
        <w:ind w:firstLine="504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snapToGrid w:val="0"/>
        <w:ind w:right="960"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p>
    <w:p>
      <w:pPr>
        <w:snapToGrid w:val="0"/>
        <w:ind w:firstLine="480"/>
        <w:jc w:val="right"/>
        <w:rPr>
          <w:rFonts w:ascii="宋体" w:hAnsi="宋体" w:cs="宋体"/>
          <w:color w:val="auto"/>
          <w:kern w:val="0"/>
          <w:highlight w:val="none"/>
          <w:lang w:val="zh-CN"/>
        </w:rPr>
      </w:pPr>
      <w:r>
        <w:rPr>
          <w:rFonts w:hint="eastAsia" w:ascii="宋体" w:hAnsi="宋体" w:cs="宋体"/>
          <w:color w:val="auto"/>
          <w:kern w:val="0"/>
          <w:highlight w:val="none"/>
          <w:lang w:val="zh-CN"/>
        </w:rPr>
        <w:t>日期：  年  月   日</w:t>
      </w:r>
    </w:p>
    <w:p>
      <w:pPr>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ind w:firstLine="480"/>
        <w:rPr>
          <w:rFonts w:ascii="宋体" w:hAnsi="宋体" w:cs="宋体"/>
          <w:color w:val="auto"/>
          <w:highlight w:val="none"/>
        </w:rPr>
      </w:pPr>
      <w:r>
        <w:rPr>
          <w:rFonts w:hint="eastAsia" w:ascii="宋体" w:hAnsi="宋体" w:cs="宋体"/>
          <w:color w:val="auto"/>
          <w:highlight w:val="none"/>
        </w:rPr>
        <w:br w:type="page"/>
      </w:r>
    </w:p>
    <w:p>
      <w:pPr>
        <w:ind w:firstLine="0" w:firstLineChars="0"/>
        <w:rPr>
          <w:rFonts w:hint="eastAsia" w:ascii="黑体" w:hAnsi="黑体" w:eastAsia="黑体" w:cs="黑体"/>
          <w:b/>
          <w:bCs/>
          <w:color w:val="auto"/>
          <w:kern w:val="0"/>
          <w:highlight w:val="none"/>
        </w:rPr>
      </w:pPr>
      <w:r>
        <w:rPr>
          <w:rFonts w:hint="eastAsia" w:ascii="黑体" w:hAnsi="黑体" w:eastAsia="黑体" w:cs="黑体"/>
          <w:b/>
          <w:bCs/>
          <w:color w:val="auto"/>
          <w:kern w:val="0"/>
          <w:highlight w:val="none"/>
        </w:rPr>
        <w:t>附件5：分包意向协议</w:t>
      </w:r>
    </w:p>
    <w:p>
      <w:pPr>
        <w:widowControl/>
        <w:ind w:firstLine="120" w:firstLineChars="5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cs="宋体"/>
          <w:color w:val="auto"/>
          <w:highlight w:val="none"/>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若成为</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（投标人名称）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（分包供应商2名称），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pPr>
        <w:keepNext/>
        <w:tabs>
          <w:tab w:val="left" w:pos="432"/>
        </w:tabs>
        <w:adjustRightInd w:val="0"/>
        <w:snapToGrid w:val="0"/>
        <w:ind w:left="758" w:leftChars="316" w:firstLine="228" w:firstLineChars="95"/>
        <w:textAlignment w:val="baseline"/>
        <w:rPr>
          <w:rFonts w:ascii="宋体" w:hAnsi="宋体" w:cs="宋体"/>
          <w:color w:val="auto"/>
          <w:kern w:val="0"/>
          <w:highlight w:val="none"/>
        </w:rPr>
      </w:pPr>
      <w:r>
        <w:rPr>
          <w:rFonts w:hint="eastAsia" w:ascii="宋体" w:hAnsi="宋体" w:cs="宋体"/>
          <w:color w:val="auto"/>
          <w:kern w:val="0"/>
          <w:highlight w:val="none"/>
        </w:rPr>
        <w:t>……</w:t>
      </w:r>
    </w:p>
    <w:p>
      <w:pPr>
        <w:ind w:firstLine="480"/>
        <w:rPr>
          <w:color w:val="auto"/>
          <w:highlight w:val="none"/>
        </w:rPr>
      </w:pPr>
      <w:r>
        <w:rPr>
          <w:rFonts w:hint="eastAsia"/>
          <w:color w:val="auto"/>
          <w:highlight w:val="none"/>
          <w:lang w:val="zh-CN"/>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二、分包供应商中小企业合同份额</w:t>
      </w:r>
    </w:p>
    <w:p>
      <w:pPr>
        <w:snapToGrid w:val="0"/>
        <w:ind w:firstLine="480"/>
        <w:rPr>
          <w:rFonts w:ascii="宋体" w:hAnsi="宋体" w:cs="宋体"/>
          <w:b/>
          <w:color w:val="auto"/>
          <w:kern w:val="0"/>
          <w:highlight w:val="none"/>
          <w:lang w:val="zh-CN"/>
        </w:rPr>
      </w:pPr>
      <w:r>
        <w:rPr>
          <w:rFonts w:ascii="宋体" w:hAnsi="宋体" w:cs="宋体"/>
          <w:color w:val="auto"/>
          <w:kern w:val="0"/>
          <w:highlight w:val="none"/>
        </w:rPr>
        <w:t>1、</w:t>
      </w:r>
      <w:r>
        <w:rPr>
          <w:rFonts w:hint="eastAsia" w:ascii="宋体" w:hAnsi="宋体" w:cs="宋体"/>
          <w:color w:val="auto"/>
          <w:kern w:val="0"/>
          <w:highlight w:val="none"/>
          <w:u w:val="single"/>
        </w:rPr>
        <w:t>（分包供应商X</w:t>
      </w:r>
      <w:r>
        <w:rPr>
          <w:rFonts w:ascii="宋体" w:hAnsi="宋体" w:cs="宋体"/>
          <w:color w:val="auto"/>
          <w:kern w:val="0"/>
          <w:highlight w:val="none"/>
          <w:u w:val="single"/>
        </w:rPr>
        <w:t>,</w:t>
      </w:r>
      <w:r>
        <w:rPr>
          <w:rFonts w:hint="eastAsia" w:ascii="宋体" w:hAnsi="宋体" w:cs="宋体"/>
          <w:color w:val="auto"/>
          <w:kern w:val="0"/>
          <w:highlight w:val="none"/>
          <w:u w:val="single"/>
        </w:rPr>
        <w:t>……）提供的服务全部由小微企业承接，</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highlight w:val="none"/>
        </w:rPr>
        <w:t>。</w:t>
      </w:r>
      <w:r>
        <w:rPr>
          <w:rFonts w:hint="eastAsia" w:ascii="宋体" w:hAnsi="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kern w:val="0"/>
          <w:highlight w:val="none"/>
          <w:lang w:val="zh-CN"/>
        </w:rPr>
        <w:t>）</w:t>
      </w:r>
    </w:p>
    <w:p>
      <w:pPr>
        <w:ind w:firstLine="480"/>
        <w:rPr>
          <w:rFonts w:ascii="宋体" w:hAnsi="宋体" w:cs="宋体"/>
          <w:b/>
          <w:bCs/>
          <w:color w:val="auto"/>
          <w:kern w:val="0"/>
          <w:highlight w:val="none"/>
          <w:lang w:val="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要求合同分包形式参加的项目或采购包，供应商按招标文件第一部分招标公告申请人的资格要求中规定的</w:t>
      </w:r>
      <w:r>
        <w:rPr>
          <w:rFonts w:hint="eastAsia" w:ascii="宋体" w:hAnsi="宋体" w:cs="宋体"/>
          <w:b/>
          <w:color w:val="auto"/>
          <w:kern w:val="0"/>
          <w:highlight w:val="none"/>
          <w:lang w:val="zh-CN"/>
        </w:rPr>
        <w:t>分包意向协议</w:t>
      </w:r>
      <w:r>
        <w:rPr>
          <w:rFonts w:hint="eastAsia" w:ascii="宋体" w:hAnsi="宋体" w:cs="宋体"/>
          <w:b/>
          <w:bCs/>
          <w:color w:val="auto"/>
          <w:highlight w:val="none"/>
        </w:rPr>
        <w:t>中中小企业、小微企业合同金额应当达到的比例要求填写。</w:t>
      </w:r>
      <w:r>
        <w:rPr>
          <w:rFonts w:hint="eastAsia" w:ascii="宋体" w:hAnsi="宋体" w:cs="宋体"/>
          <w:b/>
          <w:bCs/>
          <w:color w:val="auto"/>
          <w:kern w:val="0"/>
          <w:highlight w:val="none"/>
          <w:lang w:val="zh-CN"/>
        </w:rPr>
        <w:t>）</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三、分包工作履行期限、地点、方式</w:t>
      </w:r>
    </w:p>
    <w:p>
      <w:pPr>
        <w:snapToGrid w:val="0"/>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四、质量</w:t>
      </w:r>
    </w:p>
    <w:p>
      <w:pPr>
        <w:snapToGrid w:val="0"/>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五、价款或者报酬</w:t>
      </w:r>
    </w:p>
    <w:p>
      <w:pPr>
        <w:snapToGrid w:val="0"/>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六、违约责任</w:t>
      </w:r>
    </w:p>
    <w:p>
      <w:pPr>
        <w:snapToGrid w:val="0"/>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七、争议解决的办法</w:t>
      </w:r>
    </w:p>
    <w:p>
      <w:pPr>
        <w:snapToGrid w:val="0"/>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numPr>
          <w:ilvl w:val="0"/>
          <w:numId w:val="2"/>
        </w:numPr>
        <w:snapToGrid w:val="0"/>
        <w:ind w:firstLine="0" w:firstLineChars="0"/>
        <w:rPr>
          <w:color w:val="auto"/>
          <w:highlight w:val="none"/>
          <w:lang w:val="zh-CN"/>
        </w:rPr>
      </w:pPr>
      <w:r>
        <w:rPr>
          <w:rFonts w:hint="eastAsia" w:ascii="宋体" w:hAnsi="宋体" w:cs="宋体"/>
          <w:color w:val="auto"/>
          <w:kern w:val="0"/>
          <w:highlight w:val="none"/>
          <w:lang w:val="zh-CN"/>
        </w:rPr>
        <w:t>其他</w:t>
      </w:r>
    </w:p>
    <w:p>
      <w:pPr>
        <w:snapToGrid w:val="0"/>
        <w:ind w:firstLine="480"/>
        <w:rPr>
          <w:rFonts w:ascii="宋体" w:hAnsi="宋体" w:cs="宋体"/>
          <w:color w:val="auto"/>
          <w:kern w:val="0"/>
          <w:highlight w:val="none"/>
          <w:lang w:val="zh-CN"/>
        </w:rPr>
      </w:pPr>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 xml:space="preserve">  。                                           投标人名称(电子签名)：</w:t>
      </w:r>
    </w:p>
    <w:p>
      <w:pPr>
        <w:snapToGrid w:val="0"/>
        <w:ind w:firstLine="480"/>
        <w:jc w:val="right"/>
        <w:rPr>
          <w:rFonts w:ascii="宋体" w:hAnsi="宋体" w:cs="宋体"/>
          <w:color w:val="auto"/>
          <w:kern w:val="0"/>
          <w:highlight w:val="none"/>
          <w:lang w:val="zh-CN"/>
        </w:rPr>
      </w:pPr>
      <w:r>
        <w:rPr>
          <w:rFonts w:hint="eastAsia" w:ascii="宋体" w:hAnsi="宋体" w:cs="宋体"/>
          <w:color w:val="auto"/>
          <w:kern w:val="0"/>
          <w:highlight w:val="none"/>
          <w:lang w:val="zh-CN"/>
        </w:rPr>
        <w:t>分包供应商名称(电子签名/公章)：</w:t>
      </w:r>
    </w:p>
    <w:p>
      <w:pPr>
        <w:snapToGrid w:val="0"/>
        <w:ind w:firstLine="5760" w:firstLineChars="2400"/>
        <w:rPr>
          <w:rFonts w:ascii="宋体" w:hAnsi="宋体" w:cs="宋体"/>
          <w:color w:val="auto"/>
          <w:highlight w:val="none"/>
        </w:rPr>
      </w:pPr>
      <w:r>
        <w:rPr>
          <w:rFonts w:hint="eastAsia" w:ascii="宋体" w:hAnsi="宋体" w:cs="宋体"/>
          <w:color w:val="auto"/>
          <w:kern w:val="0"/>
          <w:highlight w:val="none"/>
          <w:lang w:val="zh-CN"/>
        </w:rPr>
        <w:t>……</w:t>
      </w:r>
    </w:p>
    <w:p>
      <w:pPr>
        <w:snapToGrid w:val="0"/>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pPr>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ind w:firstLine="485"/>
        <w:rPr>
          <w:rFonts w:ascii="宋体" w:hAnsi="宋体" w:cs="宋体"/>
          <w:b/>
          <w:color w:val="auto"/>
          <w:w w:val="80"/>
          <w:sz w:val="30"/>
          <w:szCs w:val="30"/>
          <w:highlight w:val="none"/>
        </w:rPr>
      </w:pPr>
      <w:r>
        <w:rPr>
          <w:rFonts w:ascii="宋体" w:hAnsi="宋体" w:cs="宋体"/>
          <w:b/>
          <w:color w:val="auto"/>
          <w:w w:val="80"/>
          <w:sz w:val="30"/>
          <w:szCs w:val="30"/>
          <w:highlight w:val="none"/>
        </w:rPr>
        <w:br w:type="page"/>
      </w:r>
    </w:p>
    <w:p>
      <w:pPr>
        <w:ind w:firstLine="0" w:firstLineChars="0"/>
        <w:rPr>
          <w:rFonts w:ascii="黑体" w:hAnsi="黑体" w:eastAsia="黑体" w:cs="黑体"/>
          <w:b/>
          <w:bCs/>
          <w:color w:val="auto"/>
          <w:kern w:val="0"/>
          <w:highlight w:val="none"/>
        </w:rPr>
      </w:pPr>
      <w:r>
        <w:rPr>
          <w:rFonts w:hint="eastAsia" w:ascii="黑体" w:hAnsi="黑体" w:eastAsia="黑体" w:cs="黑体"/>
          <w:b/>
          <w:bCs/>
          <w:color w:val="auto"/>
          <w:kern w:val="0"/>
          <w:highlight w:val="none"/>
        </w:rPr>
        <w:t>附件6：中小企业声明函</w:t>
      </w:r>
    </w:p>
    <w:p>
      <w:pPr>
        <w:ind w:firstLine="480"/>
        <w:jc w:val="left"/>
        <w:rPr>
          <w:rFonts w:ascii="宋体" w:hAnsi="宋体" w:cs="宋体"/>
          <w:color w:val="auto"/>
          <w:highlight w:val="none"/>
        </w:rPr>
      </w:pPr>
      <w:r>
        <w:rPr>
          <w:rFonts w:hint="eastAsia" w:ascii="宋体" w:hAnsi="宋体" w:cs="宋体"/>
          <w:bCs/>
          <w:color w:val="auto"/>
          <w:highlight w:val="none"/>
        </w:rPr>
        <w:t>[招标公告落实政府采购政策需满足的资格要求为“本项目专门面向中小企业采购，要求服务全部由符合政策要求的中小企业承接（残疾人福利性单位、监狱企业视同小微型企业）”，需提供中小企业声明函（附件1）以及其他相关证明材料（详见附件）。]</w:t>
      </w:r>
    </w:p>
    <w:p>
      <w:pPr>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ind w:firstLine="480"/>
        <w:rPr>
          <w:rFonts w:ascii="宋体" w:hAnsi="宋体" w:cs="宋体"/>
          <w:color w:val="auto"/>
          <w:highlight w:val="none"/>
        </w:rPr>
      </w:pPr>
      <w:r>
        <w:rPr>
          <w:rFonts w:hint="eastAsia" w:ascii="宋体" w:hAnsi="宋体" w:cs="宋体"/>
          <w:color w:val="auto"/>
          <w:highlight w:val="none"/>
        </w:rPr>
        <w:t xml:space="preserve">本公司（联合体）郑重声明，根据《政府采购促进中小企业发展管理办法》（财库﹝2020﹞46 号）的规定，本公司（联合体）参加 </w:t>
      </w:r>
      <w:r>
        <w:rPr>
          <w:rFonts w:hint="eastAsia" w:ascii="宋体" w:hAnsi="宋体" w:cs="宋体"/>
          <w:color w:val="auto"/>
          <w:highlight w:val="none"/>
          <w:u w:val="single"/>
        </w:rPr>
        <w:t xml:space="preserve">（采购人） </w:t>
      </w:r>
      <w:r>
        <w:rPr>
          <w:rFonts w:hint="eastAsia" w:ascii="宋体" w:hAnsi="宋体" w:cs="宋体"/>
          <w:color w:val="auto"/>
          <w:highlight w:val="none"/>
        </w:rPr>
        <w:t xml:space="preserve">的 </w:t>
      </w:r>
      <w:r>
        <w:rPr>
          <w:rFonts w:hint="eastAsia" w:ascii="宋体" w:hAnsi="宋体" w:cs="宋体"/>
          <w:color w:val="auto"/>
          <w:highlight w:val="none"/>
          <w:u w:val="single"/>
        </w:rPr>
        <w:t>（项目名称）</w:t>
      </w:r>
      <w:r>
        <w:rPr>
          <w:rFonts w:hint="eastAsia" w:ascii="宋体" w:hAnsi="宋体" w:cs="宋体"/>
          <w:color w:val="auto"/>
          <w:highlight w:val="none"/>
        </w:rPr>
        <w:t xml:space="preserve"> 采购活动，提供的货物全部由符合政策要求的中小企业制造。相关企业（含联合体中的中小企业、签订分包意向协议的中小企业）的具体情况如下：</w:t>
      </w:r>
    </w:p>
    <w:p>
      <w:pPr>
        <w:ind w:firstLine="480"/>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 ，属于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 ，属于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ind w:firstLine="480"/>
        <w:rPr>
          <w:rFonts w:ascii="宋体" w:hAnsi="宋体" w:cs="宋体"/>
          <w:color w:val="auto"/>
          <w:highlight w:val="none"/>
        </w:rPr>
      </w:pP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ind w:firstLine="48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snapToGrid w:val="0"/>
        <w:ind w:firstLine="5160" w:firstLineChars="2150"/>
        <w:rPr>
          <w:rFonts w:ascii="宋体" w:hAnsi="宋体" w:cs="宋体"/>
          <w:color w:val="auto"/>
          <w:kern w:val="0"/>
          <w:highlight w:val="none"/>
        </w:rPr>
      </w:pPr>
      <w:r>
        <w:rPr>
          <w:rFonts w:hint="eastAsia" w:ascii="宋体" w:hAnsi="宋体" w:cs="宋体"/>
          <w:color w:val="auto"/>
          <w:kern w:val="0"/>
          <w:highlight w:val="none"/>
          <w:lang w:val="zh-CN"/>
        </w:rPr>
        <w:t>投标人名称(电子签名)：</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pPr>
        <w:ind w:firstLine="360"/>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ind w:right="420" w:firstLine="480"/>
        <w:rPr>
          <w:rFonts w:ascii="宋体" w:hAnsi="宋体" w:cs="宋体"/>
          <w:color w:val="auto"/>
          <w:highlight w:val="none"/>
        </w:rPr>
      </w:pPr>
      <w:r>
        <w:rPr>
          <w:rFonts w:hint="eastAsia" w:ascii="宋体" w:hAnsi="宋体" w:cs="宋体"/>
          <w:color w:val="auto"/>
          <w:highlight w:val="none"/>
        </w:rPr>
        <w:t>注：</w:t>
      </w:r>
    </w:p>
    <w:p>
      <w:pPr>
        <w:ind w:right="420" w:firstLine="480"/>
        <w:rPr>
          <w:rFonts w:ascii="宋体" w:hAnsi="宋体" w:cs="宋体"/>
          <w:color w:val="auto"/>
          <w:highlight w:val="none"/>
        </w:rPr>
      </w:pPr>
      <w:r>
        <w:rPr>
          <w:rFonts w:hint="eastAsia" w:ascii="宋体" w:hAnsi="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tabs>
          <w:tab w:val="left" w:pos="420"/>
        </w:tabs>
        <w:adjustRightInd w:val="0"/>
        <w:snapToGrid w:val="0"/>
        <w:ind w:firstLine="0" w:firstLineChars="0"/>
        <w:rPr>
          <w:color w:val="auto"/>
          <w:highlight w:val="none"/>
        </w:r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64" w:beforeLines="50" w:after="10"/>
        <w:ind w:firstLine="643"/>
        <w:jc w:val="center"/>
        <w:rPr>
          <w:rFonts w:ascii="等线" w:hAnsi="等线" w:cs="宋体"/>
          <w:b/>
          <w:color w:val="auto"/>
          <w:sz w:val="32"/>
          <w:highlight w:val="none"/>
        </w:rPr>
      </w:pPr>
    </w:p>
    <w:p>
      <w:pPr>
        <w:ind w:firstLine="0" w:firstLineChars="0"/>
        <w:jc w:val="center"/>
        <w:rPr>
          <w:rFonts w:ascii="宋体" w:hAnsi="宋体" w:cs="宋体"/>
          <w:b/>
          <w:color w:val="auto"/>
          <w:spacing w:val="6"/>
          <w:sz w:val="32"/>
          <w:szCs w:val="32"/>
          <w:highlight w:val="none"/>
        </w:rPr>
      </w:pPr>
      <w:bookmarkStart w:id="179" w:name="OLE_LINK13"/>
      <w:bookmarkStart w:id="180" w:name="OLE_LINK14"/>
      <w:r>
        <w:rPr>
          <w:rFonts w:hint="eastAsia" w:ascii="宋体" w:hAnsi="宋体" w:cs="宋体"/>
          <w:b/>
          <w:color w:val="auto"/>
          <w:spacing w:val="6"/>
          <w:sz w:val="32"/>
          <w:szCs w:val="32"/>
          <w:highlight w:val="none"/>
        </w:rPr>
        <w:t>残疾人福利性单位声明函</w:t>
      </w:r>
    </w:p>
    <w:bookmarkEnd w:id="179"/>
    <w:bookmarkEnd w:id="180"/>
    <w:p>
      <w:pPr>
        <w:ind w:firstLine="626"/>
        <w:rPr>
          <w:rFonts w:ascii="宋体" w:hAnsi="宋体" w:cs="宋体"/>
          <w:b/>
          <w:color w:val="auto"/>
          <w:spacing w:val="6"/>
          <w:sz w:val="30"/>
          <w:szCs w:val="30"/>
          <w:highlight w:val="none"/>
        </w:rPr>
      </w:pPr>
    </w:p>
    <w:p>
      <w:pPr>
        <w:spacing w:line="480" w:lineRule="auto"/>
        <w:ind w:firstLine="48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w:t>
      </w:r>
      <w:r>
        <w:rPr>
          <w:rFonts w:ascii="Arial" w:hAnsi="Arial" w:cs="Arial"/>
          <w:color w:val="auto"/>
          <w:highlight w:val="none"/>
        </w:rPr>
        <w:t>〔2017〕141</w:t>
      </w:r>
      <w:r>
        <w:rPr>
          <w:rFonts w:hint="eastAsia" w:ascii="宋体" w:hAnsi="宋体" w:cs="宋体"/>
          <w:color w:val="auto"/>
          <w:highlight w:val="none"/>
        </w:rPr>
        <w:t>号）的规定，本单位为符合条件的残疾人福利性单位，且本单位参加的</w:t>
      </w:r>
      <w:r>
        <w:rPr>
          <w:rFonts w:hint="eastAsia" w:ascii="宋体" w:hAnsi="宋体" w:cs="宋体"/>
          <w:color w:val="auto"/>
          <w:highlight w:val="none"/>
          <w:u w:val="single"/>
        </w:rPr>
        <w:t xml:space="preserve">项目名称：                 </w:t>
      </w:r>
      <w:r>
        <w:rPr>
          <w:rFonts w:hint="eastAsia" w:ascii="宋体" w:hAnsi="宋体" w:cs="宋体"/>
          <w:color w:val="auto"/>
          <w:highlight w:val="none"/>
        </w:rPr>
        <w:t>（项目编号：   ）采购活动</w:t>
      </w:r>
      <w:r>
        <w:rPr>
          <w:rFonts w:hint="eastAsia" w:cs="宋体"/>
          <w:color w:val="auto"/>
          <w:highlight w:val="none"/>
        </w:rPr>
        <w:t>并</w:t>
      </w:r>
      <w:r>
        <w:rPr>
          <w:rFonts w:hint="eastAsia" w:ascii="宋体" w:hAnsi="宋体" w:cs="宋体"/>
          <w:color w:val="auto"/>
          <w:highlight w:val="none"/>
        </w:rPr>
        <w:t>提供本单位</w:t>
      </w:r>
      <w:r>
        <w:rPr>
          <w:rFonts w:hint="eastAsia" w:cs="宋体"/>
          <w:color w:val="auto"/>
          <w:highlight w:val="none"/>
        </w:rPr>
        <w:t>的</w:t>
      </w:r>
      <w:r>
        <w:rPr>
          <w:rFonts w:hint="eastAsia" w:ascii="宋体" w:hAnsi="宋体" w:cs="宋体"/>
          <w:color w:val="auto"/>
          <w:highlight w:val="none"/>
        </w:rPr>
        <w:t>服务。</w:t>
      </w:r>
    </w:p>
    <w:p>
      <w:pPr>
        <w:spacing w:line="480" w:lineRule="auto"/>
        <w:ind w:firstLine="48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spacing w:line="480" w:lineRule="auto"/>
        <w:ind w:firstLine="480"/>
        <w:rPr>
          <w:rFonts w:ascii="宋体" w:hAnsi="宋体" w:cs="宋体"/>
          <w:color w:val="auto"/>
          <w:highlight w:val="none"/>
        </w:rPr>
      </w:pPr>
    </w:p>
    <w:p>
      <w:pPr>
        <w:spacing w:line="480" w:lineRule="auto"/>
        <w:ind w:firstLine="480"/>
        <w:rPr>
          <w:rFonts w:ascii="宋体" w:hAnsi="宋体" w:cs="宋体"/>
          <w:color w:val="auto"/>
          <w:highlight w:val="none"/>
        </w:rPr>
      </w:pPr>
    </w:p>
    <w:p>
      <w:pPr>
        <w:tabs>
          <w:tab w:val="left" w:pos="4860"/>
        </w:tabs>
        <w:spacing w:line="480" w:lineRule="auto"/>
        <w:ind w:right="90" w:firstLine="480"/>
        <w:jc w:val="center"/>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kern w:val="0"/>
          <w:highlight w:val="none"/>
          <w:lang w:val="zh-CN"/>
        </w:rPr>
        <w:t>投标人名称（电子签</w:t>
      </w:r>
      <w:r>
        <w:rPr>
          <w:rFonts w:hint="eastAsia" w:cs="宋体"/>
          <w:color w:val="auto"/>
          <w:kern w:val="0"/>
          <w:highlight w:val="none"/>
        </w:rPr>
        <w:t>章</w:t>
      </w:r>
      <w:r>
        <w:rPr>
          <w:rFonts w:hint="eastAsia" w:ascii="宋体" w:hAnsi="宋体" w:cs="宋体"/>
          <w:color w:val="auto"/>
          <w:kern w:val="0"/>
          <w:highlight w:val="none"/>
          <w:lang w:val="zh-CN"/>
        </w:rPr>
        <w:t>）</w:t>
      </w:r>
      <w:r>
        <w:rPr>
          <w:rFonts w:hint="eastAsia" w:ascii="宋体" w:hAnsi="宋体" w:cs="宋体"/>
          <w:color w:val="auto"/>
          <w:highlight w:val="none"/>
        </w:rPr>
        <w:t>：</w:t>
      </w:r>
    </w:p>
    <w:p>
      <w:pPr>
        <w:pStyle w:val="2"/>
        <w:spacing w:before="164"/>
        <w:rPr>
          <w:rFonts w:ascii="宋体" w:hAnsi="宋体" w:cs="宋体"/>
          <w:snapToGrid w:val="0"/>
          <w:color w:val="auto"/>
          <w:highlight w:val="none"/>
        </w:rPr>
      </w:pPr>
      <w:r>
        <w:rPr>
          <w:rFonts w:hint="eastAsia" w:ascii="宋体" w:hAnsi="宋体" w:cs="宋体"/>
          <w:color w:val="auto"/>
          <w:highlight w:val="none"/>
        </w:rPr>
        <w:t xml:space="preserve">      </w:t>
      </w:r>
      <w:r>
        <w:rPr>
          <w:rFonts w:hint="eastAsia" w:cs="宋体"/>
          <w:color w:val="auto"/>
          <w:highlight w:val="none"/>
        </w:rPr>
        <w:t xml:space="preserve">                       </w:t>
      </w:r>
      <w:r>
        <w:rPr>
          <w:rFonts w:hint="eastAsia" w:ascii="宋体" w:hAnsi="宋体" w:cs="宋体"/>
          <w:color w:val="auto"/>
          <w:highlight w:val="none"/>
        </w:rPr>
        <w:t xml:space="preserve"> 日  期：</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年</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月</w:t>
      </w:r>
      <w:r>
        <w:rPr>
          <w:rFonts w:hint="eastAsia" w:ascii="宋体" w:hAnsi="宋体" w:cs="宋体"/>
          <w:snapToGrid w:val="0"/>
          <w:color w:val="auto"/>
          <w:highlight w:val="none"/>
          <w:u w:val="single"/>
        </w:rPr>
        <w:t xml:space="preserve">       </w:t>
      </w:r>
      <w:r>
        <w:rPr>
          <w:rFonts w:hint="eastAsia" w:ascii="宋体" w:hAnsi="宋体" w:cs="宋体"/>
          <w:snapToGrid w:val="0"/>
          <w:color w:val="auto"/>
          <w:highlight w:val="none"/>
        </w:rPr>
        <w:t>日</w:t>
      </w:r>
    </w:p>
    <w:p>
      <w:pPr>
        <w:snapToGrid w:val="0"/>
        <w:spacing w:line="312" w:lineRule="auto"/>
        <w:ind w:firstLine="0" w:firstLineChars="0"/>
        <w:rPr>
          <w:rFonts w:ascii="黑体" w:hAnsi="黑体" w:eastAsia="黑体" w:cs="黑体"/>
          <w:b/>
          <w:bCs/>
          <w:color w:val="auto"/>
          <w:kern w:val="0"/>
          <w:szCs w:val="22"/>
          <w:highlight w:val="none"/>
        </w:rPr>
      </w:pPr>
      <w:r>
        <w:rPr>
          <w:rFonts w:hint="eastAsia" w:ascii="宋体" w:hAnsi="宋体" w:cs="宋体"/>
          <w:snapToGrid w:val="0"/>
          <w:color w:val="auto"/>
          <w:kern w:val="0"/>
          <w:highlight w:val="none"/>
        </w:rPr>
        <w:br w:type="page"/>
      </w:r>
    </w:p>
    <w:p>
      <w:pPr>
        <w:snapToGrid w:val="0"/>
        <w:spacing w:before="164" w:beforeLines="50" w:after="10"/>
        <w:ind w:firstLine="0" w:firstLineChars="0"/>
        <w:jc w:val="center"/>
        <w:rPr>
          <w:rFonts w:ascii="等线" w:hAnsi="等线" w:cs="宋体"/>
          <w:b/>
          <w:color w:val="auto"/>
          <w:sz w:val="32"/>
          <w:highlight w:val="none"/>
        </w:rPr>
      </w:pPr>
      <w:r>
        <w:rPr>
          <w:rFonts w:hint="eastAsia" w:ascii="等线" w:hAnsi="等线" w:cs="宋体"/>
          <w:b/>
          <w:color w:val="auto"/>
          <w:sz w:val="32"/>
          <w:highlight w:val="none"/>
        </w:rPr>
        <w:t>监狱企业声明函</w:t>
      </w:r>
    </w:p>
    <w:p>
      <w:pPr>
        <w:tabs>
          <w:tab w:val="left" w:pos="900"/>
        </w:tabs>
        <w:spacing w:before="164" w:beforeLines="50" w:after="164" w:afterLines="50"/>
        <w:ind w:firstLine="480"/>
        <w:jc w:val="left"/>
        <w:rPr>
          <w:rFonts w:ascii="等线" w:hAnsi="宋体" w:cs="宋体"/>
          <w:color w:val="auto"/>
          <w:kern w:val="0"/>
          <w:highlight w:val="none"/>
        </w:rPr>
      </w:pPr>
      <w:r>
        <w:rPr>
          <w:rFonts w:ascii="等线" w:hAnsi="宋体" w:cs="宋体"/>
          <w:color w:val="auto"/>
          <w:kern w:val="0"/>
          <w:highlight w:val="none"/>
        </w:rPr>
        <w:t>本企业郑重声明，根据《关于政府采购支持监狱企业发展有关问题的通知》（财库</w:t>
      </w:r>
      <w:r>
        <w:rPr>
          <w:rFonts w:ascii="Arial" w:hAnsi="Arial" w:cs="Arial"/>
          <w:color w:val="auto"/>
          <w:kern w:val="0"/>
          <w:highlight w:val="none"/>
        </w:rPr>
        <w:t>[2014]68</w:t>
      </w:r>
      <w:r>
        <w:rPr>
          <w:rFonts w:ascii="等线" w:hAnsi="宋体" w:cs="宋体"/>
          <w:color w:val="auto"/>
          <w:kern w:val="0"/>
          <w:highlight w:val="none"/>
        </w:rPr>
        <w:t xml:space="preserve">号）的规定，本企业为监狱企业。 </w:t>
      </w:r>
    </w:p>
    <w:p>
      <w:pPr>
        <w:tabs>
          <w:tab w:val="left" w:pos="900"/>
        </w:tabs>
        <w:spacing w:before="164" w:beforeLines="50" w:after="164" w:afterLines="50"/>
        <w:ind w:firstLine="480"/>
        <w:jc w:val="left"/>
        <w:rPr>
          <w:rFonts w:ascii="等线" w:hAnsi="宋体" w:cs="宋体"/>
          <w:color w:val="auto"/>
          <w:kern w:val="0"/>
          <w:highlight w:val="none"/>
          <w:u w:val="single"/>
        </w:rPr>
      </w:pPr>
      <w:r>
        <w:rPr>
          <w:rFonts w:ascii="等线" w:hAnsi="宋体" w:cs="宋体"/>
          <w:color w:val="auto"/>
          <w:kern w:val="0"/>
          <w:highlight w:val="none"/>
        </w:rPr>
        <w:t xml:space="preserve">根据上述标准，我企业属于监狱企业的理由为： </w:t>
      </w:r>
      <w:r>
        <w:rPr>
          <w:rFonts w:hint="eastAsia" w:ascii="等线" w:hAnsi="宋体" w:cs="宋体"/>
          <w:color w:val="auto"/>
          <w:kern w:val="0"/>
          <w:highlight w:val="none"/>
          <w:u w:val="single"/>
        </w:rPr>
        <w:t xml:space="preserve">  </w:t>
      </w:r>
      <w:r>
        <w:rPr>
          <w:rFonts w:ascii="等线" w:hAnsi="宋体" w:cs="宋体"/>
          <w:color w:val="auto"/>
          <w:kern w:val="0"/>
          <w:highlight w:val="none"/>
          <w:u w:val="single"/>
        </w:rPr>
        <w:t xml:space="preserve"> </w:t>
      </w:r>
      <w:r>
        <w:rPr>
          <w:rFonts w:hint="eastAsia" w:ascii="等线" w:hAnsi="宋体" w:cs="宋体"/>
          <w:color w:val="auto"/>
          <w:kern w:val="0"/>
          <w:highlight w:val="none"/>
          <w:u w:val="single"/>
        </w:rPr>
        <w:t xml:space="preserve">                      </w:t>
      </w:r>
      <w:r>
        <w:rPr>
          <w:rFonts w:hint="eastAsia" w:ascii="等线" w:hAnsi="宋体" w:cs="宋体"/>
          <w:color w:val="auto"/>
          <w:kern w:val="0"/>
          <w:highlight w:val="none"/>
        </w:rPr>
        <w:t>。</w:t>
      </w:r>
    </w:p>
    <w:p>
      <w:pPr>
        <w:tabs>
          <w:tab w:val="left" w:pos="900"/>
        </w:tabs>
        <w:spacing w:before="164" w:beforeLines="50" w:after="164" w:afterLines="50"/>
        <w:ind w:firstLine="480"/>
        <w:jc w:val="left"/>
        <w:rPr>
          <w:rFonts w:ascii="等线" w:hAnsi="宋体" w:cs="宋体"/>
          <w:color w:val="auto"/>
          <w:kern w:val="0"/>
          <w:highlight w:val="none"/>
        </w:rPr>
      </w:pPr>
      <w:r>
        <w:rPr>
          <w:rFonts w:ascii="等线" w:hAnsi="宋体" w:cs="宋体"/>
          <w:color w:val="auto"/>
          <w:kern w:val="0"/>
          <w:highlight w:val="none"/>
        </w:rPr>
        <w:t>本企业为参加</w:t>
      </w:r>
      <w:r>
        <w:rPr>
          <w:rFonts w:hint="eastAsia" w:ascii="宋体" w:hAnsi="宋体" w:cs="宋体"/>
          <w:color w:val="auto"/>
          <w:highlight w:val="none"/>
          <w:u w:val="single"/>
        </w:rPr>
        <w:t xml:space="preserve">项目名称：                 </w:t>
      </w:r>
      <w:r>
        <w:rPr>
          <w:rFonts w:hint="eastAsia" w:ascii="宋体" w:hAnsi="宋体" w:cs="宋体"/>
          <w:color w:val="auto"/>
          <w:highlight w:val="none"/>
        </w:rPr>
        <w:t>（项目编号：   ）</w:t>
      </w:r>
      <w:r>
        <w:rPr>
          <w:rFonts w:ascii="等线" w:hAnsi="宋体" w:cs="宋体"/>
          <w:color w:val="auto"/>
          <w:kern w:val="0"/>
          <w:highlight w:val="none"/>
        </w:rPr>
        <w:t xml:space="preserve">采购活动提供本企业的服务。 </w:t>
      </w:r>
    </w:p>
    <w:p>
      <w:pPr>
        <w:ind w:firstLine="480"/>
        <w:rPr>
          <w:rFonts w:ascii="宋体" w:hAnsi="宋体" w:cs="宋体"/>
          <w:color w:val="auto"/>
          <w:highlight w:val="none"/>
        </w:rPr>
      </w:pPr>
      <w:r>
        <w:rPr>
          <w:rFonts w:ascii="宋体" w:hAnsi="宋体" w:cs="宋体"/>
          <w:color w:val="auto"/>
          <w:highlight w:val="none"/>
        </w:rPr>
        <w:t xml:space="preserve">本企业对上述声明的真实性负责。如有虚假，将依法承担相应责任。 </w:t>
      </w:r>
    </w:p>
    <w:p>
      <w:pPr>
        <w:ind w:firstLine="480"/>
        <w:rPr>
          <w:rFonts w:ascii="宋体" w:hAnsi="宋体" w:cs="宋体"/>
          <w:color w:val="auto"/>
          <w:highlight w:val="none"/>
        </w:rPr>
      </w:pPr>
    </w:p>
    <w:p>
      <w:pPr>
        <w:widowControl/>
        <w:spacing w:before="100" w:beforeAutospacing="1" w:after="100" w:afterAutospacing="1" w:line="480" w:lineRule="auto"/>
        <w:ind w:firstLine="4320" w:firstLineChars="1800"/>
        <w:jc w:val="left"/>
        <w:rPr>
          <w:rFonts w:ascii="宋体" w:hAnsi="宋体" w:cs="宋体"/>
          <w:color w:val="auto"/>
          <w:highlight w:val="none"/>
          <w:u w:val="single"/>
        </w:rPr>
      </w:pPr>
      <w:r>
        <w:rPr>
          <w:rFonts w:hint="eastAsia" w:ascii="宋体" w:hAnsi="宋体" w:cs="宋体"/>
          <w:color w:val="auto"/>
          <w:highlight w:val="none"/>
        </w:rPr>
        <w:t>投标人名称（电子签章）：</w:t>
      </w:r>
      <w:r>
        <w:rPr>
          <w:rFonts w:hint="eastAsia" w:cs="宋体"/>
          <w:color w:val="auto"/>
          <w:highlight w:val="none"/>
          <w:u w:val="single"/>
        </w:rPr>
        <w:t xml:space="preserve">                </w:t>
      </w:r>
    </w:p>
    <w:p>
      <w:pPr>
        <w:ind w:firstLine="480"/>
        <w:jc w:val="right"/>
        <w:rPr>
          <w:rFonts w:ascii="宋体" w:hAnsi="宋体" w:cs="宋体"/>
          <w:snapToGrid w:val="0"/>
          <w:color w:val="auto"/>
          <w:kern w:val="0"/>
          <w:highlight w:val="none"/>
        </w:rPr>
      </w:pPr>
      <w:r>
        <w:rPr>
          <w:rFonts w:hint="eastAsia" w:ascii="宋体" w:hAnsi="宋体" w:cs="宋体"/>
          <w:snapToGrid w:val="0"/>
          <w:color w:val="auto"/>
          <w:kern w:val="0"/>
          <w:highlight w:val="none"/>
        </w:rPr>
        <w:t>日期：</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p>
    <w:p>
      <w:pPr>
        <w:ind w:firstLine="480"/>
        <w:jc w:val="right"/>
        <w:rPr>
          <w:rFonts w:cs="宋体"/>
          <w:color w:val="auto"/>
          <w:highlight w:val="none"/>
        </w:rPr>
      </w:pPr>
    </w:p>
    <w:p>
      <w:pPr>
        <w:ind w:firstLine="480"/>
        <w:jc w:val="right"/>
        <w:rPr>
          <w:rFonts w:cs="宋体"/>
          <w:color w:val="auto"/>
          <w:highlight w:val="none"/>
        </w:rPr>
      </w:pPr>
    </w:p>
    <w:p>
      <w:pPr>
        <w:ind w:firstLine="480"/>
        <w:jc w:val="right"/>
        <w:rPr>
          <w:rFonts w:cs="宋体"/>
          <w:color w:val="auto"/>
          <w:highlight w:val="none"/>
        </w:rPr>
      </w:pPr>
    </w:p>
    <w:p>
      <w:pPr>
        <w:ind w:firstLine="480"/>
        <w:rPr>
          <w:color w:val="auto"/>
          <w:highlight w:val="none"/>
        </w:rPr>
      </w:pPr>
      <w:r>
        <w:rPr>
          <w:rFonts w:hint="eastAsia" w:cs="宋体"/>
          <w:color w:val="auto"/>
          <w:highlight w:val="none"/>
        </w:rPr>
        <w:t>注：监狱企业参加政府采购活动时，应当提供由省级以上监狱管理局、戒毒管理局（含新疆生产建设兵团）出具的属于监狱企业的证明文件。</w:t>
      </w:r>
    </w:p>
    <w:sectPr>
      <w:headerReference r:id="rId22" w:type="default"/>
      <w:pgSz w:w="11906" w:h="16838"/>
      <w:pgMar w:top="1474" w:right="1417" w:bottom="1247" w:left="1417" w:header="567" w:footer="567"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none" w:color="auto" w:sz="0" w:space="1"/>
        <w:right w:val="none" w:color="auto" w:sz="0" w:space="4"/>
        <w:between w:val="none" w:color="auto" w:sz="0" w:space="0"/>
      </w:pBdr>
      <w:tabs>
        <w:tab w:val="left" w:pos="614"/>
        <w:tab w:val="left" w:pos="7529"/>
        <w:tab w:val="clear" w:pos="4153"/>
        <w:tab w:val="clear" w:pos="8306"/>
      </w:tabs>
      <w:ind w:firstLine="0" w:firstLineChars="0"/>
      <w:jc w:val="both"/>
      <w:rPr>
        <w:rFonts w:ascii="宋体" w:hAnsi="宋体" w:eastAsia="宋体" w:cs="宋体"/>
      </w:rPr>
    </w:pPr>
    <w:r>
      <w:rPr>
        <w:rFonts w:hint="eastAsia" w:ascii="宋体" w:hAnsi="宋体" w:eastAsia="宋体" w:cs="宋体"/>
        <w:lang w:eastAsia="zh-CN"/>
      </w:rPr>
      <w:tab/>
    </w:r>
    <w:r>
      <w:rPr>
        <w:rFonts w:hint="eastAsia" w:ascii="宋体" w:hAnsi="宋体" w:eastAsia="宋体" w:cs="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rPr>
        <w:rFonts w:hint="default" w:ascii="宋体" w:hAnsi="宋体" w:eastAsia="宋体" w:cs="宋体"/>
        <w:lang w:val="en-US"/>
      </w:rPr>
    </w:pPr>
    <w:r>
      <w:rPr>
        <w:rFonts w:hint="eastAsia" w:ascii="宋体" w:hAnsi="宋体" w:eastAsia="宋体" w:cs="宋体"/>
        <w:lang w:eastAsia="zh-CN"/>
      </w:rPr>
      <w:t>浦江县通济桥水库灌区续建配套与节水改造项目（2023-2024年）（金属结构）设备采购项目（重新招标）</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right"/>
      <w:rPr>
        <w:rFonts w:hint="default"/>
        <w:lang w:val="en-US"/>
      </w:rPr>
    </w:pPr>
    <w:r>
      <w:rPr>
        <w:rFonts w:hint="eastAsia" w:ascii="宋体" w:hAnsi="宋体" w:eastAsia="宋体" w:cs="宋体"/>
        <w:lang w:eastAsia="zh-CN"/>
      </w:rPr>
      <w:t>浦江县通济桥水库灌区续建配套与节水改造项目（2023-2024年）（金属结构）设备采购项目（重新招标）</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rPr>
        <w:rFonts w:hint="default" w:ascii="宋体" w:hAnsi="宋体" w:eastAsia="宋体" w:cs="宋体"/>
        <w:lang w:val="en-US"/>
      </w:rPr>
    </w:pPr>
    <w:r>
      <w:rPr>
        <w:rFonts w:hint="eastAsia" w:ascii="宋体" w:hAnsi="宋体" w:eastAsia="宋体" w:cs="宋体"/>
        <w:lang w:eastAsia="zh-CN"/>
      </w:rPr>
      <w:t>浦江县通济桥水库灌区续建配套与节水改造项目（2023-2024年）（金属结构）设备采购项目（重新招标）</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right"/>
      <w:rPr>
        <w:rFonts w:hint="default"/>
        <w:lang w:val="en-US"/>
      </w:rPr>
    </w:pPr>
    <w:r>
      <w:rPr>
        <w:rFonts w:hint="eastAsia" w:ascii="宋体" w:hAnsi="宋体" w:eastAsia="宋体" w:cs="宋体"/>
        <w:lang w:eastAsia="zh-CN"/>
      </w:rPr>
      <w:t>浦江县通济桥水库灌区续建配套与节水改造项目（2023-2024年）（金属结构）设备采购项目（重新招标）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366"/>
        <w:tab w:val="left" w:pos="7644"/>
        <w:tab w:val="clear" w:pos="4153"/>
      </w:tabs>
      <w:ind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7644"/>
        <w:tab w:val="clear" w:pos="4153"/>
      </w:tabs>
      <w:ind w:firstLine="360"/>
      <w:jc w:val="right"/>
    </w:pPr>
    <w:r>
      <w:rPr>
        <w:rFonts w:hint="eastAsia" w:ascii="宋体" w:hAnsi="宋体" w:cs="宋体"/>
        <w:bCs/>
        <w:szCs w:val="18"/>
      </w:rPr>
      <w:t>[第五部分 拟签订的合同文本]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7644"/>
        <w:tab w:val="clear" w:pos="4153"/>
      </w:tabs>
      <w:ind w:firstLine="360"/>
      <w:jc w:val="right"/>
    </w:pPr>
    <w:r>
      <w:rPr>
        <w:rFonts w:hint="eastAsia" w:ascii="宋体" w:hAnsi="宋体" w:cs="宋体"/>
        <w:bCs/>
        <w:szCs w:val="18"/>
      </w:rPr>
      <w:t>[第六部分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7644"/>
        <w:tab w:val="clear" w:pos="4153"/>
      </w:tabs>
      <w:ind w:firstLine="360"/>
      <w:jc w:val="right"/>
    </w:pPr>
    <w:r>
      <w:rPr>
        <w:rFonts w:hint="eastAsia" w:ascii="宋体" w:hAnsi="宋体" w:cs="宋体"/>
        <w:bCs/>
        <w:szCs w:val="18"/>
      </w:rPr>
      <w:t>[第七部分 其他]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ind w:firstLine="360"/>
    </w:pPr>
    <w:r>
      <mc:AlternateContent>
        <mc:Choice Requires="wpg">
          <w:drawing>
            <wp:anchor distT="0" distB="0" distL="114300" distR="114300" simplePos="0" relativeHeight="251661312" behindDoc="0" locked="0" layoutInCell="1" allowOverlap="1">
              <wp:simplePos x="0" y="0"/>
              <wp:positionH relativeFrom="column">
                <wp:posOffset>90170</wp:posOffset>
              </wp:positionH>
              <wp:positionV relativeFrom="paragraph">
                <wp:posOffset>22860</wp:posOffset>
              </wp:positionV>
              <wp:extent cx="1004570" cy="277495"/>
              <wp:effectExtent l="0" t="0" r="0" b="6985"/>
              <wp:wrapNone/>
              <wp:docPr id="28" name="组合 28"/>
              <wp:cNvGraphicFramePr/>
              <a:graphic xmlns:a="http://schemas.openxmlformats.org/drawingml/2006/main">
                <a:graphicData uri="http://schemas.microsoft.com/office/word/2010/wordprocessingGroup">
                  <wpg:wgp>
                    <wpg:cNvGrpSpPr/>
                    <wpg:grpSpPr>
                      <a:xfrm>
                        <a:off x="0" y="0"/>
                        <a:ext cx="1004570" cy="277495"/>
                        <a:chOff x="2233" y="69288"/>
                        <a:chExt cx="1582" cy="437"/>
                      </a:xfrm>
                    </wpg:grpSpPr>
                    <wps:wsp>
                      <wps:cNvPr id="29" name="文本框 9"/>
                      <wps:cNvSpPr txBox="1"/>
                      <wps:spPr>
                        <a:xfrm>
                          <a:off x="2494" y="69288"/>
                          <a:ext cx="1321" cy="437"/>
                        </a:xfrm>
                        <a:prstGeom prst="rect">
                          <a:avLst/>
                        </a:prstGeom>
                        <a:noFill/>
                        <a:ln w="6350">
                          <a:noFill/>
                        </a:ln>
                      </wps:spPr>
                      <wps:txbx>
                        <w:txbxContent>
                          <w:p>
                            <w:pPr>
                              <w:ind w:firstLine="0" w:firstLineChars="0"/>
                              <w:rPr>
                                <w:rFonts w:ascii="隶书" w:hAnsi="隶书" w:eastAsia="隶书" w:cs="隶书"/>
                                <w:color w:val="000000"/>
                                <w:sz w:val="18"/>
                                <w:szCs w:val="18"/>
                              </w:rPr>
                            </w:pPr>
                            <w:r>
                              <w:rPr>
                                <w:rFonts w:hint="eastAsia" w:ascii="隶书" w:hAnsi="隶书" w:eastAsia="隶书" w:cs="隶书"/>
                                <w:bCs/>
                                <w:color w:val="000000"/>
                                <w:kern w:val="0"/>
                                <w:sz w:val="18"/>
                                <w:szCs w:val="18"/>
                              </w:rPr>
                              <w:t>建航咨询</w:t>
                            </w:r>
                          </w:p>
                        </w:txbxContent>
                      </wps:txbx>
                      <wps:bodyPr upright="1"/>
                    </wps:wsp>
                    <pic:pic xmlns:pic="http://schemas.openxmlformats.org/drawingml/2006/picture">
                      <pic:nvPicPr>
                        <pic:cNvPr id="33" name="图片 7"/>
                        <pic:cNvPicPr>
                          <a:picLocks noChangeAspect="1"/>
                        </pic:cNvPicPr>
                      </pic:nvPicPr>
                      <pic:blipFill>
                        <a:blip r:embed="rId1"/>
                        <a:stretch>
                          <a:fillRect/>
                        </a:stretch>
                      </pic:blipFill>
                      <pic:spPr>
                        <a:xfrm>
                          <a:off x="2233" y="69351"/>
                          <a:ext cx="314" cy="337"/>
                        </a:xfrm>
                        <a:prstGeom prst="rect">
                          <a:avLst/>
                        </a:prstGeom>
                        <a:noFill/>
                        <a:ln>
                          <a:noFill/>
                        </a:ln>
                      </pic:spPr>
                    </pic:pic>
                  </wpg:wgp>
                </a:graphicData>
              </a:graphic>
            </wp:anchor>
          </w:drawing>
        </mc:Choice>
        <mc:Fallback>
          <w:pict>
            <v:group id="_x0000_s1026" o:spid="_x0000_s1026" o:spt="203" style="position:absolute;left:0pt;margin-left:7.1pt;margin-top:1.8pt;height:21.85pt;width:79.1pt;z-index:251661312;mso-width-relative:page;mso-height-relative:page;" coordorigin="2233,69288" coordsize="1582,437" o:gfxdata="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">
              <o:lock v:ext="edit" aspectratio="f"/>
              <v:shape id="文本框 9" o:spid="_x0000_s1026" o:spt="202" type="#_x0000_t202" style="position:absolute;left:2494;top:69288;height:437;width:1321;"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firstLine="0" w:firstLineChars="0"/>
                        <w:rPr>
                          <w:rFonts w:ascii="隶书" w:hAnsi="隶书" w:eastAsia="隶书" w:cs="隶书"/>
                          <w:color w:val="000000"/>
                          <w:sz w:val="18"/>
                          <w:szCs w:val="18"/>
                        </w:rPr>
                      </w:pPr>
                      <w:r>
                        <w:rPr>
                          <w:rFonts w:hint="eastAsia" w:ascii="隶书" w:hAnsi="隶书" w:eastAsia="隶书" w:cs="隶书"/>
                          <w:bCs/>
                          <w:color w:val="000000"/>
                          <w:kern w:val="0"/>
                          <w:sz w:val="18"/>
                          <w:szCs w:val="18"/>
                        </w:rPr>
                        <w:t>建航咨询</w:t>
                      </w:r>
                    </w:p>
                  </w:txbxContent>
                </v:textbox>
              </v:shape>
              <v:shape id="图片 7" o:spid="_x0000_s1026" o:spt="75" type="#_x0000_t75" style="position:absolute;left:2233;top:69351;height:337;width:314;" filled="f" o:preferrelative="t" stroked="f" coordsize="21600,21600" o:gfxdata="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BKTLsAAADb&#10;AAAADwAAAAAAAAABACAAAAAiAAAAZHJzL2Rvd25yZXYueG1sUEsBAhQAFAAAAAgAh07iQDMvBZ47&#10;AAAAOQAAABAAAAAAAAAAAQAgAAAACgEAAGRycy9zaGFwZXhtbC54bWxQSwUGAAAAAAYABgBbAQAA&#10;tAMAAAAA&#10;">
                <v:fill on="f" focussize="0,0"/>
                <v:stroke on="f"/>
                <v:imagedata r:id="rId1" o:title=""/>
                <o:lock v:ext="edit" aspectratio="t"/>
              </v:shape>
            </v:group>
          </w:pict>
        </mc:Fallback>
      </mc:AlternateContent>
    </w:r>
  </w:p>
  <w:p>
    <w:pPr>
      <w:pStyle w:val="18"/>
      <w:pBdr>
        <w:bottom w:val="single" w:color="auto" w:sz="4" w:space="1"/>
      </w:pBdr>
      <w:tabs>
        <w:tab w:val="left" w:pos="5366"/>
        <w:tab w:val="left" w:pos="7644"/>
        <w:tab w:val="clear" w:pos="4153"/>
      </w:tabs>
      <w:ind w:firstLine="7020" w:firstLineChars="3900"/>
      <w:jc w:val="right"/>
    </w:pPr>
    <w:r>
      <w:rPr>
        <w:rFonts w:hint="eastAsia" w:ascii="宋体" w:hAnsi="宋体" w:cs="宋体"/>
        <w:bCs/>
        <w:szCs w:val="18"/>
      </w:rPr>
      <w:t>[目录]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5366"/>
        <w:tab w:val="left" w:pos="7644"/>
        <w:tab w:val="clear" w:pos="4153"/>
      </w:tabs>
      <w:ind w:firstLine="7020" w:firstLineChars="3900"/>
      <w:jc w:val="right"/>
    </w:pPr>
    <w:r>
      <w:rPr>
        <w:rFonts w:hint="eastAsia" w:ascii="宋体" w:hAnsi="宋体" w:cs="宋体"/>
        <w:bCs/>
        <w:szCs w:val="18"/>
      </w:rPr>
      <w:t>[目录]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ind w:firstLine="360"/>
    </w:pPr>
  </w:p>
  <w:p>
    <w:pPr>
      <w:pStyle w:val="18"/>
      <w:pBdr>
        <w:bottom w:val="single" w:color="auto" w:sz="4" w:space="1"/>
      </w:pBdr>
      <w:tabs>
        <w:tab w:val="left" w:pos="5366"/>
        <w:tab w:val="left" w:pos="7644"/>
        <w:tab w:val="clear" w:pos="4153"/>
      </w:tabs>
      <w:ind w:firstLine="7020" w:firstLineChars="3900"/>
      <w:jc w:val="right"/>
    </w:pPr>
    <w:r>
      <w:rPr>
        <w:rFonts w:hint="eastAsia" w:ascii="宋体" w:hAnsi="宋体" w:cs="宋体"/>
        <w:bCs/>
        <w:szCs w:val="18"/>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5366"/>
        <w:tab w:val="left" w:pos="7644"/>
        <w:tab w:val="clear" w:pos="4153"/>
      </w:tabs>
      <w:ind w:firstLine="0" w:firstLineChars="0"/>
      <w:jc w:val="right"/>
    </w:pPr>
    <w:r>
      <w:rPr>
        <w:rFonts w:hint="eastAsia" w:ascii="宋体" w:hAnsi="宋体" w:cs="宋体"/>
        <w:bCs/>
        <w:szCs w:val="18"/>
      </w:rPr>
      <w:t>[</w:t>
    </w:r>
    <w:r>
      <w:rPr>
        <w:rFonts w:ascii="宋体" w:hAnsi="宋体" w:cs="宋体"/>
        <w:bCs/>
        <w:szCs w:val="18"/>
      </w:rPr>
      <w:fldChar w:fldCharType="begin"/>
    </w:r>
    <w:r>
      <w:rPr>
        <w:rFonts w:ascii="宋体" w:hAnsi="宋体" w:cs="宋体"/>
        <w:bCs/>
        <w:szCs w:val="18"/>
      </w:rPr>
      <w:instrText xml:space="preserve"> STYLEREF "标题 1"  \* MERGEFORMAT </w:instrText>
    </w:r>
    <w:r>
      <w:rPr>
        <w:rFonts w:ascii="宋体" w:hAnsi="宋体" w:cs="宋体"/>
        <w:bCs/>
        <w:szCs w:val="18"/>
      </w:rPr>
      <w:fldChar w:fldCharType="separate"/>
    </w:r>
    <w:r>
      <w:rPr>
        <w:rFonts w:ascii="宋体" w:hAnsi="宋体" w:cs="宋体"/>
        <w:bCs/>
        <w:szCs w:val="18"/>
      </w:rPr>
      <w:t xml:space="preserve">  采购需求</w:t>
    </w:r>
    <w:r>
      <w:rPr>
        <w:rFonts w:ascii="宋体" w:hAnsi="宋体" w:cs="宋体"/>
        <w:bCs/>
        <w:szCs w:val="18"/>
      </w:rPr>
      <w:fldChar w:fldCharType="end"/>
    </w:r>
    <w:r>
      <w:rPr>
        <w:rFonts w:hint="eastAsia" w:ascii="宋体" w:hAnsi="宋体" w:cs="宋体"/>
        <w:bCs/>
        <w:szCs w:val="1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ind w:firstLine="360"/>
    </w:pPr>
  </w:p>
  <w:p>
    <w:pPr>
      <w:pStyle w:val="18"/>
      <w:pBdr>
        <w:bottom w:val="single" w:color="auto" w:sz="4" w:space="1"/>
      </w:pBdr>
      <w:tabs>
        <w:tab w:val="left" w:pos="5366"/>
        <w:tab w:val="left" w:pos="7644"/>
        <w:tab w:val="clear" w:pos="4153"/>
      </w:tabs>
      <w:ind w:firstLine="0" w:firstLineChars="0"/>
      <w:jc w:val="right"/>
    </w:pPr>
    <w:r>
      <w:rPr>
        <w:rFonts w:hint="eastAsia" w:ascii="宋体" w:hAnsi="宋体" w:cs="宋体"/>
        <w:bCs/>
        <w:szCs w:val="18"/>
      </w:rPr>
      <w:t>[</w:t>
    </w:r>
    <w:r>
      <w:rPr>
        <w:rFonts w:ascii="宋体" w:hAnsi="宋体" w:cs="宋体"/>
        <w:bCs/>
        <w:szCs w:val="18"/>
      </w:rPr>
      <w:fldChar w:fldCharType="begin"/>
    </w:r>
    <w:r>
      <w:rPr>
        <w:rFonts w:ascii="宋体" w:hAnsi="宋体" w:cs="宋体"/>
        <w:bCs/>
        <w:szCs w:val="18"/>
      </w:rPr>
      <w:instrText xml:space="preserve"> STYLEREF "标题 1"  \* MERGEFORMAT </w:instrText>
    </w:r>
    <w:r>
      <w:rPr>
        <w:rFonts w:ascii="宋体" w:hAnsi="宋体" w:cs="宋体"/>
        <w:bCs/>
        <w:szCs w:val="18"/>
      </w:rPr>
      <w:fldChar w:fldCharType="separate"/>
    </w:r>
    <w:r>
      <w:rPr>
        <w:rFonts w:ascii="宋体" w:hAnsi="宋体" w:cs="宋体"/>
        <w:bCs/>
        <w:szCs w:val="18"/>
      </w:rPr>
      <w:t xml:space="preserve">  采购需求</w:t>
    </w:r>
    <w:r>
      <w:rPr>
        <w:rFonts w:ascii="宋体" w:hAnsi="宋体" w:cs="宋体"/>
        <w:bCs/>
        <w:szCs w:val="18"/>
      </w:rPr>
      <w:fldChar w:fldCharType="end"/>
    </w:r>
    <w:r>
      <w:rPr>
        <w:rFonts w:hint="eastAsia" w:ascii="宋体" w:hAnsi="宋体" w:cs="宋体"/>
        <w:bCs/>
        <w:szCs w:val="1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5366"/>
        <w:tab w:val="left" w:pos="7644"/>
        <w:tab w:val="clear" w:pos="4153"/>
      </w:tabs>
      <w:ind w:firstLine="360"/>
      <w:jc w:val="right"/>
    </w:pPr>
    <w:r>
      <w:rPr>
        <w:rFonts w:hint="eastAsia" w:ascii="宋体" w:hAnsi="宋体" w:cs="宋体"/>
        <w:bCs/>
        <w:szCs w:val="18"/>
      </w:rPr>
      <w:t>[第二部分 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998"/>
        <w:tab w:val="clear" w:pos="4153"/>
      </w:tabs>
      <w:ind w:firstLine="360"/>
    </w:pPr>
    <w:r>
      <w:rPr>
        <w:rFonts w:hint="eastAsia"/>
      </w:rPr>
      <w:tab/>
    </w:r>
  </w:p>
  <w:p>
    <w:pPr>
      <w:pStyle w:val="18"/>
      <w:pBdr>
        <w:bottom w:val="single" w:color="auto" w:sz="4" w:space="1"/>
      </w:pBdr>
      <w:tabs>
        <w:tab w:val="left" w:pos="7644"/>
        <w:tab w:val="clear" w:pos="4153"/>
      </w:tabs>
      <w:ind w:firstLine="6660" w:firstLineChars="3700"/>
      <w:jc w:val="right"/>
    </w:pPr>
    <w:r>
      <w:rPr>
        <w:rFonts w:hint="eastAsia" w:ascii="宋体" w:hAnsi="宋体" w:cs="宋体"/>
        <w:bCs/>
        <w:szCs w:val="18"/>
      </w:rPr>
      <w:t>[</w:t>
    </w:r>
    <w:r>
      <w:rPr>
        <w:rFonts w:ascii="宋体" w:hAnsi="宋体" w:cs="宋体"/>
        <w:bCs/>
        <w:szCs w:val="18"/>
      </w:rPr>
      <w:fldChar w:fldCharType="begin"/>
    </w:r>
    <w:r>
      <w:rPr>
        <w:rFonts w:ascii="宋体" w:hAnsi="宋体" w:cs="宋体"/>
        <w:bCs/>
        <w:szCs w:val="18"/>
      </w:rPr>
      <w:instrText xml:space="preserve"> STYLEREF "标题 1"  \* MERGEFORMAT </w:instrText>
    </w:r>
    <w:r>
      <w:rPr>
        <w:rFonts w:ascii="宋体" w:hAnsi="宋体" w:cs="宋体"/>
        <w:bCs/>
        <w:szCs w:val="18"/>
      </w:rPr>
      <w:fldChar w:fldCharType="separate"/>
    </w:r>
    <w:r>
      <w:rPr>
        <w:rFonts w:ascii="宋体" w:hAnsi="宋体" w:cs="宋体"/>
        <w:bCs/>
        <w:szCs w:val="18"/>
      </w:rPr>
      <w:t xml:space="preserve">  采购需求</w:t>
    </w:r>
    <w:r>
      <w:rPr>
        <w:rFonts w:ascii="宋体" w:hAnsi="宋体" w:cs="宋体"/>
        <w:bCs/>
        <w:szCs w:val="18"/>
      </w:rPr>
      <w:fldChar w:fldCharType="end"/>
    </w:r>
    <w:r>
      <w:rPr>
        <w:rFonts w:hint="eastAsia" w:ascii="宋体" w:hAnsi="宋体" w:cs="宋体"/>
        <w:bCs/>
        <w:szCs w:val="1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ind w:firstLine="360"/>
    </w:pPr>
  </w:p>
  <w:p>
    <w:pPr>
      <w:pStyle w:val="18"/>
      <w:pBdr>
        <w:bottom w:val="single" w:color="auto" w:sz="4" w:space="1"/>
      </w:pBdr>
      <w:tabs>
        <w:tab w:val="left" w:pos="5366"/>
        <w:tab w:val="left" w:pos="7644"/>
        <w:tab w:val="clear" w:pos="4153"/>
      </w:tabs>
      <w:ind w:firstLine="0" w:firstLineChars="0"/>
      <w:jc w:val="right"/>
    </w:pPr>
    <w:r>
      <w:rPr>
        <w:rFonts w:hint="eastAsia" w:ascii="宋体" w:hAnsi="宋体" w:cs="宋体"/>
        <w:bCs/>
        <w:szCs w:val="18"/>
      </w:rPr>
      <w:t>[</w:t>
    </w:r>
    <w:r>
      <w:rPr>
        <w:rFonts w:ascii="宋体" w:hAnsi="宋体" w:cs="宋体"/>
        <w:bCs/>
        <w:szCs w:val="18"/>
      </w:rPr>
      <w:fldChar w:fldCharType="begin"/>
    </w:r>
    <w:r>
      <w:rPr>
        <w:rFonts w:ascii="宋体" w:hAnsi="宋体" w:cs="宋体"/>
        <w:bCs/>
        <w:szCs w:val="18"/>
      </w:rPr>
      <w:instrText xml:space="preserve"> STYLEREF "标题 1"  \* MERGEFORMAT </w:instrText>
    </w:r>
    <w:r>
      <w:rPr>
        <w:rFonts w:ascii="宋体" w:hAnsi="宋体" w:cs="宋体"/>
        <w:bCs/>
        <w:szCs w:val="18"/>
      </w:rPr>
      <w:fldChar w:fldCharType="separate"/>
    </w:r>
    <w:r>
      <w:rPr>
        <w:rFonts w:ascii="宋体" w:hAnsi="宋体" w:cs="宋体"/>
        <w:bCs/>
        <w:szCs w:val="18"/>
      </w:rPr>
      <w:t xml:space="preserve">  采购需求</w:t>
    </w:r>
    <w:r>
      <w:rPr>
        <w:rFonts w:ascii="宋体" w:hAnsi="宋体" w:cs="宋体"/>
        <w:bCs/>
        <w:szCs w:val="18"/>
      </w:rPr>
      <w:fldChar w:fldCharType="end"/>
    </w:r>
    <w:r>
      <w:rPr>
        <w:rFonts w:hint="eastAsia" w:ascii="宋体" w:hAnsi="宋体" w:cs="宋体"/>
        <w:bCs/>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5BB4"/>
    <w:multiLevelType w:val="singleLevel"/>
    <w:tmpl w:val="87485BB4"/>
    <w:lvl w:ilvl="0" w:tentative="0">
      <w:start w:val="1"/>
      <w:numFmt w:val="decimal"/>
      <w:suff w:val="nothing"/>
      <w:lvlText w:val="%1."/>
      <w:lvlJc w:val="left"/>
      <w:pPr>
        <w:ind w:left="840" w:hanging="360"/>
      </w:pPr>
      <w:rPr>
        <w:rFonts w:hint="default" w:ascii="Arial" w:hAnsi="Arial" w:cs="Arial"/>
      </w:rPr>
    </w:lvl>
  </w:abstractNum>
  <w:abstractNum w:abstractNumId="1">
    <w:nsid w:val="CB3DAC63"/>
    <w:multiLevelType w:val="singleLevel"/>
    <w:tmpl w:val="CB3DAC63"/>
    <w:lvl w:ilvl="0" w:tentative="0">
      <w:start w:val="1"/>
      <w:numFmt w:val="decimal"/>
      <w:pStyle w:val="7"/>
      <w:lvlText w:val="%1."/>
      <w:lvlJc w:val="left"/>
      <w:pPr>
        <w:tabs>
          <w:tab w:val="left" w:pos="360"/>
        </w:tabs>
        <w:ind w:left="360" w:hanging="360"/>
      </w:pPr>
    </w:lvl>
  </w:abstractNum>
  <w:abstractNum w:abstractNumId="2">
    <w:nsid w:val="E43A5440"/>
    <w:multiLevelType w:val="singleLevel"/>
    <w:tmpl w:val="E43A5440"/>
    <w:lvl w:ilvl="0" w:tentative="0">
      <w:start w:val="4"/>
      <w:numFmt w:val="decimal"/>
      <w:lvlText w:val="%1."/>
      <w:lvlJc w:val="left"/>
      <w:pPr>
        <w:tabs>
          <w:tab w:val="left" w:pos="312"/>
        </w:tabs>
      </w:pPr>
    </w:lvl>
  </w:abstractNum>
  <w:abstractNum w:abstractNumId="3">
    <w:nsid w:val="E4978E73"/>
    <w:multiLevelType w:val="singleLevel"/>
    <w:tmpl w:val="E4978E73"/>
    <w:lvl w:ilvl="0" w:tentative="0">
      <w:start w:val="3"/>
      <w:numFmt w:val="chineseCounting"/>
      <w:suff w:val="space"/>
      <w:lvlText w:val="第%1部分"/>
      <w:lvlJc w:val="left"/>
      <w:rPr>
        <w:rFonts w:hint="eastAsia"/>
      </w:rPr>
    </w:lvl>
  </w:abstractNum>
  <w:abstractNum w:abstractNumId="4">
    <w:nsid w:val="F204A70D"/>
    <w:multiLevelType w:val="singleLevel"/>
    <w:tmpl w:val="F204A70D"/>
    <w:lvl w:ilvl="0" w:tentative="0">
      <w:start w:val="7"/>
      <w:numFmt w:val="chineseCounting"/>
      <w:suff w:val="nothing"/>
      <w:lvlText w:val="%1、"/>
      <w:lvlJc w:val="left"/>
      <w:rPr>
        <w:rFonts w:hint="eastAsia"/>
      </w:r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9AA2600"/>
    <w:multiLevelType w:val="singleLevel"/>
    <w:tmpl w:val="59AA2600"/>
    <w:lvl w:ilvl="0" w:tentative="0">
      <w:start w:val="2"/>
      <w:numFmt w:val="decimal"/>
      <w:suff w:val="space"/>
      <w:lvlText w:val="（%1）"/>
      <w:lvlJc w:val="left"/>
    </w:lvl>
  </w:abstractNum>
  <w:abstractNum w:abstractNumId="7">
    <w:nsid w:val="745E963E"/>
    <w:multiLevelType w:val="singleLevel"/>
    <w:tmpl w:val="745E963E"/>
    <w:lvl w:ilvl="0" w:tentative="0">
      <w:start w:val="1"/>
      <w:numFmt w:val="decimal"/>
      <w:suff w:val="nothing"/>
      <w:lvlText w:val="%1、"/>
      <w:lvlJc w:val="left"/>
    </w:lvl>
  </w:abstractNum>
  <w:abstractNum w:abstractNumId="8">
    <w:nsid w:val="78247958"/>
    <w:multiLevelType w:val="singleLevel"/>
    <w:tmpl w:val="78247958"/>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8"/>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24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YzYwNGM2YTJiYjI0ZDU2NGEyZjU4ZWViYmI1OTYifQ=="/>
  </w:docVars>
  <w:rsids>
    <w:rsidRoot w:val="0D4F69B8"/>
    <w:rsid w:val="0020081E"/>
    <w:rsid w:val="00497232"/>
    <w:rsid w:val="00670278"/>
    <w:rsid w:val="00707DF7"/>
    <w:rsid w:val="007F585A"/>
    <w:rsid w:val="00853DB3"/>
    <w:rsid w:val="00920BB5"/>
    <w:rsid w:val="0093731E"/>
    <w:rsid w:val="00A00CA2"/>
    <w:rsid w:val="00BC5CB0"/>
    <w:rsid w:val="00BC626B"/>
    <w:rsid w:val="00BE67AB"/>
    <w:rsid w:val="00DB4194"/>
    <w:rsid w:val="015C3879"/>
    <w:rsid w:val="015D46C0"/>
    <w:rsid w:val="020E0014"/>
    <w:rsid w:val="02EF0363"/>
    <w:rsid w:val="03316793"/>
    <w:rsid w:val="035D3721"/>
    <w:rsid w:val="03A000AF"/>
    <w:rsid w:val="03B63514"/>
    <w:rsid w:val="050E1155"/>
    <w:rsid w:val="05251722"/>
    <w:rsid w:val="057B48FA"/>
    <w:rsid w:val="062D6029"/>
    <w:rsid w:val="064327E9"/>
    <w:rsid w:val="072A7B65"/>
    <w:rsid w:val="0791228C"/>
    <w:rsid w:val="07B46638"/>
    <w:rsid w:val="08A43C68"/>
    <w:rsid w:val="0AC96ED4"/>
    <w:rsid w:val="0B0807FE"/>
    <w:rsid w:val="0B931470"/>
    <w:rsid w:val="0D4F1ED9"/>
    <w:rsid w:val="0D4F69B8"/>
    <w:rsid w:val="0E056C6D"/>
    <w:rsid w:val="0E602227"/>
    <w:rsid w:val="0ED0031D"/>
    <w:rsid w:val="0F156C5B"/>
    <w:rsid w:val="0F944185"/>
    <w:rsid w:val="10304E99"/>
    <w:rsid w:val="10D55B30"/>
    <w:rsid w:val="10F620A2"/>
    <w:rsid w:val="11BB4844"/>
    <w:rsid w:val="11ED783F"/>
    <w:rsid w:val="12E02F72"/>
    <w:rsid w:val="132A0542"/>
    <w:rsid w:val="15AD1074"/>
    <w:rsid w:val="15B740C5"/>
    <w:rsid w:val="15C018C3"/>
    <w:rsid w:val="175A3B93"/>
    <w:rsid w:val="1A7A6AD8"/>
    <w:rsid w:val="1B36248F"/>
    <w:rsid w:val="1BAC1AB0"/>
    <w:rsid w:val="1C523395"/>
    <w:rsid w:val="1C9C4ECD"/>
    <w:rsid w:val="1CD7721F"/>
    <w:rsid w:val="1EA50CC5"/>
    <w:rsid w:val="1EE25887"/>
    <w:rsid w:val="1EE949F4"/>
    <w:rsid w:val="1F035828"/>
    <w:rsid w:val="1F3E5060"/>
    <w:rsid w:val="1F8A15AE"/>
    <w:rsid w:val="209F0BDE"/>
    <w:rsid w:val="20B0746C"/>
    <w:rsid w:val="215A5F0D"/>
    <w:rsid w:val="21887B12"/>
    <w:rsid w:val="22021D88"/>
    <w:rsid w:val="22F57C76"/>
    <w:rsid w:val="24B547FD"/>
    <w:rsid w:val="2670266D"/>
    <w:rsid w:val="269535C4"/>
    <w:rsid w:val="26EF1BA9"/>
    <w:rsid w:val="27925DF8"/>
    <w:rsid w:val="286450E5"/>
    <w:rsid w:val="28A44898"/>
    <w:rsid w:val="294E345C"/>
    <w:rsid w:val="29F14949"/>
    <w:rsid w:val="2A691C72"/>
    <w:rsid w:val="2A8275B7"/>
    <w:rsid w:val="2AD53BD4"/>
    <w:rsid w:val="2B3A7E88"/>
    <w:rsid w:val="2C246EB9"/>
    <w:rsid w:val="2CD419B2"/>
    <w:rsid w:val="2D7C68CD"/>
    <w:rsid w:val="2E0356CE"/>
    <w:rsid w:val="2E6606B6"/>
    <w:rsid w:val="2EDA5488"/>
    <w:rsid w:val="2F28459F"/>
    <w:rsid w:val="2F7C48C3"/>
    <w:rsid w:val="2F9A63F0"/>
    <w:rsid w:val="2F9D1625"/>
    <w:rsid w:val="310C0ECF"/>
    <w:rsid w:val="31330645"/>
    <w:rsid w:val="3139239E"/>
    <w:rsid w:val="315C1B91"/>
    <w:rsid w:val="31774D9D"/>
    <w:rsid w:val="31D269AA"/>
    <w:rsid w:val="32194CC3"/>
    <w:rsid w:val="3243200E"/>
    <w:rsid w:val="34596762"/>
    <w:rsid w:val="347C2B1C"/>
    <w:rsid w:val="34A77AE2"/>
    <w:rsid w:val="34B32167"/>
    <w:rsid w:val="34DC0CF2"/>
    <w:rsid w:val="355559AF"/>
    <w:rsid w:val="35BA1E45"/>
    <w:rsid w:val="360F4E66"/>
    <w:rsid w:val="36BE2F64"/>
    <w:rsid w:val="36C37C01"/>
    <w:rsid w:val="371A1642"/>
    <w:rsid w:val="373855E4"/>
    <w:rsid w:val="3863536D"/>
    <w:rsid w:val="38EB0BEE"/>
    <w:rsid w:val="3A446984"/>
    <w:rsid w:val="3BC74E7A"/>
    <w:rsid w:val="3BEC0D7E"/>
    <w:rsid w:val="3BF34C61"/>
    <w:rsid w:val="3CF17025"/>
    <w:rsid w:val="3D427D24"/>
    <w:rsid w:val="3D963416"/>
    <w:rsid w:val="3DAB73E6"/>
    <w:rsid w:val="3E815896"/>
    <w:rsid w:val="3F7435FF"/>
    <w:rsid w:val="406541CA"/>
    <w:rsid w:val="41505224"/>
    <w:rsid w:val="41E615E6"/>
    <w:rsid w:val="42F82CDF"/>
    <w:rsid w:val="43BB589E"/>
    <w:rsid w:val="445E22FC"/>
    <w:rsid w:val="45632691"/>
    <w:rsid w:val="457A53B4"/>
    <w:rsid w:val="45FA760B"/>
    <w:rsid w:val="46B561AF"/>
    <w:rsid w:val="46BF7E1A"/>
    <w:rsid w:val="47147FB9"/>
    <w:rsid w:val="473B01C6"/>
    <w:rsid w:val="47872D13"/>
    <w:rsid w:val="47D40942"/>
    <w:rsid w:val="49846E9A"/>
    <w:rsid w:val="499A5234"/>
    <w:rsid w:val="49A00AF8"/>
    <w:rsid w:val="4AF64378"/>
    <w:rsid w:val="4B3C479B"/>
    <w:rsid w:val="4E565436"/>
    <w:rsid w:val="4EE52CF2"/>
    <w:rsid w:val="4F3F04AC"/>
    <w:rsid w:val="4FB36AF2"/>
    <w:rsid w:val="4FDF02A8"/>
    <w:rsid w:val="4FF547D9"/>
    <w:rsid w:val="50AF65C5"/>
    <w:rsid w:val="510602EE"/>
    <w:rsid w:val="515E43A0"/>
    <w:rsid w:val="51BC005D"/>
    <w:rsid w:val="532C711D"/>
    <w:rsid w:val="5349239C"/>
    <w:rsid w:val="5366361F"/>
    <w:rsid w:val="53BF5965"/>
    <w:rsid w:val="544B0BD9"/>
    <w:rsid w:val="54B41447"/>
    <w:rsid w:val="551779F4"/>
    <w:rsid w:val="5565442C"/>
    <w:rsid w:val="56602E9E"/>
    <w:rsid w:val="56633AB4"/>
    <w:rsid w:val="56C34511"/>
    <w:rsid w:val="56DD1B7D"/>
    <w:rsid w:val="57467301"/>
    <w:rsid w:val="57AB6FF5"/>
    <w:rsid w:val="58A63042"/>
    <w:rsid w:val="591D6095"/>
    <w:rsid w:val="59845D2F"/>
    <w:rsid w:val="59A452E1"/>
    <w:rsid w:val="5A7F51DC"/>
    <w:rsid w:val="5B80163D"/>
    <w:rsid w:val="5B9C5960"/>
    <w:rsid w:val="5C660FBE"/>
    <w:rsid w:val="5C6D7D2E"/>
    <w:rsid w:val="5D530CC4"/>
    <w:rsid w:val="5D9420EA"/>
    <w:rsid w:val="5D9C7DF0"/>
    <w:rsid w:val="5DA3330F"/>
    <w:rsid w:val="5DDA0CC4"/>
    <w:rsid w:val="5E19201E"/>
    <w:rsid w:val="5E665341"/>
    <w:rsid w:val="5FB55BA1"/>
    <w:rsid w:val="5FF31369"/>
    <w:rsid w:val="60376237"/>
    <w:rsid w:val="60DD045C"/>
    <w:rsid w:val="60EE7F1E"/>
    <w:rsid w:val="617E7099"/>
    <w:rsid w:val="61C002E0"/>
    <w:rsid w:val="61F958B4"/>
    <w:rsid w:val="62B2062D"/>
    <w:rsid w:val="62C244A0"/>
    <w:rsid w:val="62F61BAA"/>
    <w:rsid w:val="6379158D"/>
    <w:rsid w:val="643C5B36"/>
    <w:rsid w:val="65A13889"/>
    <w:rsid w:val="65AF0B8E"/>
    <w:rsid w:val="65B64426"/>
    <w:rsid w:val="667A255B"/>
    <w:rsid w:val="66CF2FDC"/>
    <w:rsid w:val="670F39F9"/>
    <w:rsid w:val="679504FF"/>
    <w:rsid w:val="67B533BC"/>
    <w:rsid w:val="686811CD"/>
    <w:rsid w:val="68A50CD0"/>
    <w:rsid w:val="68E31B92"/>
    <w:rsid w:val="69451A21"/>
    <w:rsid w:val="6A4055FD"/>
    <w:rsid w:val="6A901798"/>
    <w:rsid w:val="6AE4306F"/>
    <w:rsid w:val="6B431B9F"/>
    <w:rsid w:val="6BED7E36"/>
    <w:rsid w:val="6D5D2123"/>
    <w:rsid w:val="6DAB30B5"/>
    <w:rsid w:val="6E2803FB"/>
    <w:rsid w:val="6E6E3691"/>
    <w:rsid w:val="6EA60812"/>
    <w:rsid w:val="6F663DC9"/>
    <w:rsid w:val="6F8E2A7D"/>
    <w:rsid w:val="6FAF6A0F"/>
    <w:rsid w:val="702C0AD8"/>
    <w:rsid w:val="707165BD"/>
    <w:rsid w:val="70747201"/>
    <w:rsid w:val="70B40092"/>
    <w:rsid w:val="732A1E33"/>
    <w:rsid w:val="7469470F"/>
    <w:rsid w:val="74D93943"/>
    <w:rsid w:val="75D63E7E"/>
    <w:rsid w:val="7777516C"/>
    <w:rsid w:val="77905DEE"/>
    <w:rsid w:val="77D91B26"/>
    <w:rsid w:val="77FA5C94"/>
    <w:rsid w:val="78212F2B"/>
    <w:rsid w:val="78DE04C5"/>
    <w:rsid w:val="799E6FCB"/>
    <w:rsid w:val="7AE47D50"/>
    <w:rsid w:val="7B893669"/>
    <w:rsid w:val="7BCD7E4E"/>
    <w:rsid w:val="7C6B6FA0"/>
    <w:rsid w:val="7C8E4B56"/>
    <w:rsid w:val="7CE2557D"/>
    <w:rsid w:val="7D366265"/>
    <w:rsid w:val="7D3C3784"/>
    <w:rsid w:val="7EAD2D7A"/>
    <w:rsid w:val="7EC173FB"/>
    <w:rsid w:val="7EE5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46"/>
    <w:qFormat/>
    <w:uiPriority w:val="0"/>
    <w:pPr>
      <w:keepNext/>
      <w:spacing w:after="200"/>
      <w:ind w:left="431" w:hanging="431" w:firstLineChars="0"/>
      <w:jc w:val="center"/>
      <w:outlineLvl w:val="0"/>
    </w:pPr>
    <w:rPr>
      <w:rFonts w:eastAsia="微软雅黑"/>
      <w:b/>
      <w:bCs/>
      <w:sz w:val="32"/>
    </w:rPr>
  </w:style>
  <w:style w:type="paragraph" w:styleId="4">
    <w:name w:val="heading 2"/>
    <w:basedOn w:val="1"/>
    <w:next w:val="5"/>
    <w:link w:val="38"/>
    <w:qFormat/>
    <w:uiPriority w:val="0"/>
    <w:pPr>
      <w:keepNext/>
      <w:adjustRightInd w:val="0"/>
      <w:snapToGrid w:val="0"/>
      <w:spacing w:before="120" w:after="120"/>
      <w:ind w:firstLine="772"/>
      <w:jc w:val="left"/>
      <w:textAlignment w:val="baseline"/>
      <w:outlineLvl w:val="1"/>
    </w:pPr>
    <w:rPr>
      <w:rFonts w:ascii="仿宋_GB2312" w:hAnsi="仿宋_GB2312"/>
      <w:b/>
      <w:kern w:val="0"/>
      <w:szCs w:val="20"/>
    </w:rPr>
  </w:style>
  <w:style w:type="paragraph" w:styleId="5">
    <w:name w:val="heading 3"/>
    <w:basedOn w:val="1"/>
    <w:next w:val="1"/>
    <w:link w:val="39"/>
    <w:qFormat/>
    <w:uiPriority w:val="0"/>
    <w:pPr>
      <w:keepNext/>
      <w:keepLines/>
      <w:spacing w:before="260" w:after="260"/>
      <w:ind w:firstLine="602"/>
      <w:outlineLvl w:val="2"/>
    </w:pPr>
    <w:rPr>
      <w:rFonts w:ascii="仿宋_GB2312" w:eastAsia="仿宋_GB2312"/>
      <w:b/>
      <w:bCs/>
      <w:sz w:val="3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156" w:beforeLines="50" w:after="120" w:line="300" w:lineRule="auto"/>
      <w:ind w:firstLine="480"/>
    </w:pPr>
    <w:rPr>
      <w:rFonts w:ascii="Helvetica" w:hAnsi="Helvetica"/>
      <w:kern w:val="0"/>
    </w:rPr>
  </w:style>
  <w:style w:type="paragraph" w:styleId="6">
    <w:name w:val="table of authorities"/>
    <w:basedOn w:val="1"/>
    <w:next w:val="1"/>
    <w:qFormat/>
    <w:uiPriority w:val="0"/>
    <w:pPr>
      <w:ind w:left="420" w:leftChars="200"/>
    </w:p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20"/>
    </w:pPr>
    <w:rPr>
      <w:rFonts w:ascii="Arial" w:hAnsi="Arial"/>
      <w:kern w:val="0"/>
      <w:sz w:val="20"/>
      <w:szCs w:val="20"/>
    </w:rPr>
  </w:style>
  <w:style w:type="paragraph" w:styleId="9">
    <w:name w:val="Body Text Indent"/>
    <w:basedOn w:val="1"/>
    <w:next w:val="8"/>
    <w:qFormat/>
    <w:uiPriority w:val="0"/>
    <w:pPr>
      <w:spacing w:line="200" w:lineRule="exact"/>
      <w:ind w:firstLine="301"/>
    </w:pPr>
    <w:rPr>
      <w:rFonts w:ascii="宋体" w:hAnsi="Courier New"/>
      <w:spacing w:val="-4"/>
      <w:sz w:val="18"/>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Body Text"/>
    <w:basedOn w:val="1"/>
    <w:next w:val="12"/>
    <w:qFormat/>
    <w:uiPriority w:val="0"/>
    <w:pPr>
      <w:autoSpaceDE w:val="0"/>
      <w:autoSpaceDN w:val="0"/>
    </w:pPr>
    <w:rPr>
      <w:rFonts w:ascii="宋体" w:hAnsi="Arial" w:cs="Arial"/>
      <w:snapToGrid w:val="0"/>
      <w:szCs w:val="21"/>
      <w:lang w:val="zh-CN"/>
    </w:rPr>
  </w:style>
  <w:style w:type="paragraph" w:customStyle="1" w:styleId="12">
    <w:name w:val="_Style 2"/>
    <w:basedOn w:val="1"/>
    <w:qFormat/>
    <w:uiPriority w:val="0"/>
    <w:pPr>
      <w:widowControl/>
      <w:spacing w:beforeLines="0"/>
      <w:ind w:firstLine="420" w:firstLineChars="200"/>
      <w:jc w:val="left"/>
    </w:pPr>
    <w:rPr>
      <w:rFonts w:ascii="宋体" w:hAnsi="宋体" w:eastAsia="宋体" w:cs="宋体"/>
      <w:kern w:val="0"/>
      <w:sz w:val="24"/>
      <w:szCs w:val="24"/>
    </w:rPr>
  </w:style>
  <w:style w:type="paragraph" w:styleId="13">
    <w:name w:val="toc 3"/>
    <w:basedOn w:val="1"/>
    <w:next w:val="1"/>
    <w:qFormat/>
    <w:uiPriority w:val="39"/>
    <w:pPr>
      <w:tabs>
        <w:tab w:val="right" w:leader="dot" w:pos="9060"/>
      </w:tabs>
      <w:ind w:left="1"/>
    </w:pPr>
    <w:rPr>
      <w:rFonts w:ascii="仿宋_GB2312" w:eastAsia="仿宋_GB2312"/>
      <w:szCs w:val="36"/>
    </w:rPr>
  </w:style>
  <w:style w:type="paragraph" w:styleId="14">
    <w:name w:val="Plain Text"/>
    <w:basedOn w:val="1"/>
    <w:next w:val="1"/>
    <w:qFormat/>
    <w:uiPriority w:val="99"/>
    <w:rPr>
      <w:rFonts w:ascii="宋体" w:hAnsi="Courier New"/>
      <w:szCs w:val="20"/>
    </w:rPr>
  </w:style>
  <w:style w:type="paragraph" w:styleId="15">
    <w:name w:val="Date"/>
    <w:basedOn w:val="1"/>
    <w:next w:val="1"/>
    <w:qFormat/>
    <w:uiPriority w:val="0"/>
    <w:pPr>
      <w:adjustRightInd w:val="0"/>
      <w:spacing w:line="312" w:lineRule="atLeast"/>
    </w:pPr>
    <w:rPr>
      <w:rFonts w:ascii="仿宋_GB2312" w:eastAsia="仿宋_GB2312"/>
      <w:kern w:val="0"/>
      <w:sz w:val="28"/>
      <w:szCs w:val="20"/>
    </w:rPr>
  </w:style>
  <w:style w:type="paragraph" w:styleId="16">
    <w:name w:val="Balloon Text"/>
    <w:basedOn w:val="1"/>
    <w:link w:val="78"/>
    <w:qFormat/>
    <w:uiPriority w:val="0"/>
    <w:pPr>
      <w:spacing w:line="240" w:lineRule="auto"/>
    </w:pPr>
    <w:rPr>
      <w:sz w:val="18"/>
      <w:szCs w:val="18"/>
    </w:rPr>
  </w:style>
  <w:style w:type="paragraph" w:styleId="17">
    <w:name w:val="footer"/>
    <w:basedOn w:val="1"/>
    <w:qFormat/>
    <w:uiPriority w:val="99"/>
    <w:pPr>
      <w:pBdr>
        <w:top w:val="single" w:color="auto" w:sz="4" w:space="1"/>
        <w:left w:val="none" w:color="auto" w:sz="0" w:space="4"/>
        <w:bottom w:val="none" w:color="auto" w:sz="0" w:space="1"/>
        <w:right w:val="none" w:color="auto" w:sz="0" w:space="4"/>
      </w:pBdr>
      <w:tabs>
        <w:tab w:val="center" w:pos="4153"/>
        <w:tab w:val="right" w:pos="8306"/>
      </w:tabs>
      <w:snapToGrid w:val="0"/>
      <w:jc w:val="left"/>
    </w:pPr>
    <w:rPr>
      <w:rFonts w:eastAsia="黑体"/>
      <w:snapToGrid w:val="0"/>
      <w:kern w:val="0"/>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rPr>
      <w:b/>
    </w:rPr>
  </w:style>
  <w:style w:type="paragraph" w:styleId="20">
    <w:name w:val="toc 2"/>
    <w:basedOn w:val="1"/>
    <w:next w:val="1"/>
    <w:qFormat/>
    <w:uiPriority w:val="39"/>
    <w:pPr>
      <w:tabs>
        <w:tab w:val="right" w:leader="dot" w:pos="9060"/>
      </w:tabs>
    </w:pPr>
    <w:rPr>
      <w:rFonts w:ascii="宋体" w:hAnsi="宋体"/>
      <w:bCs/>
    </w:rPr>
  </w:style>
  <w:style w:type="paragraph" w:styleId="21">
    <w:name w:val="Normal (Web)"/>
    <w:basedOn w:val="1"/>
    <w:next w:val="1"/>
    <w:qFormat/>
    <w:uiPriority w:val="0"/>
    <w:pPr>
      <w:spacing w:beforeAutospacing="1" w:afterAutospacing="1"/>
      <w:jc w:val="left"/>
    </w:pPr>
    <w:rPr>
      <w:kern w:val="0"/>
    </w:rPr>
  </w:style>
  <w:style w:type="paragraph" w:styleId="22">
    <w:name w:val="Title"/>
    <w:basedOn w:val="1"/>
    <w:qFormat/>
    <w:uiPriority w:val="10"/>
    <w:pPr>
      <w:widowControl/>
      <w:overflowPunct w:val="0"/>
      <w:autoSpaceDE w:val="0"/>
      <w:autoSpaceDN w:val="0"/>
      <w:jc w:val="center"/>
      <w:textAlignment w:val="baseline"/>
    </w:pPr>
    <w:rPr>
      <w:b/>
      <w:kern w:val="0"/>
      <w:szCs w:val="20"/>
      <w:lang w:val="en-GB"/>
    </w:rPr>
  </w:style>
  <w:style w:type="paragraph" w:styleId="23">
    <w:name w:val="Body Text First Indent"/>
    <w:basedOn w:val="11"/>
    <w:next w:val="1"/>
    <w:qFormat/>
    <w:uiPriority w:val="0"/>
    <w:pPr>
      <w:ind w:firstLine="420"/>
    </w:pPr>
    <w:rPr>
      <w:rFonts w:hAnsi="Calibri" w:cs="Times New Roman"/>
      <w:snapToGrid/>
      <w:szCs w:val="20"/>
    </w:rPr>
  </w:style>
  <w:style w:type="paragraph" w:styleId="24">
    <w:name w:val="Body Text First Indent 2"/>
    <w:basedOn w:val="9"/>
    <w:next w:val="25"/>
    <w:qFormat/>
    <w:uiPriority w:val="0"/>
    <w:pPr>
      <w:autoSpaceDE w:val="0"/>
      <w:autoSpaceDN w:val="0"/>
      <w:adjustRightInd w:val="0"/>
      <w:spacing w:after="120" w:line="240" w:lineRule="auto"/>
      <w:ind w:left="420" w:leftChars="200" w:firstLine="420"/>
      <w:textAlignment w:val="baseline"/>
    </w:pPr>
    <w:rPr>
      <w:rFonts w:ascii="Times New Roman" w:hAnsi="Times New Roman"/>
      <w:spacing w:val="0"/>
      <w:kern w:val="0"/>
      <w:sz w:val="28"/>
    </w:rPr>
  </w:style>
  <w:style w:type="paragraph" w:customStyle="1" w:styleId="25">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page number"/>
    <w:basedOn w:val="28"/>
    <w:qFormat/>
    <w:uiPriority w:val="0"/>
    <w:rPr>
      <w:rFonts w:ascii="Arial" w:hAnsi="Arial" w:eastAsia="黑体" w:cs="Arial"/>
      <w:snapToGrid w:val="0"/>
      <w:kern w:val="0"/>
      <w:szCs w:val="21"/>
    </w:rPr>
  </w:style>
  <w:style w:type="character" w:styleId="30">
    <w:name w:val="Hyperlink"/>
    <w:basedOn w:val="28"/>
    <w:qFormat/>
    <w:uiPriority w:val="0"/>
    <w:rPr>
      <w:color w:val="0000FF"/>
      <w:u w:val="single"/>
    </w:rPr>
  </w:style>
  <w:style w:type="paragraph" w:customStyle="1" w:styleId="31">
    <w:name w:val="正文文字缩进"/>
    <w:basedOn w:val="1"/>
    <w:next w:val="1"/>
    <w:qFormat/>
    <w:uiPriority w:val="0"/>
    <w:pPr>
      <w:widowControl/>
      <w:spacing w:line="400" w:lineRule="atLeast"/>
      <w:ind w:left="210" w:firstLine="210"/>
    </w:pPr>
    <w:rPr>
      <w:rFonts w:ascii="宋体"/>
      <w:color w:val="000000"/>
      <w:szCs w:val="20"/>
    </w:rPr>
  </w:style>
  <w:style w:type="paragraph" w:styleId="32">
    <w:name w:val="List Paragraph"/>
    <w:basedOn w:val="1"/>
    <w:qFormat/>
    <w:uiPriority w:val="0"/>
    <w:pPr>
      <w:ind w:firstLine="420"/>
    </w:pPr>
  </w:style>
  <w:style w:type="paragraph" w:customStyle="1" w:styleId="33">
    <w:name w:val="表格文字"/>
    <w:basedOn w:val="1"/>
    <w:qFormat/>
    <w:uiPriority w:val="0"/>
    <w:pPr>
      <w:autoSpaceDE w:val="0"/>
      <w:autoSpaceDN w:val="0"/>
      <w:ind w:firstLine="0" w:firstLineChars="0"/>
      <w:jc w:val="left"/>
    </w:pPr>
    <w:rPr>
      <w:rFonts w:ascii="宋体" w:hAnsi="宋体"/>
      <w:bCs/>
      <w:spacing w:val="11"/>
      <w:kern w:val="0"/>
      <w:sz w:val="21"/>
      <w:szCs w:val="20"/>
    </w:rPr>
  </w:style>
  <w:style w:type="paragraph" w:customStyle="1" w:styleId="34">
    <w:name w:val="Default"/>
    <w:next w:val="35"/>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章标题 Char"/>
    <w:link w:val="37"/>
    <w:qFormat/>
    <w:uiPriority w:val="0"/>
    <w:rPr>
      <w:b/>
      <w:sz w:val="32"/>
    </w:rPr>
  </w:style>
  <w:style w:type="paragraph" w:customStyle="1" w:styleId="37">
    <w:name w:val="章标题"/>
    <w:basedOn w:val="1"/>
    <w:link w:val="36"/>
    <w:qFormat/>
    <w:uiPriority w:val="0"/>
    <w:pPr>
      <w:snapToGrid w:val="0"/>
      <w:spacing w:before="50" w:beforeLines="50" w:after="10"/>
      <w:jc w:val="center"/>
    </w:pPr>
    <w:rPr>
      <w:b/>
      <w:sz w:val="32"/>
    </w:rPr>
  </w:style>
  <w:style w:type="character" w:customStyle="1" w:styleId="38">
    <w:name w:val="标题 2 Char"/>
    <w:link w:val="4"/>
    <w:qFormat/>
    <w:uiPriority w:val="0"/>
    <w:rPr>
      <w:rFonts w:ascii="仿宋_GB2312" w:hAnsi="仿宋_GB2312" w:eastAsia="宋体"/>
      <w:b/>
      <w:kern w:val="0"/>
      <w:sz w:val="24"/>
      <w:szCs w:val="20"/>
    </w:rPr>
  </w:style>
  <w:style w:type="character" w:customStyle="1" w:styleId="39">
    <w:name w:val="标题 3 Char"/>
    <w:link w:val="5"/>
    <w:qFormat/>
    <w:uiPriority w:val="0"/>
    <w:rPr>
      <w:rFonts w:ascii="仿宋_GB2312" w:eastAsia="仿宋_GB2312"/>
      <w:b/>
      <w:bCs/>
      <w:sz w:val="30"/>
      <w:szCs w:val="20"/>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标题"/>
    <w:qFormat/>
    <w:uiPriority w:val="6"/>
    <w:pPr>
      <w:spacing w:before="50" w:beforeLines="50" w:after="50" w:afterLines="50"/>
      <w:jc w:val="center"/>
    </w:pPr>
    <w:rPr>
      <w:rFonts w:ascii="Arial" w:hAnsi="Arial" w:eastAsia="宋体" w:cs="Times New Roman"/>
      <w:b/>
      <w:kern w:val="2"/>
      <w:sz w:val="24"/>
      <w:szCs w:val="21"/>
      <w:lang w:val="en-US" w:eastAsia="zh-CN" w:bidi="ar-SA"/>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5">
    <w:name w:val="标题 1 Char"/>
    <w:qFormat/>
    <w:uiPriority w:val="0"/>
    <w:rPr>
      <w:rFonts w:ascii="Times New Roman" w:hAnsi="Times New Roman" w:eastAsia="微软雅黑"/>
      <w:b/>
      <w:bCs/>
      <w:sz w:val="32"/>
    </w:rPr>
  </w:style>
  <w:style w:type="character" w:customStyle="1" w:styleId="46">
    <w:name w:val="标题 1 Char1"/>
    <w:link w:val="3"/>
    <w:qFormat/>
    <w:uiPriority w:val="0"/>
    <w:rPr>
      <w:rFonts w:ascii="Times New Roman" w:hAnsi="Times New Roman" w:eastAsia="微软雅黑" w:cs="Times New Roman"/>
      <w:b/>
      <w:bCs/>
      <w:sz w:val="32"/>
      <w:szCs w:val="24"/>
    </w:rPr>
  </w:style>
  <w:style w:type="paragraph" w:customStyle="1" w:styleId="4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48">
    <w:name w:val="正文2"/>
    <w:basedOn w:val="1"/>
    <w:qFormat/>
    <w:uiPriority w:val="0"/>
    <w:pPr>
      <w:spacing w:before="156"/>
      <w:ind w:firstLine="510"/>
    </w:pPr>
    <w:rPr>
      <w:szCs w:val="20"/>
    </w:rPr>
  </w:style>
  <w:style w:type="paragraph" w:customStyle="1" w:styleId="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50">
    <w:name w:val="font141"/>
    <w:basedOn w:val="28"/>
    <w:qFormat/>
    <w:uiPriority w:val="0"/>
    <w:rPr>
      <w:rFonts w:hint="eastAsia" w:ascii="新宋体" w:hAnsi="新宋体" w:eastAsia="新宋体" w:cs="新宋体"/>
      <w:color w:val="000000"/>
      <w:sz w:val="22"/>
      <w:szCs w:val="22"/>
      <w:u w:val="none"/>
    </w:rPr>
  </w:style>
  <w:style w:type="character" w:customStyle="1" w:styleId="51">
    <w:name w:val="font51"/>
    <w:basedOn w:val="28"/>
    <w:qFormat/>
    <w:uiPriority w:val="0"/>
    <w:rPr>
      <w:rFonts w:hint="eastAsia" w:ascii="宋体" w:hAnsi="宋体" w:eastAsia="宋体" w:cs="宋体"/>
      <w:color w:val="000000"/>
      <w:sz w:val="20"/>
      <w:szCs w:val="20"/>
      <w:u w:val="none"/>
    </w:rPr>
  </w:style>
  <w:style w:type="character" w:customStyle="1" w:styleId="52">
    <w:name w:val="font221"/>
    <w:basedOn w:val="28"/>
    <w:qFormat/>
    <w:uiPriority w:val="0"/>
    <w:rPr>
      <w:rFonts w:hint="default" w:ascii="Times New Roman" w:hAnsi="Times New Roman" w:cs="Times New Roman"/>
      <w:color w:val="000000"/>
      <w:sz w:val="20"/>
      <w:szCs w:val="20"/>
      <w:u w:val="none"/>
    </w:rPr>
  </w:style>
  <w:style w:type="character" w:customStyle="1" w:styleId="53">
    <w:name w:val="font151"/>
    <w:basedOn w:val="28"/>
    <w:qFormat/>
    <w:uiPriority w:val="0"/>
    <w:rPr>
      <w:rFonts w:hint="eastAsia" w:ascii="新宋体" w:hAnsi="新宋体" w:eastAsia="新宋体" w:cs="新宋体"/>
      <w:color w:val="000000"/>
      <w:sz w:val="22"/>
      <w:szCs w:val="22"/>
      <w:u w:val="none"/>
    </w:rPr>
  </w:style>
  <w:style w:type="character" w:customStyle="1" w:styleId="54">
    <w:name w:val="font212"/>
    <w:basedOn w:val="28"/>
    <w:qFormat/>
    <w:uiPriority w:val="0"/>
    <w:rPr>
      <w:rFonts w:hint="eastAsia" w:ascii="新宋体" w:hAnsi="新宋体" w:eastAsia="新宋体" w:cs="新宋体"/>
      <w:color w:val="000000"/>
      <w:sz w:val="22"/>
      <w:szCs w:val="22"/>
      <w:u w:val="none"/>
    </w:rPr>
  </w:style>
  <w:style w:type="character" w:customStyle="1" w:styleId="55">
    <w:name w:val="font201"/>
    <w:basedOn w:val="28"/>
    <w:qFormat/>
    <w:uiPriority w:val="0"/>
    <w:rPr>
      <w:rFonts w:hint="eastAsia" w:ascii="宋体" w:hAnsi="宋体" w:eastAsia="宋体" w:cs="宋体"/>
      <w:color w:val="000000"/>
      <w:sz w:val="21"/>
      <w:szCs w:val="21"/>
      <w:u w:val="none"/>
    </w:rPr>
  </w:style>
  <w:style w:type="character" w:customStyle="1" w:styleId="56">
    <w:name w:val="font13"/>
    <w:basedOn w:val="28"/>
    <w:qFormat/>
    <w:uiPriority w:val="0"/>
    <w:rPr>
      <w:rFonts w:hint="eastAsia" w:ascii="宋体" w:hAnsi="宋体" w:eastAsia="宋体" w:cs="宋体"/>
      <w:color w:val="000000"/>
      <w:sz w:val="20"/>
      <w:szCs w:val="20"/>
      <w:u w:val="none"/>
    </w:rPr>
  </w:style>
  <w:style w:type="character" w:customStyle="1" w:styleId="57">
    <w:name w:val="font91"/>
    <w:basedOn w:val="28"/>
    <w:qFormat/>
    <w:uiPriority w:val="0"/>
    <w:rPr>
      <w:rFonts w:hint="default" w:ascii="Times New Roman" w:hAnsi="Times New Roman" w:cs="Times New Roman"/>
      <w:color w:val="000000"/>
      <w:sz w:val="24"/>
      <w:szCs w:val="24"/>
      <w:u w:val="none"/>
    </w:rPr>
  </w:style>
  <w:style w:type="character" w:customStyle="1" w:styleId="58">
    <w:name w:val="font71"/>
    <w:basedOn w:val="28"/>
    <w:qFormat/>
    <w:uiPriority w:val="0"/>
    <w:rPr>
      <w:rFonts w:hint="eastAsia" w:ascii="宋体" w:hAnsi="宋体" w:eastAsia="宋体" w:cs="宋体"/>
      <w:color w:val="000000"/>
      <w:sz w:val="24"/>
      <w:szCs w:val="24"/>
      <w:u w:val="none"/>
    </w:rPr>
  </w:style>
  <w:style w:type="character" w:customStyle="1" w:styleId="59">
    <w:name w:val="font132"/>
    <w:basedOn w:val="28"/>
    <w:qFormat/>
    <w:uiPriority w:val="0"/>
    <w:rPr>
      <w:rFonts w:hint="eastAsia" w:ascii="宋体" w:hAnsi="宋体" w:eastAsia="宋体" w:cs="宋体"/>
      <w:color w:val="000000"/>
      <w:sz w:val="22"/>
      <w:szCs w:val="22"/>
      <w:u w:val="none"/>
    </w:rPr>
  </w:style>
  <w:style w:type="character" w:customStyle="1" w:styleId="60">
    <w:name w:val="font81"/>
    <w:basedOn w:val="28"/>
    <w:qFormat/>
    <w:uiPriority w:val="0"/>
    <w:rPr>
      <w:rFonts w:hint="default" w:ascii="Times New Roman" w:hAnsi="Times New Roman" w:cs="Times New Roman"/>
      <w:color w:val="000000"/>
      <w:sz w:val="22"/>
      <w:szCs w:val="22"/>
      <w:u w:val="none"/>
    </w:rPr>
  </w:style>
  <w:style w:type="character" w:customStyle="1" w:styleId="61">
    <w:name w:val="font181"/>
    <w:basedOn w:val="28"/>
    <w:qFormat/>
    <w:uiPriority w:val="0"/>
    <w:rPr>
      <w:rFonts w:hint="eastAsia" w:ascii="宋体" w:hAnsi="宋体" w:eastAsia="宋体" w:cs="宋体"/>
      <w:color w:val="000000"/>
      <w:sz w:val="22"/>
      <w:szCs w:val="22"/>
      <w:u w:val="none"/>
    </w:rPr>
  </w:style>
  <w:style w:type="character" w:customStyle="1" w:styleId="62">
    <w:name w:val="font171"/>
    <w:basedOn w:val="28"/>
    <w:qFormat/>
    <w:uiPriority w:val="0"/>
    <w:rPr>
      <w:rFonts w:hint="default" w:ascii="Times New Roman" w:hAnsi="Times New Roman" w:cs="Times New Roman"/>
      <w:color w:val="000000"/>
      <w:sz w:val="22"/>
      <w:szCs w:val="22"/>
      <w:u w:val="none"/>
    </w:rPr>
  </w:style>
  <w:style w:type="character" w:customStyle="1" w:styleId="63">
    <w:name w:val="font161"/>
    <w:basedOn w:val="28"/>
    <w:qFormat/>
    <w:uiPriority w:val="0"/>
    <w:rPr>
      <w:rFonts w:hint="default" w:ascii="Times New Roman" w:hAnsi="Times New Roman" w:cs="Times New Roman"/>
      <w:color w:val="000000"/>
      <w:sz w:val="21"/>
      <w:szCs w:val="21"/>
      <w:u w:val="none"/>
    </w:rPr>
  </w:style>
  <w:style w:type="character" w:customStyle="1" w:styleId="64">
    <w:name w:val="font31"/>
    <w:basedOn w:val="28"/>
    <w:qFormat/>
    <w:uiPriority w:val="0"/>
    <w:rPr>
      <w:rFonts w:hint="default" w:ascii="Times New Roman" w:hAnsi="Times New Roman" w:cs="Times New Roman"/>
      <w:i/>
      <w:color w:val="000000"/>
      <w:sz w:val="21"/>
      <w:szCs w:val="21"/>
      <w:u w:val="none"/>
    </w:rPr>
  </w:style>
  <w:style w:type="character" w:customStyle="1" w:styleId="65">
    <w:name w:val="font21"/>
    <w:basedOn w:val="28"/>
    <w:qFormat/>
    <w:uiPriority w:val="0"/>
    <w:rPr>
      <w:rFonts w:hint="eastAsia" w:ascii="宋体" w:hAnsi="宋体" w:eastAsia="宋体" w:cs="宋体"/>
      <w:color w:val="000000"/>
      <w:sz w:val="21"/>
      <w:szCs w:val="21"/>
      <w:u w:val="none"/>
    </w:rPr>
  </w:style>
  <w:style w:type="character" w:customStyle="1" w:styleId="66">
    <w:name w:val="font101"/>
    <w:basedOn w:val="28"/>
    <w:qFormat/>
    <w:uiPriority w:val="0"/>
    <w:rPr>
      <w:rFonts w:hint="eastAsia" w:ascii="新宋体" w:hAnsi="新宋体" w:eastAsia="新宋体" w:cs="新宋体"/>
      <w:color w:val="000000"/>
      <w:sz w:val="22"/>
      <w:szCs w:val="22"/>
      <w:u w:val="none"/>
    </w:rPr>
  </w:style>
  <w:style w:type="character" w:customStyle="1" w:styleId="67">
    <w:name w:val="font251"/>
    <w:basedOn w:val="28"/>
    <w:qFormat/>
    <w:uiPriority w:val="0"/>
    <w:rPr>
      <w:rFonts w:hint="eastAsia" w:ascii="宋体" w:hAnsi="宋体" w:eastAsia="宋体" w:cs="宋体"/>
      <w:b/>
      <w:color w:val="000000"/>
      <w:sz w:val="20"/>
      <w:szCs w:val="20"/>
      <w:u w:val="none"/>
    </w:rPr>
  </w:style>
  <w:style w:type="character" w:customStyle="1" w:styleId="68">
    <w:name w:val="font241"/>
    <w:basedOn w:val="28"/>
    <w:qFormat/>
    <w:uiPriority w:val="0"/>
    <w:rPr>
      <w:rFonts w:hint="eastAsia" w:ascii="宋体" w:hAnsi="宋体" w:eastAsia="宋体" w:cs="宋体"/>
      <w:color w:val="000000"/>
      <w:sz w:val="20"/>
      <w:szCs w:val="20"/>
      <w:u w:val="none"/>
    </w:rPr>
  </w:style>
  <w:style w:type="paragraph" w:customStyle="1" w:styleId="69">
    <w:name w:val="表格文字1"/>
    <w:basedOn w:val="1"/>
    <w:qFormat/>
    <w:uiPriority w:val="0"/>
    <w:pPr>
      <w:spacing w:line="300" w:lineRule="exact"/>
      <w:ind w:left="120" w:leftChars="50" w:firstLine="0" w:firstLineChars="0"/>
      <w:jc w:val="left"/>
      <w:textAlignment w:val="center"/>
    </w:pPr>
    <w:rPr>
      <w:rFonts w:hint="eastAsia" w:ascii="宋体" w:hAnsi="宋体"/>
      <w:color w:val="000000"/>
      <w:kern w:val="0"/>
      <w:sz w:val="21"/>
      <w:szCs w:val="22"/>
    </w:rPr>
  </w:style>
  <w:style w:type="paragraph" w:customStyle="1" w:styleId="70">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71">
    <w:name w:val="列出段落1"/>
    <w:basedOn w:val="1"/>
    <w:qFormat/>
    <w:uiPriority w:val="34"/>
    <w:pPr>
      <w:ind w:firstLine="200"/>
    </w:pPr>
    <w:rPr>
      <w:rFonts w:eastAsia="楷体_GB2312" w:cs="Lucida Sans"/>
    </w:rPr>
  </w:style>
  <w:style w:type="paragraph" w:customStyle="1" w:styleId="7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73">
    <w:name w:val="NormalCharacter"/>
    <w:semiHidden/>
    <w:qFormat/>
    <w:uiPriority w:val="0"/>
  </w:style>
  <w:style w:type="paragraph" w:customStyle="1" w:styleId="7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75">
    <w:name w:val="表格1"/>
    <w:basedOn w:val="1"/>
    <w:qFormat/>
    <w:uiPriority w:val="0"/>
    <w:pPr>
      <w:ind w:firstLine="0" w:firstLineChars="0"/>
      <w:jc w:val="center"/>
    </w:pPr>
    <w:rPr>
      <w:rFonts w:hint="eastAsia" w:ascii="宋体" w:hAnsi="宋体"/>
      <w:b/>
      <w:bCs/>
      <w:color w:val="000000"/>
      <w:kern w:val="0"/>
      <w:szCs w:val="44"/>
    </w:rPr>
  </w:style>
  <w:style w:type="paragraph" w:customStyle="1" w:styleId="76">
    <w:name w:val="表格2"/>
    <w:basedOn w:val="1"/>
    <w:qFormat/>
    <w:uiPriority w:val="0"/>
    <w:pPr>
      <w:ind w:firstLine="0" w:firstLineChars="0"/>
      <w:jc w:val="center"/>
    </w:pPr>
    <w:rPr>
      <w:rFonts w:hint="eastAsia" w:ascii="宋体" w:hAnsi="宋体"/>
      <w:bCs/>
      <w:color w:val="000000"/>
      <w:kern w:val="0"/>
      <w:szCs w:val="44"/>
    </w:rPr>
  </w:style>
  <w:style w:type="paragraph" w:customStyle="1" w:styleId="77">
    <w:name w:val="宋体小四  靠右"/>
    <w:basedOn w:val="1"/>
    <w:qFormat/>
    <w:uiPriority w:val="0"/>
    <w:pPr>
      <w:ind w:firstLine="0" w:firstLineChars="0"/>
      <w:jc w:val="left"/>
    </w:pPr>
    <w:rPr>
      <w:rFonts w:hint="eastAsia" w:ascii="黑体" w:hAnsi="黑体" w:cs="黑体"/>
      <w:b/>
      <w:bCs/>
      <w:sz w:val="28"/>
      <w:szCs w:val="32"/>
    </w:rPr>
  </w:style>
  <w:style w:type="character" w:customStyle="1" w:styleId="78">
    <w:name w:val="批注框文本 Char"/>
    <w:basedOn w:val="28"/>
    <w:link w:val="16"/>
    <w:qFormat/>
    <w:uiPriority w:val="0"/>
    <w:rPr>
      <w:kern w:val="2"/>
      <w:sz w:val="18"/>
      <w:szCs w:val="18"/>
    </w:rPr>
  </w:style>
  <w:style w:type="paragraph" w:customStyle="1" w:styleId="79">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80">
    <w:name w:val="标题40"/>
    <w:basedOn w:val="5"/>
    <w:qFormat/>
    <w:uiPriority w:val="0"/>
    <w:pPr>
      <w:widowControl/>
      <w:spacing w:before="0" w:after="0" w:line="324" w:lineRule="auto"/>
      <w:jc w:val="left"/>
    </w:pPr>
    <w:rPr>
      <w:rFonts w:ascii="Arial Black" w:hAnsi="Arial Black"/>
      <w:bCs w:val="0"/>
      <w:spacing w:val="-10"/>
      <w:kern w:val="28"/>
      <w:sz w:val="24"/>
      <w:szCs w:val="24"/>
    </w:rPr>
  </w:style>
  <w:style w:type="paragraph" w:customStyle="1" w:styleId="8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2">
    <w:name w:val="No Spacing"/>
    <w:basedOn w:val="1"/>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B8072-ABBA-4459-BB05-59BD301C3994}">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50808</Words>
  <Characters>54439</Characters>
  <Lines>467</Lines>
  <Paragraphs>131</Paragraphs>
  <TotalTime>36</TotalTime>
  <ScaleCrop>false</ScaleCrop>
  <LinksUpToDate>false</LinksUpToDate>
  <CharactersWithSpaces>61905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2022-12-13T08:50:00Z</dcterms:created>
  <dc:creator>糖麻麻</dc:creator>
  <cp:lastModifiedBy>   “  Miao</cp:lastModifiedBy>
  <cp:lastPrinted>2023-07-17T07:57:00Z</cp:lastPrinted>
  <dcterms:modified xsi:type="dcterms:W3CDTF">2023-12-12T07:25:34Z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AEB0E7F3B32F49B98538663B99844341_13</vt:lpwstr>
  </property>
</Properties>
</file>