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bCs/>
          <w:sz w:val="52"/>
          <w:szCs w:val="52"/>
          <w:lang w:val="en-US" w:eastAsia="zh-CN"/>
        </w:rPr>
      </w:pPr>
    </w:p>
    <w:p>
      <w:pPr>
        <w:jc w:val="center"/>
        <w:outlineLvl w:val="0"/>
        <w:rPr>
          <w:rFonts w:hint="default"/>
          <w:sz w:val="16"/>
          <w:szCs w:val="20"/>
          <w:lang w:val="en-US"/>
        </w:rPr>
      </w:pPr>
      <w:bookmarkStart w:id="0" w:name="_Toc5132"/>
      <w:r>
        <w:rPr>
          <w:rFonts w:hint="eastAsia" w:ascii="宋体" w:hAnsi="宋体" w:cs="宋体"/>
          <w:b/>
          <w:bCs/>
          <w:sz w:val="48"/>
          <w:szCs w:val="48"/>
          <w:lang w:val="en-US" w:eastAsia="zh-CN"/>
        </w:rPr>
        <w:t>皮山县固玛镇寄宿制第二、第三中学及固玛镇第二小学中华文化共同体主题校园文化建设补助项目-法治校园文化建设项目</w:t>
      </w:r>
      <w:bookmarkEnd w:id="0"/>
    </w:p>
    <w:p>
      <w:pPr>
        <w:rPr>
          <w:rFonts w:ascii="宋体" w:hAnsi="宋体" w:cs="宋体"/>
          <w:sz w:val="28"/>
          <w:szCs w:val="28"/>
        </w:rPr>
      </w:pPr>
    </w:p>
    <w:p>
      <w:pPr>
        <w:pStyle w:val="78"/>
        <w:rPr>
          <w:rFonts w:ascii="宋体" w:hAnsi="宋体" w:cs="宋体"/>
          <w:sz w:val="28"/>
          <w:szCs w:val="28"/>
        </w:rPr>
      </w:pPr>
    </w:p>
    <w:p>
      <w:pPr>
        <w:pStyle w:val="8"/>
        <w:rPr>
          <w:rFonts w:hint="eastAsia"/>
        </w:rPr>
      </w:pPr>
    </w:p>
    <w:p>
      <w:pPr>
        <w:jc w:val="center"/>
        <w:rPr>
          <w:rFonts w:hint="eastAsia" w:ascii="宋体" w:hAnsi="宋体" w:cs="宋体"/>
          <w:sz w:val="28"/>
          <w:szCs w:val="28"/>
        </w:rPr>
      </w:pPr>
    </w:p>
    <w:p>
      <w:pPr>
        <w:pStyle w:val="2"/>
        <w:outlineLvl w:val="9"/>
        <w:rPr>
          <w:rFonts w:hint="eastAsia" w:ascii="宋体" w:hAnsi="宋体" w:cs="宋体"/>
          <w:sz w:val="28"/>
          <w:szCs w:val="28"/>
        </w:rPr>
      </w:pPr>
    </w:p>
    <w:p>
      <w:pPr>
        <w:rPr>
          <w:rFonts w:hint="eastAsia"/>
        </w:rPr>
      </w:pPr>
    </w:p>
    <w:p>
      <w:pPr>
        <w:spacing w:line="360" w:lineRule="exact"/>
        <w:jc w:val="center"/>
        <w:rPr>
          <w:rFonts w:hint="eastAsia" w:ascii="宋体" w:hAnsi="宋体" w:cs="宋体"/>
          <w:sz w:val="28"/>
          <w:szCs w:val="28"/>
        </w:rPr>
      </w:pPr>
    </w:p>
    <w:p>
      <w:pPr>
        <w:widowControl/>
        <w:jc w:val="center"/>
        <w:rPr>
          <w:rFonts w:hint="eastAsia" w:ascii="宋体" w:hAnsi="宋体" w:cs="宋体"/>
          <w:b/>
          <w:bCs/>
          <w:color w:val="000000"/>
          <w:kern w:val="0"/>
          <w:sz w:val="52"/>
          <w:szCs w:val="52"/>
          <w:lang w:val="zh-CN"/>
        </w:rPr>
      </w:pPr>
      <w:r>
        <w:rPr>
          <w:rFonts w:hint="eastAsia" w:ascii="宋体" w:hAnsi="宋体" w:cs="宋体"/>
          <w:b/>
          <w:bCs/>
          <w:color w:val="000000"/>
          <w:kern w:val="0"/>
          <w:sz w:val="52"/>
          <w:szCs w:val="52"/>
          <w:lang w:val="zh-CN"/>
        </w:rPr>
        <w:t>招</w:t>
      </w:r>
      <w:r>
        <w:rPr>
          <w:rFonts w:hint="eastAsia" w:ascii="宋体" w:hAnsi="宋体" w:cs="宋体"/>
          <w:b/>
          <w:bCs/>
          <w:color w:val="000000"/>
          <w:kern w:val="0"/>
          <w:sz w:val="52"/>
          <w:szCs w:val="52"/>
        </w:rPr>
        <w:t xml:space="preserve"> </w:t>
      </w:r>
      <w:r>
        <w:rPr>
          <w:rFonts w:hint="eastAsia" w:ascii="宋体" w:hAnsi="宋体" w:cs="宋体"/>
          <w:b/>
          <w:bCs/>
          <w:color w:val="000000"/>
          <w:kern w:val="0"/>
          <w:sz w:val="52"/>
          <w:szCs w:val="52"/>
          <w:lang w:val="zh-CN"/>
        </w:rPr>
        <w:t>标</w:t>
      </w:r>
      <w:r>
        <w:rPr>
          <w:rFonts w:hint="eastAsia" w:ascii="宋体" w:hAnsi="宋体" w:cs="宋体"/>
          <w:b/>
          <w:bCs/>
          <w:color w:val="000000"/>
          <w:kern w:val="0"/>
          <w:sz w:val="52"/>
          <w:szCs w:val="52"/>
        </w:rPr>
        <w:t xml:space="preserve"> </w:t>
      </w:r>
      <w:r>
        <w:rPr>
          <w:rFonts w:hint="eastAsia" w:ascii="宋体" w:hAnsi="宋体" w:cs="宋体"/>
          <w:b/>
          <w:bCs/>
          <w:color w:val="000000"/>
          <w:kern w:val="0"/>
          <w:sz w:val="52"/>
          <w:szCs w:val="52"/>
          <w:lang w:val="zh-CN"/>
        </w:rPr>
        <w:t>文</w:t>
      </w:r>
      <w:r>
        <w:rPr>
          <w:rFonts w:hint="eastAsia" w:ascii="宋体" w:hAnsi="宋体" w:cs="宋体"/>
          <w:b/>
          <w:bCs/>
          <w:color w:val="000000"/>
          <w:kern w:val="0"/>
          <w:sz w:val="52"/>
          <w:szCs w:val="52"/>
        </w:rPr>
        <w:t xml:space="preserve"> </w:t>
      </w:r>
      <w:r>
        <w:rPr>
          <w:rFonts w:hint="eastAsia" w:ascii="宋体" w:hAnsi="宋体" w:cs="宋体"/>
          <w:b/>
          <w:bCs/>
          <w:color w:val="000000"/>
          <w:kern w:val="0"/>
          <w:sz w:val="52"/>
          <w:szCs w:val="52"/>
          <w:lang w:val="zh-CN"/>
        </w:rPr>
        <w:t>件</w:t>
      </w:r>
    </w:p>
    <w:p>
      <w:pPr>
        <w:spacing w:line="360" w:lineRule="exact"/>
        <w:jc w:val="center"/>
        <w:rPr>
          <w:rFonts w:hint="eastAsia" w:ascii="宋体" w:hAnsi="宋体" w:cs="宋体"/>
          <w:b/>
          <w:bCs/>
          <w:color w:val="000000"/>
          <w:kern w:val="0"/>
          <w:sz w:val="32"/>
          <w:szCs w:val="32"/>
          <w:lang w:val="zh-CN"/>
        </w:rPr>
      </w:pPr>
    </w:p>
    <w:p>
      <w:pPr>
        <w:spacing w:line="360" w:lineRule="exact"/>
        <w:jc w:val="center"/>
        <w:outlineLvl w:val="0"/>
        <w:rPr>
          <w:rFonts w:ascii="宋体" w:hAnsi="宋体" w:cs="宋体"/>
          <w:b/>
          <w:bCs/>
          <w:color w:val="000000"/>
          <w:kern w:val="0"/>
          <w:sz w:val="32"/>
          <w:szCs w:val="32"/>
        </w:rPr>
      </w:pPr>
      <w:bookmarkStart w:id="1" w:name="_Toc10465"/>
      <w:bookmarkStart w:id="2" w:name="_Toc20741"/>
      <w:bookmarkStart w:id="3" w:name="_Toc15187"/>
      <w:bookmarkStart w:id="4" w:name="_Toc3056"/>
      <w:bookmarkStart w:id="5" w:name="_Toc22529"/>
      <w:r>
        <w:rPr>
          <w:rFonts w:hint="eastAsia" w:ascii="宋体" w:hAnsi="宋体" w:cs="宋体"/>
          <w:b/>
          <w:bCs/>
          <w:color w:val="000000"/>
          <w:kern w:val="0"/>
          <w:sz w:val="32"/>
          <w:szCs w:val="32"/>
          <w:lang w:val="zh-CN"/>
        </w:rPr>
        <w:t>项目编号：</w:t>
      </w:r>
      <w:bookmarkEnd w:id="1"/>
      <w:bookmarkEnd w:id="2"/>
      <w:bookmarkEnd w:id="3"/>
      <w:bookmarkEnd w:id="4"/>
      <w:bookmarkEnd w:id="5"/>
      <w:r>
        <w:rPr>
          <w:rFonts w:hint="eastAsia" w:ascii="宋体" w:hAnsi="宋体" w:cs="宋体"/>
          <w:b/>
          <w:bCs/>
          <w:color w:val="000000"/>
          <w:kern w:val="0"/>
          <w:sz w:val="32"/>
          <w:szCs w:val="32"/>
          <w:lang w:val="zh-CN" w:eastAsia="zh-CN"/>
        </w:rPr>
        <w:t>PSXZC2022-076号</w:t>
      </w:r>
    </w:p>
    <w:p>
      <w:pPr>
        <w:widowControl/>
        <w:jc w:val="center"/>
        <w:rPr>
          <w:rFonts w:hint="eastAsia" w:ascii="宋体" w:hAnsi="宋体" w:cs="宋体"/>
          <w:b/>
          <w:bCs/>
          <w:color w:val="000000"/>
          <w:kern w:val="0"/>
          <w:sz w:val="52"/>
          <w:szCs w:val="52"/>
          <w:lang w:val="zh-CN"/>
        </w:rPr>
      </w:pPr>
    </w:p>
    <w:p>
      <w:pPr>
        <w:rPr>
          <w:lang w:val="zh-CN"/>
        </w:rPr>
      </w:pPr>
    </w:p>
    <w:p>
      <w:pPr>
        <w:pStyle w:val="78"/>
        <w:rPr>
          <w:lang w:val="zh-CN"/>
        </w:rPr>
      </w:pPr>
    </w:p>
    <w:p>
      <w:pPr>
        <w:pStyle w:val="78"/>
        <w:rPr>
          <w:lang w:val="zh-CN"/>
        </w:rPr>
      </w:pPr>
    </w:p>
    <w:p>
      <w:pPr>
        <w:ind w:left="0" w:leftChars="0" w:firstLine="0" w:firstLineChars="0"/>
        <w:rPr>
          <w:rFonts w:hint="eastAsia"/>
          <w:lang w:val="zh-CN"/>
        </w:rPr>
      </w:pPr>
    </w:p>
    <w:p>
      <w:pPr>
        <w:widowControl/>
        <w:jc w:val="center"/>
        <w:outlineLvl w:val="0"/>
        <w:rPr>
          <w:rFonts w:hint="eastAsia" w:ascii="宋体" w:hAnsi="宋体" w:eastAsia="宋体" w:cs="宋体"/>
          <w:b/>
          <w:bCs/>
          <w:color w:val="000000"/>
          <w:kern w:val="0"/>
          <w:sz w:val="32"/>
          <w:szCs w:val="32"/>
          <w:lang w:eastAsia="zh-CN"/>
        </w:rPr>
      </w:pPr>
      <w:bookmarkStart w:id="6" w:name="_Toc11546"/>
      <w:bookmarkStart w:id="7" w:name="_Toc19984"/>
      <w:bookmarkStart w:id="8" w:name="_Toc8307"/>
      <w:bookmarkStart w:id="9" w:name="_Toc32573"/>
      <w:bookmarkStart w:id="10" w:name="_Toc20797"/>
      <w:r>
        <w:rPr>
          <w:rFonts w:hint="eastAsia" w:ascii="宋体" w:hAnsi="宋体" w:cs="宋体"/>
          <w:b/>
          <w:bCs/>
          <w:color w:val="000000"/>
          <w:kern w:val="0"/>
          <w:sz w:val="32"/>
          <w:szCs w:val="32"/>
          <w:lang w:val="zh-CN"/>
        </w:rPr>
        <w:t>招标代理人：</w:t>
      </w:r>
      <w:bookmarkEnd w:id="6"/>
      <w:bookmarkEnd w:id="7"/>
      <w:bookmarkEnd w:id="8"/>
      <w:bookmarkEnd w:id="9"/>
      <w:r>
        <w:rPr>
          <w:rFonts w:hint="eastAsia" w:ascii="宋体" w:hAnsi="宋体" w:cs="宋体"/>
          <w:b/>
          <w:bCs/>
          <w:color w:val="000000"/>
          <w:kern w:val="0"/>
          <w:sz w:val="32"/>
          <w:szCs w:val="32"/>
          <w:lang w:eastAsia="zh-CN"/>
        </w:rPr>
        <w:t>华春建设工程项目管理有限责任公司</w:t>
      </w:r>
      <w:bookmarkEnd w:id="10"/>
    </w:p>
    <w:p>
      <w:pPr>
        <w:widowControl/>
        <w:ind w:left="319" w:leftChars="152" w:firstLine="803" w:firstLineChars="250"/>
        <w:jc w:val="both"/>
        <w:rPr>
          <w:rFonts w:hint="eastAsia" w:ascii="宋体" w:hAnsi="宋体" w:eastAsia="宋体" w:cs="宋体"/>
          <w:b/>
          <w:bCs/>
          <w:color w:val="000000"/>
          <w:kern w:val="0"/>
          <w:sz w:val="32"/>
          <w:szCs w:val="32"/>
          <w:lang w:val="en-US" w:eastAsia="zh-CN"/>
        </w:rPr>
      </w:pPr>
      <w:r>
        <w:rPr>
          <w:rFonts w:hint="eastAsia" w:ascii="宋体" w:hAnsi="宋体" w:cs="宋体"/>
          <w:b/>
          <w:bCs/>
          <w:color w:val="000000"/>
          <w:kern w:val="0"/>
          <w:sz w:val="32"/>
          <w:szCs w:val="32"/>
        </w:rPr>
        <w:t>地址：</w:t>
      </w:r>
      <w:r>
        <w:rPr>
          <w:rFonts w:hint="eastAsia" w:ascii="宋体" w:hAnsi="宋体" w:cs="宋体"/>
          <w:b/>
          <w:bCs/>
          <w:color w:val="000000"/>
          <w:kern w:val="0"/>
          <w:sz w:val="32"/>
          <w:szCs w:val="32"/>
          <w:lang w:eastAsia="zh-CN"/>
        </w:rPr>
        <w:t>和田市金鹰国际城13楼</w:t>
      </w:r>
    </w:p>
    <w:p>
      <w:pPr>
        <w:autoSpaceDE w:val="0"/>
        <w:autoSpaceDN w:val="0"/>
        <w:jc w:val="center"/>
        <w:rPr>
          <w:rFonts w:hint="eastAsia" w:ascii="宋体" w:hAnsi="宋体" w:cs="宋体"/>
          <w:bCs/>
          <w:sz w:val="44"/>
          <w:szCs w:val="44"/>
          <w:lang w:val="zh-CN"/>
        </w:rPr>
      </w:pPr>
    </w:p>
    <w:p>
      <w:pPr>
        <w:pStyle w:val="78"/>
        <w:rPr>
          <w:rFonts w:hint="eastAsia" w:ascii="宋体" w:hAnsi="宋体" w:cs="宋体"/>
          <w:bCs/>
          <w:sz w:val="44"/>
          <w:szCs w:val="44"/>
          <w:lang w:val="zh-CN"/>
        </w:rPr>
      </w:pPr>
    </w:p>
    <w:p>
      <w:pPr>
        <w:pStyle w:val="78"/>
        <w:rPr>
          <w:rFonts w:hint="eastAsia" w:ascii="宋体" w:hAnsi="宋体" w:cs="宋体"/>
          <w:bCs/>
          <w:sz w:val="44"/>
          <w:szCs w:val="44"/>
          <w:lang w:val="zh-CN"/>
        </w:rPr>
        <w:sectPr>
          <w:headerReference r:id="rId7" w:type="first"/>
          <w:footerReference r:id="rId10" w:type="first"/>
          <w:headerReference r:id="rId5" w:type="default"/>
          <w:footerReference r:id="rId8" w:type="default"/>
          <w:headerReference r:id="rId6" w:type="even"/>
          <w:footerReference r:id="rId9" w:type="even"/>
          <w:footnotePr>
            <w:numFmt w:val="decimalHalfWidth"/>
          </w:footnotePr>
          <w:endnotePr>
            <w:numFmt w:val="chineseCounting"/>
          </w:endnotePr>
          <w:pgSz w:w="11906" w:h="16838"/>
          <w:pgMar w:top="1134" w:right="1304" w:bottom="1134" w:left="1304" w:header="283" w:footer="567" w:gutter="0"/>
          <w:cols w:space="720" w:num="1"/>
          <w:titlePg/>
          <w:docGrid w:type="lines" w:linePitch="320" w:charSpace="0"/>
        </w:sectPr>
      </w:pPr>
    </w:p>
    <w:p>
      <w:pPr>
        <w:autoSpaceDE w:val="0"/>
        <w:autoSpaceDN w:val="0"/>
        <w:ind w:left="0" w:leftChars="0" w:firstLine="0" w:firstLineChars="0"/>
        <w:jc w:val="both"/>
        <w:rPr>
          <w:rFonts w:hint="eastAsia" w:ascii="宋体" w:hAnsi="宋体" w:cs="宋体"/>
          <w:bCs/>
          <w:sz w:val="44"/>
          <w:szCs w:val="44"/>
          <w:lang w:val="zh-CN"/>
        </w:rPr>
      </w:pPr>
    </w:p>
    <w:p>
      <w:pPr>
        <w:autoSpaceDE w:val="0"/>
        <w:autoSpaceDN w:val="0"/>
        <w:jc w:val="center"/>
        <w:outlineLvl w:val="0"/>
        <w:rPr>
          <w:rFonts w:ascii="宋体" w:hAnsi="宋体"/>
          <w:bCs/>
          <w:sz w:val="44"/>
          <w:szCs w:val="44"/>
          <w:lang w:val="zh-CN"/>
        </w:rPr>
      </w:pPr>
      <w:bookmarkStart w:id="11" w:name="_Toc27697"/>
      <w:bookmarkStart w:id="12" w:name="_Toc20826"/>
      <w:bookmarkStart w:id="13" w:name="_Toc25181"/>
      <w:bookmarkStart w:id="14" w:name="_Toc28955"/>
      <w:bookmarkStart w:id="15" w:name="_Toc9260"/>
      <w:r>
        <w:rPr>
          <w:rFonts w:hint="eastAsia" w:ascii="宋体" w:hAnsi="宋体" w:cs="宋体"/>
          <w:bCs/>
          <w:sz w:val="44"/>
          <w:szCs w:val="44"/>
          <w:lang w:val="zh-CN"/>
        </w:rPr>
        <w:t>招标文件</w:t>
      </w:r>
      <w:bookmarkEnd w:id="11"/>
      <w:bookmarkEnd w:id="12"/>
      <w:bookmarkEnd w:id="13"/>
      <w:bookmarkEnd w:id="14"/>
      <w:bookmarkEnd w:id="15"/>
    </w:p>
    <w:p>
      <w:pPr>
        <w:autoSpaceDE w:val="0"/>
        <w:autoSpaceDN w:val="0"/>
        <w:adjustRightInd w:val="0"/>
        <w:ind w:left="4375" w:leftChars="150" w:hanging="4060" w:hangingChars="1450"/>
        <w:rPr>
          <w:rFonts w:ascii="宋体" w:hAnsi="宋体" w:cs="宋体"/>
          <w:bCs/>
          <w:kern w:val="0"/>
          <w:sz w:val="28"/>
          <w:szCs w:val="28"/>
          <w:lang w:val="zh-CN"/>
        </w:rPr>
      </w:pPr>
    </w:p>
    <w:p>
      <w:pPr>
        <w:autoSpaceDE w:val="0"/>
        <w:autoSpaceDN w:val="0"/>
        <w:adjustRightInd w:val="0"/>
        <w:ind w:left="4375" w:leftChars="150" w:hanging="4060" w:hangingChars="1450"/>
        <w:rPr>
          <w:rFonts w:ascii="宋体" w:hAnsi="宋体" w:cs="宋体"/>
          <w:bCs/>
          <w:kern w:val="0"/>
          <w:sz w:val="28"/>
          <w:szCs w:val="28"/>
          <w:lang w:val="zh-CN"/>
        </w:rPr>
      </w:pPr>
    </w:p>
    <w:p>
      <w:pPr>
        <w:snapToGrid w:val="0"/>
        <w:spacing w:line="700" w:lineRule="exact"/>
        <w:ind w:left="-26" w:leftChars="-95" w:hanging="173" w:hangingChars="62"/>
        <w:rPr>
          <w:rFonts w:hint="eastAsia" w:ascii="宋体" w:hAnsi="宋体"/>
          <w:bCs/>
          <w:sz w:val="28"/>
          <w:szCs w:val="28"/>
          <w:lang w:eastAsia="zh-CN"/>
        </w:rPr>
      </w:pPr>
      <w:r>
        <w:rPr>
          <w:rFonts w:hint="eastAsia" w:ascii="宋体" w:hAnsi="宋体"/>
          <w:bCs/>
          <w:sz w:val="28"/>
          <w:szCs w:val="28"/>
          <w:lang w:eastAsia="zh-CN"/>
        </w:rPr>
        <w:t>项目</w:t>
      </w:r>
      <w:r>
        <w:rPr>
          <w:rFonts w:hint="eastAsia" w:ascii="宋体" w:hAnsi="宋体"/>
          <w:bCs/>
          <w:sz w:val="28"/>
          <w:szCs w:val="28"/>
        </w:rPr>
        <w:t>名称：</w:t>
      </w:r>
      <w:r>
        <w:rPr>
          <w:rFonts w:hint="eastAsia" w:ascii="宋体" w:hAnsi="宋体"/>
          <w:bCs/>
          <w:sz w:val="28"/>
          <w:szCs w:val="28"/>
          <w:lang w:val="en-US" w:eastAsia="zh-CN"/>
        </w:rPr>
        <w:t>皮山县固玛镇寄宿制第二、第三中学及固玛镇第二小学中华文化共同体主题校园文化建设补助项目-法治校园文化建设项目</w:t>
      </w:r>
    </w:p>
    <w:p>
      <w:pPr>
        <w:snapToGrid w:val="0"/>
        <w:spacing w:line="700" w:lineRule="exact"/>
        <w:ind w:left="-26" w:leftChars="-95" w:hanging="173" w:hangingChars="62"/>
        <w:rPr>
          <w:rFonts w:hint="default" w:ascii="宋体" w:hAnsi="宋体"/>
          <w:bCs/>
          <w:sz w:val="28"/>
          <w:szCs w:val="28"/>
          <w:lang w:val="en-US" w:eastAsia="zh-CN"/>
        </w:rPr>
      </w:pPr>
      <w:r>
        <w:rPr>
          <w:rFonts w:hint="eastAsia" w:ascii="宋体" w:hAnsi="宋体"/>
          <w:bCs/>
          <w:sz w:val="28"/>
          <w:szCs w:val="28"/>
          <w:lang w:eastAsia="zh-CN"/>
        </w:rPr>
        <w:t>采购</w:t>
      </w:r>
      <w:r>
        <w:rPr>
          <w:rFonts w:hint="eastAsia" w:ascii="宋体" w:hAnsi="宋体"/>
          <w:bCs/>
          <w:sz w:val="28"/>
          <w:szCs w:val="28"/>
        </w:rPr>
        <w:t>人:</w:t>
      </w:r>
      <w:r>
        <w:rPr>
          <w:rFonts w:hint="eastAsia" w:ascii="宋体" w:hAnsi="宋体"/>
          <w:bCs/>
          <w:sz w:val="28"/>
          <w:szCs w:val="28"/>
          <w:lang w:eastAsia="zh-CN"/>
        </w:rPr>
        <w:t>（</w:t>
      </w:r>
      <w:r>
        <w:rPr>
          <w:rFonts w:hint="eastAsia" w:ascii="宋体" w:hAnsi="宋体"/>
          <w:bCs/>
          <w:sz w:val="28"/>
          <w:szCs w:val="28"/>
          <w:lang w:val="en-US" w:eastAsia="zh-CN"/>
        </w:rPr>
        <w:t>盖章</w:t>
      </w:r>
      <w:r>
        <w:rPr>
          <w:rFonts w:hint="eastAsia" w:ascii="宋体" w:hAnsi="宋体"/>
          <w:bCs/>
          <w:sz w:val="28"/>
          <w:szCs w:val="28"/>
          <w:lang w:eastAsia="zh-CN"/>
        </w:rPr>
        <w:t>）</w:t>
      </w:r>
      <w:r>
        <w:rPr>
          <w:rFonts w:hint="eastAsia" w:ascii="宋体" w:hAnsi="宋体"/>
          <w:bCs/>
          <w:sz w:val="28"/>
          <w:szCs w:val="28"/>
          <w:lang w:val="en-US" w:eastAsia="zh-CN"/>
        </w:rPr>
        <w:t>皮山县教育局</w:t>
      </w:r>
    </w:p>
    <w:p>
      <w:pPr>
        <w:snapToGrid w:val="0"/>
        <w:spacing w:line="700" w:lineRule="exact"/>
        <w:ind w:left="-26" w:leftChars="-95" w:hanging="173" w:hangingChars="62"/>
        <w:rPr>
          <w:rFonts w:hint="eastAsia" w:ascii="宋体" w:hAnsi="宋体"/>
          <w:bCs/>
          <w:sz w:val="28"/>
          <w:szCs w:val="28"/>
        </w:rPr>
      </w:pPr>
      <w:r>
        <w:rPr>
          <w:rFonts w:hint="eastAsia" w:ascii="宋体" w:hAnsi="宋体"/>
          <w:bCs/>
          <w:sz w:val="28"/>
          <w:szCs w:val="28"/>
        </w:rPr>
        <w:t>法定代表人或其委托代理人</w:t>
      </w:r>
      <w:r>
        <w:rPr>
          <w:rFonts w:ascii="宋体" w:hAnsi="宋体"/>
          <w:bCs/>
          <w:sz w:val="28"/>
          <w:szCs w:val="28"/>
        </w:rPr>
        <w:t>:</w:t>
      </w:r>
      <w:r>
        <w:rPr>
          <w:rFonts w:hint="eastAsia" w:ascii="宋体" w:hAnsi="宋体"/>
          <w:bCs/>
          <w:sz w:val="28"/>
          <w:szCs w:val="28"/>
        </w:rPr>
        <w:t>（签字或盖章）</w:t>
      </w:r>
    </w:p>
    <w:p>
      <w:pPr>
        <w:snapToGrid w:val="0"/>
        <w:spacing w:line="700" w:lineRule="exact"/>
        <w:ind w:left="-26" w:leftChars="-95" w:hanging="173" w:hangingChars="62"/>
        <w:rPr>
          <w:rFonts w:hint="default" w:ascii="宋体" w:hAnsi="宋体" w:eastAsia="宋体"/>
          <w:bCs/>
          <w:sz w:val="28"/>
          <w:szCs w:val="28"/>
          <w:lang w:val="en-US" w:eastAsia="zh-CN"/>
        </w:rPr>
      </w:pPr>
      <w:r>
        <w:rPr>
          <w:rFonts w:hint="eastAsia" w:ascii="宋体" w:hAnsi="宋体"/>
          <w:bCs/>
          <w:sz w:val="28"/>
          <w:szCs w:val="28"/>
        </w:rPr>
        <w:t>联系人：</w:t>
      </w:r>
      <w:r>
        <w:rPr>
          <w:rFonts w:hint="eastAsia" w:ascii="宋体" w:hAnsi="宋体"/>
          <w:bCs/>
          <w:sz w:val="28"/>
          <w:szCs w:val="28"/>
          <w:lang w:val="en-US" w:eastAsia="zh-CN"/>
        </w:rPr>
        <w:t>孟利龙</w:t>
      </w:r>
    </w:p>
    <w:p>
      <w:pPr>
        <w:snapToGrid w:val="0"/>
        <w:spacing w:line="700" w:lineRule="exact"/>
        <w:ind w:left="-26" w:leftChars="-95" w:hanging="173" w:hangingChars="62"/>
        <w:rPr>
          <w:rFonts w:hint="eastAsia" w:ascii="宋体" w:hAnsi="宋体" w:eastAsia="宋体"/>
          <w:bCs/>
          <w:sz w:val="28"/>
          <w:szCs w:val="28"/>
          <w:lang w:val="en-US" w:eastAsia="zh-CN"/>
        </w:rPr>
      </w:pPr>
      <w:r>
        <w:rPr>
          <w:rFonts w:hint="eastAsia" w:ascii="宋体" w:hAnsi="宋体"/>
          <w:bCs/>
          <w:sz w:val="28"/>
          <w:szCs w:val="28"/>
        </w:rPr>
        <w:t>联系电话</w:t>
      </w:r>
      <w:r>
        <w:rPr>
          <w:rFonts w:hint="eastAsia" w:ascii="宋体" w:hAnsi="宋体"/>
          <w:bCs/>
          <w:sz w:val="28"/>
          <w:szCs w:val="28"/>
          <w:lang w:eastAsia="zh-CN"/>
        </w:rPr>
        <w:t>：0903-6427567</w:t>
      </w:r>
    </w:p>
    <w:p>
      <w:pPr>
        <w:snapToGrid w:val="0"/>
        <w:spacing w:line="700" w:lineRule="exact"/>
        <w:ind w:left="-26" w:leftChars="-95" w:hanging="173" w:hangingChars="62"/>
        <w:rPr>
          <w:rFonts w:hint="eastAsia" w:ascii="宋体" w:hAnsi="宋体"/>
          <w:bCs/>
          <w:sz w:val="28"/>
          <w:szCs w:val="28"/>
        </w:rPr>
      </w:pPr>
    </w:p>
    <w:p>
      <w:pPr>
        <w:snapToGrid w:val="0"/>
        <w:spacing w:line="700" w:lineRule="exact"/>
        <w:ind w:left="-26" w:leftChars="-95" w:hanging="173" w:hangingChars="62"/>
        <w:rPr>
          <w:rFonts w:hint="eastAsia" w:ascii="宋体" w:hAnsi="宋体"/>
          <w:bCs/>
          <w:sz w:val="28"/>
          <w:szCs w:val="28"/>
        </w:rPr>
      </w:pPr>
    </w:p>
    <w:p>
      <w:pPr>
        <w:snapToGrid w:val="0"/>
        <w:spacing w:line="700" w:lineRule="exact"/>
        <w:ind w:left="-26" w:leftChars="-95" w:hanging="173" w:hangingChars="62"/>
        <w:rPr>
          <w:rFonts w:hint="eastAsia" w:ascii="宋体" w:hAnsi="宋体"/>
          <w:bCs/>
          <w:sz w:val="28"/>
          <w:szCs w:val="28"/>
        </w:rPr>
      </w:pPr>
    </w:p>
    <w:p>
      <w:pPr>
        <w:snapToGrid w:val="0"/>
        <w:spacing w:line="700" w:lineRule="exact"/>
        <w:ind w:left="-26" w:leftChars="-95" w:hanging="173" w:hangingChars="62"/>
        <w:rPr>
          <w:rFonts w:hint="eastAsia" w:ascii="宋体" w:hAnsi="宋体" w:eastAsia="宋体"/>
          <w:bCs/>
          <w:sz w:val="28"/>
          <w:szCs w:val="28"/>
          <w:lang w:eastAsia="zh-CN"/>
        </w:rPr>
      </w:pPr>
      <w:r>
        <w:rPr>
          <w:rFonts w:hint="eastAsia" w:ascii="宋体" w:hAnsi="宋体"/>
          <w:bCs/>
          <w:sz w:val="28"/>
          <w:szCs w:val="28"/>
        </w:rPr>
        <w:t>招标代理机构:</w:t>
      </w:r>
      <w:r>
        <w:rPr>
          <w:rFonts w:hint="eastAsia" w:ascii="宋体" w:hAnsi="宋体"/>
          <w:bCs/>
          <w:sz w:val="28"/>
          <w:szCs w:val="28"/>
          <w:lang w:eastAsia="zh-CN"/>
        </w:rPr>
        <w:t>（</w:t>
      </w:r>
      <w:r>
        <w:rPr>
          <w:rFonts w:hint="eastAsia" w:ascii="宋体" w:hAnsi="宋体"/>
          <w:bCs/>
          <w:sz w:val="28"/>
          <w:szCs w:val="28"/>
          <w:lang w:val="en-US" w:eastAsia="zh-CN"/>
        </w:rPr>
        <w:t>盖章</w:t>
      </w:r>
      <w:r>
        <w:rPr>
          <w:rFonts w:hint="eastAsia" w:ascii="宋体" w:hAnsi="宋体"/>
          <w:bCs/>
          <w:sz w:val="28"/>
          <w:szCs w:val="28"/>
          <w:lang w:eastAsia="zh-CN"/>
        </w:rPr>
        <w:t>）华春建设工程项目管理有限责任公司</w:t>
      </w:r>
    </w:p>
    <w:p>
      <w:pPr>
        <w:snapToGrid w:val="0"/>
        <w:spacing w:line="700" w:lineRule="exact"/>
        <w:ind w:left="-26" w:leftChars="-95" w:hanging="173" w:hangingChars="62"/>
        <w:rPr>
          <w:rFonts w:hint="eastAsia" w:ascii="宋体" w:hAnsi="宋体"/>
          <w:bCs/>
          <w:sz w:val="28"/>
          <w:szCs w:val="28"/>
        </w:rPr>
      </w:pPr>
      <w:r>
        <w:rPr>
          <w:rFonts w:hint="eastAsia" w:ascii="宋体" w:hAnsi="宋体"/>
          <w:bCs/>
          <w:sz w:val="28"/>
          <w:szCs w:val="28"/>
        </w:rPr>
        <w:t>法定代表人或其委托代理人: （签字或盖章）</w:t>
      </w:r>
    </w:p>
    <w:p>
      <w:pPr>
        <w:snapToGrid w:val="0"/>
        <w:spacing w:line="700" w:lineRule="exact"/>
        <w:ind w:left="-26" w:leftChars="-95" w:hanging="173" w:hangingChars="62"/>
        <w:rPr>
          <w:rFonts w:hint="default" w:ascii="宋体" w:hAnsi="宋体" w:eastAsia="宋体"/>
          <w:bCs/>
          <w:sz w:val="28"/>
          <w:szCs w:val="28"/>
          <w:lang w:val="en-US" w:eastAsia="zh-CN"/>
        </w:rPr>
      </w:pPr>
      <w:r>
        <w:rPr>
          <w:rFonts w:hint="eastAsia" w:ascii="宋体" w:hAnsi="宋体"/>
          <w:bCs/>
          <w:sz w:val="28"/>
          <w:szCs w:val="28"/>
        </w:rPr>
        <w:t>联系人：</w:t>
      </w:r>
      <w:r>
        <w:rPr>
          <w:rFonts w:hint="eastAsia" w:ascii="宋体" w:hAnsi="宋体"/>
          <w:bCs/>
          <w:sz w:val="28"/>
          <w:szCs w:val="28"/>
          <w:lang w:val="en-US" w:eastAsia="zh-CN"/>
        </w:rPr>
        <w:t>景金鹏</w:t>
      </w:r>
    </w:p>
    <w:p>
      <w:pPr>
        <w:snapToGrid w:val="0"/>
        <w:spacing w:line="700" w:lineRule="exact"/>
        <w:ind w:left="-26" w:leftChars="-95" w:hanging="173" w:hangingChars="62"/>
        <w:rPr>
          <w:rFonts w:hint="default" w:ascii="宋体" w:hAnsi="宋体" w:eastAsia="宋体"/>
          <w:bCs/>
          <w:sz w:val="32"/>
          <w:lang w:val="en-US" w:eastAsia="zh-CN"/>
        </w:rPr>
      </w:pPr>
      <w:r>
        <w:rPr>
          <w:rFonts w:hint="eastAsia" w:ascii="宋体" w:hAnsi="宋体"/>
          <w:bCs/>
          <w:sz w:val="28"/>
          <w:szCs w:val="28"/>
        </w:rPr>
        <w:t>联系电话：</w:t>
      </w:r>
      <w:r>
        <w:rPr>
          <w:rFonts w:hint="eastAsia" w:ascii="宋体" w:hAnsi="宋体"/>
          <w:bCs/>
          <w:sz w:val="28"/>
          <w:szCs w:val="28"/>
          <w:lang w:val="en-US" w:eastAsia="zh-CN"/>
        </w:rPr>
        <w:t>15559430123</w:t>
      </w:r>
    </w:p>
    <w:p>
      <w:pPr>
        <w:rPr>
          <w:rFonts w:ascii="宋体" w:hAnsi="宋体"/>
          <w:b/>
          <w:bCs/>
          <w:sz w:val="28"/>
          <w:szCs w:val="28"/>
        </w:rPr>
      </w:pPr>
    </w:p>
    <w:p>
      <w:pPr>
        <w:rPr>
          <w:rFonts w:ascii="宋体" w:hAnsi="宋体"/>
          <w:b/>
          <w:bCs/>
          <w:sz w:val="28"/>
          <w:szCs w:val="28"/>
        </w:rPr>
      </w:pPr>
    </w:p>
    <w:p>
      <w:pPr>
        <w:pStyle w:val="19"/>
        <w:ind w:firstLine="480"/>
      </w:pPr>
    </w:p>
    <w:p>
      <w:pPr>
        <w:pStyle w:val="19"/>
        <w:ind w:firstLine="480"/>
      </w:pPr>
    </w:p>
    <w:p>
      <w:pPr>
        <w:ind w:left="141" w:hanging="141"/>
        <w:rPr>
          <w:rFonts w:hint="eastAsia" w:ascii="宋体" w:hAnsi="宋体"/>
          <w:b/>
          <w:bCs/>
          <w:sz w:val="28"/>
          <w:szCs w:val="28"/>
        </w:rPr>
        <w:sectPr>
          <w:footerReference r:id="rId12" w:type="first"/>
          <w:footerReference r:id="rId11" w:type="default"/>
          <w:footnotePr>
            <w:numFmt w:val="decimalHalfWidth"/>
          </w:footnotePr>
          <w:endnotePr>
            <w:numFmt w:val="chineseCounting"/>
          </w:endnotePr>
          <w:pgSz w:w="11906" w:h="16838"/>
          <w:pgMar w:top="1134" w:right="1304" w:bottom="1134" w:left="1304" w:header="283" w:footer="567" w:gutter="0"/>
          <w:pgNumType w:start="1"/>
          <w:cols w:space="720" w:num="1"/>
          <w:titlePg/>
          <w:docGrid w:type="lines" w:linePitch="320" w:charSpace="0"/>
        </w:sectPr>
      </w:pPr>
    </w:p>
    <w:p>
      <w:pPr>
        <w:pStyle w:val="154"/>
        <w:jc w:val="both"/>
        <w:rPr>
          <w:rFonts w:ascii="宋体" w:hAnsi="宋体"/>
          <w:b/>
          <w:bCs/>
          <w:color w:val="auto"/>
          <w:sz w:val="28"/>
          <w:szCs w:val="28"/>
        </w:rPr>
      </w:pPr>
      <w:r>
        <w:rPr>
          <w:rFonts w:hint="eastAsia" w:ascii="宋体" w:hAnsi="宋体"/>
          <w:b/>
          <w:bCs/>
          <w:color w:val="auto"/>
          <w:sz w:val="28"/>
          <w:szCs w:val="28"/>
        </w:rPr>
        <w:t xml:space="preserve">                                </w:t>
      </w:r>
    </w:p>
    <w:p>
      <w:pPr>
        <w:pStyle w:val="78"/>
        <w:rPr>
          <w:rFonts w:hint="eastAsia"/>
        </w:rPr>
      </w:pPr>
    </w:p>
    <w:p>
      <w:pPr>
        <w:overflowPunct w:val="0"/>
        <w:ind w:left="0" w:leftChars="0" w:firstLine="3960" w:firstLineChars="1100"/>
        <w:jc w:val="both"/>
        <w:rPr>
          <w:rFonts w:ascii="宋体" w:hAnsi="宋体" w:cs="Arial"/>
          <w:kern w:val="0"/>
          <w:sz w:val="36"/>
          <w:szCs w:val="36"/>
        </w:rPr>
      </w:pPr>
      <w:r>
        <w:rPr>
          <w:rFonts w:hint="eastAsia" w:ascii="宋体" w:hAnsi="宋体" w:cs="Arial"/>
          <w:kern w:val="0"/>
          <w:sz w:val="36"/>
          <w:szCs w:val="36"/>
        </w:rPr>
        <w:t>目  录</w:t>
      </w:r>
    </w:p>
    <w:sdt>
      <w:sdtPr>
        <w:rPr>
          <w:rFonts w:ascii="宋体" w:hAnsi="宋体" w:eastAsia="宋体" w:cs="Times New Roman"/>
          <w:kern w:val="2"/>
          <w:sz w:val="21"/>
          <w:szCs w:val="24"/>
          <w:lang w:val="en-US" w:eastAsia="zh-CN" w:bidi="ar-SA"/>
        </w:rPr>
        <w:id w:val="147463057"/>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63"/>
            <w:tabs>
              <w:tab w:val="right" w:leader="dot" w:pos="9207"/>
            </w:tabs>
          </w:pPr>
          <w:r>
            <w:fldChar w:fldCharType="begin"/>
          </w:r>
          <w:r>
            <w:instrText xml:space="preserve">TOC \o "1-1" \h \u </w:instrText>
          </w:r>
          <w:r>
            <w:fldChar w:fldCharType="separate"/>
          </w:r>
          <w:r>
            <w:fldChar w:fldCharType="begin"/>
          </w:r>
          <w:r>
            <w:instrText xml:space="preserve"> HYPERLINK \l _Toc5132 </w:instrText>
          </w:r>
          <w:r>
            <w:fldChar w:fldCharType="separate"/>
          </w:r>
          <w:r>
            <w:rPr>
              <w:rFonts w:hint="eastAsia" w:ascii="宋体" w:hAnsi="宋体" w:cs="宋体"/>
              <w:bCs/>
              <w:szCs w:val="48"/>
              <w:lang w:val="en-US" w:eastAsia="zh-CN"/>
            </w:rPr>
            <w:t>皮山县固玛镇寄宿制第二、第三中学及固玛镇第二小学中华文化共同体主题校园文化建设补助项目-法治校园文化建设项目</w:t>
          </w:r>
          <w:r>
            <w:tab/>
          </w:r>
          <w:r>
            <w:fldChar w:fldCharType="begin"/>
          </w:r>
          <w:r>
            <w:instrText xml:space="preserve"> PAGEREF _Toc5132 \h </w:instrText>
          </w:r>
          <w:r>
            <w:fldChar w:fldCharType="separate"/>
          </w:r>
          <w:r>
            <w:t>1</w:t>
          </w:r>
          <w:r>
            <w:fldChar w:fldCharType="end"/>
          </w:r>
          <w:r>
            <w:fldChar w:fldCharType="end"/>
          </w:r>
        </w:p>
        <w:p>
          <w:pPr>
            <w:pStyle w:val="163"/>
            <w:tabs>
              <w:tab w:val="right" w:leader="dot" w:pos="9207"/>
            </w:tabs>
          </w:pPr>
          <w:r>
            <w:fldChar w:fldCharType="begin"/>
          </w:r>
          <w:r>
            <w:instrText xml:space="preserve"> HYPERLINK \l _Toc15187 </w:instrText>
          </w:r>
          <w:r>
            <w:fldChar w:fldCharType="separate"/>
          </w:r>
          <w:r>
            <w:rPr>
              <w:rFonts w:hint="eastAsia" w:ascii="宋体" w:hAnsi="宋体" w:cs="宋体"/>
              <w:bCs/>
              <w:kern w:val="0"/>
              <w:szCs w:val="32"/>
              <w:lang w:val="zh-CN"/>
            </w:rPr>
            <w:t>项目编号：</w:t>
          </w:r>
          <w:r>
            <w:rPr>
              <w:rFonts w:hint="eastAsia" w:ascii="宋体" w:hAnsi="宋体" w:cs="宋体"/>
              <w:bCs/>
              <w:kern w:val="0"/>
              <w:szCs w:val="32"/>
              <w:lang w:val="zh-CN" w:eastAsia="zh-CN"/>
            </w:rPr>
            <w:t>PSXZC2022-076号</w:t>
          </w:r>
          <w:r>
            <w:tab/>
          </w:r>
          <w:r>
            <w:fldChar w:fldCharType="begin"/>
          </w:r>
          <w:r>
            <w:instrText xml:space="preserve"> PAGEREF _Toc15187 \h </w:instrText>
          </w:r>
          <w:r>
            <w:fldChar w:fldCharType="separate"/>
          </w:r>
          <w:r>
            <w:t>1</w:t>
          </w:r>
          <w:r>
            <w:fldChar w:fldCharType="end"/>
          </w:r>
          <w:r>
            <w:fldChar w:fldCharType="end"/>
          </w:r>
        </w:p>
        <w:p>
          <w:pPr>
            <w:pStyle w:val="163"/>
            <w:tabs>
              <w:tab w:val="right" w:leader="dot" w:pos="9207"/>
            </w:tabs>
          </w:pPr>
          <w:r>
            <w:fldChar w:fldCharType="begin"/>
          </w:r>
          <w:r>
            <w:instrText xml:space="preserve"> HYPERLINK \l _Toc20797 </w:instrText>
          </w:r>
          <w:r>
            <w:fldChar w:fldCharType="separate"/>
          </w:r>
          <w:r>
            <w:rPr>
              <w:rFonts w:hint="eastAsia" w:ascii="宋体" w:hAnsi="宋体" w:cs="宋体"/>
              <w:bCs/>
              <w:kern w:val="0"/>
              <w:szCs w:val="32"/>
              <w:lang w:val="zh-CN"/>
            </w:rPr>
            <w:t>招标代理人：</w:t>
          </w:r>
          <w:r>
            <w:rPr>
              <w:rFonts w:hint="eastAsia" w:ascii="宋体" w:hAnsi="宋体" w:cs="宋体"/>
              <w:bCs/>
              <w:kern w:val="0"/>
              <w:szCs w:val="32"/>
              <w:lang w:eastAsia="zh-CN"/>
            </w:rPr>
            <w:t>华春建设工程项目管理有限责任公司</w:t>
          </w:r>
          <w:r>
            <w:tab/>
          </w:r>
          <w:r>
            <w:fldChar w:fldCharType="begin"/>
          </w:r>
          <w:r>
            <w:instrText xml:space="preserve"> PAGEREF _Toc20797 \h </w:instrText>
          </w:r>
          <w:r>
            <w:fldChar w:fldCharType="separate"/>
          </w:r>
          <w:r>
            <w:t>1</w:t>
          </w:r>
          <w:r>
            <w:fldChar w:fldCharType="end"/>
          </w:r>
          <w:r>
            <w:fldChar w:fldCharType="end"/>
          </w:r>
        </w:p>
        <w:p>
          <w:pPr>
            <w:pStyle w:val="163"/>
            <w:tabs>
              <w:tab w:val="right" w:leader="dot" w:pos="9207"/>
            </w:tabs>
          </w:pPr>
          <w:r>
            <w:fldChar w:fldCharType="begin"/>
          </w:r>
          <w:r>
            <w:instrText xml:space="preserve"> HYPERLINK \l _Toc27697 </w:instrText>
          </w:r>
          <w:r>
            <w:fldChar w:fldCharType="separate"/>
          </w:r>
          <w:r>
            <w:rPr>
              <w:rFonts w:hint="eastAsia" w:ascii="宋体" w:hAnsi="宋体" w:cs="宋体"/>
              <w:bCs/>
              <w:szCs w:val="44"/>
              <w:lang w:val="zh-CN"/>
            </w:rPr>
            <w:t>招标文件</w:t>
          </w:r>
          <w:r>
            <w:tab/>
          </w:r>
          <w:r>
            <w:fldChar w:fldCharType="begin"/>
          </w:r>
          <w:r>
            <w:instrText xml:space="preserve"> PAGEREF _Toc27697 \h </w:instrText>
          </w:r>
          <w:r>
            <w:fldChar w:fldCharType="separate"/>
          </w:r>
          <w:r>
            <w:t>1</w:t>
          </w:r>
          <w:r>
            <w:fldChar w:fldCharType="end"/>
          </w:r>
          <w:r>
            <w:fldChar w:fldCharType="end"/>
          </w:r>
        </w:p>
        <w:p>
          <w:pPr>
            <w:pStyle w:val="163"/>
            <w:tabs>
              <w:tab w:val="right" w:leader="dot" w:pos="9207"/>
            </w:tabs>
          </w:pPr>
          <w:r>
            <w:fldChar w:fldCharType="begin"/>
          </w:r>
          <w:r>
            <w:instrText xml:space="preserve"> HYPERLINK \l _Toc17774 </w:instrText>
          </w:r>
          <w:r>
            <w:fldChar w:fldCharType="separate"/>
          </w:r>
          <w:r>
            <w:rPr>
              <w:rFonts w:hint="eastAsia" w:ascii="宋体" w:hAnsi="宋体"/>
              <w:szCs w:val="28"/>
            </w:rPr>
            <w:t>第一章招标公告</w:t>
          </w:r>
          <w:r>
            <w:tab/>
          </w:r>
          <w:r>
            <w:fldChar w:fldCharType="begin"/>
          </w:r>
          <w:r>
            <w:instrText xml:space="preserve"> PAGEREF _Toc17774 \h </w:instrText>
          </w:r>
          <w:r>
            <w:fldChar w:fldCharType="separate"/>
          </w:r>
          <w:r>
            <w:t>1</w:t>
          </w:r>
          <w:r>
            <w:fldChar w:fldCharType="end"/>
          </w:r>
          <w:r>
            <w:fldChar w:fldCharType="end"/>
          </w:r>
        </w:p>
        <w:p>
          <w:pPr>
            <w:pStyle w:val="163"/>
            <w:tabs>
              <w:tab w:val="right" w:leader="dot" w:pos="9207"/>
            </w:tabs>
          </w:pPr>
          <w:r>
            <w:fldChar w:fldCharType="begin"/>
          </w:r>
          <w:r>
            <w:instrText xml:space="preserve"> HYPERLINK \l _Toc15068 </w:instrText>
          </w:r>
          <w:r>
            <w:fldChar w:fldCharType="separate"/>
          </w:r>
          <w:r>
            <w:rPr>
              <w:rFonts w:hint="eastAsia" w:ascii="仿宋" w:hAnsi="仿宋" w:eastAsia="仿宋" w:cs="仿宋"/>
              <w:i w:val="0"/>
              <w:iCs w:val="0"/>
              <w:caps w:val="0"/>
              <w:spacing w:val="0"/>
              <w:szCs w:val="24"/>
              <w:lang w:val="en-US" w:eastAsia="zh-CN"/>
            </w:rPr>
            <w:t>资金来源：安徽省对口援疆规划项目资金</w:t>
          </w:r>
          <w:r>
            <w:tab/>
          </w:r>
          <w:r>
            <w:fldChar w:fldCharType="begin"/>
          </w:r>
          <w:r>
            <w:instrText xml:space="preserve"> PAGEREF _Toc15068 \h </w:instrText>
          </w:r>
          <w:r>
            <w:fldChar w:fldCharType="separate"/>
          </w:r>
          <w:r>
            <w:t>2</w:t>
          </w:r>
          <w:r>
            <w:fldChar w:fldCharType="end"/>
          </w:r>
          <w:r>
            <w:fldChar w:fldCharType="end"/>
          </w:r>
        </w:p>
        <w:p>
          <w:pPr>
            <w:pStyle w:val="163"/>
            <w:tabs>
              <w:tab w:val="right" w:leader="dot" w:pos="9207"/>
            </w:tabs>
          </w:pPr>
          <w:r>
            <w:fldChar w:fldCharType="begin"/>
          </w:r>
          <w:r>
            <w:instrText xml:space="preserve"> HYPERLINK \l _Toc16152 </w:instrText>
          </w:r>
          <w:r>
            <w:fldChar w:fldCharType="separate"/>
          </w:r>
          <w:r>
            <w:rPr>
              <w:rFonts w:hint="eastAsia" w:ascii="宋体" w:hAnsi="宋体"/>
              <w:szCs w:val="28"/>
            </w:rPr>
            <w:t>第二章  投标人须知</w:t>
          </w:r>
          <w:r>
            <w:tab/>
          </w:r>
          <w:r>
            <w:fldChar w:fldCharType="begin"/>
          </w:r>
          <w:r>
            <w:instrText xml:space="preserve"> PAGEREF _Toc16152 \h </w:instrText>
          </w:r>
          <w:r>
            <w:fldChar w:fldCharType="separate"/>
          </w:r>
          <w:r>
            <w:t>5</w:t>
          </w:r>
          <w:r>
            <w:fldChar w:fldCharType="end"/>
          </w:r>
          <w:r>
            <w:fldChar w:fldCharType="end"/>
          </w:r>
        </w:p>
        <w:p>
          <w:pPr>
            <w:pStyle w:val="163"/>
            <w:tabs>
              <w:tab w:val="right" w:leader="dot" w:pos="9207"/>
            </w:tabs>
          </w:pPr>
          <w:r>
            <w:fldChar w:fldCharType="begin"/>
          </w:r>
          <w:r>
            <w:instrText xml:space="preserve"> HYPERLINK \l _Toc23291 </w:instrText>
          </w:r>
          <w:r>
            <w:fldChar w:fldCharType="separate"/>
          </w:r>
          <w:r>
            <w:rPr>
              <w:rFonts w:hint="eastAsia" w:ascii="宋体" w:hAnsi="宋体" w:cs="Times New Roman"/>
              <w:kern w:val="2"/>
              <w:szCs w:val="28"/>
              <w:lang w:val="en-US" w:eastAsia="zh-CN" w:bidi="ar-SA"/>
            </w:rPr>
            <w:t xml:space="preserve">第三章 </w:t>
          </w:r>
          <w:r>
            <w:rPr>
              <w:rFonts w:hint="eastAsia" w:ascii="宋体" w:hAnsi="宋体" w:eastAsia="宋体" w:cs="Times New Roman"/>
              <w:kern w:val="2"/>
              <w:szCs w:val="28"/>
              <w:lang w:val="en-US" w:eastAsia="zh-CN" w:bidi="ar-SA"/>
            </w:rPr>
            <w:t>评标办法及标准</w:t>
          </w:r>
          <w:r>
            <w:tab/>
          </w:r>
          <w:r>
            <w:fldChar w:fldCharType="begin"/>
          </w:r>
          <w:r>
            <w:instrText xml:space="preserve"> PAGEREF _Toc23291 \h </w:instrText>
          </w:r>
          <w:r>
            <w:fldChar w:fldCharType="separate"/>
          </w:r>
          <w:r>
            <w:t>17</w:t>
          </w:r>
          <w:r>
            <w:fldChar w:fldCharType="end"/>
          </w:r>
          <w:r>
            <w:fldChar w:fldCharType="end"/>
          </w:r>
        </w:p>
        <w:p>
          <w:pPr>
            <w:pStyle w:val="163"/>
            <w:tabs>
              <w:tab w:val="right" w:leader="dot" w:pos="9207"/>
            </w:tabs>
          </w:pPr>
          <w:r>
            <w:fldChar w:fldCharType="begin"/>
          </w:r>
          <w:r>
            <w:instrText xml:space="preserve"> HYPERLINK \l _Toc11692 </w:instrText>
          </w:r>
          <w:r>
            <w:fldChar w:fldCharType="separate"/>
          </w:r>
          <w:r>
            <w:rPr>
              <w:rFonts w:hint="eastAsia" w:ascii="宋体" w:hAnsi="宋体" w:eastAsia="宋体" w:cs="Times New Roman"/>
              <w:kern w:val="2"/>
              <w:szCs w:val="28"/>
              <w:lang w:val="en-US" w:eastAsia="zh-CN" w:bidi="ar-SA"/>
            </w:rPr>
            <w:t xml:space="preserve">第四章 </w:t>
          </w:r>
          <w:r>
            <w:rPr>
              <w:rFonts w:hint="eastAsia" w:ascii="宋体" w:hAnsi="宋体" w:cs="Times New Roman"/>
              <w:kern w:val="2"/>
              <w:szCs w:val="28"/>
              <w:lang w:val="en-US" w:eastAsia="zh-CN" w:bidi="ar-SA"/>
            </w:rPr>
            <w:t>采购清单</w:t>
          </w:r>
          <w:r>
            <w:tab/>
          </w:r>
          <w:r>
            <w:fldChar w:fldCharType="begin"/>
          </w:r>
          <w:r>
            <w:instrText xml:space="preserve"> PAGEREF _Toc11692 \h </w:instrText>
          </w:r>
          <w:r>
            <w:fldChar w:fldCharType="separate"/>
          </w:r>
          <w:r>
            <w:t>19</w:t>
          </w:r>
          <w:r>
            <w:fldChar w:fldCharType="end"/>
          </w:r>
          <w:r>
            <w:fldChar w:fldCharType="end"/>
          </w:r>
        </w:p>
        <w:p>
          <w:pPr>
            <w:pStyle w:val="163"/>
            <w:tabs>
              <w:tab w:val="right" w:leader="dot" w:pos="9207"/>
            </w:tabs>
          </w:pPr>
          <w:r>
            <w:fldChar w:fldCharType="begin"/>
          </w:r>
          <w:r>
            <w:instrText xml:space="preserve"> HYPERLINK \l _Toc2874 </w:instrText>
          </w:r>
          <w:r>
            <w:fldChar w:fldCharType="separate"/>
          </w:r>
          <w:r>
            <w:rPr>
              <w:rFonts w:hint="eastAsia" w:ascii="宋体" w:hAnsi="宋体" w:eastAsia="宋体" w:cs="Times New Roman"/>
              <w:kern w:val="2"/>
              <w:szCs w:val="28"/>
              <w:lang w:val="en-US" w:eastAsia="zh-CN" w:bidi="ar-SA"/>
            </w:rPr>
            <w:t>第五章  合同主要条款</w:t>
          </w:r>
          <w:r>
            <w:tab/>
          </w:r>
          <w:r>
            <w:fldChar w:fldCharType="begin"/>
          </w:r>
          <w:r>
            <w:instrText xml:space="preserve"> PAGEREF _Toc2874 \h </w:instrText>
          </w:r>
          <w:r>
            <w:fldChar w:fldCharType="separate"/>
          </w:r>
          <w:r>
            <w:t>40</w:t>
          </w:r>
          <w:r>
            <w:fldChar w:fldCharType="end"/>
          </w:r>
          <w:r>
            <w:fldChar w:fldCharType="end"/>
          </w:r>
        </w:p>
        <w:p>
          <w:pPr>
            <w:pStyle w:val="163"/>
            <w:tabs>
              <w:tab w:val="right" w:leader="dot" w:pos="9207"/>
            </w:tabs>
          </w:pPr>
          <w:r>
            <w:fldChar w:fldCharType="begin"/>
          </w:r>
          <w:r>
            <w:instrText xml:space="preserve"> HYPERLINK \l _Toc6125 </w:instrText>
          </w:r>
          <w:r>
            <w:fldChar w:fldCharType="separate"/>
          </w:r>
          <w:r>
            <w:rPr>
              <w:rFonts w:hint="eastAsia" w:ascii="宋体" w:hAnsi="宋体" w:eastAsia="宋体" w:cs="Times New Roman"/>
              <w:kern w:val="2"/>
              <w:szCs w:val="28"/>
              <w:lang w:val="en-US" w:eastAsia="zh-CN" w:bidi="ar-SA"/>
            </w:rPr>
            <w:t>第六章　投标文件格式</w:t>
          </w:r>
          <w:r>
            <w:tab/>
          </w:r>
          <w:r>
            <w:fldChar w:fldCharType="begin"/>
          </w:r>
          <w:r>
            <w:instrText xml:space="preserve"> PAGEREF _Toc6125 \h </w:instrText>
          </w:r>
          <w:r>
            <w:fldChar w:fldCharType="separate"/>
          </w:r>
          <w:r>
            <w:t>50</w:t>
          </w:r>
          <w:r>
            <w:fldChar w:fldCharType="end"/>
          </w:r>
          <w:r>
            <w:fldChar w:fldCharType="end"/>
          </w:r>
        </w:p>
        <w:p>
          <w:pPr>
            <w:pStyle w:val="163"/>
            <w:tabs>
              <w:tab w:val="right" w:leader="dot" w:pos="9207"/>
            </w:tabs>
          </w:pPr>
          <w:r>
            <w:fldChar w:fldCharType="begin"/>
          </w:r>
          <w:r>
            <w:instrText xml:space="preserve"> HYPERLINK \l _Toc9354 </w:instrText>
          </w:r>
          <w:r>
            <w:fldChar w:fldCharType="separate"/>
          </w:r>
          <w:r>
            <w:rPr>
              <w:rFonts w:hint="eastAsia" w:ascii="宋体" w:hAnsi="宋体" w:cs="宋体"/>
              <w:lang w:val="zh-CN"/>
            </w:rPr>
            <w:t>日期：      年    月    日</w:t>
          </w:r>
          <w:r>
            <w:tab/>
          </w:r>
          <w:r>
            <w:fldChar w:fldCharType="begin"/>
          </w:r>
          <w:r>
            <w:instrText xml:space="preserve"> PAGEREF _Toc9354 \h </w:instrText>
          </w:r>
          <w:r>
            <w:fldChar w:fldCharType="separate"/>
          </w:r>
          <w:r>
            <w:t>61</w:t>
          </w:r>
          <w:r>
            <w:fldChar w:fldCharType="end"/>
          </w:r>
          <w:r>
            <w:fldChar w:fldCharType="end"/>
          </w:r>
        </w:p>
        <w:p>
          <w:pPr>
            <w:pStyle w:val="163"/>
            <w:tabs>
              <w:tab w:val="right" w:leader="dot" w:pos="9207"/>
            </w:tabs>
          </w:pPr>
          <w:r>
            <w:fldChar w:fldCharType="begin"/>
          </w:r>
          <w:r>
            <w:instrText xml:space="preserve"> HYPERLINK \l _Toc18677 </w:instrText>
          </w:r>
          <w:r>
            <w:fldChar w:fldCharType="separate"/>
          </w:r>
          <w:r>
            <w:rPr>
              <w:rFonts w:hint="eastAsia" w:ascii="宋体" w:hAnsi="宋体" w:eastAsia="宋体" w:cs="宋体"/>
              <w:bCs w:val="0"/>
              <w:kern w:val="2"/>
              <w:szCs w:val="24"/>
              <w:lang w:val="en-US" w:eastAsia="zh-CN" w:bidi="ar-SA"/>
            </w:rPr>
            <w:t>附件二十</w:t>
          </w:r>
          <w:r>
            <w:rPr>
              <w:rFonts w:hint="eastAsia" w:ascii="宋体" w:hAnsi="宋体" w:cs="宋体"/>
              <w:bCs w:val="0"/>
              <w:kern w:val="2"/>
              <w:szCs w:val="24"/>
              <w:lang w:val="en-US" w:eastAsia="zh-CN" w:bidi="ar-SA"/>
            </w:rPr>
            <w:t>三</w:t>
          </w:r>
          <w:r>
            <w:tab/>
          </w:r>
          <w:r>
            <w:fldChar w:fldCharType="begin"/>
          </w:r>
          <w:r>
            <w:instrText xml:space="preserve"> PAGEREF _Toc18677 \h </w:instrText>
          </w:r>
          <w:r>
            <w:fldChar w:fldCharType="separate"/>
          </w:r>
          <w:r>
            <w:t>77</w:t>
          </w:r>
          <w:r>
            <w:fldChar w:fldCharType="end"/>
          </w:r>
          <w:r>
            <w:fldChar w:fldCharType="end"/>
          </w:r>
        </w:p>
        <w:p>
          <w:pPr>
            <w:pStyle w:val="163"/>
            <w:tabs>
              <w:tab w:val="right" w:leader="dot" w:pos="9207"/>
            </w:tabs>
          </w:pPr>
          <w:r>
            <w:fldChar w:fldCharType="begin"/>
          </w:r>
          <w:r>
            <w:instrText xml:space="preserve"> HYPERLINK \l _Toc29985 </w:instrText>
          </w:r>
          <w:r>
            <w:fldChar w:fldCharType="separate"/>
          </w:r>
          <w:r>
            <w:rPr>
              <w:rFonts w:hint="eastAsia" w:ascii="宋体" w:hAnsi="宋体"/>
              <w:szCs w:val="30"/>
            </w:rPr>
            <w:t>其他有利于投标人的资料（如有）</w:t>
          </w:r>
          <w:r>
            <w:tab/>
          </w:r>
          <w:r>
            <w:fldChar w:fldCharType="begin"/>
          </w:r>
          <w:r>
            <w:instrText xml:space="preserve"> PAGEREF _Toc29985 \h </w:instrText>
          </w:r>
          <w:r>
            <w:fldChar w:fldCharType="separate"/>
          </w:r>
          <w:r>
            <w:t>77</w:t>
          </w:r>
          <w:r>
            <w:fldChar w:fldCharType="end"/>
          </w:r>
          <w:r>
            <w:fldChar w:fldCharType="end"/>
          </w:r>
        </w:p>
        <w:p>
          <w:r>
            <w:fldChar w:fldCharType="end"/>
          </w:r>
        </w:p>
      </w:sdtContent>
    </w:sdt>
    <w:p>
      <w:pPr>
        <w:ind w:left="0" w:firstLine="0" w:firstLineChars="0"/>
        <w:jc w:val="center"/>
        <w:outlineLvl w:val="0"/>
        <w:rPr>
          <w:rFonts w:hint="eastAsia" w:ascii="宋体" w:hAnsi="宋体"/>
          <w:b/>
          <w:sz w:val="28"/>
          <w:szCs w:val="28"/>
        </w:rPr>
      </w:pPr>
      <w:bookmarkStart w:id="16" w:name="_Toc17774"/>
    </w:p>
    <w:p>
      <w:pPr>
        <w:ind w:left="0" w:firstLine="0" w:firstLineChars="0"/>
        <w:jc w:val="center"/>
        <w:outlineLvl w:val="0"/>
        <w:rPr>
          <w:rFonts w:hint="eastAsia" w:ascii="宋体" w:hAnsi="宋体"/>
          <w:b/>
          <w:sz w:val="28"/>
          <w:szCs w:val="28"/>
        </w:rPr>
      </w:pPr>
    </w:p>
    <w:p>
      <w:pPr>
        <w:ind w:left="0" w:firstLine="0" w:firstLineChars="0"/>
        <w:jc w:val="center"/>
        <w:outlineLvl w:val="0"/>
        <w:rPr>
          <w:rFonts w:hint="eastAsia" w:ascii="宋体" w:hAnsi="宋体"/>
          <w:b/>
          <w:sz w:val="28"/>
          <w:szCs w:val="28"/>
        </w:rPr>
      </w:pPr>
    </w:p>
    <w:p>
      <w:pPr>
        <w:ind w:left="0" w:firstLine="0" w:firstLineChars="0"/>
        <w:jc w:val="center"/>
        <w:outlineLvl w:val="0"/>
        <w:rPr>
          <w:rFonts w:hint="eastAsia" w:ascii="宋体" w:hAnsi="宋体"/>
          <w:b/>
          <w:sz w:val="28"/>
          <w:szCs w:val="28"/>
        </w:rPr>
      </w:pPr>
    </w:p>
    <w:p>
      <w:pPr>
        <w:pStyle w:val="2"/>
        <w:rPr>
          <w:rFonts w:hint="eastAsia" w:ascii="宋体" w:hAnsi="宋体"/>
          <w:b/>
          <w:sz w:val="28"/>
          <w:szCs w:val="28"/>
        </w:rPr>
      </w:pPr>
    </w:p>
    <w:p>
      <w:pPr>
        <w:rPr>
          <w:rFonts w:hint="eastAsia" w:ascii="宋体" w:hAnsi="宋体"/>
          <w:b/>
          <w:sz w:val="28"/>
          <w:szCs w:val="28"/>
        </w:rPr>
      </w:pPr>
    </w:p>
    <w:p>
      <w:pPr>
        <w:pStyle w:val="2"/>
        <w:rPr>
          <w:rFonts w:hint="eastAsia" w:ascii="宋体" w:hAnsi="宋体"/>
          <w:b/>
          <w:sz w:val="28"/>
          <w:szCs w:val="28"/>
        </w:rPr>
      </w:pPr>
    </w:p>
    <w:p>
      <w:pPr>
        <w:rPr>
          <w:rFonts w:hint="eastAsia" w:ascii="宋体" w:hAnsi="宋体"/>
          <w:b/>
          <w:sz w:val="28"/>
          <w:szCs w:val="28"/>
        </w:rPr>
      </w:pPr>
    </w:p>
    <w:p>
      <w:pPr>
        <w:pStyle w:val="2"/>
        <w:rPr>
          <w:rFonts w:hint="eastAsia" w:ascii="宋体" w:hAnsi="宋体"/>
          <w:b/>
          <w:sz w:val="28"/>
          <w:szCs w:val="28"/>
        </w:rPr>
      </w:pPr>
    </w:p>
    <w:p>
      <w:pPr>
        <w:rPr>
          <w:rFonts w:hint="eastAsia" w:ascii="宋体" w:hAnsi="宋体"/>
          <w:b/>
          <w:sz w:val="28"/>
          <w:szCs w:val="28"/>
        </w:rPr>
      </w:pPr>
    </w:p>
    <w:p>
      <w:pPr>
        <w:pStyle w:val="2"/>
        <w:rPr>
          <w:rFonts w:hint="eastAsia"/>
        </w:rPr>
      </w:pPr>
    </w:p>
    <w:p>
      <w:pPr>
        <w:ind w:left="0" w:firstLine="0" w:firstLineChars="0"/>
        <w:jc w:val="center"/>
        <w:outlineLvl w:val="0"/>
        <w:rPr>
          <w:rFonts w:hint="default" w:ascii="宋体" w:hAnsi="宋体" w:eastAsia="宋体" w:cs="宋体"/>
          <w:b w:val="0"/>
          <w:bCs w:val="0"/>
          <w:color w:val="auto"/>
          <w:sz w:val="20"/>
          <w:szCs w:val="20"/>
          <w:highlight w:val="none"/>
          <w:lang w:val="en-US" w:eastAsia="zh-CN"/>
        </w:rPr>
      </w:pPr>
      <w:r>
        <w:rPr>
          <w:rFonts w:hint="eastAsia" w:ascii="宋体" w:hAnsi="宋体"/>
          <w:b/>
          <w:sz w:val="28"/>
          <w:szCs w:val="28"/>
        </w:rPr>
        <w:t>第一章招标公告</w:t>
      </w:r>
      <w:bookmarkEnd w:id="16"/>
      <w:r>
        <w:rPr>
          <w:rFonts w:hint="eastAsia" w:ascii="宋体" w:hAnsi="宋体"/>
          <w:b/>
          <w:sz w:val="28"/>
          <w:szCs w:val="28"/>
          <w:lang w:val="en-US" w:eastAsia="zh-CN"/>
        </w:rPr>
        <w:t xml:space="preserve">  </w:t>
      </w:r>
      <w:r>
        <w:rPr>
          <w:rFonts w:hint="eastAsia" w:ascii="宋体" w:hAnsi="宋体" w:cs="宋体"/>
          <w:b w:val="0"/>
          <w:bCs w:val="0"/>
          <w:color w:val="auto"/>
          <w:sz w:val="18"/>
          <w:szCs w:val="18"/>
          <w:highlight w:val="none"/>
          <w:lang w:val="en-US" w:eastAsia="zh-CN"/>
        </w:rPr>
        <w:t xml:space="preserve">                                                             </w:t>
      </w:r>
    </w:p>
    <w:p>
      <w:pPr>
        <w:keepLines w:val="0"/>
        <w:pageBreakBefore w:val="0"/>
        <w:widowControl w:val="0"/>
        <w:kinsoku/>
        <w:wordWrap/>
        <w:overflowPunct/>
        <w:topLinePunct w:val="0"/>
        <w:autoSpaceDE/>
        <w:autoSpaceDN/>
        <w:bidi w:val="0"/>
        <w:adjustRightInd/>
        <w:snapToGrid/>
        <w:spacing w:line="520" w:lineRule="exact"/>
        <w:jc w:val="center"/>
        <w:textAlignment w:val="auto"/>
      </w:pPr>
      <w:r>
        <w:rPr>
          <w:rFonts w:hint="eastAsia" w:ascii="宋体" w:hAnsi="宋体" w:cs="宋体"/>
          <w:b/>
          <w:bCs/>
          <w:sz w:val="36"/>
          <w:szCs w:val="36"/>
          <w:lang w:val="en-US" w:eastAsia="zh-CN"/>
        </w:rPr>
        <w:t>皮山县固玛镇寄宿制第二、第三中学及固玛镇第二小学中华文化共同体主题校园文化建设补助项目-法治校园文化建设项目——公开招标公告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240" w:lineRule="auto"/>
        <w:ind w:left="0" w:leftChars="0" w:firstLine="0" w:firstLineChars="0"/>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240" w:lineRule="auto"/>
        <w:ind w:left="0" w:leftChars="0" w:firstLine="480" w:firstLineChars="200"/>
        <w:textAlignment w:val="auto"/>
        <w:rPr>
          <w:rFonts w:ascii="黑体" w:hAnsi="宋体" w:eastAsia="黑体" w:cs="黑体"/>
          <w:i w:val="0"/>
          <w:iCs w:val="0"/>
          <w:caps w:val="0"/>
          <w:color w:val="000000"/>
          <w:spacing w:val="0"/>
          <w:sz w:val="27"/>
          <w:szCs w:val="27"/>
        </w:rPr>
      </w:pPr>
      <w:r>
        <w:rPr>
          <w:rFonts w:hint="eastAsia" w:ascii="仿宋" w:hAnsi="仿宋" w:eastAsia="仿宋" w:cs="仿宋"/>
          <w:i w:val="0"/>
          <w:iCs w:val="0"/>
          <w:caps w:val="0"/>
          <w:color w:val="000000"/>
          <w:spacing w:val="0"/>
          <w:kern w:val="0"/>
          <w:sz w:val="24"/>
          <w:szCs w:val="24"/>
          <w:lang w:val="en-US" w:eastAsia="zh-CN" w:bidi="ar"/>
        </w:rPr>
        <w:t xml:space="preserve"> </w:t>
      </w:r>
      <w:r>
        <w:rPr>
          <w:rFonts w:hint="eastAsia" w:ascii="仿宋" w:hAnsi="仿宋" w:eastAsia="仿宋" w:cs="仿宋"/>
          <w:i w:val="0"/>
          <w:iCs w:val="0"/>
          <w:caps w:val="0"/>
          <w:color w:val="000000"/>
          <w:spacing w:val="0"/>
          <w:kern w:val="0"/>
          <w:sz w:val="24"/>
          <w:szCs w:val="24"/>
          <w:u w:val="single"/>
          <w:lang w:val="en-US" w:eastAsia="zh-CN" w:bidi="ar"/>
        </w:rPr>
        <w:t>皮山县固玛镇寄宿制第二、第三中学及固玛镇第二小学中华文化共同体主题校园文化建设补助项目-法治校园文化建设项目</w:t>
      </w:r>
      <w:r>
        <w:rPr>
          <w:rFonts w:hint="eastAsia" w:ascii="仿宋" w:hAnsi="仿宋" w:eastAsia="仿宋" w:cs="仿宋"/>
          <w:i w:val="0"/>
          <w:iCs w:val="0"/>
          <w:caps w:val="0"/>
          <w:color w:val="000000"/>
          <w:spacing w:val="0"/>
          <w:kern w:val="0"/>
          <w:sz w:val="24"/>
          <w:szCs w:val="24"/>
          <w:u w:val="none"/>
          <w:lang w:val="en-US" w:eastAsia="zh-CN" w:bidi="ar"/>
        </w:rPr>
        <w:t>的潜在供应商应在新疆政府采购平台https://www.zcygov.cn/查阅本项目公告并线上获取磋商文件，并于2023年1月13日11：00分（北京时间）前提交响应文件</w:t>
      </w:r>
      <w:r>
        <w:rPr>
          <w:rFonts w:hint="eastAsia" w:ascii="仿宋" w:hAnsi="仿宋" w:eastAsia="仿宋" w:cs="仿宋"/>
          <w:i w:val="0"/>
          <w:iCs w:val="0"/>
          <w:caps w:val="0"/>
          <w:color w:val="000000"/>
          <w:spacing w:val="0"/>
          <w:kern w:val="0"/>
          <w:sz w:val="24"/>
          <w:szCs w:val="24"/>
          <w:lang w:val="en-US" w:eastAsia="zh-CN" w:bidi="ar"/>
        </w:rPr>
        <w:t>。</w:t>
      </w:r>
    </w:p>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outlineLvl w:val="9"/>
        <w:rPr>
          <w:rFonts w:hint="eastAsia" w:asciiTheme="minorEastAsia" w:hAnsiTheme="minorEastAsia" w:eastAsiaTheme="minorEastAsia" w:cstheme="minorEastAsia"/>
          <w:b w:val="0"/>
          <w:bCs w:val="0"/>
          <w:i w:val="0"/>
          <w:iCs w:val="0"/>
          <w:kern w:val="2"/>
          <w:sz w:val="24"/>
          <w:szCs w:val="24"/>
          <w:lang w:val="en-US" w:eastAsia="zh-CN" w:bidi="ar-SA"/>
        </w:rPr>
      </w:pPr>
    </w:p>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rPr>
          <w:rStyle w:val="72"/>
          <w:rFonts w:ascii="黑体" w:hAnsi="宋体" w:eastAsia="黑体" w:cs="黑体"/>
          <w:b/>
          <w:i w:val="0"/>
          <w:iCs w:val="0"/>
          <w:caps w:val="0"/>
          <w:color w:val="000000"/>
          <w:spacing w:val="0"/>
          <w:sz w:val="27"/>
          <w:szCs w:val="27"/>
        </w:rPr>
      </w:pPr>
      <w:bookmarkStart w:id="17" w:name="_Toc30392"/>
      <w:bookmarkStart w:id="18" w:name="_Toc27595"/>
      <w:bookmarkStart w:id="19" w:name="_Toc24430"/>
      <w:r>
        <w:rPr>
          <w:rFonts w:hint="eastAsia" w:ascii="仿宋" w:hAnsi="仿宋" w:eastAsia="仿宋" w:cs="仿宋"/>
          <w:b/>
          <w:bCs/>
          <w:i w:val="0"/>
          <w:iCs w:val="0"/>
          <w:caps w:val="0"/>
          <w:color w:val="000000"/>
          <w:spacing w:val="0"/>
          <w:kern w:val="0"/>
          <w:sz w:val="24"/>
          <w:szCs w:val="24"/>
          <w:lang w:val="en-US" w:eastAsia="zh-CN" w:bidi="ar"/>
        </w:rPr>
        <w:t>一、项目基本情况</w:t>
      </w:r>
      <w:bookmarkEnd w:id="17"/>
      <w:bookmarkEnd w:id="18"/>
      <w:bookmarkEnd w:id="19"/>
    </w:p>
    <w:p>
      <w:pPr>
        <w:pStyle w:val="64"/>
        <w:keepNext w:val="0"/>
        <w:keepLines w:val="0"/>
        <w:widowControl/>
        <w:suppressLineNumbers w:val="0"/>
        <w:spacing w:before="75" w:beforeAutospacing="0" w:after="75" w:afterAutospacing="0" w:line="240" w:lineRule="auto"/>
        <w:ind w:left="0" w:right="0" w:firstLine="0"/>
        <w:rPr>
          <w:rFonts w:hint="eastAsia" w:ascii="仿宋" w:hAnsi="仿宋" w:eastAsia="仿宋" w:cs="仿宋"/>
          <w:i w:val="0"/>
          <w:iCs w:val="0"/>
          <w:caps w:val="0"/>
          <w:color w:val="000000"/>
          <w:spacing w:val="0"/>
          <w:sz w:val="24"/>
          <w:szCs w:val="24"/>
          <w:lang w:val="en-US"/>
        </w:rPr>
      </w:pPr>
      <w:r>
        <w:rPr>
          <w:rFonts w:hint="eastAsia" w:ascii="仿宋" w:hAnsi="仿宋" w:eastAsia="仿宋" w:cs="仿宋"/>
          <w:i w:val="0"/>
          <w:iCs w:val="0"/>
          <w:caps w:val="0"/>
          <w:color w:val="000000"/>
          <w:spacing w:val="0"/>
          <w:sz w:val="24"/>
          <w:szCs w:val="24"/>
        </w:rPr>
        <w:t>项目编号：</w:t>
      </w:r>
      <w:r>
        <w:rPr>
          <w:rFonts w:hint="eastAsia" w:ascii="仿宋" w:hAnsi="仿宋" w:eastAsia="仿宋" w:cs="仿宋"/>
          <w:i w:val="0"/>
          <w:iCs w:val="0"/>
          <w:caps w:val="0"/>
          <w:color w:val="000000"/>
          <w:spacing w:val="0"/>
          <w:sz w:val="24"/>
          <w:szCs w:val="24"/>
          <w:lang w:val="en-US" w:eastAsia="zh-CN"/>
        </w:rPr>
        <w:t>PSXZC2022-076号</w:t>
      </w:r>
    </w:p>
    <w:p>
      <w:pPr>
        <w:pStyle w:val="64"/>
        <w:keepNext w:val="0"/>
        <w:keepLines w:val="0"/>
        <w:widowControl/>
        <w:suppressLineNumbers w:val="0"/>
        <w:spacing w:before="75" w:beforeAutospacing="0" w:after="75" w:afterAutospacing="0" w:line="240" w:lineRule="auto"/>
        <w:ind w:left="0" w:right="0" w:firstLine="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项目名称：</w:t>
      </w:r>
      <w:r>
        <w:rPr>
          <w:rFonts w:hint="eastAsia" w:ascii="仿宋" w:hAnsi="仿宋" w:eastAsia="仿宋" w:cs="仿宋"/>
          <w:i w:val="0"/>
          <w:iCs w:val="0"/>
          <w:caps w:val="0"/>
          <w:color w:val="000000"/>
          <w:spacing w:val="0"/>
          <w:sz w:val="24"/>
          <w:szCs w:val="24"/>
          <w:lang w:val="en-US" w:eastAsia="zh-CN"/>
        </w:rPr>
        <w:t>皮山县固玛镇寄宿制第二、第三中学及固玛镇第二小学中华文化共同体主题校园文化建设补助项目-法治校园文化建设项目</w:t>
      </w:r>
    </w:p>
    <w:p>
      <w:pPr>
        <w:pStyle w:val="64"/>
        <w:keepNext w:val="0"/>
        <w:keepLines w:val="0"/>
        <w:widowControl/>
        <w:suppressLineNumbers w:val="0"/>
        <w:spacing w:before="75" w:beforeAutospacing="0" w:after="75" w:afterAutospacing="0" w:line="240" w:lineRule="auto"/>
        <w:ind w:left="0" w:right="0" w:firstLine="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采购方式：</w:t>
      </w:r>
      <w:r>
        <w:rPr>
          <w:rFonts w:hint="eastAsia" w:ascii="仿宋" w:hAnsi="仿宋" w:eastAsia="仿宋" w:cs="仿宋"/>
          <w:i w:val="0"/>
          <w:iCs w:val="0"/>
          <w:caps w:val="0"/>
          <w:color w:val="000000"/>
          <w:spacing w:val="0"/>
          <w:sz w:val="24"/>
          <w:szCs w:val="24"/>
          <w:lang w:val="en-US" w:eastAsia="zh-CN"/>
        </w:rPr>
        <w:t>公开招标</w:t>
      </w:r>
    </w:p>
    <w:p>
      <w:pPr>
        <w:pStyle w:val="64"/>
        <w:keepNext w:val="0"/>
        <w:keepLines w:val="0"/>
        <w:widowControl/>
        <w:suppressLineNumbers w:val="0"/>
        <w:spacing w:before="75" w:beforeAutospacing="0" w:after="75" w:afterAutospacing="0" w:line="240" w:lineRule="auto"/>
        <w:ind w:left="0" w:right="0" w:firstLine="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预算金额：</w:t>
      </w:r>
      <w:r>
        <w:rPr>
          <w:rFonts w:hint="eastAsia" w:ascii="仿宋" w:hAnsi="仿宋" w:eastAsia="仿宋" w:cs="仿宋"/>
          <w:i w:val="0"/>
          <w:iCs w:val="0"/>
          <w:caps w:val="0"/>
          <w:color w:val="000000"/>
          <w:spacing w:val="0"/>
          <w:sz w:val="24"/>
          <w:szCs w:val="24"/>
          <w:lang w:val="en-US" w:eastAsia="zh-CN"/>
        </w:rPr>
        <w:t>550.581491万元</w:t>
      </w:r>
    </w:p>
    <w:p>
      <w:pPr>
        <w:pStyle w:val="64"/>
        <w:keepNext w:val="0"/>
        <w:keepLines w:val="0"/>
        <w:widowControl/>
        <w:suppressLineNumbers w:val="0"/>
        <w:spacing w:before="75" w:beforeAutospacing="0" w:after="75" w:afterAutospacing="0" w:line="240" w:lineRule="auto"/>
        <w:ind w:left="0" w:right="0" w:firstLine="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最高限价：</w:t>
      </w:r>
      <w:r>
        <w:rPr>
          <w:rFonts w:hint="eastAsia" w:ascii="仿宋" w:hAnsi="仿宋" w:eastAsia="仿宋" w:cs="仿宋"/>
          <w:i w:val="0"/>
          <w:iCs w:val="0"/>
          <w:caps w:val="0"/>
          <w:color w:val="000000"/>
          <w:spacing w:val="0"/>
          <w:sz w:val="24"/>
          <w:szCs w:val="24"/>
          <w:lang w:val="en-US" w:eastAsia="zh-CN"/>
        </w:rPr>
        <w:t>550.581491万元</w:t>
      </w:r>
    </w:p>
    <w:p>
      <w:pPr>
        <w:pStyle w:val="64"/>
        <w:keepNext w:val="0"/>
        <w:keepLines w:val="0"/>
        <w:widowControl/>
        <w:suppressLineNumbers w:val="0"/>
        <w:spacing w:before="75" w:beforeAutospacing="0" w:after="75" w:afterAutospacing="0" w:line="240" w:lineRule="auto"/>
        <w:ind w:left="0" w:right="0" w:firstLine="0"/>
        <w:outlineLvl w:val="0"/>
        <w:rPr>
          <w:rFonts w:hint="default" w:ascii="仿宋" w:hAnsi="仿宋" w:eastAsia="仿宋" w:cs="仿宋"/>
          <w:i w:val="0"/>
          <w:iCs w:val="0"/>
          <w:caps w:val="0"/>
          <w:color w:val="000000"/>
          <w:spacing w:val="0"/>
          <w:sz w:val="24"/>
          <w:szCs w:val="24"/>
          <w:lang w:val="en-US" w:eastAsia="zh-CN"/>
        </w:rPr>
      </w:pPr>
      <w:bookmarkStart w:id="20" w:name="_Toc15068"/>
      <w:r>
        <w:rPr>
          <w:rFonts w:hint="eastAsia" w:ascii="仿宋" w:hAnsi="仿宋" w:eastAsia="仿宋" w:cs="仿宋"/>
          <w:i w:val="0"/>
          <w:iCs w:val="0"/>
          <w:caps w:val="0"/>
          <w:color w:val="000000"/>
          <w:spacing w:val="0"/>
          <w:sz w:val="24"/>
          <w:szCs w:val="24"/>
          <w:lang w:val="en-US" w:eastAsia="zh-CN"/>
        </w:rPr>
        <w:t>资金来源：安徽省对口援疆规划项目资金</w:t>
      </w:r>
      <w:bookmarkEnd w:id="20"/>
    </w:p>
    <w:p>
      <w:pPr>
        <w:pStyle w:val="64"/>
        <w:keepNext w:val="0"/>
        <w:keepLines w:val="0"/>
        <w:widowControl/>
        <w:suppressLineNumbers w:val="0"/>
        <w:spacing w:before="75" w:beforeAutospacing="0" w:after="75" w:afterAutospacing="0" w:line="240" w:lineRule="auto"/>
        <w:ind w:left="0" w:right="0" w:firstLine="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lang w:val="en-US" w:eastAsia="zh-CN"/>
        </w:rPr>
        <w:t>项目概况</w:t>
      </w: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lang w:val="en-US" w:eastAsia="zh-CN"/>
        </w:rPr>
        <w:t>改造宪法宣传广场、五四广场、劳动教育基地、国旗台、法治长廊，装饰装修路灯杆文化宣传、法治文化墙、楼宇间宣传橱窗、校史馆、模拟法庭、法律图书室、教学楼走廊、室内运动文化宣传、心灵港湾（心理疏导室）、设备购置及施工图纸所含全部内容施工（具体要求详见招标文件）</w:t>
      </w:r>
    </w:p>
    <w:p>
      <w:pPr>
        <w:pStyle w:val="64"/>
        <w:keepNext w:val="0"/>
        <w:keepLines w:val="0"/>
        <w:widowControl/>
        <w:suppressLineNumbers w:val="0"/>
        <w:spacing w:before="75" w:beforeAutospacing="0" w:after="75" w:afterAutospacing="0" w:line="240" w:lineRule="auto"/>
        <w:ind w:left="0" w:right="0" w:firstLine="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合同履约期限：</w:t>
      </w:r>
      <w:r>
        <w:rPr>
          <w:rFonts w:hint="eastAsia" w:ascii="仿宋" w:hAnsi="仿宋" w:eastAsia="仿宋" w:cs="仿宋"/>
          <w:i w:val="0"/>
          <w:iCs w:val="0"/>
          <w:caps w:val="0"/>
          <w:color w:val="000000"/>
          <w:spacing w:val="0"/>
          <w:sz w:val="24"/>
          <w:szCs w:val="24"/>
          <w:lang w:val="en-US" w:eastAsia="zh-CN"/>
        </w:rPr>
        <w:t>30天；</w:t>
      </w:r>
    </w:p>
    <w:p>
      <w:pPr>
        <w:pStyle w:val="64"/>
        <w:keepNext w:val="0"/>
        <w:keepLines w:val="0"/>
        <w:widowControl/>
        <w:suppressLineNumbers w:val="0"/>
        <w:spacing w:before="75" w:beforeAutospacing="0" w:after="75" w:afterAutospacing="0" w:line="240" w:lineRule="auto"/>
        <w:ind w:left="0" w:right="0" w:firstLine="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标项名称:</w:t>
      </w:r>
      <w:r>
        <w:rPr>
          <w:rFonts w:hint="eastAsia" w:ascii="仿宋" w:hAnsi="仿宋" w:eastAsia="仿宋" w:cs="仿宋"/>
          <w:i w:val="0"/>
          <w:iCs w:val="0"/>
          <w:caps w:val="0"/>
          <w:color w:val="000000"/>
          <w:spacing w:val="0"/>
          <w:sz w:val="24"/>
          <w:szCs w:val="24"/>
          <w:lang w:val="en-US" w:eastAsia="zh-CN"/>
        </w:rPr>
        <w:t>皮山县固玛镇寄宿制第二、第三中学及固玛镇第二小学中华文化共同体主题校园文化建设补助项目-法治校园文化建设项目</w:t>
      </w:r>
    </w:p>
    <w:p>
      <w:pPr>
        <w:pStyle w:val="64"/>
        <w:keepNext w:val="0"/>
        <w:keepLines w:val="0"/>
        <w:widowControl/>
        <w:suppressLineNumbers w:val="0"/>
        <w:spacing w:before="75" w:beforeAutospacing="0" w:after="75" w:afterAutospacing="0" w:line="240" w:lineRule="auto"/>
        <w:ind w:right="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数量:1</w:t>
      </w:r>
    </w:p>
    <w:p>
      <w:pPr>
        <w:pStyle w:val="64"/>
        <w:keepNext w:val="0"/>
        <w:keepLines w:val="0"/>
        <w:widowControl/>
        <w:suppressLineNumbers w:val="0"/>
        <w:spacing w:before="75" w:beforeAutospacing="0" w:after="75" w:afterAutospacing="0" w:line="240" w:lineRule="auto"/>
        <w:ind w:right="0"/>
      </w:pPr>
      <w:r>
        <w:rPr>
          <w:rFonts w:hint="eastAsia" w:ascii="仿宋" w:hAnsi="仿宋" w:eastAsia="仿宋" w:cs="仿宋"/>
          <w:i w:val="0"/>
          <w:iCs w:val="0"/>
          <w:caps w:val="0"/>
          <w:color w:val="000000"/>
          <w:spacing w:val="0"/>
          <w:sz w:val="24"/>
          <w:szCs w:val="24"/>
        </w:rPr>
        <w:t>预算金额:</w:t>
      </w:r>
      <w:r>
        <w:rPr>
          <w:rFonts w:hint="eastAsia" w:ascii="仿宋" w:hAnsi="仿宋" w:eastAsia="仿宋" w:cs="仿宋"/>
          <w:i w:val="0"/>
          <w:iCs w:val="0"/>
          <w:caps w:val="0"/>
          <w:color w:val="000000"/>
          <w:spacing w:val="0"/>
          <w:sz w:val="24"/>
          <w:szCs w:val="24"/>
          <w:lang w:val="en-US" w:eastAsia="zh-CN"/>
        </w:rPr>
        <w:t>550.5814</w:t>
      </w:r>
      <w:bookmarkStart w:id="514" w:name="_GoBack"/>
      <w:bookmarkEnd w:id="514"/>
      <w:r>
        <w:rPr>
          <w:rFonts w:hint="eastAsia" w:ascii="仿宋" w:hAnsi="仿宋" w:eastAsia="仿宋" w:cs="仿宋"/>
          <w:i w:val="0"/>
          <w:iCs w:val="0"/>
          <w:caps w:val="0"/>
          <w:color w:val="000000"/>
          <w:spacing w:val="0"/>
          <w:sz w:val="24"/>
          <w:szCs w:val="24"/>
          <w:lang w:val="en-US" w:eastAsia="zh-CN"/>
        </w:rPr>
        <w:t>91</w:t>
      </w:r>
      <w:r>
        <w:rPr>
          <w:rFonts w:hint="eastAsia" w:ascii="仿宋" w:hAnsi="仿宋" w:eastAsia="仿宋" w:cs="仿宋"/>
          <w:i w:val="0"/>
          <w:iCs w:val="0"/>
          <w:caps w:val="0"/>
          <w:color w:val="000000"/>
          <w:spacing w:val="0"/>
          <w:sz w:val="24"/>
          <w:szCs w:val="24"/>
          <w:lang w:eastAsia="zh-CN"/>
        </w:rPr>
        <w:t>万</w:t>
      </w:r>
      <w:r>
        <w:rPr>
          <w:rFonts w:hint="eastAsia" w:ascii="仿宋" w:hAnsi="仿宋" w:eastAsia="仿宋" w:cs="仿宋"/>
          <w:i w:val="0"/>
          <w:iCs w:val="0"/>
          <w:caps w:val="0"/>
          <w:color w:val="000000"/>
          <w:spacing w:val="0"/>
          <w:sz w:val="24"/>
          <w:szCs w:val="24"/>
        </w:rPr>
        <w:t>元</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合同履约期限：</w:t>
      </w:r>
      <w:r>
        <w:rPr>
          <w:rFonts w:hint="eastAsia" w:ascii="仿宋" w:hAnsi="仿宋" w:eastAsia="仿宋" w:cs="仿宋"/>
          <w:i w:val="0"/>
          <w:iCs w:val="0"/>
          <w:caps w:val="0"/>
          <w:color w:val="000000"/>
          <w:spacing w:val="0"/>
          <w:sz w:val="24"/>
          <w:szCs w:val="24"/>
          <w:lang w:val="en-US" w:eastAsia="zh-CN"/>
        </w:rPr>
        <w:t>30天。</w:t>
      </w:r>
    </w:p>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rPr>
          <w:rFonts w:hint="eastAsia" w:ascii="仿宋" w:hAnsi="仿宋" w:eastAsia="仿宋" w:cs="仿宋"/>
          <w:b/>
          <w:bCs/>
          <w:i w:val="0"/>
          <w:iCs w:val="0"/>
          <w:caps w:val="0"/>
          <w:color w:val="000000"/>
          <w:spacing w:val="0"/>
          <w:kern w:val="0"/>
          <w:sz w:val="24"/>
          <w:szCs w:val="24"/>
          <w:lang w:val="en-US" w:eastAsia="zh-CN" w:bidi="ar"/>
        </w:rPr>
      </w:pPr>
      <w:bookmarkStart w:id="21" w:name="_Toc22990"/>
      <w:bookmarkStart w:id="22" w:name="_Toc22510"/>
      <w:bookmarkStart w:id="23" w:name="_Toc11569"/>
      <w:r>
        <w:rPr>
          <w:rFonts w:hint="eastAsia" w:ascii="仿宋" w:hAnsi="仿宋" w:eastAsia="仿宋" w:cs="仿宋"/>
          <w:b/>
          <w:bCs/>
          <w:i w:val="0"/>
          <w:iCs w:val="0"/>
          <w:caps w:val="0"/>
          <w:color w:val="000000"/>
          <w:spacing w:val="0"/>
          <w:kern w:val="0"/>
          <w:sz w:val="24"/>
          <w:szCs w:val="24"/>
          <w:lang w:val="en-US" w:eastAsia="zh-CN" w:bidi="ar"/>
        </w:rPr>
        <w:t>二、申请人的资格要求：</w:t>
      </w:r>
      <w:bookmarkEnd w:id="21"/>
      <w:bookmarkEnd w:id="22"/>
      <w:bookmarkEnd w:id="23"/>
    </w:p>
    <w:p>
      <w:pPr>
        <w:pStyle w:val="64"/>
        <w:keepNext w:val="0"/>
        <w:keepLines w:val="0"/>
        <w:widowControl/>
        <w:suppressLineNumbers w:val="0"/>
        <w:spacing w:before="75" w:beforeAutospacing="0" w:after="75" w:afterAutospacing="0" w:line="300" w:lineRule="atLeast"/>
        <w:ind w:left="0" w:leftChars="0" w:right="0" w:firstLine="0" w:firstLineChars="0"/>
        <w:outlineLvl w:val="2"/>
        <w:rPr>
          <w:rFonts w:hint="eastAsia" w:ascii="仿宋" w:hAnsi="仿宋" w:eastAsia="仿宋" w:cs="仿宋"/>
          <w:i w:val="0"/>
          <w:iCs w:val="0"/>
          <w:caps w:val="0"/>
          <w:color w:val="000000"/>
          <w:spacing w:val="0"/>
          <w:sz w:val="24"/>
          <w:szCs w:val="24"/>
          <w:lang w:val="en-US" w:eastAsia="zh-CN"/>
        </w:rPr>
      </w:pPr>
      <w:bookmarkStart w:id="24" w:name="_Toc23893"/>
      <w:r>
        <w:rPr>
          <w:rFonts w:hint="eastAsia" w:ascii="仿宋" w:hAnsi="仿宋" w:eastAsia="仿宋" w:cs="仿宋"/>
          <w:i w:val="0"/>
          <w:iCs w:val="0"/>
          <w:caps w:val="0"/>
          <w:color w:val="000000"/>
          <w:spacing w:val="0"/>
          <w:sz w:val="24"/>
          <w:szCs w:val="24"/>
          <w:lang w:val="en-US" w:eastAsia="zh-CN"/>
        </w:rPr>
        <w:t>1.满足《中华人民共和国政府采购法》第二十二条规定；</w:t>
      </w:r>
      <w:bookmarkEnd w:id="24"/>
    </w:p>
    <w:p>
      <w:pPr>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sz w:val="24"/>
          <w:szCs w:val="24"/>
          <w:lang w:val="en-US" w:eastAsia="zh-CN"/>
        </w:rPr>
        <w:t>2.落实政府采购政策需满足的资格要求：</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标项1：</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（1）经年审核有效的三证合一营业执照；</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（2）法定代表人参加的需提供法定代表人证明书，委托代理人参加的需提供法定代表人授权委托书，在公司所缴纳近6个月的社保证明扫描件（社保缴纳个人明细）</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（3）凡拟参加本次招标项目的供应商须提供2021年度或2022年度财务审计报告（2023年成立的公司不提供）</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4）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（5）企业负责人为同一人或者存在直接控股、管理关系的不同投标人，不得参加同一合同项下的政府采购活动。否则，皆取消投标资格。</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（6）缴纳投标保证金：55000.00元整（大写：伍万伍仟元整）。</w:t>
      </w:r>
    </w:p>
    <w:p>
      <w:pPr>
        <w:pStyle w:val="64"/>
        <w:keepNext w:val="0"/>
        <w:keepLines w:val="0"/>
        <w:widowControl/>
        <w:suppressLineNumbers w:val="0"/>
        <w:spacing w:before="75" w:beforeAutospacing="0" w:after="75" w:afterAutospacing="0" w:line="240" w:lineRule="auto"/>
        <w:ind w:left="0" w:right="0" w:firstLine="0"/>
        <w:jc w:val="left"/>
        <w:outlineLvl w:val="2"/>
        <w:rPr>
          <w:rFonts w:hint="eastAsia" w:ascii="仿宋" w:hAnsi="仿宋" w:eastAsia="仿宋" w:cs="仿宋"/>
          <w:i w:val="0"/>
          <w:iCs w:val="0"/>
          <w:caps w:val="0"/>
          <w:color w:val="000000"/>
          <w:spacing w:val="0"/>
          <w:sz w:val="24"/>
          <w:szCs w:val="24"/>
          <w:lang w:val="en-US" w:eastAsia="zh-CN"/>
        </w:rPr>
      </w:pPr>
      <w:bookmarkStart w:id="25" w:name="_Toc5294"/>
      <w:r>
        <w:rPr>
          <w:rFonts w:hint="eastAsia" w:ascii="仿宋" w:hAnsi="仿宋" w:eastAsia="仿宋" w:cs="仿宋"/>
          <w:i w:val="0"/>
          <w:iCs w:val="0"/>
          <w:caps w:val="0"/>
          <w:color w:val="000000"/>
          <w:spacing w:val="0"/>
          <w:sz w:val="24"/>
          <w:szCs w:val="24"/>
          <w:lang w:val="en-US" w:eastAsia="zh-CN"/>
        </w:rPr>
        <w:t>3.本项目的特定资格要求：无</w:t>
      </w:r>
      <w:bookmarkEnd w:id="25"/>
    </w:p>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rPr>
          <w:rFonts w:hint="eastAsia" w:ascii="仿宋" w:hAnsi="仿宋" w:eastAsia="仿宋" w:cs="仿宋"/>
          <w:b/>
          <w:bCs/>
          <w:i w:val="0"/>
          <w:iCs w:val="0"/>
          <w:caps w:val="0"/>
          <w:color w:val="000000"/>
          <w:spacing w:val="0"/>
          <w:kern w:val="0"/>
          <w:sz w:val="24"/>
          <w:szCs w:val="24"/>
          <w:lang w:val="en-US" w:eastAsia="zh-CN" w:bidi="ar"/>
        </w:rPr>
      </w:pPr>
      <w:bookmarkStart w:id="26" w:name="_Toc14519"/>
      <w:bookmarkStart w:id="27" w:name="_Toc4096"/>
      <w:bookmarkStart w:id="28" w:name="_Toc29122"/>
      <w:r>
        <w:rPr>
          <w:rFonts w:hint="eastAsia" w:ascii="仿宋" w:hAnsi="仿宋" w:eastAsia="仿宋" w:cs="仿宋"/>
          <w:b/>
          <w:bCs/>
          <w:i w:val="0"/>
          <w:iCs w:val="0"/>
          <w:caps w:val="0"/>
          <w:color w:val="000000"/>
          <w:spacing w:val="0"/>
          <w:kern w:val="0"/>
          <w:sz w:val="24"/>
          <w:szCs w:val="24"/>
          <w:lang w:val="en-US" w:eastAsia="zh-CN" w:bidi="ar"/>
        </w:rPr>
        <w:t>三、获取招标文件</w:t>
      </w:r>
      <w:bookmarkEnd w:id="26"/>
      <w:bookmarkEnd w:id="27"/>
      <w:bookmarkEnd w:id="28"/>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时间：2022年12月23日至2023年01月11日，每天上午00:00至12:00，下午12:00至23:59（北京时间，法定节假日除外）</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地点：政采云平台https://www.zcygov.cn/线上获取</w:t>
      </w:r>
    </w:p>
    <w:p>
      <w:pPr>
        <w:pStyle w:val="64"/>
        <w:keepNext w:val="0"/>
        <w:keepLines w:val="0"/>
        <w:widowControl/>
        <w:suppressLineNumbers w:val="0"/>
        <w:spacing w:before="75" w:beforeAutospacing="0" w:after="75" w:afterAutospacing="0" w:line="240" w:lineRule="auto"/>
        <w:ind w:left="0" w:leftChars="0" w:right="0" w:firstLine="0" w:firstLineChars="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方式：供应商登录政采云平台https://www.zcygov.cn/在线申请获取采购文件（进入“项目采购”应用，在获取采购文件菜单中选择项目，申请获取采购文件）</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售价（元）：0</w:t>
      </w:r>
    </w:p>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rPr>
          <w:rFonts w:hint="eastAsia" w:ascii="仿宋" w:hAnsi="仿宋" w:eastAsia="仿宋" w:cs="仿宋"/>
          <w:b/>
          <w:bCs/>
          <w:i w:val="0"/>
          <w:iCs w:val="0"/>
          <w:caps w:val="0"/>
          <w:color w:val="000000"/>
          <w:spacing w:val="0"/>
          <w:kern w:val="0"/>
          <w:sz w:val="24"/>
          <w:szCs w:val="24"/>
          <w:lang w:val="en-US" w:eastAsia="zh-CN" w:bidi="ar"/>
        </w:rPr>
      </w:pPr>
      <w:bookmarkStart w:id="29" w:name="_Toc4398"/>
      <w:bookmarkStart w:id="30" w:name="_Toc4068"/>
      <w:bookmarkStart w:id="31" w:name="_Toc20322"/>
      <w:r>
        <w:rPr>
          <w:rFonts w:hint="eastAsia" w:ascii="仿宋" w:hAnsi="仿宋" w:eastAsia="仿宋" w:cs="仿宋"/>
          <w:b/>
          <w:bCs/>
          <w:i w:val="0"/>
          <w:iCs w:val="0"/>
          <w:caps w:val="0"/>
          <w:color w:val="000000"/>
          <w:spacing w:val="0"/>
          <w:kern w:val="0"/>
          <w:sz w:val="24"/>
          <w:szCs w:val="24"/>
          <w:lang w:val="en-US" w:eastAsia="zh-CN" w:bidi="ar"/>
        </w:rPr>
        <w:t>四、提交投标文件截止时间、开标时间和地点</w:t>
      </w:r>
      <w:bookmarkEnd w:id="29"/>
      <w:bookmarkEnd w:id="30"/>
      <w:bookmarkEnd w:id="31"/>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提交投标文件截止时间：2023年1月13日11：00分（北京时间）</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投标地点：投标人应于2023年1月13日11：00分(北京时间）之前将电子投标文件上传到新疆政府采购平台。应按照本项目招标文件和新疆政府采购平台的要求编制、加密传输投标文件。</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开标时间：2023年1月13日11：00分（北京时间）</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开标地点：皮山县政府投资交易中心四楼开标一室（新城区东经二路南端）</w:t>
      </w:r>
    </w:p>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rPr>
          <w:rFonts w:hint="eastAsia" w:ascii="仿宋" w:hAnsi="仿宋" w:eastAsia="仿宋" w:cs="仿宋"/>
          <w:b/>
          <w:bCs/>
          <w:i w:val="0"/>
          <w:iCs w:val="0"/>
          <w:caps w:val="0"/>
          <w:color w:val="000000"/>
          <w:spacing w:val="0"/>
          <w:kern w:val="0"/>
          <w:sz w:val="24"/>
          <w:szCs w:val="24"/>
          <w:lang w:val="en-US" w:eastAsia="zh-CN" w:bidi="ar"/>
        </w:rPr>
      </w:pPr>
      <w:bookmarkStart w:id="32" w:name="_Toc19015"/>
      <w:bookmarkStart w:id="33" w:name="_Toc9151"/>
      <w:bookmarkStart w:id="34" w:name="_Toc30941"/>
      <w:r>
        <w:rPr>
          <w:rFonts w:hint="eastAsia" w:ascii="仿宋" w:hAnsi="仿宋" w:eastAsia="仿宋" w:cs="仿宋"/>
          <w:b/>
          <w:bCs/>
          <w:i w:val="0"/>
          <w:iCs w:val="0"/>
          <w:caps w:val="0"/>
          <w:color w:val="000000"/>
          <w:spacing w:val="0"/>
          <w:kern w:val="0"/>
          <w:sz w:val="24"/>
          <w:szCs w:val="24"/>
          <w:lang w:val="en-US" w:eastAsia="zh-CN" w:bidi="ar"/>
        </w:rPr>
        <w:t>五、公告期限</w:t>
      </w:r>
      <w:bookmarkEnd w:id="32"/>
      <w:bookmarkEnd w:id="33"/>
      <w:bookmarkEnd w:id="34"/>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自本公告发布之日起5个工作日。</w:t>
      </w:r>
    </w:p>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rPr>
          <w:rFonts w:hint="default" w:ascii="仿宋" w:hAnsi="仿宋" w:eastAsia="仿宋" w:cs="仿宋"/>
          <w:b/>
          <w:bCs/>
          <w:i w:val="0"/>
          <w:iCs w:val="0"/>
          <w:caps w:val="0"/>
          <w:color w:val="000000"/>
          <w:spacing w:val="0"/>
          <w:kern w:val="0"/>
          <w:sz w:val="24"/>
          <w:szCs w:val="24"/>
          <w:lang w:val="en-US" w:eastAsia="zh-CN" w:bidi="ar"/>
        </w:rPr>
      </w:pPr>
      <w:bookmarkStart w:id="35" w:name="_Toc32428"/>
      <w:bookmarkStart w:id="36" w:name="_Toc1504"/>
      <w:bookmarkStart w:id="37" w:name="_Toc2426"/>
      <w:r>
        <w:rPr>
          <w:rFonts w:hint="default" w:ascii="仿宋" w:hAnsi="仿宋" w:eastAsia="仿宋" w:cs="仿宋"/>
          <w:b/>
          <w:bCs/>
          <w:i w:val="0"/>
          <w:iCs w:val="0"/>
          <w:caps w:val="0"/>
          <w:color w:val="000000"/>
          <w:spacing w:val="0"/>
          <w:kern w:val="0"/>
          <w:sz w:val="24"/>
          <w:szCs w:val="24"/>
          <w:lang w:val="en-US" w:eastAsia="zh-CN" w:bidi="ar"/>
        </w:rPr>
        <w:t>六、其他补充事宜</w:t>
      </w:r>
      <w:bookmarkEnd w:id="35"/>
      <w:bookmarkEnd w:id="36"/>
      <w:bookmarkEnd w:id="37"/>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1、本项目实行网上投标，采用电子投标文件。若供应商参与投标，自行承担投标一切费用。</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2、各供应商应在开标前应确保成为新疆维吾尔自治区政府采购网正式注册入库供应商，并完成CA数字证书申领。因未注册入库、未办理CA数字证书等原因造成无法投标或投标失败等后果由供应商自行承担。</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3、供应商将新疆政府采购电子交易客户端下载、安装完成后，可通过账号密码或CA登录客户端进行投标文件制作。在使用新疆政府采购投标客户端时，建议使用WIN7及以上操作系统。客户端请至新疆政府采购平台https://www.zcygov.cn/下载专区查看，如有问题可拨打新疆政府采购客户服务热线400-881-7190进行咨询。</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4、有意向参与新疆区域电子开评标的供应商，可访问新疆数字证书认证中心官方网站（https://www.xjca.com.cn/）或下载“新疆政务通”APP自行进行申领。如需咨询，请联系新疆CA服务热线0991-2819290</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default" w:ascii="宋体" w:hAnsi="宋体" w:eastAsia="宋体" w:cs="宋体"/>
          <w:b/>
          <w:bCs/>
          <w:i w:val="0"/>
          <w:caps w:val="0"/>
          <w:color w:val="000000"/>
          <w:spacing w:val="0"/>
          <w:kern w:val="0"/>
          <w:sz w:val="21"/>
          <w:szCs w:val="21"/>
          <w:vertAlign w:val="baseline"/>
          <w:lang w:val="en-US" w:eastAsia="zh-CN" w:bidi="ar"/>
        </w:rPr>
        <w:t>特别强调：</w:t>
      </w:r>
    </w:p>
    <w:p>
      <w:pPr>
        <w:pStyle w:val="64"/>
        <w:keepNext w:val="0"/>
        <w:keepLines w:val="0"/>
        <w:widowControl/>
        <w:suppressLineNumbers w:val="0"/>
        <w:spacing w:before="75" w:beforeAutospacing="0" w:after="75" w:afterAutospacing="0" w:line="240" w:lineRule="auto"/>
        <w:ind w:left="0" w:right="0" w:firstLine="0"/>
        <w:jc w:val="left"/>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1、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得分的6％～10％作为其价格分。</w:t>
      </w:r>
    </w:p>
    <w:p>
      <w:pPr>
        <w:pStyle w:val="64"/>
        <w:keepNext w:val="0"/>
        <w:keepLines w:val="0"/>
        <w:widowControl/>
        <w:suppressLineNumbers w:val="0"/>
        <w:spacing w:before="75" w:beforeAutospacing="0" w:after="75" w:afterAutospacing="0" w:line="240" w:lineRule="auto"/>
        <w:ind w:left="0" w:right="0" w:firstLine="0"/>
        <w:jc w:val="left"/>
        <w:rPr>
          <w:rFonts w:hint="default"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2、接受大中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rPr>
          <w:rFonts w:hint="default" w:ascii="仿宋" w:hAnsi="仿宋" w:eastAsia="仿宋" w:cs="仿宋"/>
          <w:b/>
          <w:bCs/>
          <w:i w:val="0"/>
          <w:iCs w:val="0"/>
          <w:caps w:val="0"/>
          <w:color w:val="000000"/>
          <w:spacing w:val="0"/>
          <w:kern w:val="0"/>
          <w:sz w:val="24"/>
          <w:szCs w:val="24"/>
          <w:lang w:val="en-US" w:eastAsia="zh-CN" w:bidi="ar"/>
        </w:rPr>
      </w:pPr>
      <w:bookmarkStart w:id="38" w:name="_Toc9402"/>
      <w:bookmarkStart w:id="39" w:name="_Toc3294"/>
      <w:bookmarkStart w:id="40" w:name="_Toc3331"/>
      <w:r>
        <w:rPr>
          <w:rFonts w:hint="default" w:ascii="仿宋" w:hAnsi="仿宋" w:eastAsia="仿宋" w:cs="仿宋"/>
          <w:b/>
          <w:bCs/>
          <w:i w:val="0"/>
          <w:iCs w:val="0"/>
          <w:caps w:val="0"/>
          <w:color w:val="000000"/>
          <w:spacing w:val="0"/>
          <w:kern w:val="0"/>
          <w:sz w:val="24"/>
          <w:szCs w:val="24"/>
          <w:lang w:val="en-US" w:eastAsia="zh-CN" w:bidi="ar"/>
        </w:rPr>
        <w:t>七、对本次采购提出询问，请按以下方式联系</w:t>
      </w:r>
      <w:bookmarkEnd w:id="38"/>
      <w:bookmarkEnd w:id="39"/>
      <w:bookmarkEnd w:id="40"/>
    </w:p>
    <w:p>
      <w:pPr>
        <w:pStyle w:val="78"/>
        <w:outlineLvl w:val="2"/>
        <w:rPr>
          <w:rFonts w:hint="default" w:ascii="仿宋" w:hAnsi="仿宋" w:eastAsia="仿宋" w:cs="仿宋"/>
          <w:i w:val="0"/>
          <w:iCs w:val="0"/>
          <w:caps w:val="0"/>
          <w:color w:val="000000"/>
          <w:spacing w:val="0"/>
          <w:kern w:val="0"/>
          <w:sz w:val="24"/>
          <w:szCs w:val="24"/>
          <w:lang w:val="en-US" w:eastAsia="zh-CN" w:bidi="ar"/>
        </w:rPr>
      </w:pPr>
      <w:bookmarkStart w:id="41" w:name="_Toc7331"/>
      <w:r>
        <w:rPr>
          <w:rFonts w:hint="eastAsia" w:ascii="仿宋" w:hAnsi="仿宋" w:eastAsia="仿宋" w:cs="仿宋"/>
          <w:i w:val="0"/>
          <w:iCs w:val="0"/>
          <w:caps w:val="0"/>
          <w:color w:val="000000"/>
          <w:spacing w:val="0"/>
          <w:kern w:val="0"/>
          <w:sz w:val="24"/>
          <w:szCs w:val="24"/>
          <w:lang w:val="en-US" w:eastAsia="zh-CN" w:bidi="ar"/>
        </w:rPr>
        <w:t>1、本项目采购人：</w:t>
      </w:r>
      <w:bookmarkEnd w:id="41"/>
      <w:r>
        <w:rPr>
          <w:rFonts w:hint="eastAsia" w:ascii="仿宋" w:hAnsi="仿宋" w:eastAsia="仿宋" w:cs="仿宋"/>
          <w:i w:val="0"/>
          <w:iCs w:val="0"/>
          <w:caps w:val="0"/>
          <w:color w:val="000000"/>
          <w:spacing w:val="0"/>
          <w:kern w:val="0"/>
          <w:sz w:val="24"/>
          <w:szCs w:val="24"/>
          <w:lang w:val="en-US" w:eastAsia="zh-CN" w:bidi="ar"/>
        </w:rPr>
        <w:t>皮山县教育局</w:t>
      </w:r>
    </w:p>
    <w:p>
      <w:pPr>
        <w:pStyle w:val="78"/>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地址：皮山县新城区文化东路76号        </w:t>
      </w:r>
    </w:p>
    <w:p>
      <w:pPr>
        <w:pStyle w:val="78"/>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联系人姓名：孟利龙     </w:t>
      </w:r>
    </w:p>
    <w:p>
      <w:pPr>
        <w:pStyle w:val="78"/>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联系电话：0903-6427567</w:t>
      </w:r>
    </w:p>
    <w:p>
      <w:pPr>
        <w:pStyle w:val="78"/>
        <w:outlineLvl w:val="2"/>
        <w:rPr>
          <w:rFonts w:hint="eastAsia" w:ascii="仿宋" w:hAnsi="仿宋" w:eastAsia="仿宋" w:cs="仿宋"/>
          <w:i w:val="0"/>
          <w:iCs w:val="0"/>
          <w:caps w:val="0"/>
          <w:color w:val="000000"/>
          <w:spacing w:val="0"/>
          <w:kern w:val="0"/>
          <w:sz w:val="24"/>
          <w:szCs w:val="24"/>
          <w:lang w:val="en-US" w:eastAsia="zh-CN" w:bidi="ar"/>
        </w:rPr>
      </w:pPr>
      <w:bookmarkStart w:id="42" w:name="_Toc1309"/>
      <w:r>
        <w:rPr>
          <w:rFonts w:hint="eastAsia" w:ascii="仿宋" w:hAnsi="仿宋" w:eastAsia="仿宋" w:cs="仿宋"/>
          <w:i w:val="0"/>
          <w:iCs w:val="0"/>
          <w:caps w:val="0"/>
          <w:color w:val="000000"/>
          <w:spacing w:val="0"/>
          <w:kern w:val="0"/>
          <w:sz w:val="24"/>
          <w:szCs w:val="24"/>
          <w:lang w:val="en-US" w:eastAsia="zh-CN" w:bidi="ar"/>
        </w:rPr>
        <w:t>2、采购代理机构：</w:t>
      </w:r>
      <w:bookmarkEnd w:id="42"/>
      <w:r>
        <w:rPr>
          <w:rFonts w:hint="eastAsia" w:ascii="仿宋" w:hAnsi="仿宋" w:eastAsia="仿宋" w:cs="仿宋"/>
          <w:i w:val="0"/>
          <w:iCs w:val="0"/>
          <w:caps w:val="0"/>
          <w:color w:val="000000"/>
          <w:spacing w:val="0"/>
          <w:kern w:val="0"/>
          <w:sz w:val="24"/>
          <w:szCs w:val="24"/>
          <w:lang w:val="en-US" w:eastAsia="zh-CN" w:bidi="ar"/>
        </w:rPr>
        <w:t>华春建设工程项目管理有限责任公司</w:t>
      </w:r>
    </w:p>
    <w:p>
      <w:pPr>
        <w:pStyle w:val="78"/>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地址：和田市金鹰国际城13楼               </w:t>
      </w:r>
    </w:p>
    <w:p>
      <w:pPr>
        <w:pStyle w:val="78"/>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项目联系人：景金鹏    </w:t>
      </w:r>
    </w:p>
    <w:p>
      <w:pPr>
        <w:pStyle w:val="78"/>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联系电话：15559430123</w:t>
      </w:r>
    </w:p>
    <w:p>
      <w:pPr>
        <w:pStyle w:val="78"/>
        <w:outlineLvl w:val="2"/>
        <w:rPr>
          <w:rFonts w:hint="eastAsia" w:ascii="仿宋" w:hAnsi="仿宋" w:eastAsia="仿宋" w:cs="仿宋"/>
          <w:i w:val="0"/>
          <w:iCs w:val="0"/>
          <w:caps w:val="0"/>
          <w:color w:val="000000"/>
          <w:spacing w:val="0"/>
          <w:kern w:val="0"/>
          <w:sz w:val="24"/>
          <w:szCs w:val="24"/>
          <w:lang w:val="en-US" w:eastAsia="zh-CN" w:bidi="ar"/>
        </w:rPr>
      </w:pPr>
      <w:bookmarkStart w:id="43" w:name="_Toc4996"/>
      <w:r>
        <w:rPr>
          <w:rFonts w:hint="eastAsia" w:ascii="仿宋" w:hAnsi="仿宋" w:eastAsia="仿宋" w:cs="仿宋"/>
          <w:i w:val="0"/>
          <w:iCs w:val="0"/>
          <w:caps w:val="0"/>
          <w:color w:val="000000"/>
          <w:spacing w:val="0"/>
          <w:kern w:val="0"/>
          <w:sz w:val="24"/>
          <w:szCs w:val="24"/>
          <w:lang w:val="en-US" w:eastAsia="zh-CN" w:bidi="ar"/>
        </w:rPr>
        <w:t>3、同级政府采购监督管理部门名称：皮山县政府采购管理办公室</w:t>
      </w:r>
      <w:bookmarkEnd w:id="43"/>
    </w:p>
    <w:p>
      <w:pPr>
        <w:pStyle w:val="78"/>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监督投诉电话：0903-6422597</w:t>
      </w:r>
    </w:p>
    <w:p>
      <w:pPr>
        <w:pStyle w:val="78"/>
        <w:rPr>
          <w:rFonts w:hint="eastAsia"/>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pStyle w:val="173"/>
        <w:pageBreakBefore w:val="0"/>
        <w:kinsoku/>
        <w:wordWrap/>
        <w:topLinePunct w:val="0"/>
        <w:bidi w:val="0"/>
        <w:spacing w:line="360" w:lineRule="auto"/>
        <w:ind w:firstLine="0"/>
        <w:jc w:val="left"/>
        <w:outlineLvl w:val="9"/>
        <w:rPr>
          <w:rFonts w:hint="eastAsia" w:ascii="仿宋" w:hAnsi="仿宋" w:eastAsia="仿宋" w:cs="仿宋"/>
          <w:b/>
          <w:bCs/>
          <w:i w:val="0"/>
          <w:iCs w:val="0"/>
          <w:caps w:val="0"/>
          <w:color w:val="000000"/>
          <w:spacing w:val="0"/>
          <w:kern w:val="0"/>
          <w:sz w:val="24"/>
          <w:szCs w:val="24"/>
          <w:lang w:val="en-US" w:eastAsia="zh-CN" w:bidi="ar"/>
        </w:rPr>
      </w:pPr>
      <w:r>
        <w:rPr>
          <w:rFonts w:hint="eastAsia" w:ascii="仿宋" w:hAnsi="仿宋" w:eastAsia="仿宋" w:cs="仿宋"/>
          <w:b/>
          <w:bCs/>
          <w:i w:val="0"/>
          <w:iCs w:val="0"/>
          <w:caps w:val="0"/>
          <w:color w:val="000000"/>
          <w:spacing w:val="0"/>
          <w:kern w:val="0"/>
          <w:sz w:val="24"/>
          <w:szCs w:val="24"/>
          <w:lang w:val="en-US" w:eastAsia="zh-CN" w:bidi="ar"/>
        </w:rPr>
        <w:t>特别提醒：</w:t>
      </w:r>
    </w:p>
    <w:p>
      <w:pPr>
        <w:spacing w:line="360" w:lineRule="auto"/>
        <w:jc w:val="left"/>
        <w:rPr>
          <w:rFonts w:hint="eastAsia" w:ascii="仿宋" w:hAnsi="仿宋" w:eastAsia="仿宋" w:cs="仿宋"/>
          <w:b/>
          <w:bCs/>
          <w:i w:val="0"/>
          <w:iCs w:val="0"/>
          <w:caps w:val="0"/>
          <w:color w:val="000000"/>
          <w:spacing w:val="0"/>
          <w:kern w:val="0"/>
          <w:sz w:val="24"/>
          <w:szCs w:val="24"/>
          <w:lang w:val="en-US" w:eastAsia="zh-CN" w:bidi="ar"/>
        </w:rPr>
      </w:pPr>
      <w:r>
        <w:rPr>
          <w:rFonts w:hint="eastAsia" w:ascii="仿宋" w:hAnsi="仿宋" w:eastAsia="仿宋" w:cs="仿宋"/>
          <w:b/>
          <w:bCs/>
          <w:i w:val="0"/>
          <w:iCs w:val="0"/>
          <w:caps w:val="0"/>
          <w:color w:val="000000"/>
          <w:spacing w:val="0"/>
          <w:kern w:val="0"/>
          <w:sz w:val="24"/>
          <w:szCs w:val="24"/>
          <w:lang w:val="en-US" w:eastAsia="zh-CN" w:bidi="ar"/>
        </w:rPr>
        <w:t>1、投标保证金由投标人基本账户汇出（投标保证金需一笔汇出，分笔汇出银行系统将不予统计），且不得以分公司的名义转账，投标保证金需在2023年01月12日20：00（北京时间）前到账，超过时间则不予认可。投标单位须在汇款单备注栏标明：XXX项目XXX包段（标段）或采购项目编号。该项目不换取保证金收据，由银行出具投标企业保证金缴纳情况。晚于规定时间缴纳保证金的企业一切责任将由贵公司自行承担。</w:t>
      </w:r>
    </w:p>
    <w:p>
      <w:pPr>
        <w:spacing w:line="360" w:lineRule="auto"/>
        <w:jc w:val="left"/>
        <w:rPr>
          <w:rFonts w:hint="eastAsia" w:ascii="仿宋" w:hAnsi="仿宋" w:eastAsia="仿宋" w:cs="仿宋"/>
          <w:b/>
          <w:bCs/>
          <w:i w:val="0"/>
          <w:iCs w:val="0"/>
          <w:caps w:val="0"/>
          <w:color w:val="000000"/>
          <w:spacing w:val="0"/>
          <w:kern w:val="0"/>
          <w:sz w:val="24"/>
          <w:szCs w:val="24"/>
          <w:lang w:val="en-US" w:eastAsia="zh-CN" w:bidi="ar"/>
        </w:rPr>
      </w:pPr>
      <w:r>
        <w:rPr>
          <w:rFonts w:hint="eastAsia" w:ascii="仿宋" w:hAnsi="仿宋" w:eastAsia="仿宋" w:cs="仿宋"/>
          <w:b/>
          <w:bCs/>
          <w:i w:val="0"/>
          <w:iCs w:val="0"/>
          <w:caps w:val="0"/>
          <w:color w:val="000000"/>
          <w:spacing w:val="0"/>
          <w:kern w:val="0"/>
          <w:sz w:val="24"/>
          <w:szCs w:val="24"/>
          <w:lang w:val="en-US" w:eastAsia="zh-CN" w:bidi="ar"/>
        </w:rPr>
        <w:t>2、投标企业下载招标文件后请仔细阅读，如对招标文件内容有质疑，投标人应在投标截止7日前按招标文件中载明的邮箱：477088838@qq.com地址，以书面形式通知招标人。招标人认为必要时，将（澄清）修改后的公告发布在新疆政府采购网，敬请投标企业及时关注。在规定期限内投标企业未提出质疑的视为投标企业默认招标文件不存在质疑的相关问题。超过招标文件质疑时间将不再接受投标企业所提出的质疑。</w:t>
      </w:r>
    </w:p>
    <w:p>
      <w:pPr>
        <w:pStyle w:val="8"/>
        <w:widowControl/>
        <w:tabs>
          <w:tab w:val="left" w:pos="9214"/>
        </w:tabs>
        <w:adjustRightInd w:val="0"/>
        <w:spacing w:line="640" w:lineRule="exact"/>
        <w:ind w:left="0" w:leftChars="0" w:right="-57" w:firstLine="0" w:firstLineChars="0"/>
        <w:textAlignment w:val="bottom"/>
        <w:rPr>
          <w:rFonts w:hint="eastAsia" w:ascii="仿宋" w:hAnsi="仿宋" w:eastAsia="仿宋" w:cs="仿宋"/>
          <w:b/>
          <w:bCs/>
          <w:i w:val="0"/>
          <w:iCs w:val="0"/>
          <w:caps w:val="0"/>
          <w:color w:val="000000"/>
          <w:spacing w:val="0"/>
          <w:kern w:val="0"/>
          <w:sz w:val="24"/>
          <w:szCs w:val="24"/>
          <w:lang w:val="en-US" w:eastAsia="zh-CN" w:bidi="ar"/>
        </w:rPr>
      </w:pPr>
      <w:r>
        <w:rPr>
          <w:rFonts w:hint="eastAsia" w:ascii="仿宋" w:hAnsi="仿宋" w:eastAsia="仿宋" w:cs="仿宋"/>
          <w:b/>
          <w:bCs/>
          <w:i w:val="0"/>
          <w:iCs w:val="0"/>
          <w:caps w:val="0"/>
          <w:color w:val="000000"/>
          <w:spacing w:val="0"/>
          <w:kern w:val="0"/>
          <w:sz w:val="24"/>
          <w:szCs w:val="24"/>
          <w:lang w:val="en-US" w:eastAsia="zh-CN" w:bidi="ar"/>
        </w:rPr>
        <w:t>3、为确保投标保证金的及时退还，评标结束后投标企业需提供保证金汇款凭证、开户许可证复印件、收据并注明开户行行号、联系方式（加盖公司鲜红公章）交至或邮寄（EMS）皮山县政府投资交易中心财务室办理（联系电话13239801355）。（注：废标项目投保证金在后续项目再次招标时银行系统不做统计，请投标企业及时办理退款），中标企业签订政府采购合同后，携带合同原件一份及以上资料办理退投标保证金事宜。</w:t>
      </w:r>
    </w:p>
    <w:p>
      <w:pPr>
        <w:widowControl/>
        <w:spacing w:line="320" w:lineRule="exact"/>
        <w:ind w:left="141" w:hanging="141"/>
        <w:jc w:val="center"/>
        <w:outlineLvl w:val="9"/>
        <w:rPr>
          <w:rFonts w:hint="eastAsia" w:ascii="宋体" w:hAnsi="宋体"/>
          <w:b/>
          <w:sz w:val="28"/>
          <w:szCs w:val="28"/>
        </w:rPr>
      </w:pPr>
    </w:p>
    <w:p>
      <w:pPr>
        <w:pStyle w:val="78"/>
        <w:rPr>
          <w:rFonts w:hint="eastAsia" w:ascii="宋体" w:hAnsi="宋体"/>
          <w:b/>
          <w:sz w:val="28"/>
          <w:szCs w:val="28"/>
        </w:rPr>
      </w:pPr>
    </w:p>
    <w:p>
      <w:pPr>
        <w:pStyle w:val="78"/>
        <w:rPr>
          <w:rFonts w:hint="eastAsia" w:ascii="宋体" w:hAnsi="宋体"/>
          <w:b/>
          <w:sz w:val="28"/>
          <w:szCs w:val="28"/>
        </w:rPr>
      </w:pPr>
    </w:p>
    <w:p>
      <w:pPr>
        <w:pStyle w:val="78"/>
        <w:rPr>
          <w:rFonts w:hint="eastAsia" w:ascii="宋体" w:hAnsi="宋体"/>
          <w:b/>
          <w:sz w:val="28"/>
          <w:szCs w:val="28"/>
        </w:rPr>
      </w:pPr>
    </w:p>
    <w:p>
      <w:pPr>
        <w:pStyle w:val="78"/>
        <w:rPr>
          <w:rFonts w:hint="eastAsia" w:ascii="宋体" w:hAnsi="宋体"/>
          <w:b/>
          <w:sz w:val="28"/>
          <w:szCs w:val="28"/>
        </w:rPr>
      </w:pPr>
    </w:p>
    <w:p>
      <w:pPr>
        <w:pStyle w:val="78"/>
        <w:rPr>
          <w:rFonts w:hint="eastAsia" w:ascii="宋体" w:hAnsi="宋体"/>
          <w:b/>
          <w:sz w:val="28"/>
          <w:szCs w:val="28"/>
        </w:rPr>
      </w:pPr>
    </w:p>
    <w:p>
      <w:pPr>
        <w:pStyle w:val="78"/>
        <w:rPr>
          <w:rFonts w:hint="eastAsia" w:ascii="宋体" w:hAnsi="宋体"/>
          <w:b/>
          <w:sz w:val="28"/>
          <w:szCs w:val="28"/>
        </w:rPr>
      </w:pPr>
    </w:p>
    <w:p>
      <w:pPr>
        <w:widowControl/>
        <w:spacing w:line="320" w:lineRule="exact"/>
        <w:ind w:left="0" w:leftChars="0" w:firstLine="0" w:firstLineChars="0"/>
        <w:jc w:val="both"/>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9"/>
        <w:rPr>
          <w:rFonts w:hint="eastAsia" w:ascii="宋体" w:hAnsi="宋体"/>
          <w:b/>
          <w:sz w:val="28"/>
          <w:szCs w:val="28"/>
        </w:rPr>
      </w:pPr>
    </w:p>
    <w:p>
      <w:pPr>
        <w:pStyle w:val="2"/>
        <w:outlineLvl w:val="9"/>
        <w:rPr>
          <w:rFonts w:hint="eastAsia" w:ascii="宋体" w:hAnsi="宋体"/>
          <w:b/>
          <w:sz w:val="28"/>
          <w:szCs w:val="28"/>
        </w:rPr>
      </w:pPr>
    </w:p>
    <w:p>
      <w:pPr>
        <w:rPr>
          <w:rFonts w:hint="eastAsia"/>
        </w:rPr>
      </w:pPr>
    </w:p>
    <w:p>
      <w:pPr>
        <w:widowControl/>
        <w:spacing w:line="320" w:lineRule="exact"/>
        <w:ind w:left="141" w:hanging="141"/>
        <w:jc w:val="center"/>
        <w:outlineLvl w:val="9"/>
        <w:rPr>
          <w:rFonts w:hint="eastAsia" w:ascii="宋体" w:hAnsi="宋体"/>
          <w:b/>
          <w:sz w:val="28"/>
          <w:szCs w:val="28"/>
        </w:rPr>
      </w:pPr>
    </w:p>
    <w:p>
      <w:pPr>
        <w:widowControl/>
        <w:spacing w:line="320" w:lineRule="exact"/>
        <w:ind w:left="141" w:hanging="141"/>
        <w:jc w:val="center"/>
        <w:outlineLvl w:val="0"/>
        <w:rPr>
          <w:rFonts w:ascii="宋体" w:hAnsi="宋体"/>
          <w:b/>
          <w:sz w:val="28"/>
          <w:szCs w:val="28"/>
        </w:rPr>
      </w:pPr>
      <w:bookmarkStart w:id="44" w:name="_Toc16152"/>
      <w:r>
        <w:rPr>
          <w:rFonts w:hint="eastAsia" w:ascii="宋体" w:hAnsi="宋体"/>
          <w:b/>
          <w:sz w:val="28"/>
          <w:szCs w:val="28"/>
        </w:rPr>
        <w:t>第二章  投标人须知</w:t>
      </w:r>
      <w:bookmarkEnd w:id="44"/>
    </w:p>
    <w:p>
      <w:pPr>
        <w:widowControl/>
        <w:spacing w:line="320" w:lineRule="exact"/>
        <w:ind w:left="141" w:hanging="141"/>
        <w:rPr>
          <w:rFonts w:ascii="宋体" w:hAnsi="宋体"/>
          <w:b/>
          <w:sz w:val="28"/>
          <w:szCs w:val="28"/>
        </w:rPr>
      </w:pPr>
    </w:p>
    <w:p>
      <w:pPr>
        <w:widowControl/>
        <w:spacing w:line="320" w:lineRule="exact"/>
        <w:ind w:left="141" w:hanging="141"/>
        <w:jc w:val="center"/>
        <w:outlineLvl w:val="1"/>
        <w:rPr>
          <w:rFonts w:ascii="宋体" w:hAnsi="宋体"/>
          <w:b/>
          <w:sz w:val="32"/>
          <w:szCs w:val="32"/>
        </w:rPr>
      </w:pPr>
      <w:bookmarkStart w:id="45" w:name="_Toc10036"/>
      <w:r>
        <w:rPr>
          <w:rFonts w:hint="eastAsia" w:ascii="宋体" w:hAnsi="宋体"/>
          <w:b/>
          <w:sz w:val="32"/>
          <w:szCs w:val="32"/>
        </w:rPr>
        <w:t>投标人须知前附表</w:t>
      </w:r>
      <w:bookmarkEnd w:id="45"/>
    </w:p>
    <w:p>
      <w:pPr>
        <w:widowControl/>
        <w:spacing w:line="320" w:lineRule="exact"/>
        <w:ind w:left="141" w:hanging="141"/>
        <w:jc w:val="center"/>
        <w:rPr>
          <w:rFonts w:ascii="宋体" w:hAnsi="宋体"/>
          <w:b/>
          <w:sz w:val="28"/>
          <w:szCs w:val="28"/>
        </w:rPr>
      </w:pPr>
    </w:p>
    <w:tbl>
      <w:tblPr>
        <w:tblStyle w:val="69"/>
        <w:tblW w:w="95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1"/>
        <w:gridCol w:w="2040"/>
        <w:gridCol w:w="68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1" w:type="dxa"/>
            <w:tcBorders>
              <w:top w:val="single" w:color="auto" w:sz="12"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b/>
                <w:sz w:val="24"/>
              </w:rPr>
            </w:pPr>
            <w:r>
              <w:rPr>
                <w:rFonts w:hint="eastAsia" w:ascii="宋体" w:hAnsi="宋体" w:eastAsia="宋体" w:cs="Times New Roman"/>
                <w:b/>
                <w:sz w:val="24"/>
              </w:rPr>
              <w:t>序号</w:t>
            </w:r>
          </w:p>
        </w:tc>
        <w:tc>
          <w:tcPr>
            <w:tcW w:w="2040" w:type="dxa"/>
            <w:tcBorders>
              <w:top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b/>
                <w:sz w:val="24"/>
              </w:rPr>
            </w:pPr>
            <w:r>
              <w:rPr>
                <w:rFonts w:hint="eastAsia" w:ascii="宋体" w:hAnsi="宋体" w:eastAsia="宋体" w:cs="Times New Roman"/>
                <w:b/>
                <w:sz w:val="24"/>
              </w:rPr>
              <w:t>条款名称</w:t>
            </w:r>
          </w:p>
        </w:tc>
        <w:tc>
          <w:tcPr>
            <w:tcW w:w="6814" w:type="dxa"/>
            <w:tcBorders>
              <w:top w:val="single" w:color="auto" w:sz="12"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b/>
                <w:sz w:val="24"/>
              </w:rPr>
            </w:pPr>
            <w:r>
              <w:rPr>
                <w:rFonts w:hint="eastAsia" w:ascii="宋体" w:hAnsi="宋体" w:eastAsia="宋体" w:cs="Times New Roman"/>
                <w:b/>
                <w:sz w:val="24"/>
              </w:rPr>
              <w:t>说明和要求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rPr>
            </w:pPr>
            <w:r>
              <w:rPr>
                <w:rFonts w:ascii="宋体" w:hAnsi="宋体" w:eastAsia="宋体" w:cs="Times New Roman"/>
                <w:sz w:val="24"/>
              </w:rPr>
              <w:t>1</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center"/>
              <w:textAlignment w:val="auto"/>
              <w:rPr>
                <w:rFonts w:ascii="宋体" w:hAnsi="Times New Roman" w:eastAsia="宋体" w:cs="Times New Roman"/>
                <w:sz w:val="24"/>
              </w:rPr>
            </w:pPr>
            <w:r>
              <w:rPr>
                <w:rFonts w:hint="eastAsia" w:ascii="宋体" w:hAnsi="宋体" w:eastAsia="宋体" w:cs="Times New Roman"/>
                <w:sz w:val="24"/>
              </w:rPr>
              <w:t>采购人</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eastAsia" w:ascii="宋体" w:hAnsi="宋体" w:cs="Times New Roman"/>
                <w:sz w:val="24"/>
                <w:lang w:val="en-US" w:eastAsia="zh-CN"/>
              </w:rPr>
            </w:pPr>
            <w:r>
              <w:rPr>
                <w:rFonts w:hint="eastAsia" w:ascii="宋体" w:hAnsi="宋体" w:eastAsia="宋体" w:cs="宋体"/>
                <w:kern w:val="0"/>
                <w:sz w:val="24"/>
              </w:rPr>
              <w:t>名</w:t>
            </w:r>
            <w:r>
              <w:rPr>
                <w:rFonts w:ascii="宋体" w:hAnsi="宋体" w:eastAsia="宋体" w:cs="宋体"/>
                <w:kern w:val="0"/>
                <w:sz w:val="24"/>
              </w:rPr>
              <w:t xml:space="preserve">  </w:t>
            </w:r>
            <w:r>
              <w:rPr>
                <w:rFonts w:hint="eastAsia" w:ascii="宋体" w:hAnsi="宋体" w:eastAsia="宋体" w:cs="宋体"/>
                <w:kern w:val="0"/>
                <w:sz w:val="24"/>
              </w:rPr>
              <w:t>称：</w:t>
            </w:r>
            <w:r>
              <w:rPr>
                <w:rFonts w:hint="eastAsia" w:ascii="宋体" w:hAnsi="宋体" w:cs="Times New Roman"/>
                <w:sz w:val="24"/>
                <w:lang w:val="en-US" w:eastAsia="zh-CN"/>
              </w:rPr>
              <w:t>皮山县教育局</w:t>
            </w:r>
          </w:p>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eastAsia"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地  址：</w:t>
            </w:r>
            <w:r>
              <w:rPr>
                <w:rFonts w:hint="eastAsia" w:ascii="宋体" w:hAnsi="宋体" w:cs="Times New Roman"/>
                <w:b w:val="0"/>
                <w:bCs w:val="0"/>
                <w:kern w:val="2"/>
                <w:sz w:val="24"/>
                <w:szCs w:val="24"/>
                <w:lang w:val="en-US" w:eastAsia="zh-CN" w:bidi="ar-SA"/>
              </w:rPr>
              <w:t>皮山县新城区文化东路76号   </w:t>
            </w:r>
          </w:p>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default" w:ascii="宋体" w:hAnsi="宋体" w:eastAsia="宋体" w:cs="Times New Roman"/>
                <w:sz w:val="24"/>
                <w:lang w:val="en-US" w:eastAsia="zh-CN"/>
              </w:rPr>
            </w:pPr>
            <w:r>
              <w:rPr>
                <w:rFonts w:hint="eastAsia" w:ascii="宋体" w:hAnsi="宋体" w:eastAsia="宋体" w:cs="Times New Roman"/>
                <w:sz w:val="24"/>
                <w:lang w:val="zh-CN"/>
              </w:rPr>
              <w:t xml:space="preserve">联系人: </w:t>
            </w:r>
            <w:r>
              <w:rPr>
                <w:rFonts w:hint="eastAsia" w:ascii="宋体" w:hAnsi="宋体" w:cs="Times New Roman"/>
                <w:sz w:val="24"/>
                <w:lang w:val="en-US" w:eastAsia="zh-CN"/>
              </w:rPr>
              <w:t>孟利龙</w:t>
            </w:r>
          </w:p>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default" w:ascii="宋体" w:hAnsi="Times New Roman" w:eastAsia="宋体" w:cs="Times New Roman"/>
                <w:sz w:val="24"/>
                <w:lang w:val="en-US"/>
              </w:rPr>
            </w:pPr>
            <w:r>
              <w:rPr>
                <w:rFonts w:hint="eastAsia" w:ascii="宋体" w:hAnsi="宋体" w:eastAsia="宋体" w:cs="Times New Roman"/>
                <w:sz w:val="24"/>
                <w:lang w:val="zh-CN"/>
              </w:rPr>
              <w:t>电  话：</w:t>
            </w:r>
            <w:r>
              <w:rPr>
                <w:rFonts w:hint="eastAsia" w:ascii="仿宋" w:hAnsi="仿宋" w:eastAsia="仿宋" w:cs="仿宋"/>
                <w:i w:val="0"/>
                <w:iCs w:val="0"/>
                <w:caps w:val="0"/>
                <w:color w:val="000000"/>
                <w:spacing w:val="0"/>
                <w:kern w:val="0"/>
                <w:sz w:val="24"/>
                <w:szCs w:val="24"/>
                <w:lang w:val="en-US" w:eastAsia="zh-CN" w:bidi="ar"/>
              </w:rPr>
              <w:t>0903-6427567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75"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rPr>
            </w:pPr>
            <w:r>
              <w:rPr>
                <w:rFonts w:ascii="宋体" w:hAnsi="宋体" w:eastAsia="宋体" w:cs="Times New Roman"/>
                <w:sz w:val="24"/>
              </w:rPr>
              <w:t>2</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center"/>
              <w:textAlignment w:val="auto"/>
              <w:rPr>
                <w:rFonts w:ascii="宋体" w:hAnsi="Times New Roman" w:eastAsia="宋体" w:cs="Times New Roman"/>
                <w:sz w:val="24"/>
              </w:rPr>
            </w:pPr>
            <w:r>
              <w:rPr>
                <w:rFonts w:hint="eastAsia" w:ascii="宋体" w:hAnsi="宋体" w:eastAsia="宋体" w:cs="Times New Roman"/>
                <w:sz w:val="24"/>
              </w:rPr>
              <w:t>代理机构</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eastAsia" w:ascii="宋体" w:hAnsi="宋体" w:eastAsia="宋体" w:cs="Times New Roman"/>
                <w:sz w:val="24"/>
                <w:lang w:eastAsia="zh-CN"/>
              </w:rPr>
            </w:pPr>
            <w:r>
              <w:rPr>
                <w:rFonts w:hint="eastAsia" w:ascii="宋体" w:hAnsi="宋体" w:eastAsia="宋体" w:cs="Times New Roman"/>
                <w:sz w:val="24"/>
              </w:rPr>
              <w:t>名</w:t>
            </w:r>
            <w:r>
              <w:rPr>
                <w:rFonts w:ascii="宋体" w:hAnsi="宋体" w:eastAsia="宋体" w:cs="Times New Roman"/>
                <w:sz w:val="24"/>
              </w:rPr>
              <w:t xml:space="preserve">  </w:t>
            </w:r>
            <w:r>
              <w:rPr>
                <w:rFonts w:hint="eastAsia" w:ascii="宋体" w:hAnsi="宋体" w:eastAsia="宋体" w:cs="Times New Roman"/>
                <w:sz w:val="24"/>
              </w:rPr>
              <w:t>称：</w:t>
            </w:r>
            <w:r>
              <w:rPr>
                <w:rFonts w:hint="eastAsia" w:ascii="宋体" w:hAnsi="宋体" w:cs="Times New Roman"/>
                <w:sz w:val="24"/>
                <w:lang w:val="en-US" w:eastAsia="zh-CN"/>
              </w:rPr>
              <w:t>华春建设工程项目管理有限责任公司</w:t>
            </w:r>
          </w:p>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default" w:ascii="宋体" w:hAnsi="Times New Roman" w:eastAsia="宋体" w:cs="Times New Roman"/>
                <w:sz w:val="24"/>
                <w:lang w:val="en-US"/>
              </w:rPr>
            </w:pPr>
            <w:r>
              <w:rPr>
                <w:rFonts w:hint="eastAsia" w:ascii="宋体" w:hAnsi="宋体" w:eastAsia="宋体" w:cs="Times New Roman"/>
                <w:sz w:val="24"/>
              </w:rPr>
              <w:t>地</w:t>
            </w:r>
            <w:r>
              <w:rPr>
                <w:rFonts w:ascii="宋体" w:hAnsi="宋体" w:eastAsia="宋体" w:cs="Times New Roman"/>
                <w:sz w:val="24"/>
              </w:rPr>
              <w:t xml:space="preserve">  </w:t>
            </w:r>
            <w:r>
              <w:rPr>
                <w:rFonts w:hint="eastAsia" w:ascii="宋体" w:hAnsi="宋体" w:eastAsia="宋体" w:cs="Times New Roman"/>
                <w:sz w:val="24"/>
              </w:rPr>
              <w:t>址：</w:t>
            </w:r>
            <w:r>
              <w:rPr>
                <w:rFonts w:hint="eastAsia" w:ascii="宋体" w:hAnsi="宋体" w:cs="Times New Roman"/>
                <w:sz w:val="24"/>
                <w:lang w:val="en-US" w:eastAsia="zh-CN"/>
              </w:rPr>
              <w:t>和田市金鹰国际城13楼</w:t>
            </w:r>
          </w:p>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default" w:ascii="宋体" w:hAnsi="Times New Roman" w:eastAsia="宋体" w:cs="Times New Roman"/>
                <w:sz w:val="24"/>
                <w:lang w:val="en-US" w:eastAsia="zh-CN"/>
              </w:rPr>
            </w:pPr>
            <w:r>
              <w:rPr>
                <w:rFonts w:hint="eastAsia" w:ascii="宋体" w:hAnsi="宋体" w:eastAsia="宋体" w:cs="Times New Roman"/>
                <w:sz w:val="24"/>
              </w:rPr>
              <w:t>联系人：</w:t>
            </w:r>
            <w:r>
              <w:rPr>
                <w:rFonts w:hint="eastAsia" w:ascii="宋体" w:hAnsi="宋体" w:cs="Times New Roman"/>
                <w:sz w:val="24"/>
                <w:lang w:val="en-US" w:eastAsia="zh-CN"/>
              </w:rPr>
              <w:t>景金鹏</w:t>
            </w:r>
          </w:p>
          <w:p>
            <w:pPr>
              <w:keepNext w:val="0"/>
              <w:keepLines w:val="0"/>
              <w:pageBreakBefore w:val="0"/>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eastAsia" w:ascii="宋体" w:hAnsi="Times New Roman" w:eastAsia="宋体" w:cs="Times New Roman"/>
                <w:sz w:val="24"/>
                <w:lang w:val="en-US" w:eastAsia="zh-CN"/>
              </w:rPr>
            </w:pPr>
            <w:r>
              <w:rPr>
                <w:rFonts w:hint="eastAsia" w:ascii="宋体" w:hAnsi="宋体" w:eastAsia="宋体" w:cs="Times New Roman"/>
                <w:sz w:val="24"/>
              </w:rPr>
              <w:t>电</w:t>
            </w:r>
            <w:r>
              <w:rPr>
                <w:rFonts w:ascii="宋体" w:hAnsi="宋体" w:eastAsia="宋体" w:cs="Times New Roman"/>
                <w:sz w:val="24"/>
              </w:rPr>
              <w:t xml:space="preserve">  </w:t>
            </w:r>
            <w:r>
              <w:rPr>
                <w:rFonts w:hint="eastAsia" w:ascii="宋体" w:hAnsi="宋体" w:eastAsia="宋体" w:cs="Times New Roman"/>
                <w:sz w:val="24"/>
              </w:rPr>
              <w:t>话：</w:t>
            </w:r>
            <w:r>
              <w:rPr>
                <w:rFonts w:hint="eastAsia" w:ascii="宋体" w:hAnsi="宋体" w:cs="Times New Roman"/>
                <w:sz w:val="24"/>
                <w:lang w:eastAsia="zh-CN"/>
              </w:rPr>
              <w:t>15559430123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7"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rPr>
            </w:pPr>
            <w:r>
              <w:rPr>
                <w:rFonts w:ascii="宋体" w:hAnsi="宋体" w:eastAsia="宋体" w:cs="Times New Roman"/>
                <w:sz w:val="24"/>
              </w:rPr>
              <w:t>3</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rPr>
            </w:pPr>
            <w:r>
              <w:rPr>
                <w:rFonts w:hint="eastAsia" w:ascii="宋体" w:hAnsi="宋体" w:eastAsia="宋体" w:cs="Times New Roman"/>
                <w:sz w:val="24"/>
              </w:rPr>
              <w:t>采购项目名称</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left"/>
              <w:textAlignment w:val="auto"/>
              <w:rPr>
                <w:rFonts w:hint="eastAsia" w:ascii="宋体" w:hAnsi="宋体" w:eastAsia="宋体" w:cs="Times New Roman"/>
                <w:sz w:val="24"/>
                <w:lang w:eastAsia="zh-CN"/>
              </w:rPr>
            </w:pPr>
            <w:r>
              <w:rPr>
                <w:rFonts w:hint="eastAsia" w:ascii="宋体" w:hAnsi="宋体" w:cs="Times New Roman"/>
                <w:sz w:val="24"/>
                <w:lang w:val="en-US" w:eastAsia="zh-CN"/>
              </w:rPr>
              <w:t>皮山县固玛镇寄宿制第二、第三中学及固玛镇第二小学中华文化共同体主题校园文化建设补助项目-法治校园文化建设项目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8"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宋体" w:eastAsia="宋体" w:cs="Times New Roman"/>
                <w:sz w:val="24"/>
              </w:rPr>
            </w:pPr>
            <w:r>
              <w:rPr>
                <w:rFonts w:hint="eastAsia" w:ascii="宋体" w:hAnsi="宋体" w:eastAsia="宋体" w:cs="Times New Roman"/>
                <w:sz w:val="24"/>
              </w:rPr>
              <w:t>4</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宋体" w:eastAsia="宋体" w:cs="Times New Roman"/>
                <w:sz w:val="24"/>
              </w:rPr>
            </w:pPr>
            <w:r>
              <w:rPr>
                <w:rFonts w:hint="eastAsia" w:ascii="宋体" w:hAnsi="宋体" w:eastAsia="宋体" w:cs="Times New Roman"/>
                <w:sz w:val="24"/>
              </w:rPr>
              <w:t>采购内容</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left"/>
              <w:textAlignment w:val="auto"/>
              <w:rPr>
                <w:rFonts w:hint="eastAsia" w:ascii="宋体" w:hAnsi="宋体" w:eastAsia="宋体" w:cs="Times New Roman"/>
                <w:sz w:val="24"/>
                <w:lang w:eastAsia="zh-CN"/>
              </w:rPr>
            </w:pPr>
            <w:r>
              <w:rPr>
                <w:rFonts w:hint="eastAsia" w:ascii="宋体" w:hAnsi="宋体" w:eastAsia="宋体" w:cs="Times New Roman"/>
                <w:sz w:val="24"/>
                <w:lang w:val="en-US" w:eastAsia="zh-CN"/>
              </w:rPr>
              <w:t>采购范围：</w:t>
            </w:r>
            <w:r>
              <w:rPr>
                <w:rFonts w:hint="eastAsia" w:ascii="宋体" w:hAnsi="宋体" w:cs="Times New Roman"/>
                <w:sz w:val="24"/>
                <w:lang w:val="en-US" w:eastAsia="zh-CN"/>
              </w:rPr>
              <w:t>改造宪法宣传广场、五四广场、劳动教育基地、国旗台、法治长廊，装饰装修路灯杆文化宣传、法治文化墙、楼宇间宣传橱窗、校史馆、模拟法庭、法律图书室、教学楼走廊、室内运动文化宣传、心灵港湾（心理疏导室）、设备购置（及施工图纸所含全部内容施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rPr>
            </w:pPr>
            <w:r>
              <w:rPr>
                <w:rFonts w:hint="eastAsia" w:ascii="宋体" w:hAnsi="Times New Roman" w:eastAsia="宋体" w:cs="Times New Roman"/>
                <w:sz w:val="24"/>
              </w:rPr>
              <w:t>5</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宋体" w:eastAsia="宋体" w:cs="Times New Roman"/>
                <w:sz w:val="24"/>
              </w:rPr>
            </w:pPr>
            <w:r>
              <w:rPr>
                <w:rFonts w:hint="eastAsia" w:ascii="宋体" w:hAnsi="宋体" w:eastAsia="宋体" w:cs="Times New Roman"/>
                <w:sz w:val="24"/>
              </w:rPr>
              <w:t>资金来源</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default" w:ascii="宋体" w:hAnsi="宋体" w:eastAsia="宋体" w:cs="Times New Roman"/>
                <w:color w:val="auto"/>
                <w:sz w:val="24"/>
                <w:lang w:val="en-US" w:eastAsia="zh-CN"/>
              </w:rPr>
            </w:pPr>
            <w:r>
              <w:rPr>
                <w:rFonts w:hint="eastAsia" w:ascii="宋体" w:hAnsi="宋体" w:cs="Times New Roman"/>
                <w:sz w:val="24"/>
                <w:lang w:val="en-US" w:eastAsia="zh-CN"/>
              </w:rPr>
              <w:t>安徽省对口援疆规划项目资金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rPr>
            </w:pPr>
            <w:r>
              <w:rPr>
                <w:rFonts w:hint="eastAsia" w:ascii="宋体" w:hAnsi="Times New Roman" w:eastAsia="宋体" w:cs="Times New Roman"/>
                <w:sz w:val="24"/>
              </w:rPr>
              <w:t>6</w:t>
            </w:r>
          </w:p>
        </w:tc>
        <w:tc>
          <w:tcPr>
            <w:tcW w:w="2040" w:type="dxa"/>
            <w:tcBorders>
              <w:right w:val="single" w:color="auto" w:sz="4" w:space="0"/>
            </w:tcBorders>
            <w:vAlign w:val="center"/>
          </w:tcPr>
          <w:p>
            <w:pPr>
              <w:keepNext w:val="0"/>
              <w:keepLines w:val="0"/>
              <w:pageBreakBefore w:val="0"/>
              <w:tabs>
                <w:tab w:val="left" w:pos="900"/>
              </w:tabs>
              <w:kinsoku/>
              <w:wordWrap/>
              <w:overflowPunct/>
              <w:topLinePunct w:val="0"/>
              <w:autoSpaceDE/>
              <w:autoSpaceDN/>
              <w:bidi w:val="0"/>
              <w:adjustRightInd/>
              <w:snapToGrid/>
              <w:spacing w:beforeLines="10" w:afterLines="10" w:line="300" w:lineRule="exact"/>
              <w:ind w:left="0" w:right="0" w:firstLine="0" w:firstLineChars="0"/>
              <w:jc w:val="center"/>
              <w:textAlignment w:val="auto"/>
              <w:rPr>
                <w:rFonts w:ascii="宋体" w:hAnsi="Times New Roman" w:eastAsia="宋体" w:cs="Times New Roman"/>
                <w:sz w:val="24"/>
              </w:rPr>
            </w:pPr>
            <w:r>
              <w:rPr>
                <w:rFonts w:hint="eastAsia" w:ascii="宋体" w:hAnsi="宋体" w:eastAsia="宋体" w:cs="宋体"/>
                <w:kern w:val="0"/>
                <w:sz w:val="24"/>
              </w:rPr>
              <w:t>采购概算价</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宋体" w:cs="Times New Roman"/>
                <w:sz w:val="24"/>
                <w:lang w:val="en-US" w:eastAsia="zh-CN"/>
              </w:rPr>
            </w:pPr>
            <w:r>
              <w:rPr>
                <w:rFonts w:hint="eastAsia" w:ascii="宋体" w:hAnsi="宋体" w:cs="Times New Roman"/>
                <w:sz w:val="24"/>
                <w:lang w:val="en-US" w:eastAsia="zh-CN"/>
              </w:rPr>
              <w:t>最高限价：550.581491万元（货物及工程的供应、运输、安装、施工开具发票及相关售后服务等，此采购预算为最高限价、如超过预算价的报价为无效报价)</w:t>
            </w:r>
          </w:p>
          <w:p>
            <w:pPr>
              <w:keepNext w:val="0"/>
              <w:keepLines w:val="0"/>
              <w:pageBreakBefore w:val="0"/>
              <w:tabs>
                <w:tab w:val="left" w:pos="900"/>
              </w:tabs>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eastAsia" w:ascii="宋体" w:hAnsi="Times New Roman" w:eastAsia="宋体" w:cs="宋体"/>
                <w:color w:val="auto"/>
                <w:kern w:val="0"/>
                <w:sz w:val="24"/>
                <w:highlight w:val="none"/>
                <w:lang w:eastAsia="zh-CN"/>
              </w:rPr>
            </w:pPr>
            <w:r>
              <w:rPr>
                <w:rFonts w:hint="eastAsia" w:ascii="宋体" w:hAnsi="Times New Roman" w:eastAsia="宋体" w:cs="宋体"/>
                <w:b/>
                <w:bCs/>
                <w:color w:val="auto"/>
                <w:kern w:val="0"/>
                <w:sz w:val="24"/>
                <w:highlight w:val="none"/>
              </w:rPr>
              <w:t>投标报价高于预算限价按废标处理，敬请投标人注意</w:t>
            </w:r>
            <w:r>
              <w:rPr>
                <w:rFonts w:hint="eastAsia" w:ascii="宋体" w:cs="宋体"/>
                <w:b/>
                <w:bCs/>
                <w:color w:val="auto"/>
                <w:kern w:val="0"/>
                <w:sz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rPr>
            </w:pPr>
            <w:r>
              <w:rPr>
                <w:rFonts w:hint="eastAsia" w:ascii="宋体" w:hAnsi="Times New Roman" w:eastAsia="宋体" w:cs="Times New Roman"/>
                <w:sz w:val="24"/>
              </w:rPr>
              <w:t>7</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u w:val="single"/>
              </w:rPr>
            </w:pPr>
            <w:r>
              <w:rPr>
                <w:rFonts w:hint="eastAsia" w:ascii="宋体" w:hAnsi="宋体" w:eastAsia="宋体" w:cs="宋体"/>
                <w:kern w:val="0"/>
                <w:sz w:val="24"/>
              </w:rPr>
              <w:t>采购方式</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ascii="宋体" w:hAnsi="Times New Roman" w:eastAsia="宋体" w:cs="Times New Roman"/>
                <w:sz w:val="24"/>
                <w:u w:val="single"/>
              </w:rPr>
            </w:pPr>
            <w:r>
              <w:rPr>
                <w:rFonts w:hint="eastAsia" w:ascii="宋体" w:hAnsi="宋体" w:eastAsia="宋体" w:cs="Times New Roman"/>
                <w:sz w:val="24"/>
              </w:rPr>
              <w:t>公开招标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rPr>
            </w:pPr>
            <w:r>
              <w:rPr>
                <w:rFonts w:hint="eastAsia" w:ascii="宋体" w:hAnsi="Times New Roman" w:eastAsia="宋体" w:cs="Times New Roman"/>
                <w:sz w:val="24"/>
              </w:rPr>
              <w:t>8</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rPr>
            </w:pPr>
            <w:r>
              <w:rPr>
                <w:rFonts w:hint="eastAsia" w:ascii="宋体" w:hAnsi="宋体" w:eastAsia="宋体" w:cs="Times New Roman"/>
                <w:sz w:val="24"/>
              </w:rPr>
              <w:t>评标方法</w:t>
            </w:r>
          </w:p>
        </w:tc>
        <w:tc>
          <w:tcPr>
            <w:tcW w:w="6814"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75" w:after="75" w:line="300" w:lineRule="exact"/>
              <w:ind w:left="0" w:right="0" w:firstLine="0" w:firstLineChars="0"/>
              <w:jc w:val="left"/>
              <w:textAlignment w:val="auto"/>
              <w:rPr>
                <w:rFonts w:hint="default" w:ascii="宋体" w:hAnsi="Times New Roman" w:eastAsia="宋体" w:cs="Times New Roman"/>
                <w:sz w:val="24"/>
                <w:lang w:val="en-US" w:eastAsia="zh-CN"/>
              </w:rPr>
            </w:pPr>
            <w:r>
              <w:rPr>
                <w:rFonts w:hint="eastAsia" w:ascii="宋体" w:cs="Times New Roman"/>
                <w:sz w:val="24"/>
                <w:lang w:val="en-US" w:eastAsia="zh-CN"/>
              </w:rPr>
              <w:t>最低评标价法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default" w:ascii="宋体" w:cs="Times New Roman"/>
                <w:sz w:val="24"/>
                <w:lang w:val="en-US" w:eastAsia="zh-CN"/>
              </w:rPr>
            </w:pPr>
            <w:r>
              <w:rPr>
                <w:rFonts w:hint="eastAsia" w:ascii="宋体" w:cs="Times New Roman"/>
                <w:sz w:val="24"/>
                <w:lang w:val="en-US" w:eastAsia="zh-CN"/>
              </w:rPr>
              <w:t>9</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left"/>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信息公告媒体</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left"/>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 xml:space="preserve"> </w:t>
            </w:r>
            <w:r>
              <w:rPr>
                <w:rFonts w:hint="eastAsia" w:ascii="宋体" w:hAnsi="宋体" w:cs="Times New Roman"/>
                <w:sz w:val="24"/>
                <w:lang w:val="en-US" w:eastAsia="zh-CN"/>
              </w:rPr>
              <w:t>新</w:t>
            </w:r>
            <w:r>
              <w:rPr>
                <w:rFonts w:hint="eastAsia" w:ascii="宋体" w:hAnsi="宋体" w:eastAsia="宋体" w:cs="Times New Roman"/>
                <w:sz w:val="24"/>
                <w:lang w:val="en-US" w:eastAsia="zh-CN"/>
              </w:rPr>
              <w:t>疆 政 府 采 购 网 （http://www.ccgp-xinjiang.gov.cn/）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default" w:ascii="宋体" w:hAnsi="Times New Roman" w:eastAsia="宋体" w:cs="Times New Roman"/>
                <w:sz w:val="24"/>
                <w:lang w:val="en-US" w:eastAsia="zh-CN"/>
              </w:rPr>
            </w:pPr>
            <w:r>
              <w:rPr>
                <w:rFonts w:hint="eastAsia" w:ascii="宋体" w:cs="Times New Roman"/>
                <w:sz w:val="24"/>
                <w:lang w:val="en-US" w:eastAsia="zh-CN"/>
              </w:rPr>
              <w:t>10</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宋体" w:eastAsia="宋体" w:cs="Times New Roman"/>
                <w:sz w:val="24"/>
              </w:rPr>
            </w:pPr>
            <w:r>
              <w:rPr>
                <w:rFonts w:hint="eastAsia" w:asciiTheme="minorEastAsia" w:hAnsiTheme="minorEastAsia" w:eastAsiaTheme="minorEastAsia" w:cstheme="minorEastAsia"/>
                <w:color w:val="auto"/>
                <w:sz w:val="24"/>
                <w:szCs w:val="24"/>
                <w:highlight w:val="none"/>
              </w:rPr>
              <w:t>资格要求</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left"/>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投标供应商资格要求:</w:t>
            </w:r>
          </w:p>
          <w:p>
            <w:pPr>
              <w:keepNext w:val="0"/>
              <w:keepLines w:val="0"/>
              <w:pageBreakBefore w:val="0"/>
              <w:kinsoku/>
              <w:wordWrap/>
              <w:overflowPunct/>
              <w:topLinePunct w:val="0"/>
              <w:autoSpaceDE/>
              <w:autoSpaceDN/>
              <w:bidi w:val="0"/>
              <w:adjustRightInd/>
              <w:snapToGrid/>
              <w:spacing w:line="300" w:lineRule="exact"/>
              <w:ind w:left="0" w:right="0" w:firstLine="480" w:firstLineChars="200"/>
              <w:jc w:val="left"/>
              <w:textAlignment w:val="auto"/>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（1）经年审核有效的三证合一营业执照；</w:t>
            </w:r>
          </w:p>
          <w:p>
            <w:pPr>
              <w:keepNext w:val="0"/>
              <w:keepLines w:val="0"/>
              <w:pageBreakBefore w:val="0"/>
              <w:kinsoku/>
              <w:wordWrap/>
              <w:overflowPunct/>
              <w:topLinePunct w:val="0"/>
              <w:autoSpaceDE/>
              <w:autoSpaceDN/>
              <w:bidi w:val="0"/>
              <w:adjustRightInd/>
              <w:snapToGrid/>
              <w:spacing w:line="300" w:lineRule="exact"/>
              <w:ind w:left="0" w:right="0" w:firstLine="480" w:firstLineChars="200"/>
              <w:jc w:val="left"/>
              <w:textAlignment w:val="auto"/>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（2）法定代表人参加的需提供法定代表人证明书，委托代理人参加的需提供法定代表人授权委托书，在公司所缴纳近6个月的社保证明</w:t>
            </w:r>
            <w:r>
              <w:rPr>
                <w:rFonts w:hint="eastAsia" w:ascii="宋体" w:cs="Times New Roman"/>
                <w:sz w:val="24"/>
                <w:lang w:val="en-US" w:eastAsia="zh-CN"/>
              </w:rPr>
              <w:t>扫描</w:t>
            </w:r>
            <w:r>
              <w:rPr>
                <w:rFonts w:hint="eastAsia" w:ascii="宋体" w:hAnsi="Times New Roman" w:eastAsia="宋体" w:cs="Times New Roman"/>
                <w:sz w:val="24"/>
                <w:lang w:val="en-US" w:eastAsia="zh-CN"/>
              </w:rPr>
              <w:t>件（社保缴纳个人明细）</w:t>
            </w:r>
          </w:p>
          <w:p>
            <w:pPr>
              <w:keepNext w:val="0"/>
              <w:keepLines w:val="0"/>
              <w:pageBreakBefore w:val="0"/>
              <w:kinsoku/>
              <w:wordWrap/>
              <w:overflowPunct/>
              <w:topLinePunct w:val="0"/>
              <w:autoSpaceDE/>
              <w:autoSpaceDN/>
              <w:bidi w:val="0"/>
              <w:adjustRightInd/>
              <w:snapToGrid/>
              <w:spacing w:line="300" w:lineRule="exact"/>
              <w:ind w:left="0" w:right="0" w:firstLine="480" w:firstLineChars="200"/>
              <w:jc w:val="left"/>
              <w:textAlignment w:val="auto"/>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w:t>
            </w:r>
            <w:r>
              <w:rPr>
                <w:rFonts w:hint="eastAsia" w:ascii="宋体" w:cs="Times New Roman"/>
                <w:sz w:val="24"/>
                <w:lang w:val="en-US" w:eastAsia="zh-CN"/>
              </w:rPr>
              <w:t>3</w:t>
            </w:r>
            <w:r>
              <w:rPr>
                <w:rFonts w:hint="eastAsia" w:ascii="宋体" w:hAnsi="Times New Roman" w:eastAsia="宋体" w:cs="Times New Roman"/>
                <w:sz w:val="24"/>
                <w:lang w:val="en-US" w:eastAsia="zh-CN"/>
              </w:rPr>
              <w:t>）凡拟参加本次招标项目的供应商须提供2021年度</w:t>
            </w:r>
            <w:r>
              <w:rPr>
                <w:rFonts w:hint="eastAsia" w:ascii="宋体" w:cs="Times New Roman"/>
                <w:sz w:val="24"/>
                <w:lang w:val="en-US" w:eastAsia="zh-CN"/>
              </w:rPr>
              <w:t>或2022年度</w:t>
            </w:r>
            <w:r>
              <w:rPr>
                <w:rFonts w:hint="eastAsia" w:ascii="宋体" w:hAnsi="Times New Roman" w:eastAsia="宋体" w:cs="Times New Roman"/>
                <w:sz w:val="24"/>
                <w:lang w:val="en-US" w:eastAsia="zh-CN"/>
              </w:rPr>
              <w:t>财务审计报告（202</w:t>
            </w:r>
            <w:r>
              <w:rPr>
                <w:rFonts w:hint="eastAsia" w:ascii="宋体" w:cs="Times New Roman"/>
                <w:sz w:val="24"/>
                <w:lang w:val="en-US" w:eastAsia="zh-CN"/>
              </w:rPr>
              <w:t>3</w:t>
            </w:r>
            <w:r>
              <w:rPr>
                <w:rFonts w:hint="eastAsia" w:ascii="宋体" w:hAnsi="Times New Roman" w:eastAsia="宋体" w:cs="Times New Roman"/>
                <w:sz w:val="24"/>
                <w:lang w:val="en-US" w:eastAsia="zh-CN"/>
              </w:rPr>
              <w:t>年成立的公司不提供）</w:t>
            </w:r>
          </w:p>
          <w:p>
            <w:pPr>
              <w:keepNext w:val="0"/>
              <w:keepLines w:val="0"/>
              <w:pageBreakBefore w:val="0"/>
              <w:kinsoku/>
              <w:wordWrap/>
              <w:overflowPunct/>
              <w:topLinePunct w:val="0"/>
              <w:autoSpaceDE/>
              <w:autoSpaceDN/>
              <w:bidi w:val="0"/>
              <w:adjustRightInd/>
              <w:snapToGrid/>
              <w:spacing w:line="300" w:lineRule="exact"/>
              <w:ind w:left="0" w:right="0" w:firstLine="480" w:firstLineChars="200"/>
              <w:jc w:val="left"/>
              <w:textAlignment w:val="auto"/>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w:t>
            </w:r>
            <w:r>
              <w:rPr>
                <w:rFonts w:hint="eastAsia" w:ascii="宋体" w:cs="Times New Roman"/>
                <w:sz w:val="24"/>
                <w:lang w:val="en-US" w:eastAsia="zh-CN"/>
              </w:rPr>
              <w:t>4</w:t>
            </w:r>
            <w:r>
              <w:rPr>
                <w:rFonts w:hint="eastAsia" w:ascii="宋体" w:hAnsi="Times New Roman" w:eastAsia="宋体" w:cs="Times New Roman"/>
                <w:sz w:val="24"/>
                <w:lang w:val="en-US" w:eastAsia="zh-CN"/>
              </w:rPr>
              <w:t>）近三年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p>
            <w:pPr>
              <w:keepNext w:val="0"/>
              <w:keepLines w:val="0"/>
              <w:pageBreakBefore w:val="0"/>
              <w:kinsoku/>
              <w:wordWrap/>
              <w:overflowPunct/>
              <w:topLinePunct w:val="0"/>
              <w:autoSpaceDE/>
              <w:autoSpaceDN/>
              <w:bidi w:val="0"/>
              <w:adjustRightInd/>
              <w:snapToGrid/>
              <w:spacing w:line="300" w:lineRule="exact"/>
              <w:ind w:left="0" w:right="0" w:firstLine="480" w:firstLineChars="200"/>
              <w:jc w:val="left"/>
              <w:textAlignment w:val="auto"/>
              <w:rPr>
                <w:rFonts w:hint="eastAsia" w:ascii="宋体" w:hAnsi="Times New Roman" w:eastAsia="宋体" w:cs="Times New Roman"/>
                <w:sz w:val="24"/>
                <w:lang w:val="en-US" w:eastAsia="zh-CN"/>
              </w:rPr>
            </w:pPr>
            <w:r>
              <w:rPr>
                <w:rFonts w:hint="eastAsia" w:ascii="宋体" w:hAnsi="Times New Roman" w:eastAsia="宋体" w:cs="Times New Roman"/>
                <w:sz w:val="24"/>
                <w:lang w:val="en-US" w:eastAsia="zh-CN"/>
              </w:rPr>
              <w:t>（</w:t>
            </w:r>
            <w:r>
              <w:rPr>
                <w:rFonts w:hint="eastAsia" w:ascii="宋体" w:cs="Times New Roman"/>
                <w:sz w:val="24"/>
                <w:lang w:val="en-US" w:eastAsia="zh-CN"/>
              </w:rPr>
              <w:t>5</w:t>
            </w:r>
            <w:r>
              <w:rPr>
                <w:rFonts w:hint="eastAsia" w:ascii="宋体" w:hAnsi="Times New Roman" w:eastAsia="宋体" w:cs="Times New Roman"/>
                <w:sz w:val="24"/>
                <w:lang w:val="en-US" w:eastAsia="zh-CN"/>
              </w:rPr>
              <w:t>）企业负责人为同一人或者存在直接控股、管理关系的不同投标人，不得参加同一合同项下的政府采购活动。否则，皆取消投标资格。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9"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default" w:ascii="宋体" w:hAnsi="Times New Roman" w:eastAsia="宋体" w:cs="Times New Roman"/>
                <w:sz w:val="24"/>
                <w:highlight w:val="none"/>
                <w:lang w:val="en-US" w:eastAsia="zh-CN"/>
              </w:rPr>
            </w:pPr>
            <w:r>
              <w:rPr>
                <w:rFonts w:hint="eastAsia" w:ascii="宋体" w:cs="Times New Roman"/>
                <w:sz w:val="24"/>
                <w:highlight w:val="none"/>
                <w:lang w:val="en-US" w:eastAsia="zh-CN"/>
              </w:rPr>
              <w:t>11</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b/>
                <w:bCs/>
                <w:sz w:val="24"/>
                <w:highlight w:val="none"/>
              </w:rPr>
            </w:pPr>
            <w:r>
              <w:rPr>
                <w:rFonts w:hint="eastAsia" w:ascii="宋体" w:hAnsi="宋体"/>
                <w:b w:val="0"/>
                <w:bCs w:val="0"/>
                <w:sz w:val="24"/>
                <w:highlight w:val="none"/>
                <w:lang w:val="en-US" w:eastAsia="zh-CN"/>
              </w:rPr>
              <w:t>供货</w:t>
            </w:r>
            <w:r>
              <w:rPr>
                <w:rFonts w:hint="eastAsia" w:ascii="宋体" w:hAnsi="宋体"/>
                <w:b w:val="0"/>
                <w:bCs w:val="0"/>
                <w:sz w:val="24"/>
                <w:highlight w:val="none"/>
              </w:rPr>
              <w:t>期</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default" w:ascii="Times New Roman" w:hAnsi="Times New Roman" w:eastAsia="宋体" w:cs="Times New Roman"/>
                <w:b/>
                <w:bCs/>
                <w:highlight w:val="none"/>
                <w:lang w:val="en-US"/>
              </w:rPr>
            </w:pPr>
            <w:r>
              <w:rPr>
                <w:rFonts w:hint="eastAsia" w:cs="Times New Roman"/>
                <w:b/>
                <w:bCs/>
                <w:highlight w:val="none"/>
                <w:lang w:val="en-US" w:eastAsia="zh-CN"/>
              </w:rPr>
              <w:t>30天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6"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sz w:val="24"/>
                <w:highlight w:val="none"/>
                <w:lang w:eastAsia="zh-CN"/>
              </w:rPr>
            </w:pPr>
            <w:r>
              <w:rPr>
                <w:rFonts w:hint="eastAsia" w:ascii="宋体" w:hAnsi="Times New Roman" w:eastAsia="宋体" w:cs="Times New Roman"/>
                <w:sz w:val="24"/>
                <w:highlight w:val="none"/>
              </w:rPr>
              <w:t>1</w:t>
            </w:r>
            <w:r>
              <w:rPr>
                <w:rFonts w:hint="eastAsia" w:ascii="宋体" w:cs="Times New Roman"/>
                <w:sz w:val="24"/>
                <w:highlight w:val="none"/>
                <w:lang w:val="en-US" w:eastAsia="zh-CN"/>
              </w:rPr>
              <w:t>2</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highlight w:val="none"/>
              </w:rPr>
            </w:pPr>
            <w:r>
              <w:rPr>
                <w:rFonts w:hint="eastAsia" w:ascii="宋体" w:hAnsi="宋体" w:eastAsia="宋体" w:cs="Times New Roman"/>
                <w:sz w:val="24"/>
                <w:highlight w:val="none"/>
              </w:rPr>
              <w:t>质量要求</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ascii="宋体" w:hAnsi="Times New Roman" w:eastAsia="宋体" w:cs="Times New Roman"/>
                <w:sz w:val="24"/>
                <w:highlight w:val="none"/>
              </w:rPr>
            </w:pPr>
            <w:r>
              <w:rPr>
                <w:rFonts w:hint="eastAsia" w:ascii="宋体"/>
                <w:color w:val="000000"/>
                <w:sz w:val="24"/>
              </w:rPr>
              <w:t>成果质量要求执行国家或行业标准、规范，确保项目成果质量符合有关文件或技术标准的规定及上级有关部门的要求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7"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sz w:val="24"/>
                <w:highlight w:val="none"/>
                <w:lang w:eastAsia="zh-CN"/>
              </w:rPr>
            </w:pPr>
            <w:r>
              <w:rPr>
                <w:rFonts w:hint="eastAsia" w:ascii="宋体" w:hAnsi="Times New Roman" w:eastAsia="宋体" w:cs="Times New Roman"/>
                <w:sz w:val="24"/>
                <w:highlight w:val="none"/>
              </w:rPr>
              <w:t>1</w:t>
            </w:r>
            <w:r>
              <w:rPr>
                <w:rFonts w:hint="eastAsia" w:ascii="宋体" w:cs="Times New Roman"/>
                <w:sz w:val="24"/>
                <w:highlight w:val="none"/>
                <w:lang w:val="en-US" w:eastAsia="zh-CN"/>
              </w:rPr>
              <w:t>3</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highlight w:val="none"/>
              </w:rPr>
            </w:pPr>
            <w:r>
              <w:rPr>
                <w:rFonts w:hint="eastAsia" w:ascii="宋体" w:hAnsi="宋体" w:eastAsia="宋体" w:cs="Times New Roman"/>
                <w:sz w:val="24"/>
                <w:highlight w:val="none"/>
              </w:rPr>
              <w:t>联合体投标</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Times New Roman" w:eastAsia="宋体" w:cs="Times New Roman"/>
                <w:sz w:val="24"/>
                <w:highlight w:val="none"/>
                <w:lang w:val="en-US" w:eastAsia="zh-CN"/>
              </w:rPr>
            </w:pPr>
            <w:r>
              <w:rPr>
                <w:rFonts w:hint="eastAsia" w:ascii="宋体" w:hAnsi="宋体" w:cs="Times New Roman"/>
                <w:sz w:val="24"/>
                <w:highlight w:val="none"/>
                <w:lang w:val="en-US" w:eastAsia="zh-CN"/>
              </w:rPr>
              <w:t>不接受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7"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sz w:val="24"/>
                <w:highlight w:val="none"/>
                <w:lang w:eastAsia="zh-CN"/>
              </w:rPr>
            </w:pPr>
            <w:r>
              <w:rPr>
                <w:rFonts w:ascii="宋体" w:hAnsi="宋体" w:eastAsia="宋体" w:cs="Times New Roman"/>
                <w:sz w:val="24"/>
                <w:highlight w:val="none"/>
              </w:rPr>
              <w:t>1</w:t>
            </w:r>
            <w:r>
              <w:rPr>
                <w:rFonts w:hint="eastAsia" w:ascii="宋体" w:hAnsi="宋体" w:cs="Times New Roman"/>
                <w:sz w:val="24"/>
                <w:highlight w:val="none"/>
                <w:lang w:val="en-US" w:eastAsia="zh-CN"/>
              </w:rPr>
              <w:t>4</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highlight w:val="none"/>
              </w:rPr>
            </w:pPr>
            <w:r>
              <w:rPr>
                <w:rFonts w:hint="eastAsia" w:ascii="宋体" w:hAnsi="宋体" w:cs="Times New Roman"/>
                <w:sz w:val="24"/>
                <w:highlight w:val="none"/>
                <w:lang w:val="en-US" w:eastAsia="zh-CN"/>
              </w:rPr>
              <w:t>踏勘</w:t>
            </w:r>
            <w:r>
              <w:rPr>
                <w:rFonts w:hint="eastAsia" w:ascii="宋体" w:hAnsi="宋体" w:eastAsia="宋体" w:cs="Times New Roman"/>
                <w:sz w:val="24"/>
                <w:highlight w:val="none"/>
              </w:rPr>
              <w:t>现场</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ascii="宋体" w:hAnsi="Times New Roman" w:eastAsia="宋体" w:cs="Times New Roman"/>
                <w:sz w:val="24"/>
                <w:highlight w:val="none"/>
              </w:rPr>
            </w:pPr>
            <w:r>
              <w:rPr>
                <w:rFonts w:hint="eastAsia" w:ascii="宋体" w:hAnsi="Times New Roman" w:eastAsia="宋体" w:cs="Times New Roman"/>
                <w:sz w:val="24"/>
                <w:highlight w:val="none"/>
              </w:rPr>
              <w:t>不组织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3"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sz w:val="24"/>
                <w:highlight w:val="none"/>
                <w:lang w:eastAsia="zh-CN"/>
              </w:rPr>
            </w:pPr>
            <w:r>
              <w:rPr>
                <w:rFonts w:ascii="宋体" w:hAnsi="宋体" w:eastAsia="宋体" w:cs="Times New Roman"/>
                <w:sz w:val="24"/>
                <w:highlight w:val="none"/>
              </w:rPr>
              <w:t>1</w:t>
            </w:r>
            <w:r>
              <w:rPr>
                <w:rFonts w:hint="eastAsia" w:ascii="宋体" w:hAnsi="宋体" w:cs="Times New Roman"/>
                <w:sz w:val="24"/>
                <w:highlight w:val="none"/>
                <w:lang w:val="en-US" w:eastAsia="zh-CN"/>
              </w:rPr>
              <w:t>5</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sz w:val="24"/>
                <w:highlight w:val="none"/>
              </w:rPr>
            </w:pPr>
            <w:r>
              <w:rPr>
                <w:rFonts w:hint="eastAsia" w:ascii="宋体" w:hAnsi="宋体" w:eastAsia="宋体" w:cs="Times New Roman"/>
                <w:sz w:val="24"/>
                <w:highlight w:val="none"/>
              </w:rPr>
              <w:t>投标人对招标文件提出质疑的时间</w:t>
            </w:r>
          </w:p>
        </w:tc>
        <w:tc>
          <w:tcPr>
            <w:tcW w:w="6814" w:type="dxa"/>
            <w:tcBorders>
              <w:left w:val="single" w:color="auto" w:sz="4" w:space="0"/>
            </w:tcBorders>
            <w:vAlign w:val="center"/>
          </w:tcPr>
          <w:p>
            <w:pPr>
              <w:pStyle w:val="164"/>
              <w:spacing w:line="440" w:lineRule="exact"/>
              <w:jc w:val="both"/>
              <w:rPr>
                <w:rFonts w:hint="eastAsia" w:ascii="宋体" w:hAnsi="宋体" w:eastAsia="宋体" w:cs="Times New Roman"/>
                <w:b w:val="0"/>
                <w:bCs w:val="0"/>
                <w:color w:val="000000"/>
                <w:kern w:val="2"/>
                <w:sz w:val="24"/>
                <w:szCs w:val="22"/>
                <w:lang w:val="en-US" w:eastAsia="zh-CN" w:bidi="ar-SA"/>
              </w:rPr>
            </w:pPr>
            <w:r>
              <w:rPr>
                <w:rFonts w:hint="eastAsia" w:cs="Times New Roman"/>
                <w:b w:val="0"/>
                <w:bCs w:val="0"/>
                <w:color w:val="000000"/>
                <w:kern w:val="2"/>
                <w:sz w:val="24"/>
                <w:szCs w:val="22"/>
                <w:lang w:val="en-US" w:eastAsia="zh-CN" w:bidi="ar-SA"/>
              </w:rPr>
              <w:t>投标人应在投标截止7日前；</w:t>
            </w:r>
            <w:r>
              <w:rPr>
                <w:rFonts w:hint="eastAsia" w:ascii="宋体" w:hAnsi="宋体" w:eastAsia="宋体" w:cs="Times New Roman"/>
                <w:b w:val="0"/>
                <w:bCs w:val="0"/>
                <w:color w:val="000000"/>
                <w:kern w:val="2"/>
                <w:sz w:val="24"/>
                <w:szCs w:val="22"/>
                <w:lang w:val="en-US" w:eastAsia="zh-CN" w:bidi="ar-SA"/>
              </w:rPr>
              <w:t>质疑函的方式：将PDF格式电子版质疑文件加盖公章扫描发送至</w:t>
            </w:r>
            <w:r>
              <w:rPr>
                <w:rFonts w:hint="eastAsia" w:cs="Times New Roman"/>
                <w:b w:val="0"/>
                <w:bCs w:val="0"/>
                <w:color w:val="000000"/>
                <w:kern w:val="2"/>
                <w:sz w:val="24"/>
                <w:szCs w:val="22"/>
                <w:lang w:val="en-US" w:eastAsia="zh-CN" w:bidi="ar-SA"/>
              </w:rPr>
              <w:t>477088838</w:t>
            </w:r>
            <w:r>
              <w:rPr>
                <w:rFonts w:hint="eastAsia" w:ascii="宋体" w:hAnsi="宋体" w:eastAsia="宋体" w:cs="Times New Roman"/>
                <w:b w:val="0"/>
                <w:bCs w:val="0"/>
                <w:color w:val="000000"/>
                <w:kern w:val="2"/>
                <w:sz w:val="24"/>
                <w:szCs w:val="22"/>
                <w:lang w:val="en-US" w:eastAsia="zh-CN" w:bidi="ar-SA"/>
              </w:rPr>
              <w:t>@qq.com邮箱。</w:t>
            </w:r>
          </w:p>
          <w:p>
            <w:pPr>
              <w:pStyle w:val="164"/>
              <w:spacing w:line="440" w:lineRule="exact"/>
              <w:jc w:val="both"/>
              <w:rPr>
                <w:rFonts w:hint="eastAsia" w:ascii="宋体" w:hAnsi="宋体" w:eastAsia="宋体" w:cs="Times New Roman"/>
                <w:b w:val="0"/>
                <w:bCs w:val="0"/>
                <w:color w:val="000000"/>
                <w:kern w:val="2"/>
                <w:sz w:val="24"/>
                <w:szCs w:val="22"/>
                <w:lang w:val="en-US" w:eastAsia="zh-CN" w:bidi="ar-SA"/>
              </w:rPr>
            </w:pPr>
            <w:r>
              <w:rPr>
                <w:rFonts w:hint="eastAsia" w:ascii="宋体" w:hAnsi="宋体" w:eastAsia="宋体" w:cs="Times New Roman"/>
                <w:b w:val="0"/>
                <w:bCs w:val="0"/>
                <w:color w:val="000000"/>
                <w:kern w:val="2"/>
                <w:sz w:val="24"/>
                <w:szCs w:val="22"/>
                <w:lang w:val="en-US" w:eastAsia="zh-CN" w:bidi="ar-SA"/>
              </w:rPr>
              <w:t>接受质疑的单位：</w:t>
            </w:r>
            <w:r>
              <w:rPr>
                <w:rFonts w:hint="eastAsia" w:cs="Times New Roman"/>
                <w:b w:val="0"/>
                <w:bCs w:val="0"/>
                <w:color w:val="000000"/>
                <w:kern w:val="2"/>
                <w:sz w:val="24"/>
                <w:szCs w:val="22"/>
                <w:lang w:val="en-US" w:eastAsia="zh-CN" w:bidi="ar-SA"/>
              </w:rPr>
              <w:t>华春建设工程项目管理有限责任公司</w:t>
            </w:r>
          </w:p>
          <w:p>
            <w:pPr>
              <w:pStyle w:val="164"/>
              <w:spacing w:line="440" w:lineRule="exact"/>
              <w:jc w:val="both"/>
              <w:rPr>
                <w:rFonts w:ascii="宋体" w:hAnsi="Times New Roman" w:eastAsia="宋体" w:cs="Times New Roman"/>
                <w:sz w:val="24"/>
                <w:highlight w:val="none"/>
              </w:rPr>
            </w:pPr>
            <w:r>
              <w:rPr>
                <w:rFonts w:hint="eastAsia" w:ascii="宋体" w:hAnsi="宋体" w:eastAsia="宋体" w:cs="Times New Roman"/>
                <w:b w:val="0"/>
                <w:bCs w:val="0"/>
                <w:color w:val="000000"/>
                <w:kern w:val="2"/>
                <w:sz w:val="24"/>
                <w:szCs w:val="22"/>
                <w:lang w:val="en-US" w:eastAsia="zh-CN" w:bidi="ar-SA"/>
              </w:rPr>
              <w:t>联系电话：</w:t>
            </w:r>
            <w:r>
              <w:rPr>
                <w:rFonts w:hint="eastAsia" w:cs="Times New Roman"/>
                <w:b w:val="0"/>
                <w:bCs w:val="0"/>
                <w:color w:val="000000"/>
                <w:kern w:val="2"/>
                <w:sz w:val="24"/>
                <w:szCs w:val="22"/>
                <w:lang w:val="en-US" w:eastAsia="zh-CN" w:bidi="ar-SA"/>
              </w:rPr>
              <w:t>15559430123</w:t>
            </w:r>
            <w:r>
              <w:rPr>
                <w:rFonts w:hint="eastAsia" w:ascii="宋体" w:hAnsi="宋体" w:eastAsia="宋体" w:cs="Times New Roman"/>
                <w:b w:val="0"/>
                <w:bCs w:val="0"/>
                <w:color w:val="000000"/>
                <w:kern w:val="2"/>
                <w:sz w:val="24"/>
                <w:szCs w:val="22"/>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6"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color w:val="auto"/>
                <w:sz w:val="24"/>
                <w:highlight w:val="none"/>
                <w:lang w:eastAsia="zh-CN"/>
              </w:rPr>
            </w:pPr>
            <w:r>
              <w:rPr>
                <w:rFonts w:ascii="宋体" w:hAnsi="宋体" w:eastAsia="宋体" w:cs="Times New Roman"/>
                <w:color w:val="auto"/>
                <w:sz w:val="24"/>
                <w:highlight w:val="none"/>
              </w:rPr>
              <w:t>1</w:t>
            </w:r>
            <w:r>
              <w:rPr>
                <w:rFonts w:hint="eastAsia" w:ascii="宋体" w:hAnsi="宋体" w:cs="Times New Roman"/>
                <w:color w:val="auto"/>
                <w:sz w:val="24"/>
                <w:highlight w:val="none"/>
                <w:lang w:val="en-US" w:eastAsia="zh-CN"/>
              </w:rPr>
              <w:t>6</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构成招标文件的其他文件</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rPr>
              <w:t>招标文件的澄清、修改书及有关补充通知为招标文件的有效组成部分</w:t>
            </w:r>
            <w:r>
              <w:rPr>
                <w:rFonts w:hint="eastAsia" w:ascii="宋体" w:hAnsi="宋体" w:eastAsia="宋体" w:cs="Times New Roman"/>
                <w:color w:val="auto"/>
                <w:sz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color w:val="auto"/>
                <w:sz w:val="24"/>
                <w:highlight w:val="none"/>
                <w:lang w:eastAsia="zh-CN"/>
              </w:rPr>
            </w:pPr>
            <w:r>
              <w:rPr>
                <w:rFonts w:ascii="宋体" w:hAnsi="宋体" w:eastAsia="宋体" w:cs="Times New Roman"/>
                <w:color w:val="auto"/>
                <w:sz w:val="24"/>
                <w:highlight w:val="none"/>
              </w:rPr>
              <w:t>1</w:t>
            </w:r>
            <w:r>
              <w:rPr>
                <w:rFonts w:hint="eastAsia" w:ascii="宋体" w:hAnsi="宋体" w:cs="Times New Roman"/>
                <w:color w:val="auto"/>
                <w:sz w:val="24"/>
                <w:highlight w:val="none"/>
                <w:lang w:val="en-US" w:eastAsia="zh-CN"/>
              </w:rPr>
              <w:t>7</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投标截止时间</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宋体" w:eastAsia="宋体" w:cs="Times New Roman"/>
                <w:color w:val="auto"/>
                <w:sz w:val="24"/>
                <w:highlight w:val="none"/>
              </w:rPr>
            </w:pPr>
            <w:r>
              <w:rPr>
                <w:rFonts w:hint="eastAsia" w:ascii="宋体" w:hAnsi="宋体" w:cs="Times New Roman"/>
                <w:color w:val="auto"/>
                <w:sz w:val="24"/>
                <w:highlight w:val="none"/>
                <w:lang w:eastAsia="zh-CN"/>
              </w:rPr>
              <w:t>2023年1月13日11：00分</w:t>
            </w:r>
            <w:r>
              <w:rPr>
                <w:rFonts w:hint="eastAsia" w:ascii="宋体" w:hAnsi="宋体" w:eastAsia="宋体" w:cs="Times New Roman"/>
                <w:color w:val="auto"/>
                <w:sz w:val="24"/>
                <w:highlight w:val="none"/>
              </w:rPr>
              <w:t>（北京时间）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2"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color w:val="auto"/>
                <w:sz w:val="24"/>
                <w:highlight w:val="none"/>
                <w:lang w:eastAsia="zh-CN"/>
              </w:rPr>
            </w:pPr>
            <w:r>
              <w:rPr>
                <w:rFonts w:ascii="宋体" w:hAnsi="宋体" w:eastAsia="宋体" w:cs="Times New Roman"/>
                <w:color w:val="auto"/>
                <w:sz w:val="24"/>
                <w:highlight w:val="none"/>
              </w:rPr>
              <w:t>1</w:t>
            </w:r>
            <w:r>
              <w:rPr>
                <w:rFonts w:hint="eastAsia" w:ascii="宋体" w:hAnsi="宋体" w:cs="Times New Roman"/>
                <w:color w:val="auto"/>
                <w:sz w:val="24"/>
                <w:highlight w:val="none"/>
                <w:lang w:val="en-US" w:eastAsia="zh-CN"/>
              </w:rPr>
              <w:t>8</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投标</w:t>
            </w:r>
            <w:r>
              <w:rPr>
                <w:rFonts w:hint="eastAsia" w:ascii="宋体" w:hAnsi="Times New Roman" w:eastAsia="宋体" w:cs="Times New Roman"/>
                <w:bCs/>
                <w:color w:val="auto"/>
                <w:sz w:val="24"/>
                <w:highlight w:val="none"/>
              </w:rPr>
              <w:t>有效期</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宋体" w:eastAsia="宋体" w:cs="Times New Roman"/>
                <w:color w:val="auto"/>
                <w:sz w:val="24"/>
                <w:highlight w:val="none"/>
              </w:rPr>
            </w:pPr>
            <w:r>
              <w:rPr>
                <w:rFonts w:hint="eastAsia" w:ascii="宋体" w:hAnsi="宋体" w:cs="Times New Roman"/>
                <w:color w:val="auto"/>
                <w:sz w:val="24"/>
                <w:highlight w:val="none"/>
                <w:lang w:val="en-US" w:eastAsia="zh-CN"/>
              </w:rPr>
              <w:t>90</w:t>
            </w:r>
            <w:r>
              <w:rPr>
                <w:rFonts w:hint="eastAsia" w:ascii="宋体" w:hAnsi="宋体" w:eastAsia="宋体" w:cs="Times New Roman"/>
                <w:color w:val="auto"/>
                <w:sz w:val="24"/>
                <w:highlight w:val="none"/>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98"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color w:val="auto"/>
                <w:sz w:val="24"/>
                <w:highlight w:val="none"/>
                <w:lang w:eastAsia="zh-CN"/>
              </w:rPr>
            </w:pPr>
            <w:r>
              <w:rPr>
                <w:rFonts w:ascii="宋体" w:hAnsi="宋体" w:eastAsia="宋体" w:cs="Times New Roman"/>
                <w:color w:val="auto"/>
                <w:sz w:val="24"/>
                <w:highlight w:val="none"/>
              </w:rPr>
              <w:t>1</w:t>
            </w:r>
            <w:r>
              <w:rPr>
                <w:rFonts w:hint="eastAsia" w:ascii="宋体" w:hAnsi="宋体" w:cs="Times New Roman"/>
                <w:color w:val="auto"/>
                <w:sz w:val="24"/>
                <w:highlight w:val="none"/>
                <w:lang w:val="en-US" w:eastAsia="zh-CN"/>
              </w:rPr>
              <w:t>9</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default" w:ascii="宋体" w:hAnsi="Times New Roman" w:eastAsia="宋体" w:cs="Times New Roman"/>
                <w:color w:val="auto"/>
                <w:sz w:val="24"/>
                <w:highlight w:val="none"/>
                <w:lang w:val="en-US" w:eastAsia="zh-CN"/>
              </w:rPr>
            </w:pPr>
            <w:r>
              <w:rPr>
                <w:rFonts w:hint="eastAsia" w:ascii="宋体" w:cs="Times New Roman"/>
                <w:color w:val="auto"/>
                <w:sz w:val="24"/>
                <w:highlight w:val="none"/>
                <w:lang w:val="en-US" w:eastAsia="zh-CN"/>
              </w:rPr>
              <w:t>投标保证金</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Times New Roman" w:eastAsia="宋体" w:cs="Times New Roman"/>
                <w:bCs/>
                <w:color w:val="auto"/>
                <w:sz w:val="24"/>
                <w:highlight w:val="none"/>
                <w:lang w:eastAsia="zh-CN"/>
              </w:rPr>
            </w:pPr>
            <w:r>
              <w:rPr>
                <w:rFonts w:hint="eastAsia" w:ascii="宋体" w:hAnsi="Times New Roman" w:eastAsia="宋体" w:cs="Times New Roman"/>
                <w:bCs/>
                <w:color w:val="auto"/>
                <w:sz w:val="24"/>
                <w:highlight w:val="none"/>
              </w:rPr>
              <w:t>投标保证金的形式：转账、</w:t>
            </w:r>
            <w:r>
              <w:rPr>
                <w:rFonts w:hint="eastAsia" w:ascii="宋体" w:cs="Times New Roman"/>
                <w:bCs/>
                <w:color w:val="auto"/>
                <w:sz w:val="24"/>
                <w:highlight w:val="none"/>
                <w:lang w:val="en-US" w:eastAsia="zh-CN"/>
              </w:rPr>
              <w:t>电汇</w:t>
            </w:r>
          </w:p>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cs="Times New Roman"/>
                <w:bCs/>
                <w:color w:val="auto"/>
                <w:sz w:val="24"/>
                <w:highlight w:val="none"/>
                <w:lang w:val="en-US" w:eastAsia="zh-CN"/>
              </w:rPr>
            </w:pPr>
            <w:r>
              <w:rPr>
                <w:rFonts w:hint="eastAsia" w:ascii="宋体" w:hAnsi="Times New Roman" w:eastAsia="宋体" w:cs="Times New Roman"/>
                <w:bCs/>
                <w:color w:val="auto"/>
                <w:sz w:val="24"/>
                <w:highlight w:val="none"/>
              </w:rPr>
              <w:t>投标保证金的金额：</w:t>
            </w:r>
            <w:r>
              <w:rPr>
                <w:rFonts w:hint="eastAsia" w:ascii="宋体" w:cs="Times New Roman"/>
                <w:bCs/>
                <w:color w:val="auto"/>
                <w:sz w:val="24"/>
                <w:highlight w:val="none"/>
                <w:lang w:val="en-US" w:eastAsia="zh-CN"/>
              </w:rPr>
              <w:t>55000.00元（伍万伍仟元整）</w:t>
            </w:r>
          </w:p>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Times New Roman" w:eastAsia="宋体" w:cs="Times New Roman"/>
                <w:bCs/>
                <w:color w:val="auto"/>
                <w:sz w:val="24"/>
                <w:highlight w:val="none"/>
              </w:rPr>
            </w:pPr>
            <w:r>
              <w:rPr>
                <w:rFonts w:hint="eastAsia" w:ascii="宋体" w:hAnsi="Times New Roman" w:eastAsia="宋体" w:cs="Times New Roman"/>
                <w:bCs/>
                <w:color w:val="auto"/>
                <w:sz w:val="24"/>
                <w:highlight w:val="none"/>
              </w:rPr>
              <w:t>投标保证金缴纳账户：</w:t>
            </w:r>
          </w:p>
          <w:p>
            <w:pPr>
              <w:spacing w:line="240" w:lineRule="auto"/>
              <w:rPr>
                <w:rFonts w:hint="eastAsia" w:ascii="宋体" w:hAnsi="宋体" w:cs="宋体"/>
                <w:bCs/>
                <w:color w:val="000000"/>
                <w:sz w:val="24"/>
                <w:szCs w:val="24"/>
              </w:rPr>
            </w:pPr>
            <w:r>
              <w:rPr>
                <w:rFonts w:hint="eastAsia" w:ascii="宋体" w:hAnsi="宋体" w:cs="宋体"/>
                <w:bCs/>
                <w:color w:val="000000"/>
                <w:sz w:val="24"/>
                <w:szCs w:val="24"/>
              </w:rPr>
              <w:t>账户名称：皮山县政府投资交易中心</w:t>
            </w:r>
          </w:p>
          <w:p>
            <w:pPr>
              <w:spacing w:line="240" w:lineRule="auto"/>
              <w:rPr>
                <w:rFonts w:hint="eastAsia" w:ascii="宋体" w:hAnsi="宋体" w:cs="宋体"/>
                <w:bCs/>
                <w:color w:val="000000"/>
                <w:sz w:val="24"/>
                <w:szCs w:val="24"/>
              </w:rPr>
            </w:pPr>
            <w:r>
              <w:rPr>
                <w:rFonts w:hint="eastAsia" w:ascii="宋体" w:hAnsi="宋体" w:cs="宋体"/>
                <w:bCs/>
                <w:color w:val="000000"/>
                <w:sz w:val="24"/>
                <w:szCs w:val="24"/>
              </w:rPr>
              <w:t>帐号：8780 1001 2010 1010 11990</w:t>
            </w:r>
          </w:p>
          <w:p>
            <w:pPr>
              <w:spacing w:line="240" w:lineRule="auto"/>
              <w:rPr>
                <w:rFonts w:hint="eastAsia" w:ascii="宋体" w:hAnsi="宋体" w:cs="宋体"/>
                <w:bCs/>
                <w:color w:val="000000"/>
                <w:sz w:val="24"/>
                <w:szCs w:val="24"/>
              </w:rPr>
            </w:pPr>
            <w:r>
              <w:rPr>
                <w:rFonts w:hint="eastAsia" w:ascii="宋体" w:hAnsi="宋体" w:cs="宋体"/>
                <w:bCs/>
                <w:color w:val="000000"/>
                <w:sz w:val="24"/>
                <w:szCs w:val="24"/>
              </w:rPr>
              <w:t>开户银行：新疆皮山县农村信用合作联社</w:t>
            </w:r>
          </w:p>
          <w:p>
            <w:pPr>
              <w:spacing w:line="240" w:lineRule="auto"/>
              <w:rPr>
                <w:rFonts w:hint="eastAsia" w:ascii="宋体" w:hAnsi="Times New Roman" w:eastAsia="宋体" w:cs="Times New Roman"/>
                <w:b w:val="0"/>
                <w:bCs/>
                <w:color w:val="auto"/>
                <w:sz w:val="24"/>
                <w:highlight w:val="none"/>
                <w:lang w:val="en-US" w:eastAsia="zh-CN"/>
              </w:rPr>
            </w:pPr>
            <w:r>
              <w:rPr>
                <w:rFonts w:hint="eastAsia" w:ascii="宋体" w:hAnsi="宋体" w:cs="宋体"/>
                <w:b w:val="0"/>
                <w:bCs/>
                <w:color w:val="000000"/>
                <w:sz w:val="24"/>
                <w:szCs w:val="24"/>
              </w:rPr>
              <w:t>行号：402896400017</w:t>
            </w:r>
            <w:r>
              <w:rPr>
                <w:rFonts w:hint="eastAsia" w:ascii="宋体" w:hAnsi="Times New Roman" w:eastAsia="宋体" w:cs="Times New Roman"/>
                <w:b w:val="0"/>
                <w:bCs/>
                <w:color w:val="auto"/>
                <w:sz w:val="24"/>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ascii="宋体" w:hAnsi="Times New Roman" w:eastAsia="宋体" w:cs="Times New Roman"/>
                <w:b/>
                <w:color w:val="auto"/>
                <w:sz w:val="24"/>
                <w:highlight w:val="none"/>
              </w:rPr>
            </w:pPr>
            <w:r>
              <w:rPr>
                <w:rFonts w:hint="eastAsia" w:ascii="宋体" w:hAnsi="Times New Roman" w:eastAsia="宋体" w:cs="Times New Roman"/>
                <w:b/>
                <w:color w:val="auto"/>
                <w:sz w:val="24"/>
                <w:highlight w:val="none"/>
                <w:lang w:val="en-US" w:eastAsia="zh-CN"/>
              </w:rPr>
              <w:t>注：必须采用银行转账或电汇的方式，由报名单位基本账户</w:t>
            </w:r>
            <w:r>
              <w:rPr>
                <w:rFonts w:hint="eastAsia" w:ascii="宋体" w:cs="Times New Roman"/>
                <w:b/>
                <w:color w:val="auto"/>
                <w:sz w:val="24"/>
                <w:highlight w:val="none"/>
                <w:lang w:val="en-US" w:eastAsia="zh-CN"/>
              </w:rPr>
              <w:t>于2023年01月12日20：00（北京时间）前</w:t>
            </w:r>
            <w:r>
              <w:rPr>
                <w:rFonts w:hint="eastAsia" w:ascii="宋体" w:hAnsi="Times New Roman" w:eastAsia="宋体" w:cs="Times New Roman"/>
                <w:b/>
                <w:color w:val="auto"/>
                <w:sz w:val="24"/>
                <w:highlight w:val="none"/>
                <w:lang w:val="en-US" w:eastAsia="zh-CN"/>
              </w:rPr>
              <w:t>汇至皮山县政府投资交易中心专用账户，不得以现金和其他形式缴纳，不得以分公司、办事处或其他机构的名义缴纳，报名单位在缴纳保证金时，需在进账凭证上明确资金用途、项目名称 ，以便查对核实。投标保证金缴纳截止时间为递交投标文件截止时间，无须到皮山县政府投资交易中心换取收据。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3"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default" w:ascii="宋体" w:hAnsi="Times New Roman"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20</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480" w:firstLineChars="200"/>
              <w:jc w:val="left"/>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highlight w:val="none"/>
              </w:rPr>
              <w:t>签字盖章</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both"/>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highlight w:val="none"/>
              </w:rPr>
              <w:t>投标人必须按照招标文件的规定和要求签字、盖章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4"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color w:val="auto"/>
                <w:sz w:val="24"/>
                <w:highlight w:val="none"/>
                <w:lang w:eastAsia="zh-CN"/>
              </w:rPr>
            </w:pPr>
            <w:r>
              <w:rPr>
                <w:rFonts w:hint="eastAsia" w:ascii="宋体" w:hAnsi="宋体" w:eastAsia="宋体" w:cs="Times New Roman"/>
                <w:color w:val="auto"/>
                <w:sz w:val="24"/>
                <w:highlight w:val="none"/>
              </w:rPr>
              <w:t>2</w:t>
            </w:r>
            <w:r>
              <w:rPr>
                <w:rFonts w:hint="eastAsia" w:ascii="宋体" w:hAnsi="宋体" w:cs="Times New Roman"/>
                <w:color w:val="auto"/>
                <w:sz w:val="24"/>
                <w:highlight w:val="none"/>
                <w:lang w:val="en-US" w:eastAsia="zh-CN"/>
              </w:rPr>
              <w:t>1</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color w:val="auto"/>
                <w:sz w:val="24"/>
                <w:highlight w:val="none"/>
              </w:rPr>
            </w:pPr>
            <w:r>
              <w:rPr>
                <w:rFonts w:hint="eastAsia" w:ascii="宋体" w:hAnsi="宋体"/>
                <w:color w:val="000000"/>
                <w:sz w:val="24"/>
              </w:rPr>
              <w:t>递交投标文件的地点</w:t>
            </w:r>
            <w:r>
              <w:rPr>
                <w:rFonts w:hint="eastAsia" w:ascii="宋体" w:hAnsi="宋体"/>
                <w:color w:val="000000"/>
                <w:sz w:val="24"/>
                <w:lang w:eastAsia="zh-CN"/>
              </w:rPr>
              <w:t>及方式</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宋体"/>
                <w:sz w:val="24"/>
                <w:highlight w:val="none"/>
                <w:lang w:val="en-US" w:eastAsia="zh-CN"/>
              </w:rPr>
            </w:pPr>
            <w:r>
              <w:rPr>
                <w:rFonts w:hint="eastAsia" w:ascii="宋体" w:hAnsi="宋体"/>
                <w:sz w:val="24"/>
                <w:highlight w:val="none"/>
                <w:lang w:val="en-US" w:eastAsia="zh-CN"/>
              </w:rPr>
              <w:t>投标</w:t>
            </w:r>
            <w:r>
              <w:rPr>
                <w:rFonts w:hint="eastAsia" w:ascii="宋体" w:hAnsi="宋体"/>
                <w:sz w:val="24"/>
                <w:highlight w:val="none"/>
              </w:rPr>
              <w:t>地点：</w:t>
            </w:r>
            <w:r>
              <w:rPr>
                <w:rFonts w:hint="eastAsia" w:ascii="宋体" w:hAnsi="宋体"/>
                <w:sz w:val="24"/>
                <w:highlight w:val="none"/>
                <w:lang w:val="en-US" w:eastAsia="zh-CN"/>
              </w:rPr>
              <w:t>各投标企业于2023 年01月13日11：00（北京时间）前通过</w:t>
            </w:r>
            <w:r>
              <w:rPr>
                <w:rFonts w:hint="eastAsia" w:ascii="宋体" w:hAnsi="宋体"/>
                <w:sz w:val="24"/>
                <w:highlight w:val="none"/>
                <w:lang w:eastAsia="zh-CN"/>
              </w:rPr>
              <w:t>新疆政府采购</w:t>
            </w:r>
            <w:r>
              <w:rPr>
                <w:rFonts w:hint="eastAsia" w:ascii="宋体" w:hAnsi="宋体"/>
                <w:sz w:val="24"/>
                <w:highlight w:val="none"/>
              </w:rPr>
              <w:t>平台</w:t>
            </w:r>
            <w:r>
              <w:rPr>
                <w:rFonts w:hint="eastAsia" w:ascii="宋体" w:hAnsi="宋体"/>
                <w:sz w:val="24"/>
                <w:highlight w:val="none"/>
                <w:lang w:val="en-US" w:eastAsia="zh-CN"/>
              </w:rPr>
              <w:t>上传投标文件。应按照本项目招标文件和新疆政府采购平台的要求编制、加密传输投标文件。</w:t>
            </w:r>
          </w:p>
          <w:p>
            <w:pPr>
              <w:widowControl/>
              <w:autoSpaceDE w:val="0"/>
              <w:autoSpaceDN w:val="0"/>
              <w:spacing w:line="360" w:lineRule="exact"/>
              <w:rPr>
                <w:rFonts w:hint="eastAsia" w:ascii="宋体" w:hAnsi="宋体"/>
                <w:sz w:val="24"/>
                <w:highlight w:val="none"/>
              </w:rPr>
            </w:pPr>
            <w:r>
              <w:rPr>
                <w:rFonts w:hint="eastAsia" w:ascii="宋体" w:hAnsi="宋体"/>
                <w:sz w:val="24"/>
                <w:highlight w:val="none"/>
              </w:rPr>
              <w:t>供应商在使用系统进行投标的过程中遇到涉及平台使用的任何问题，可致电</w:t>
            </w:r>
            <w:r>
              <w:rPr>
                <w:rFonts w:hint="eastAsia" w:ascii="宋体" w:hAnsi="宋体"/>
                <w:sz w:val="24"/>
                <w:highlight w:val="none"/>
                <w:lang w:eastAsia="zh-CN"/>
              </w:rPr>
              <w:t>新疆政府采购</w:t>
            </w:r>
            <w:r>
              <w:rPr>
                <w:rFonts w:hint="eastAsia" w:ascii="宋体" w:hAnsi="宋体"/>
                <w:sz w:val="24"/>
                <w:highlight w:val="none"/>
              </w:rPr>
              <w:t>平台技术支持热线咨询，联系方式：400-881-7190。</w:t>
            </w:r>
          </w:p>
          <w:p>
            <w:pPr>
              <w:widowControl/>
              <w:autoSpaceDE w:val="0"/>
              <w:autoSpaceDN w:val="0"/>
              <w:spacing w:line="360" w:lineRule="exact"/>
              <w:rPr>
                <w:rFonts w:hint="eastAsia" w:ascii="宋体" w:hAnsi="宋体" w:eastAsia="宋体" w:cs="Times New Roman"/>
                <w:color w:val="auto"/>
                <w:sz w:val="24"/>
                <w:highlight w:val="none"/>
                <w:lang w:eastAsia="zh-CN"/>
              </w:rPr>
            </w:pPr>
            <w:r>
              <w:rPr>
                <w:rFonts w:hint="eastAsia" w:ascii="宋体" w:hAnsi="Times New Roman" w:eastAsia="宋体" w:cs="Times New Roman"/>
                <w:b w:val="0"/>
                <w:bCs/>
                <w:color w:val="auto"/>
                <w:sz w:val="24"/>
                <w:highlight w:val="none"/>
                <w:lang w:val="en-US" w:eastAsia="zh-CN"/>
              </w:rPr>
              <w:t>投标文件：开标结束后各投标人将上传</w:t>
            </w:r>
            <w:r>
              <w:rPr>
                <w:rFonts w:hint="eastAsia" w:ascii="宋体" w:cs="Times New Roman"/>
                <w:b w:val="0"/>
                <w:bCs/>
                <w:color w:val="auto"/>
                <w:sz w:val="24"/>
                <w:highlight w:val="none"/>
                <w:lang w:val="en-US" w:eastAsia="zh-CN"/>
              </w:rPr>
              <w:t>政府采购网的投标</w:t>
            </w:r>
            <w:r>
              <w:rPr>
                <w:rFonts w:hint="eastAsia" w:ascii="宋体" w:hAnsi="Times New Roman" w:eastAsia="宋体" w:cs="Times New Roman"/>
                <w:b w:val="0"/>
                <w:bCs/>
                <w:color w:val="auto"/>
                <w:sz w:val="24"/>
                <w:highlight w:val="none"/>
                <w:lang w:val="en-US" w:eastAsia="zh-CN"/>
              </w:rPr>
              <w:t>文件使用A4纸胶装成册（1正2副，PDF无加密电子版U盘1份）递交或邮寄至</w:t>
            </w:r>
            <w:r>
              <w:rPr>
                <w:rFonts w:hint="eastAsia" w:ascii="宋体" w:cs="Times New Roman"/>
                <w:b w:val="0"/>
                <w:bCs/>
                <w:color w:val="auto"/>
                <w:sz w:val="24"/>
                <w:highlight w:val="none"/>
                <w:lang w:val="en-US" w:eastAsia="zh-CN"/>
              </w:rPr>
              <w:t>和田市金鹰国际城13楼</w:t>
            </w:r>
            <w:r>
              <w:rPr>
                <w:rFonts w:hint="eastAsia" w:ascii="宋体" w:hAnsi="宋体" w:cs="宋体"/>
                <w:b w:val="0"/>
                <w:bCs/>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22</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120" w:leftChars="0" w:right="62" w:rightChars="0" w:hanging="120" w:hangingChars="50"/>
              <w:jc w:val="center"/>
              <w:textAlignment w:val="auto"/>
              <w:rPr>
                <w:rFonts w:ascii="宋体" w:hAnsi="Times New Roman" w:eastAsia="宋体" w:cs="Times New Roman"/>
                <w:color w:val="auto"/>
                <w:kern w:val="2"/>
                <w:sz w:val="24"/>
                <w:szCs w:val="24"/>
                <w:highlight w:val="none"/>
                <w:lang w:val="en-US" w:eastAsia="zh-CN" w:bidi="ar-SA"/>
              </w:rPr>
            </w:pPr>
            <w:r>
              <w:rPr>
                <w:rFonts w:hint="eastAsia" w:ascii="宋体" w:hAnsi="宋体"/>
                <w:color w:val="000000"/>
                <w:sz w:val="24"/>
              </w:rPr>
              <w:t>标前准备</w:t>
            </w:r>
          </w:p>
        </w:tc>
        <w:tc>
          <w:tcPr>
            <w:tcW w:w="6814" w:type="dxa"/>
            <w:tcBorders>
              <w:left w:val="single" w:color="auto" w:sz="4" w:space="0"/>
            </w:tcBorders>
            <w:vAlign w:val="center"/>
          </w:tcPr>
          <w:p>
            <w:pPr>
              <w:widowControl/>
              <w:autoSpaceDE w:val="0"/>
              <w:autoSpaceDN w:val="0"/>
              <w:spacing w:line="360" w:lineRule="exact"/>
              <w:rPr>
                <w:rFonts w:hint="eastAsia" w:ascii="宋体" w:hAnsi="Times New Roman" w:eastAsia="宋体" w:cs="Times New Roman"/>
                <w:b/>
                <w:bCs w:val="0"/>
                <w:color w:val="auto"/>
                <w:sz w:val="24"/>
                <w:highlight w:val="none"/>
                <w:lang w:val="en-US" w:eastAsia="zh-CN"/>
              </w:rPr>
            </w:pPr>
            <w:r>
              <w:rPr>
                <w:rFonts w:hint="eastAsia" w:ascii="宋体" w:hAnsi="Times New Roman" w:eastAsia="宋体" w:cs="Times New Roman"/>
                <w:b/>
                <w:bCs w:val="0"/>
                <w:color w:val="auto"/>
                <w:sz w:val="24"/>
                <w:highlight w:val="none"/>
                <w:lang w:val="en-US" w:eastAsia="zh-CN"/>
              </w:rPr>
              <w:t>1、本项目实行网上投标，采用电子投标文件。若供应商参与投标，自行承担投标一切费用。</w:t>
            </w:r>
          </w:p>
          <w:p>
            <w:pPr>
              <w:widowControl/>
              <w:autoSpaceDE w:val="0"/>
              <w:autoSpaceDN w:val="0"/>
              <w:spacing w:line="360" w:lineRule="exact"/>
              <w:rPr>
                <w:rFonts w:hint="eastAsia" w:ascii="宋体" w:hAnsi="Times New Roman" w:eastAsia="宋体" w:cs="Times New Roman"/>
                <w:b/>
                <w:bCs w:val="0"/>
                <w:color w:val="auto"/>
                <w:sz w:val="24"/>
                <w:highlight w:val="none"/>
                <w:lang w:val="en-US" w:eastAsia="zh-CN"/>
              </w:rPr>
            </w:pPr>
            <w:r>
              <w:rPr>
                <w:rFonts w:hint="eastAsia" w:ascii="宋体" w:hAnsi="Times New Roman" w:eastAsia="宋体" w:cs="Times New Roman"/>
                <w:b/>
                <w:bCs w:val="0"/>
                <w:color w:val="auto"/>
                <w:sz w:val="24"/>
                <w:highlight w:val="none"/>
                <w:lang w:val="en-US" w:eastAsia="zh-CN"/>
              </w:rPr>
              <w:t>2、各供应商应在开标前应确保成为新疆维吾尔自治区政府采购网正式注册入库供应商，并完成CA数字证书申领。因未注册入库、未办理CA数字证书等原因造成无法投标或投标失败等后果由供应商自行承担。</w:t>
            </w:r>
          </w:p>
          <w:p>
            <w:pPr>
              <w:widowControl/>
              <w:autoSpaceDE w:val="0"/>
              <w:autoSpaceDN w:val="0"/>
              <w:spacing w:line="360" w:lineRule="exact"/>
              <w:rPr>
                <w:rFonts w:hint="eastAsia" w:ascii="宋体" w:hAnsi="Times New Roman" w:eastAsia="宋体" w:cs="Times New Roman"/>
                <w:b/>
                <w:bCs w:val="0"/>
                <w:color w:val="auto"/>
                <w:sz w:val="24"/>
                <w:highlight w:val="none"/>
                <w:lang w:val="en-US" w:eastAsia="zh-CN"/>
              </w:rPr>
            </w:pPr>
            <w:r>
              <w:rPr>
                <w:rFonts w:hint="eastAsia" w:ascii="宋体" w:hAnsi="Times New Roman" w:eastAsia="宋体" w:cs="Times New Roman"/>
                <w:b/>
                <w:bCs w:val="0"/>
                <w:color w:val="auto"/>
                <w:sz w:val="24"/>
                <w:highlight w:val="none"/>
                <w:lang w:val="en-US" w:eastAsia="zh-CN"/>
              </w:rPr>
              <w:t xml:space="preserve">3、本项目为电子招投标，投标人需要使用CA加密设备，有意向参与新疆区域电子开评标的供应商，请访问新疆数字证书认证中心官方网站（https://www.xjca.com.cn/）或下载;“新疆政务通”APP自行进行申领。如需咨询，请联系新疆CA服务热线0991-2819290 </w:t>
            </w:r>
          </w:p>
          <w:p>
            <w:pPr>
              <w:widowControl/>
              <w:autoSpaceDE w:val="0"/>
              <w:autoSpaceDN w:val="0"/>
              <w:spacing w:line="360" w:lineRule="exact"/>
              <w:rPr>
                <w:rFonts w:hint="eastAsia" w:ascii="宋体" w:hAnsi="宋体" w:cs="宋体"/>
                <w:b w:val="0"/>
                <w:bCs w:val="0"/>
                <w:color w:val="auto"/>
                <w:sz w:val="24"/>
                <w:szCs w:val="24"/>
              </w:rPr>
            </w:pPr>
            <w:r>
              <w:rPr>
                <w:rFonts w:hint="eastAsia" w:ascii="宋体" w:hAnsi="Times New Roman" w:eastAsia="宋体" w:cs="Times New Roman"/>
                <w:b/>
                <w:bCs w:val="0"/>
                <w:color w:val="auto"/>
                <w:sz w:val="24"/>
                <w:highlight w:val="none"/>
                <w:lang w:val="en-US" w:eastAsia="zh-CN"/>
              </w:rPr>
              <w:t>4、供应商将新疆政府采购电子交易客户端下载、安装完成后，可通过账号密码或CA登录客户端进行投标文件制作。在使用新疆政府采购投标客户端时，建议使用WIN7及以上操作系统。客户端请至新疆政府采购网（http://www.ccgp-xinjiang.gov.cn/）下载专区查看，如有问题可拨打新疆政府采购客户服务热线400-881-7190进行咨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color w:val="auto"/>
                <w:sz w:val="24"/>
                <w:highlight w:val="none"/>
                <w:lang w:eastAsia="zh-CN"/>
              </w:rPr>
            </w:pPr>
            <w:r>
              <w:rPr>
                <w:rFonts w:hint="eastAsia" w:ascii="宋体" w:hAnsi="宋体" w:eastAsia="宋体" w:cs="Times New Roman"/>
                <w:color w:val="auto"/>
                <w:sz w:val="24"/>
                <w:highlight w:val="none"/>
              </w:rPr>
              <w:t>2</w:t>
            </w:r>
            <w:r>
              <w:rPr>
                <w:rFonts w:hint="eastAsia" w:ascii="宋体" w:hAnsi="宋体" w:cs="Times New Roman"/>
                <w:color w:val="auto"/>
                <w:sz w:val="24"/>
                <w:highlight w:val="none"/>
                <w:lang w:val="en-US" w:eastAsia="zh-CN"/>
              </w:rPr>
              <w:t>3</w:t>
            </w:r>
          </w:p>
        </w:tc>
        <w:tc>
          <w:tcPr>
            <w:tcW w:w="2040" w:type="dxa"/>
            <w:tcBorders>
              <w:right w:val="single" w:color="auto" w:sz="4" w:space="0"/>
            </w:tcBorders>
            <w:vAlign w:val="center"/>
          </w:tcPr>
          <w:p>
            <w:pPr>
              <w:overflowPunct w:val="0"/>
              <w:spacing w:line="440" w:lineRule="exact"/>
              <w:jc w:val="center"/>
              <w:rPr>
                <w:rFonts w:hint="eastAsia" w:ascii="宋体" w:hAnsi="宋体" w:eastAsia="宋体" w:cs="Times New Roman"/>
                <w:color w:val="000000"/>
                <w:sz w:val="24"/>
                <w:lang w:eastAsia="zh-CN"/>
              </w:rPr>
            </w:pPr>
            <w:r>
              <w:rPr>
                <w:rFonts w:hint="eastAsia" w:ascii="宋体" w:hAnsi="宋体" w:eastAsia="宋体" w:cs="Times New Roman"/>
                <w:color w:val="000000"/>
                <w:sz w:val="24"/>
                <w:lang w:eastAsia="zh-CN"/>
              </w:rPr>
              <w:t>招标文件解密时间</w:t>
            </w:r>
          </w:p>
          <w:p>
            <w:pPr>
              <w:keepNext w:val="0"/>
              <w:keepLines w:val="0"/>
              <w:pageBreakBefore w:val="0"/>
              <w:kinsoku/>
              <w:wordWrap/>
              <w:overflowPunct/>
              <w:topLinePunct w:val="0"/>
              <w:autoSpaceDE/>
              <w:autoSpaceDN/>
              <w:bidi w:val="0"/>
              <w:adjustRightInd/>
              <w:snapToGrid/>
              <w:spacing w:line="300" w:lineRule="exact"/>
              <w:ind w:left="120" w:leftChars="0" w:right="62" w:rightChars="0" w:hanging="120" w:hangingChars="50"/>
              <w:jc w:val="center"/>
              <w:textAlignment w:val="auto"/>
              <w:rPr>
                <w:rFonts w:ascii="宋体" w:hAnsi="Times New Roman" w:eastAsia="宋体" w:cs="Times New Roman"/>
                <w:color w:val="auto"/>
                <w:kern w:val="2"/>
                <w:sz w:val="24"/>
                <w:szCs w:val="24"/>
                <w:highlight w:val="none"/>
                <w:lang w:val="en-US" w:eastAsia="zh-CN" w:bidi="ar-SA"/>
              </w:rPr>
            </w:pP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120" w:leftChars="0" w:right="62" w:rightChars="0" w:hanging="120" w:hangingChars="50"/>
              <w:jc w:val="both"/>
              <w:textAlignment w:val="auto"/>
              <w:rPr>
                <w:rFonts w:hint="eastAsia" w:ascii="宋体" w:hAnsi="Times New Roman" w:eastAsia="宋体" w:cs="Times New Roman"/>
                <w:bCs/>
                <w:color w:val="auto"/>
                <w:kern w:val="2"/>
                <w:sz w:val="24"/>
                <w:szCs w:val="24"/>
                <w:highlight w:val="none"/>
                <w:lang w:val="en-US" w:eastAsia="zh-CN" w:bidi="ar-SA"/>
              </w:rPr>
            </w:pPr>
            <w:r>
              <w:rPr>
                <w:rFonts w:hint="eastAsia" w:ascii="宋体" w:hAnsi="宋体" w:cs="宋体"/>
                <w:b w:val="0"/>
                <w:bCs w:val="0"/>
                <w:color w:val="auto"/>
                <w:sz w:val="24"/>
                <w:szCs w:val="24"/>
                <w:lang w:eastAsia="zh-CN"/>
              </w:rPr>
              <w:t>2023年1月13日11：00分</w:t>
            </w:r>
            <w:r>
              <w:rPr>
                <w:rFonts w:hint="eastAsia" w:ascii="宋体" w:hAnsi="宋体" w:cs="宋体"/>
                <w:b w:val="0"/>
                <w:bCs w:val="0"/>
                <w:color w:val="auto"/>
                <w:sz w:val="24"/>
                <w:szCs w:val="24"/>
              </w:rPr>
              <w:t>-1</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rPr>
              <w:t>：</w:t>
            </w:r>
            <w:r>
              <w:rPr>
                <w:rFonts w:hint="eastAsia" w:ascii="宋体" w:hAnsi="宋体" w:cs="宋体"/>
                <w:b w:val="0"/>
                <w:bCs w:val="0"/>
                <w:color w:val="auto"/>
                <w:sz w:val="24"/>
                <w:szCs w:val="24"/>
                <w:lang w:val="en-US" w:eastAsia="zh-CN"/>
              </w:rPr>
              <w:t>0</w:t>
            </w:r>
            <w:r>
              <w:rPr>
                <w:rFonts w:hint="eastAsia" w:ascii="宋体" w:hAnsi="宋体" w:cs="宋体"/>
                <w:b w:val="0"/>
                <w:bCs w:val="0"/>
                <w:color w:val="auto"/>
                <w:sz w:val="24"/>
                <w:szCs w:val="24"/>
              </w:rPr>
              <w:t>0</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北京时间</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rPr>
              <w:t>前供应商可以登录“</w:t>
            </w:r>
            <w:r>
              <w:rPr>
                <w:rFonts w:hint="eastAsia" w:ascii="宋体" w:hAnsi="宋体" w:cs="宋体"/>
                <w:b w:val="0"/>
                <w:bCs w:val="0"/>
                <w:color w:val="auto"/>
                <w:sz w:val="24"/>
                <w:szCs w:val="24"/>
                <w:lang w:eastAsia="zh-CN"/>
              </w:rPr>
              <w:t>新疆政府采购</w:t>
            </w:r>
            <w:r>
              <w:rPr>
                <w:rFonts w:hint="eastAsia" w:ascii="宋体" w:hAnsi="宋体" w:cs="宋体"/>
                <w:b w:val="0"/>
                <w:bCs w:val="0"/>
                <w:color w:val="auto"/>
                <w:sz w:val="24"/>
                <w:szCs w:val="24"/>
              </w:rPr>
              <w:t>”平台，用“项目采购-开标评标”功能进行解密投标文件。若供应商在规定时间内（20</w:t>
            </w:r>
            <w:r>
              <w:rPr>
                <w:rFonts w:hint="eastAsia" w:ascii="宋体" w:hAnsi="宋体" w:cs="宋体"/>
                <w:b w:val="0"/>
                <w:bCs w:val="0"/>
                <w:color w:val="auto"/>
                <w:sz w:val="24"/>
                <w:szCs w:val="24"/>
                <w:lang w:val="en-US" w:eastAsia="zh-CN"/>
              </w:rPr>
              <w:t>23</w:t>
            </w:r>
            <w:r>
              <w:rPr>
                <w:rFonts w:hint="eastAsia" w:ascii="宋体" w:hAnsi="宋体" w:cs="宋体"/>
                <w:b w:val="0"/>
                <w:bCs w:val="0"/>
                <w:color w:val="auto"/>
                <w:sz w:val="24"/>
                <w:szCs w:val="24"/>
              </w:rPr>
              <w:t>年</w:t>
            </w:r>
            <w:r>
              <w:rPr>
                <w:rFonts w:hint="eastAsia" w:ascii="宋体" w:hAnsi="宋体" w:cs="宋体"/>
                <w:b w:val="0"/>
                <w:bCs w:val="0"/>
                <w:color w:val="auto"/>
                <w:sz w:val="24"/>
                <w:szCs w:val="24"/>
                <w:lang w:val="en-US" w:eastAsia="zh-CN"/>
              </w:rPr>
              <w:t>01</w:t>
            </w:r>
            <w:r>
              <w:rPr>
                <w:rFonts w:hint="eastAsia" w:ascii="宋体" w:hAnsi="宋体" w:cs="宋体"/>
                <w:b w:val="0"/>
                <w:bCs w:val="0"/>
                <w:color w:val="auto"/>
                <w:sz w:val="24"/>
                <w:szCs w:val="24"/>
              </w:rPr>
              <w:t>月</w:t>
            </w:r>
            <w:r>
              <w:rPr>
                <w:rFonts w:hint="eastAsia" w:ascii="宋体" w:hAnsi="宋体" w:cs="宋体"/>
                <w:b w:val="0"/>
                <w:bCs w:val="0"/>
                <w:color w:val="auto"/>
                <w:sz w:val="24"/>
                <w:szCs w:val="24"/>
                <w:lang w:val="en-US" w:eastAsia="zh-CN"/>
              </w:rPr>
              <w:t>13</w:t>
            </w:r>
            <w:r>
              <w:rPr>
                <w:rFonts w:hint="eastAsia" w:ascii="宋体" w:hAnsi="宋体" w:cs="宋体"/>
                <w:b w:val="0"/>
                <w:bCs w:val="0"/>
                <w:color w:val="auto"/>
                <w:sz w:val="24"/>
                <w:szCs w:val="24"/>
              </w:rPr>
              <w:t>日</w:t>
            </w:r>
            <w:r>
              <w:rPr>
                <w:rFonts w:hint="eastAsia" w:ascii="宋体" w:hAnsi="宋体" w:cs="宋体"/>
                <w:b w:val="0"/>
                <w:bCs w:val="0"/>
                <w:color w:val="auto"/>
                <w:sz w:val="24"/>
                <w:szCs w:val="24"/>
                <w:lang w:val="en-US" w:eastAsia="zh-CN"/>
              </w:rPr>
              <w:t>上午12</w:t>
            </w:r>
            <w:r>
              <w:rPr>
                <w:rFonts w:hint="eastAsia" w:ascii="宋体" w:hAnsi="宋体" w:cs="宋体"/>
                <w:b w:val="0"/>
                <w:bCs w:val="0"/>
                <w:color w:val="auto"/>
                <w:sz w:val="24"/>
                <w:szCs w:val="24"/>
              </w:rPr>
              <w:t>:</w:t>
            </w:r>
            <w:r>
              <w:rPr>
                <w:rFonts w:hint="eastAsia" w:ascii="宋体" w:hAnsi="宋体" w:cs="宋体"/>
                <w:b w:val="0"/>
                <w:bCs w:val="0"/>
                <w:color w:val="auto"/>
                <w:sz w:val="24"/>
                <w:szCs w:val="24"/>
                <w:lang w:val="en-US" w:eastAsia="zh-CN"/>
              </w:rPr>
              <w:t>0</w:t>
            </w:r>
            <w:r>
              <w:rPr>
                <w:rFonts w:hint="eastAsia" w:ascii="宋体" w:hAnsi="宋体" w:cs="宋体"/>
                <w:b w:val="0"/>
                <w:bCs w:val="0"/>
                <w:color w:val="auto"/>
                <w:sz w:val="24"/>
                <w:szCs w:val="24"/>
              </w:rPr>
              <w:t>0前）未按时解密的，视为投标文件撤回。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color w:val="auto"/>
                <w:sz w:val="24"/>
                <w:highlight w:val="none"/>
                <w:lang w:eastAsia="zh-CN"/>
              </w:rPr>
            </w:pPr>
            <w:r>
              <w:rPr>
                <w:rFonts w:ascii="宋体" w:hAnsi="宋体" w:eastAsia="宋体" w:cs="Times New Roman"/>
                <w:color w:val="auto"/>
                <w:sz w:val="24"/>
                <w:highlight w:val="none"/>
              </w:rPr>
              <w:t>2</w:t>
            </w:r>
            <w:r>
              <w:rPr>
                <w:rFonts w:hint="eastAsia" w:ascii="宋体" w:hAnsi="宋体" w:cs="Times New Roman"/>
                <w:color w:val="auto"/>
                <w:sz w:val="24"/>
                <w:highlight w:val="none"/>
                <w:lang w:val="en-US" w:eastAsia="zh-CN"/>
              </w:rPr>
              <w:t>4</w:t>
            </w:r>
          </w:p>
        </w:tc>
        <w:tc>
          <w:tcPr>
            <w:tcW w:w="2040" w:type="dxa"/>
            <w:tcBorders>
              <w:right w:val="single" w:color="auto" w:sz="4" w:space="0"/>
            </w:tcBorders>
            <w:vAlign w:val="center"/>
          </w:tcPr>
          <w:p>
            <w:pPr>
              <w:spacing w:line="360" w:lineRule="exact"/>
              <w:ind w:left="120" w:leftChars="0" w:right="62" w:rightChars="0" w:hanging="120" w:hangingChars="50"/>
              <w:jc w:val="center"/>
              <w:rPr>
                <w:rFonts w:ascii="宋体" w:hAnsi="Times New Roman" w:eastAsia="宋体" w:cs="Times New Roman"/>
                <w:color w:val="auto"/>
                <w:sz w:val="24"/>
                <w:highlight w:val="none"/>
              </w:rPr>
            </w:pPr>
            <w:r>
              <w:rPr>
                <w:rFonts w:hint="eastAsia" w:ascii="宋体" w:hAnsi="宋体" w:eastAsia="宋体" w:cs="宋体"/>
                <w:color w:val="auto"/>
                <w:kern w:val="0"/>
                <w:sz w:val="24"/>
                <w:highlight w:val="none"/>
                <w:shd w:val="clear" w:color="auto" w:fill="auto"/>
              </w:rPr>
              <w:t>招标代理服务费</w:t>
            </w:r>
          </w:p>
        </w:tc>
        <w:tc>
          <w:tcPr>
            <w:tcW w:w="6814" w:type="dxa"/>
            <w:tcBorders>
              <w:left w:val="single" w:color="auto" w:sz="4" w:space="0"/>
            </w:tcBorders>
            <w:vAlign w:val="center"/>
          </w:tcPr>
          <w:p>
            <w:pPr>
              <w:spacing w:line="360" w:lineRule="auto"/>
              <w:ind w:left="122" w:leftChars="1" w:right="62" w:rightChars="0" w:hanging="120" w:hangingChars="50"/>
              <w:jc w:val="both"/>
              <w:rPr>
                <w:rFonts w:ascii="宋体" w:hAnsi="Times New Roman" w:eastAsia="宋体" w:cs="Times New Roman"/>
                <w:bCs/>
                <w:color w:val="auto"/>
                <w:sz w:val="24"/>
                <w:highlight w:val="none"/>
              </w:rPr>
            </w:pPr>
            <w:r>
              <w:rPr>
                <w:rFonts w:hint="eastAsia" w:ascii="宋体" w:hAnsi="宋体" w:eastAsia="宋体" w:cs="宋体"/>
                <w:bCs/>
                <w:color w:val="000000"/>
                <w:sz w:val="24"/>
                <w:szCs w:val="24"/>
                <w:highlight w:val="none"/>
                <w:lang w:eastAsia="zh-CN"/>
              </w:rPr>
              <w:t>由中标单位</w:t>
            </w:r>
            <w:r>
              <w:rPr>
                <w:rFonts w:hint="eastAsia" w:ascii="宋体" w:hAnsi="宋体" w:eastAsia="宋体" w:cs="宋体"/>
                <w:bCs/>
                <w:color w:val="000000"/>
                <w:sz w:val="24"/>
                <w:szCs w:val="24"/>
                <w:highlight w:val="none"/>
                <w:lang w:val="en-US" w:eastAsia="zh-CN"/>
              </w:rPr>
              <w:t>领取中标通知书时</w:t>
            </w:r>
            <w:r>
              <w:rPr>
                <w:rFonts w:hint="eastAsia" w:ascii="宋体" w:hAnsi="宋体" w:eastAsia="宋体" w:cs="宋体"/>
                <w:bCs/>
                <w:color w:val="000000"/>
                <w:sz w:val="24"/>
                <w:szCs w:val="24"/>
                <w:highlight w:val="none"/>
                <w:lang w:eastAsia="zh-CN"/>
              </w:rPr>
              <w:t>一次性支付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color w:val="auto"/>
                <w:sz w:val="24"/>
                <w:highlight w:val="none"/>
                <w:lang w:eastAsia="zh-CN"/>
              </w:rPr>
            </w:pPr>
            <w:r>
              <w:rPr>
                <w:rFonts w:ascii="宋体" w:hAnsi="宋体" w:eastAsia="宋体" w:cs="Times New Roman"/>
                <w:color w:val="auto"/>
                <w:sz w:val="24"/>
                <w:highlight w:val="none"/>
              </w:rPr>
              <w:t>2</w:t>
            </w:r>
            <w:r>
              <w:rPr>
                <w:rFonts w:hint="eastAsia" w:ascii="宋体" w:hAnsi="宋体" w:cs="Times New Roman"/>
                <w:color w:val="auto"/>
                <w:sz w:val="24"/>
                <w:highlight w:val="none"/>
                <w:lang w:val="en-US" w:eastAsia="zh-CN"/>
              </w:rPr>
              <w:t>5</w:t>
            </w:r>
          </w:p>
        </w:tc>
        <w:tc>
          <w:tcPr>
            <w:tcW w:w="2040" w:type="dxa"/>
            <w:tcBorders>
              <w:right w:val="single" w:color="auto" w:sz="4" w:space="0"/>
            </w:tcBorders>
            <w:vAlign w:val="center"/>
          </w:tcPr>
          <w:p>
            <w:pPr>
              <w:spacing w:line="360" w:lineRule="exact"/>
              <w:ind w:left="120" w:leftChars="0" w:right="62" w:rightChars="0" w:hanging="120" w:hangingChars="50"/>
              <w:jc w:val="center"/>
              <w:rPr>
                <w:rFonts w:ascii="宋体" w:hAnsi="Times New Roman" w:eastAsia="宋体" w:cs="Times New Roman"/>
                <w:color w:val="auto"/>
                <w:sz w:val="24"/>
                <w:highlight w:val="none"/>
              </w:rPr>
            </w:pPr>
            <w:r>
              <w:rPr>
                <w:rFonts w:hint="eastAsia" w:ascii="宋体" w:hAnsi="宋体" w:cs="宋体"/>
                <w:color w:val="auto"/>
                <w:kern w:val="0"/>
                <w:sz w:val="24"/>
                <w:highlight w:val="none"/>
                <w:shd w:val="clear" w:color="auto" w:fill="auto"/>
                <w:lang w:val="en-US" w:eastAsia="zh-CN"/>
              </w:rPr>
              <w:t>付款方式</w:t>
            </w:r>
          </w:p>
        </w:tc>
        <w:tc>
          <w:tcPr>
            <w:tcW w:w="6814" w:type="dxa"/>
            <w:tcBorders>
              <w:left w:val="single" w:color="auto" w:sz="4" w:space="0"/>
            </w:tcBorders>
            <w:vAlign w:val="center"/>
          </w:tcPr>
          <w:p>
            <w:pPr>
              <w:spacing w:line="360" w:lineRule="auto"/>
              <w:ind w:left="122" w:leftChars="1" w:right="62" w:rightChars="0" w:hanging="120" w:hangingChars="50"/>
              <w:jc w:val="left"/>
              <w:rPr>
                <w:rFonts w:hint="default" w:ascii="宋体" w:hAnsi="宋体" w:eastAsia="宋体" w:cs="Times New Roman"/>
                <w:color w:val="auto"/>
                <w:sz w:val="24"/>
                <w:highlight w:val="none"/>
                <w:lang w:val="en-US"/>
              </w:rPr>
            </w:pPr>
            <w:r>
              <w:rPr>
                <w:rFonts w:hint="eastAsia" w:ascii="宋体" w:hAnsi="宋体" w:cs="宋体"/>
                <w:bCs/>
                <w:color w:val="000000"/>
                <w:sz w:val="24"/>
                <w:szCs w:val="24"/>
                <w:highlight w:val="none"/>
                <w:lang w:val="en-US" w:eastAsia="zh-CN"/>
              </w:rPr>
              <w:t>公对公转账或现金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8"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Times New Roman" w:eastAsia="宋体" w:cs="Times New Roman"/>
                <w:color w:val="auto"/>
                <w:sz w:val="24"/>
                <w:highlight w:val="none"/>
                <w:lang w:val="en-US" w:eastAsia="zh-CN"/>
              </w:rPr>
            </w:pPr>
            <w:r>
              <w:rPr>
                <w:rFonts w:ascii="宋体" w:hAnsi="宋体" w:eastAsia="宋体" w:cs="Times New Roman"/>
                <w:color w:val="auto"/>
                <w:sz w:val="24"/>
                <w:highlight w:val="none"/>
              </w:rPr>
              <w:t>2</w:t>
            </w:r>
            <w:r>
              <w:rPr>
                <w:rFonts w:hint="eastAsia" w:ascii="宋体" w:hAnsi="宋体" w:cs="Times New Roman"/>
                <w:color w:val="auto"/>
                <w:sz w:val="24"/>
                <w:highlight w:val="none"/>
                <w:lang w:val="en-US" w:eastAsia="zh-CN"/>
              </w:rPr>
              <w:t>6</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color w:val="auto"/>
                <w:sz w:val="24"/>
                <w:highlight w:val="none"/>
              </w:rPr>
            </w:pPr>
            <w:r>
              <w:rPr>
                <w:rFonts w:hint="eastAsia" w:ascii="宋体" w:hAnsi="宋体" w:eastAsia="宋体" w:cs="Times New Roman"/>
                <w:color w:val="auto"/>
                <w:sz w:val="24"/>
                <w:highlight w:val="none"/>
              </w:rPr>
              <w:t>评标委员的组建</w:t>
            </w:r>
          </w:p>
        </w:tc>
        <w:tc>
          <w:tcPr>
            <w:tcW w:w="6814"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评标委员会构成：</w:t>
            </w:r>
            <w:r>
              <w:rPr>
                <w:rFonts w:hint="eastAsia" w:ascii="宋体" w:hAnsi="宋体" w:eastAsia="宋体" w:cs="Times New Roman"/>
                <w:color w:val="auto"/>
                <w:sz w:val="24"/>
                <w:highlight w:val="none"/>
                <w:lang w:val="en-US" w:eastAsia="zh-CN"/>
              </w:rPr>
              <w:t>5</w:t>
            </w:r>
            <w:r>
              <w:rPr>
                <w:rFonts w:hint="eastAsia" w:ascii="宋体" w:hAnsi="宋体" w:eastAsia="宋体" w:cs="Times New Roman"/>
                <w:color w:val="auto"/>
                <w:sz w:val="24"/>
                <w:highlight w:val="none"/>
              </w:rPr>
              <w:t>人；</w:t>
            </w:r>
          </w:p>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rPr>
              <w:t>评标专家确定方式：由招标代理在开标前</w:t>
            </w:r>
            <w:r>
              <w:rPr>
                <w:rFonts w:hint="eastAsia" w:ascii="宋体" w:hAnsi="宋体" w:cs="Times New Roman"/>
                <w:color w:val="auto"/>
                <w:sz w:val="24"/>
                <w:highlight w:val="none"/>
                <w:lang w:val="en-US" w:eastAsia="zh-CN"/>
              </w:rPr>
              <w:t>48</w:t>
            </w:r>
            <w:r>
              <w:rPr>
                <w:rFonts w:hint="eastAsia" w:ascii="宋体" w:hAnsi="宋体" w:eastAsia="宋体" w:cs="Times New Roman"/>
                <w:color w:val="auto"/>
                <w:sz w:val="24"/>
                <w:highlight w:val="none"/>
              </w:rPr>
              <w:t>小时在新疆政府采购专家库中随机抽取此次评标专家</w:t>
            </w:r>
            <w:r>
              <w:rPr>
                <w:rFonts w:hint="eastAsia" w:ascii="宋体" w:hAnsi="宋体" w:eastAsia="宋体" w:cs="Times New Roman"/>
                <w:color w:val="auto"/>
                <w:sz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9" w:hRule="atLeast"/>
          <w:jc w:val="center"/>
        </w:trPr>
        <w:tc>
          <w:tcPr>
            <w:tcW w:w="701"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rPr>
              <w:t>2</w:t>
            </w:r>
            <w:r>
              <w:rPr>
                <w:rFonts w:hint="eastAsia" w:ascii="宋体" w:hAnsi="宋体" w:cs="Times New Roman"/>
                <w:color w:val="auto"/>
                <w:sz w:val="24"/>
                <w:highlight w:val="none"/>
                <w:lang w:val="en-US" w:eastAsia="zh-CN"/>
              </w:rPr>
              <w:t>7</w:t>
            </w:r>
          </w:p>
        </w:tc>
        <w:tc>
          <w:tcPr>
            <w:tcW w:w="2040"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宋体" w:eastAsia="宋体" w:cs="Times New Roman"/>
                <w:color w:val="auto"/>
                <w:sz w:val="24"/>
                <w:highlight w:val="none"/>
              </w:rPr>
            </w:pPr>
            <w:r>
              <w:rPr>
                <w:rFonts w:hint="eastAsia" w:ascii="宋体" w:hAnsi="宋体" w:eastAsia="宋体" w:cs="Times New Roman"/>
                <w:color w:val="auto"/>
                <w:sz w:val="24"/>
                <w:highlight w:val="none"/>
              </w:rPr>
              <w:t>履约保证金</w:t>
            </w:r>
          </w:p>
        </w:tc>
        <w:tc>
          <w:tcPr>
            <w:tcW w:w="6814"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ascii="宋体" w:hAnsi="宋体" w:eastAsia="宋体" w:cs="Times New Roman"/>
                <w:bCs/>
                <w:color w:val="auto"/>
                <w:sz w:val="24"/>
                <w:highlight w:val="none"/>
              </w:rPr>
            </w:pPr>
            <w:r>
              <w:rPr>
                <w:rFonts w:hint="eastAsia" w:ascii="宋体" w:hAnsi="宋体" w:eastAsia="宋体" w:cs="宋体"/>
                <w:bCs/>
                <w:color w:val="000000"/>
                <w:sz w:val="24"/>
                <w:szCs w:val="24"/>
              </w:rPr>
              <w:t>履约担保《中华人民共和国政府采购法实施条例》第四十八条履约保证金的数额不得超过政府采购合同金额的10%。</w:t>
            </w:r>
            <w:r>
              <w:rPr>
                <w:rFonts w:hint="eastAsia" w:ascii="宋体" w:hAnsi="宋体" w:eastAsia="宋体" w:cs="宋体"/>
                <w:bCs/>
                <w:color w:val="000000"/>
                <w:sz w:val="24"/>
                <w:szCs w:val="24"/>
                <w:lang w:val="en-US" w:eastAsia="zh-CN"/>
              </w:rPr>
              <w:t>中标人与招标人签订合同前提交履约保证金，如中标人未按招标文件规定的工期</w:t>
            </w:r>
            <w:r>
              <w:rPr>
                <w:rFonts w:hint="eastAsia" w:ascii="宋体" w:hAnsi="宋体" w:cs="宋体"/>
                <w:bCs/>
                <w:color w:val="000000"/>
                <w:sz w:val="24"/>
                <w:szCs w:val="24"/>
                <w:lang w:val="en-US" w:eastAsia="zh-CN"/>
              </w:rPr>
              <w:t>服务</w:t>
            </w:r>
            <w:r>
              <w:rPr>
                <w:rFonts w:hint="eastAsia" w:ascii="宋体" w:hAnsi="宋体" w:eastAsia="宋体" w:cs="宋体"/>
                <w:bCs/>
                <w:color w:val="000000"/>
                <w:sz w:val="24"/>
                <w:szCs w:val="24"/>
                <w:lang w:val="en-US" w:eastAsia="zh-CN"/>
              </w:rPr>
              <w:t>、</w:t>
            </w:r>
            <w:r>
              <w:rPr>
                <w:rFonts w:hint="eastAsia" w:ascii="宋体" w:hAnsi="宋体" w:eastAsia="宋体" w:cs="宋体"/>
                <w:sz w:val="25"/>
                <w:szCs w:val="25"/>
              </w:rPr>
              <w:t>实施过程中的设计变更、施工配合、验收配合等服务</w:t>
            </w:r>
            <w:r>
              <w:rPr>
                <w:rFonts w:hint="eastAsia" w:ascii="宋体" w:hAnsi="宋体" w:eastAsia="宋体" w:cs="宋体"/>
                <w:bCs/>
                <w:color w:val="000000"/>
                <w:sz w:val="24"/>
                <w:szCs w:val="24"/>
                <w:lang w:val="en-US" w:eastAsia="zh-CN"/>
              </w:rPr>
              <w:t>完毕，则扣除履约保证金。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88" w:hRule="atLeast"/>
          <w:jc w:val="center"/>
        </w:trPr>
        <w:tc>
          <w:tcPr>
            <w:tcW w:w="701"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28</w:t>
            </w:r>
          </w:p>
        </w:tc>
        <w:tc>
          <w:tcPr>
            <w:tcW w:w="2040"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采购项目需要落实的政府采购政策</w:t>
            </w:r>
          </w:p>
        </w:tc>
        <w:tc>
          <w:tcPr>
            <w:tcW w:w="6814"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lang w:val="en-US" w:eastAsia="zh-CN"/>
              </w:rPr>
            </w:pPr>
            <w:r>
              <w:rPr>
                <w:rFonts w:hint="eastAsia"/>
                <w:lang w:val="en-US" w:eastAsia="zh-CN"/>
              </w:rPr>
              <w:t>1、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得分的6％～10％作为其价格分。</w:t>
            </w:r>
          </w:p>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lang w:val="en-US" w:eastAsia="zh-CN"/>
              </w:rPr>
            </w:pPr>
            <w:r>
              <w:rPr>
                <w:rFonts w:hint="eastAsia"/>
                <w:lang w:val="en-US" w:eastAsia="zh-CN"/>
              </w:rPr>
              <w:t>2、接受大中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pPr>
              <w:keepNext w:val="0"/>
              <w:keepLines w:val="0"/>
              <w:pageBreakBefore w:val="0"/>
              <w:kinsoku/>
              <w:wordWrap/>
              <w:overflowPunct/>
              <w:topLinePunct w:val="0"/>
              <w:autoSpaceDE/>
              <w:autoSpaceDN/>
              <w:bidi w:val="0"/>
              <w:adjustRightInd/>
              <w:snapToGrid/>
              <w:spacing w:line="300" w:lineRule="exact"/>
              <w:ind w:left="0" w:right="0" w:firstLine="0" w:firstLineChars="0"/>
              <w:jc w:val="both"/>
              <w:textAlignment w:val="auto"/>
              <w:rPr>
                <w:rFonts w:hint="eastAsia"/>
                <w:lang w:eastAsia="zh-CN"/>
              </w:rPr>
            </w:pPr>
            <w:r>
              <w:rPr>
                <w:rFonts w:hint="eastAsia"/>
                <w:lang w:eastAsia="zh-CN"/>
              </w:rPr>
              <w:t>小型和微型企业适用价格扣除办法时应提供的相关资料：①、《中小企业声明函》；②、提供投标人工商行政登记所在地管理部门出具的小微企业证明文件；③、小微企业的认定由评标委员会根据投标人提供的资料进行认定。</w:t>
            </w:r>
          </w:p>
          <w:p>
            <w:pPr>
              <w:bidi w:val="0"/>
              <w:ind w:left="0" w:leftChars="0" w:firstLine="0" w:firstLineChars="0"/>
              <w:rPr>
                <w:rFonts w:hint="default" w:eastAsia="宋体"/>
                <w:lang w:val="en-US" w:eastAsia="zh-CN"/>
              </w:rPr>
            </w:pPr>
            <w:r>
              <w:rPr>
                <w:rFonts w:hint="eastAsia"/>
                <w:b/>
                <w:bCs/>
                <w:lang w:val="en-US" w:eastAsia="zh-CN"/>
              </w:rPr>
              <w:t>注：本项目专门面向中小企业预留金额比例：40.00%；其中，专门面向小微企业预留金额比例：60.00%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8" w:hRule="atLeast"/>
          <w:jc w:val="center"/>
        </w:trPr>
        <w:tc>
          <w:tcPr>
            <w:tcW w:w="701" w:type="dxa"/>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hint="default" w:ascii="宋体" w:hAnsi="Times New Roman"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29</w:t>
            </w:r>
          </w:p>
        </w:tc>
        <w:tc>
          <w:tcPr>
            <w:tcW w:w="2040"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00" w:lineRule="exact"/>
              <w:ind w:left="0" w:right="0" w:firstLine="0" w:firstLineChars="0"/>
              <w:jc w:val="center"/>
              <w:textAlignment w:val="auto"/>
              <w:rPr>
                <w:rFonts w:ascii="宋体" w:hAnsi="Times New Roman" w:eastAsia="宋体" w:cs="Times New Roman"/>
                <w:color w:val="auto"/>
                <w:sz w:val="24"/>
                <w:highlight w:val="none"/>
              </w:rPr>
            </w:pPr>
            <w:r>
              <w:rPr>
                <w:rFonts w:hint="eastAsia" w:ascii="宋体" w:hAnsi="宋体" w:eastAsia="宋体" w:cs="Times New Roman"/>
                <w:color w:val="auto"/>
                <w:sz w:val="24"/>
                <w:highlight w:val="none"/>
              </w:rPr>
              <w:t>其他说明</w:t>
            </w:r>
          </w:p>
        </w:tc>
        <w:tc>
          <w:tcPr>
            <w:tcW w:w="6814" w:type="dxa"/>
            <w:tcBorders>
              <w:left w:val="single" w:color="auto" w:sz="4" w:space="0"/>
            </w:tcBorders>
            <w:vAlign w:val="center"/>
          </w:tcPr>
          <w:p>
            <w:pPr>
              <w:rPr>
                <w:rFonts w:hint="eastAsia" w:ascii="宋体" w:hAnsi="宋体" w:eastAsia="宋体" w:cs="Times New Roman"/>
                <w:b/>
                <w:bCs/>
                <w:color w:val="000000" w:themeColor="text1"/>
                <w:sz w:val="24"/>
                <w:highlight w:val="none"/>
                <w14:textFill>
                  <w14:solidFill>
                    <w14:schemeClr w14:val="tx1"/>
                  </w14:solidFill>
                </w14:textFill>
              </w:rPr>
            </w:pPr>
            <w:r>
              <w:rPr>
                <w:rFonts w:hint="eastAsia" w:ascii="宋体" w:hAnsi="宋体" w:eastAsia="宋体" w:cs="Times New Roman"/>
                <w:b/>
                <w:bCs/>
                <w:color w:val="000000" w:themeColor="text1"/>
                <w:sz w:val="24"/>
                <w:highlight w:val="none"/>
                <w14:textFill>
                  <w14:solidFill>
                    <w14:schemeClr w14:val="tx1"/>
                  </w14:solidFill>
                </w14:textFill>
              </w:rPr>
              <w:t>特别提醒：</w:t>
            </w:r>
          </w:p>
          <w:p>
            <w:pPr>
              <w:keepNext w:val="0"/>
              <w:keepLines w:val="0"/>
              <w:pageBreakBefore w:val="0"/>
              <w:kinsoku/>
              <w:wordWrap/>
              <w:overflowPunct/>
              <w:topLinePunct w:val="0"/>
              <w:autoSpaceDE/>
              <w:autoSpaceDN/>
              <w:bidi w:val="0"/>
              <w:adjustRightInd/>
              <w:snapToGrid/>
              <w:spacing w:line="300" w:lineRule="exact"/>
              <w:ind w:left="0" w:right="0" w:firstLine="480" w:firstLineChars="200"/>
              <w:jc w:val="both"/>
              <w:textAlignment w:val="auto"/>
              <w:rPr>
                <w:rFonts w:hint="eastAsia" w:ascii="宋体" w:hAnsi="宋体" w:eastAsia="宋体" w:cs="Times New Roman"/>
                <w:b w:val="0"/>
                <w:bCs w:val="0"/>
                <w:color w:val="000000" w:themeColor="text1"/>
                <w:sz w:val="24"/>
                <w:highlight w:val="none"/>
                <w14:textFill>
                  <w14:solidFill>
                    <w14:schemeClr w14:val="tx1"/>
                  </w14:solidFill>
                </w14:textFill>
              </w:rPr>
            </w:pPr>
            <w:r>
              <w:rPr>
                <w:rFonts w:hint="eastAsia" w:ascii="宋体" w:hAnsi="宋体" w:eastAsia="宋体" w:cs="Times New Roman"/>
                <w:b w:val="0"/>
                <w:bCs w:val="0"/>
                <w:color w:val="000000" w:themeColor="text1"/>
                <w:sz w:val="24"/>
                <w:highlight w:val="none"/>
                <w14:textFill>
                  <w14:solidFill>
                    <w14:schemeClr w14:val="tx1"/>
                  </w14:solidFill>
                </w14:textFill>
              </w:rPr>
              <w:t>1、所有投标人的报价高于采购预算额度视为无效报价（即作否决投标处理）。</w:t>
            </w:r>
          </w:p>
          <w:p>
            <w:pPr>
              <w:keepNext w:val="0"/>
              <w:keepLines w:val="0"/>
              <w:pageBreakBefore w:val="0"/>
              <w:kinsoku/>
              <w:wordWrap/>
              <w:overflowPunct/>
              <w:topLinePunct w:val="0"/>
              <w:autoSpaceDE/>
              <w:autoSpaceDN/>
              <w:bidi w:val="0"/>
              <w:adjustRightInd/>
              <w:snapToGrid/>
              <w:spacing w:line="300" w:lineRule="exact"/>
              <w:ind w:left="0" w:right="0" w:firstLine="480" w:firstLineChars="200"/>
              <w:jc w:val="both"/>
              <w:textAlignment w:val="auto"/>
              <w:rPr>
                <w:rFonts w:hint="eastAsia" w:ascii="宋体" w:hAnsi="宋体" w:eastAsia="宋体" w:cs="Times New Roman"/>
                <w:b w:val="0"/>
                <w:bCs w:val="0"/>
                <w:color w:val="000000" w:themeColor="text1"/>
                <w:sz w:val="24"/>
                <w:highlight w:val="none"/>
                <w14:textFill>
                  <w14:solidFill>
                    <w14:schemeClr w14:val="tx1"/>
                  </w14:solidFill>
                </w14:textFill>
              </w:rPr>
            </w:pPr>
            <w:r>
              <w:rPr>
                <w:rFonts w:hint="eastAsia" w:ascii="宋体" w:hAnsi="宋体" w:eastAsia="宋体" w:cs="Times New Roman"/>
                <w:b w:val="0"/>
                <w:bCs w:val="0"/>
                <w:color w:val="000000" w:themeColor="text1"/>
                <w:sz w:val="24"/>
                <w:highlight w:val="none"/>
                <w14:textFill>
                  <w14:solidFill>
                    <w14:schemeClr w14:val="tx1"/>
                  </w14:solidFill>
                </w14:textFill>
              </w:rPr>
              <w:t>2、所有投标人的报价明显低于其他投标报价或者在设有标底时明显低于标底，使得其投标报价可能低于其个别成本的，应当要求该投标人作出书面说明并提供相应证明材料。投标人不能合理或者不能提供相应证明材料的，由评标委员会认定该投标人以低于成本报价竞标</w:t>
            </w:r>
            <w:r>
              <w:rPr>
                <w:rFonts w:hint="eastAsia" w:ascii="宋体" w:hAnsi="宋体" w:eastAsia="宋体" w:cs="Times New Roman"/>
                <w:b w:val="0"/>
                <w:bCs w:val="0"/>
                <w:color w:val="000000" w:themeColor="text1"/>
                <w:sz w:val="24"/>
                <w:highlight w:val="none"/>
                <w:lang w:eastAsia="zh-CN"/>
                <w14:textFill>
                  <w14:solidFill>
                    <w14:schemeClr w14:val="tx1"/>
                  </w14:solidFill>
                </w14:textFill>
              </w:rPr>
              <w:t>，</w:t>
            </w:r>
            <w:r>
              <w:rPr>
                <w:rFonts w:hint="eastAsia" w:ascii="宋体" w:hAnsi="宋体" w:eastAsia="宋体" w:cs="Times New Roman"/>
                <w:b w:val="0"/>
                <w:bCs w:val="0"/>
                <w:color w:val="000000" w:themeColor="text1"/>
                <w:sz w:val="24"/>
                <w:highlight w:val="none"/>
                <w14:textFill>
                  <w14:solidFill>
                    <w14:schemeClr w14:val="tx1"/>
                  </w14:solidFill>
                </w14:textFill>
              </w:rPr>
              <w:t>其投标视为无效标处理。</w:t>
            </w:r>
          </w:p>
          <w:p>
            <w:pPr>
              <w:pStyle w:val="78"/>
              <w:ind w:firstLine="480" w:firstLineChars="200"/>
              <w:rPr>
                <w:rFonts w:hint="default"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3、所有投标单位对招标文件中所有条款如有疑问或异议请在开标以书面形式提出，否则不予受理。</w:t>
            </w:r>
          </w:p>
          <w:p>
            <w:pPr>
              <w:pStyle w:val="78"/>
              <w:ind w:firstLine="480" w:firstLineChars="200"/>
              <w:rPr>
                <w:rFonts w:hint="eastAsia"/>
                <w:b w:val="0"/>
                <w:bCs w:val="0"/>
                <w:color w:val="000000" w:themeColor="text1"/>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4、更正补充公告请自行登录新疆政府采购网查看下载。</w:t>
            </w:r>
          </w:p>
          <w:p>
            <w:pPr>
              <w:keepNext w:val="0"/>
              <w:keepLines w:val="0"/>
              <w:pageBreakBefore w:val="0"/>
              <w:kinsoku/>
              <w:wordWrap/>
              <w:overflowPunct/>
              <w:topLinePunct w:val="0"/>
              <w:autoSpaceDE/>
              <w:autoSpaceDN/>
              <w:bidi w:val="0"/>
              <w:adjustRightInd/>
              <w:snapToGrid/>
              <w:spacing w:line="300" w:lineRule="exact"/>
              <w:ind w:left="0" w:right="0" w:firstLine="480" w:firstLineChars="200"/>
              <w:jc w:val="both"/>
              <w:textAlignment w:val="auto"/>
              <w:rPr>
                <w:rFonts w:hint="eastAsia" w:ascii="宋体" w:hAnsi="宋体" w:eastAsia="宋体" w:cs="Times New Roman"/>
                <w:color w:val="0000FF"/>
                <w:sz w:val="24"/>
                <w:highlight w:val="none"/>
                <w:lang w:val="en-US" w:eastAsia="zh-CN"/>
              </w:rPr>
            </w:pPr>
            <w:r>
              <w:rPr>
                <w:rFonts w:hint="eastAsia" w:ascii="宋体" w:hAnsi="宋体" w:cs="Times New Roman"/>
                <w:b w:val="0"/>
                <w:bCs w:val="0"/>
                <w:color w:val="000000" w:themeColor="text1"/>
                <w:sz w:val="24"/>
                <w:highlight w:val="none"/>
                <w:lang w:val="en-US" w:eastAsia="zh-CN"/>
                <w14:textFill>
                  <w14:solidFill>
                    <w14:schemeClr w14:val="tx1"/>
                  </w14:solidFill>
                </w14:textFill>
              </w:rPr>
              <w:t>5</w:t>
            </w:r>
            <w:r>
              <w:rPr>
                <w:rFonts w:hint="eastAsia" w:ascii="宋体" w:hAnsi="宋体" w:eastAsia="宋体" w:cs="Times New Roman"/>
                <w:b w:val="0"/>
                <w:bCs w:val="0"/>
                <w:color w:val="000000" w:themeColor="text1"/>
                <w:sz w:val="24"/>
                <w:highlight w:val="none"/>
                <w:lang w:val="en-US" w:eastAsia="zh-CN"/>
                <w14:textFill>
                  <w14:solidFill>
                    <w14:schemeClr w14:val="tx1"/>
                  </w14:solidFill>
                </w14:textFill>
              </w:rPr>
              <w:t>、为确保投标保证金的及时退还，评标结束后投标企业需提供保证金汇款凭证、开户许可证复印件、收据并注明开户行行号、联系方式（加盖公司鲜公章）交至皮山县政府投资交易中心财务室办理。（注：废标项目投标保证金在后续项目再次招标时银行系统不做统计，投标企业及时办理退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555" w:type="dxa"/>
            <w:gridSpan w:val="3"/>
            <w:vAlign w:val="center"/>
          </w:tcPr>
          <w:p>
            <w:pPr>
              <w:pStyle w:val="78"/>
              <w:ind w:firstLine="480" w:firstLineChars="200"/>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1、招标文件中部分加粗、加下划线、废标、无效标、投标被拒绝字样的条款，为招标的实质性要求和条件，着重提醒各投标人注意，并认真查看招标文件中的每一个条款及要求，因误读招标文件而造成的后果，招标人概不负责。</w:t>
            </w:r>
          </w:p>
          <w:p>
            <w:pPr>
              <w:pStyle w:val="78"/>
              <w:ind w:firstLine="480" w:firstLineChars="200"/>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2、投标文件中有弄虚作假的内容，其投标文件作废。（如假证书、假业绩、隐瞒不良行为记录、夸大荣誉、使用非本单位在职员工的相关证件及不符合招标文件规定的条款等）；在签订合同之前，招标人如发现投标人的投标文件有弄虚作假内容，招标人可拒绝与其签订合同，并将其列入政府采购黑名单。</w:t>
            </w:r>
          </w:p>
          <w:p>
            <w:pPr>
              <w:pStyle w:val="78"/>
              <w:ind w:firstLine="480" w:firstLineChars="200"/>
              <w:rPr>
                <w:rFonts w:hint="eastAsia" w:ascii="宋体" w:hAnsi="宋体" w:eastAsia="宋体" w:cs="宋体"/>
                <w:color w:val="000000"/>
                <w:kern w:val="2"/>
                <w:highlight w:val="none"/>
                <w:lang w:val="en-US" w:eastAsia="zh-CN"/>
              </w:rPr>
            </w:pP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3、</w:t>
            </w:r>
            <w:r>
              <w:rPr>
                <w:rFonts w:hint="eastAsia" w:ascii="宋体" w:hAnsi="宋体" w:eastAsia="宋体" w:cs="Times New Roman"/>
                <w:b w:val="0"/>
                <w:bCs w:val="0"/>
                <w:color w:val="000000" w:themeColor="text1"/>
                <w:kern w:val="2"/>
                <w:sz w:val="24"/>
                <w:szCs w:val="24"/>
                <w:highlight w:val="none"/>
                <w:lang w:val="zh-CN" w:eastAsia="zh-CN" w:bidi="ar-SA"/>
                <w14:textFill>
                  <w14:solidFill>
                    <w14:schemeClr w14:val="tx1"/>
                  </w14:solidFill>
                </w14:textFill>
              </w:rPr>
              <w:t>本项目的招标投标活动以及相关当事人须接受财政监督部门依法实施的监督。</w:t>
            </w:r>
          </w:p>
        </w:tc>
      </w:tr>
    </w:tbl>
    <w:p>
      <w:pPr>
        <w:spacing w:line="500" w:lineRule="exact"/>
        <w:ind w:left="0" w:leftChars="0" w:firstLine="0" w:firstLineChars="0"/>
        <w:jc w:val="both"/>
        <w:rPr>
          <w:rFonts w:hint="eastAsia" w:ascii="宋体" w:hAnsi="宋体" w:cs="宋体"/>
          <w:b/>
          <w:sz w:val="24"/>
        </w:rPr>
      </w:pPr>
    </w:p>
    <w:p>
      <w:pPr>
        <w:spacing w:line="500" w:lineRule="exact"/>
        <w:ind w:left="120" w:hanging="120"/>
        <w:jc w:val="center"/>
        <w:rPr>
          <w:rFonts w:hint="eastAsia" w:ascii="宋体" w:hAnsi="宋体" w:cs="宋体"/>
          <w:b/>
          <w:sz w:val="24"/>
        </w:rPr>
      </w:pPr>
    </w:p>
    <w:p>
      <w:pPr>
        <w:pStyle w:val="2"/>
        <w:outlineLvl w:val="9"/>
        <w:rPr>
          <w:rFonts w:hint="eastAsia" w:ascii="宋体" w:hAnsi="宋体" w:cs="宋体"/>
          <w:b/>
          <w:sz w:val="24"/>
        </w:rPr>
      </w:pPr>
    </w:p>
    <w:p>
      <w:pPr>
        <w:rPr>
          <w:rFonts w:hint="eastAsia" w:ascii="宋体" w:hAnsi="宋体" w:cs="宋体"/>
          <w:b/>
          <w:sz w:val="24"/>
        </w:rPr>
      </w:pPr>
    </w:p>
    <w:p>
      <w:pPr>
        <w:spacing w:line="500" w:lineRule="exact"/>
        <w:ind w:left="120" w:hanging="120"/>
        <w:jc w:val="center"/>
        <w:rPr>
          <w:rFonts w:hint="eastAsia" w:ascii="宋体" w:hAnsi="宋体"/>
          <w:b/>
          <w:sz w:val="28"/>
          <w:szCs w:val="28"/>
        </w:rPr>
      </w:pPr>
    </w:p>
    <w:p>
      <w:pPr>
        <w:spacing w:line="500" w:lineRule="exact"/>
        <w:ind w:left="120" w:hanging="120"/>
        <w:jc w:val="center"/>
        <w:rPr>
          <w:rFonts w:hint="eastAsia" w:ascii="宋体" w:hAnsi="宋体"/>
          <w:b/>
          <w:sz w:val="28"/>
          <w:szCs w:val="28"/>
        </w:rPr>
      </w:pPr>
    </w:p>
    <w:p>
      <w:pPr>
        <w:spacing w:line="500" w:lineRule="exact"/>
        <w:ind w:left="120" w:hanging="120"/>
        <w:jc w:val="center"/>
        <w:rPr>
          <w:rFonts w:hint="eastAsia" w:ascii="宋体" w:hAnsi="宋体" w:cs="宋体"/>
          <w:b/>
          <w:sz w:val="24"/>
        </w:rPr>
      </w:pPr>
      <w:r>
        <w:rPr>
          <w:rFonts w:hint="eastAsia" w:ascii="宋体" w:hAnsi="宋体"/>
          <w:b/>
          <w:sz w:val="28"/>
          <w:szCs w:val="28"/>
        </w:rPr>
        <w:t xml:space="preserve">  </w:t>
      </w:r>
      <w:r>
        <w:rPr>
          <w:rFonts w:hint="eastAsia" w:ascii="宋体" w:hAnsi="宋体" w:eastAsia="宋体" w:cs="Times New Roman"/>
          <w:b/>
          <w:sz w:val="28"/>
          <w:szCs w:val="28"/>
        </w:rPr>
        <w:t>投标人须知正文部分</w:t>
      </w:r>
    </w:p>
    <w:p>
      <w:pPr>
        <w:spacing w:line="500" w:lineRule="exact"/>
        <w:ind w:left="120" w:hanging="120"/>
        <w:jc w:val="center"/>
        <w:rPr>
          <w:rFonts w:hint="default" w:ascii="宋体" w:hAnsi="宋体" w:eastAsia="宋体" w:cs="宋体"/>
          <w:b/>
          <w:sz w:val="28"/>
          <w:szCs w:val="28"/>
          <w:lang w:val="en-US" w:eastAsia="zh-CN"/>
        </w:rPr>
      </w:pPr>
      <w:r>
        <w:rPr>
          <w:rFonts w:hint="eastAsia" w:ascii="宋体" w:hAnsi="宋体" w:eastAsia="宋体" w:cs="宋体"/>
          <w:b/>
          <w:sz w:val="28"/>
          <w:szCs w:val="28"/>
          <w:lang w:val="en-US" w:eastAsia="zh-CN"/>
        </w:rPr>
        <w:t xml:space="preserve"> </w:t>
      </w:r>
      <w:bookmarkStart w:id="46" w:name="_Toc17382"/>
      <w:r>
        <w:rPr>
          <w:rFonts w:hint="eastAsia" w:ascii="宋体" w:hAnsi="宋体" w:eastAsia="宋体" w:cs="宋体"/>
          <w:b/>
          <w:sz w:val="28"/>
          <w:szCs w:val="28"/>
          <w:lang w:val="en-US" w:eastAsia="zh-CN"/>
        </w:rPr>
        <w:t>（一）总则</w:t>
      </w:r>
      <w:bookmarkEnd w:id="46"/>
    </w:p>
    <w:p>
      <w:pPr>
        <w:spacing w:line="300" w:lineRule="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（一）适用范围</w:t>
      </w:r>
    </w:p>
    <w:p>
      <w:pPr>
        <w:spacing w:line="300" w:lineRule="auto"/>
        <w:ind w:left="210" w:leftChars="100" w:firstLine="315" w:firstLineChars="1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本招标文件适用于</w:t>
      </w:r>
      <w:r>
        <w:rPr>
          <w:rFonts w:hint="eastAsia" w:cs="Times New Roman"/>
          <w:lang w:val="en-US" w:eastAsia="zh-CN"/>
        </w:rPr>
        <w:t>皮山县固玛镇寄宿制第二、第三中学及固玛镇第二小学中华文化共同体主题校园文化建设补助项目-法治校园文化建设项目</w:t>
      </w:r>
      <w:r>
        <w:rPr>
          <w:rFonts w:hint="eastAsia" w:ascii="Times New Roman" w:hAnsi="Times New Roman" w:eastAsia="宋体" w:cs="Times New Roman"/>
          <w:lang w:val="en-US" w:eastAsia="zh-CN"/>
        </w:rPr>
        <w:t>的招标、投标、评标、定标、验收、合同履约、付款等行为（法律、法规另有规定的，从其规定）。</w:t>
      </w:r>
    </w:p>
    <w:p>
      <w:pPr>
        <w:spacing w:line="300" w:lineRule="auto"/>
        <w:outlineLvl w:val="1"/>
        <w:rPr>
          <w:rFonts w:hint="eastAsia" w:ascii="Times New Roman" w:hAnsi="Times New Roman" w:eastAsia="宋体" w:cs="Times New Roman"/>
          <w:b/>
          <w:bCs/>
          <w:lang w:val="en-US" w:eastAsia="zh-CN"/>
        </w:rPr>
      </w:pPr>
      <w:bookmarkStart w:id="47" w:name="_Toc13192"/>
      <w:bookmarkStart w:id="48" w:name="_Toc21374"/>
      <w:r>
        <w:rPr>
          <w:rFonts w:hint="eastAsia" w:ascii="Times New Roman" w:hAnsi="Times New Roman" w:eastAsia="宋体" w:cs="Times New Roman"/>
          <w:b/>
          <w:bCs/>
          <w:lang w:val="en-US" w:eastAsia="zh-CN"/>
        </w:rPr>
        <w:t>（二）定义</w:t>
      </w:r>
      <w:bookmarkEnd w:id="47"/>
      <w:bookmarkEnd w:id="48"/>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1.招标采购单位系指组织本次招标的代理机构（“招标人”）和采购单位。</w:t>
      </w:r>
    </w:p>
    <w:p>
      <w:pPr>
        <w:spacing w:line="300" w:lineRule="auto"/>
        <w:ind w:left="210" w:leftChars="100" w:firstLine="105" w:firstLineChars="50"/>
        <w:outlineLvl w:val="2"/>
        <w:rPr>
          <w:rFonts w:hint="eastAsia" w:ascii="Times New Roman" w:hAnsi="Times New Roman" w:eastAsia="宋体" w:cs="Times New Roman"/>
          <w:lang w:val="en-US" w:eastAsia="zh-CN"/>
        </w:rPr>
      </w:pPr>
      <w:bookmarkStart w:id="49" w:name="_Toc16199"/>
      <w:r>
        <w:rPr>
          <w:rFonts w:hint="eastAsia" w:ascii="Times New Roman" w:hAnsi="Times New Roman" w:eastAsia="宋体" w:cs="Times New Roman"/>
          <w:lang w:val="en-US" w:eastAsia="zh-CN"/>
        </w:rPr>
        <w:t>2.“投标人”系指向招标方提交投标文件的单位或个人。</w:t>
      </w:r>
      <w:bookmarkEnd w:id="49"/>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3.“产品”系指供方按招标文件规定，须向招标人提供的一切服务及其它有关技术资料和材料。</w:t>
      </w:r>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4.“服务”系指招标文件规定投标人须承担的技术协助、校准、培训、技术指导以及其他类似的义务。</w:t>
      </w:r>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5.“项目”系指投标人按招标文件规定向招标人提供的产品和服务。</w:t>
      </w:r>
    </w:p>
    <w:p>
      <w:pPr>
        <w:spacing w:line="300" w:lineRule="auto"/>
        <w:ind w:left="210" w:leftChars="100" w:firstLine="105" w:firstLineChars="50"/>
        <w:outlineLvl w:val="2"/>
        <w:rPr>
          <w:rFonts w:hint="eastAsia" w:ascii="Times New Roman" w:hAnsi="Times New Roman" w:eastAsia="宋体" w:cs="Times New Roman"/>
          <w:lang w:val="en-US" w:eastAsia="zh-CN"/>
        </w:rPr>
      </w:pPr>
      <w:bookmarkStart w:id="50" w:name="_Toc20586"/>
      <w:r>
        <w:rPr>
          <w:rFonts w:hint="eastAsia" w:ascii="Times New Roman" w:hAnsi="Times New Roman" w:eastAsia="宋体" w:cs="Times New Roman"/>
          <w:lang w:val="en-US" w:eastAsia="zh-CN"/>
        </w:rPr>
        <w:t>6.“书面形式”包括信函、传真、电报等。</w:t>
      </w:r>
      <w:bookmarkEnd w:id="50"/>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7.“▲”系指实质性要求条款。</w:t>
      </w:r>
    </w:p>
    <w:p>
      <w:pPr>
        <w:spacing w:line="300" w:lineRule="auto"/>
        <w:outlineLvl w:val="1"/>
        <w:rPr>
          <w:rFonts w:hint="eastAsia" w:ascii="Times New Roman" w:hAnsi="Times New Roman" w:eastAsia="宋体" w:cs="Times New Roman"/>
          <w:b/>
          <w:bCs/>
          <w:lang w:val="en-US" w:eastAsia="zh-CN"/>
        </w:rPr>
      </w:pPr>
      <w:bookmarkStart w:id="51" w:name="_Toc14030"/>
      <w:bookmarkStart w:id="52" w:name="_Toc15840"/>
      <w:r>
        <w:rPr>
          <w:rFonts w:hint="eastAsia" w:ascii="Times New Roman" w:hAnsi="Times New Roman" w:eastAsia="宋体" w:cs="Times New Roman"/>
          <w:b/>
          <w:bCs/>
          <w:lang w:val="en-US" w:eastAsia="zh-CN"/>
        </w:rPr>
        <w:t>（三）招标方式</w:t>
      </w:r>
      <w:bookmarkEnd w:id="51"/>
      <w:bookmarkEnd w:id="52"/>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本次招标采用公开招标方式进行。</w:t>
      </w:r>
    </w:p>
    <w:p>
      <w:pPr>
        <w:spacing w:line="300" w:lineRule="auto"/>
        <w:outlineLvl w:val="1"/>
        <w:rPr>
          <w:rFonts w:hint="eastAsia" w:ascii="Times New Roman" w:hAnsi="Times New Roman" w:eastAsia="宋体" w:cs="Times New Roman"/>
          <w:b/>
          <w:bCs/>
          <w:lang w:val="en-US" w:eastAsia="zh-CN"/>
        </w:rPr>
      </w:pPr>
      <w:bookmarkStart w:id="53" w:name="_Toc20843"/>
      <w:bookmarkStart w:id="54" w:name="_Toc18596"/>
      <w:r>
        <w:rPr>
          <w:rFonts w:hint="eastAsia" w:ascii="Times New Roman" w:hAnsi="Times New Roman" w:eastAsia="宋体" w:cs="Times New Roman"/>
          <w:b/>
          <w:bCs/>
          <w:lang w:val="en-US" w:eastAsia="zh-CN"/>
        </w:rPr>
        <w:t>（四）投标报名</w:t>
      </w:r>
      <w:bookmarkEnd w:id="53"/>
      <w:bookmarkEnd w:id="54"/>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在符合该招标（采购）公告投标人资格要求条件的前提下，可于本公告发布之日起在新疆政府采购网（http://www.ccgp-xinjiang.gov.cn/）的该采购公告附件中直接下载招标（采购）文件并参与投标，不再需要报名，在开标时一并进行资格审核。   </w:t>
      </w:r>
    </w:p>
    <w:p>
      <w:pPr>
        <w:spacing w:line="300" w:lineRule="auto"/>
        <w:outlineLvl w:val="1"/>
        <w:rPr>
          <w:rFonts w:hint="eastAsia" w:ascii="Times New Roman" w:hAnsi="Times New Roman" w:eastAsia="宋体" w:cs="Times New Roman"/>
          <w:b/>
          <w:bCs/>
          <w:lang w:val="en-US" w:eastAsia="zh-CN"/>
        </w:rPr>
      </w:pPr>
      <w:bookmarkStart w:id="55" w:name="_Toc1704"/>
      <w:bookmarkStart w:id="56" w:name="_Toc17293"/>
      <w:r>
        <w:rPr>
          <w:rFonts w:hint="eastAsia" w:ascii="Times New Roman" w:hAnsi="Times New Roman" w:eastAsia="宋体" w:cs="Times New Roman"/>
          <w:b/>
          <w:bCs/>
          <w:lang w:val="en-US" w:eastAsia="zh-CN"/>
        </w:rPr>
        <w:t>（五）投标费用</w:t>
      </w:r>
      <w:bookmarkEnd w:id="55"/>
      <w:bookmarkEnd w:id="56"/>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不论投标结果如何，投标人均应自行承担所有与投标有关的全部费用。</w:t>
      </w:r>
    </w:p>
    <w:p>
      <w:pPr>
        <w:spacing w:line="300" w:lineRule="auto"/>
        <w:outlineLvl w:val="1"/>
        <w:rPr>
          <w:rFonts w:hint="eastAsia" w:ascii="Times New Roman" w:hAnsi="Times New Roman" w:eastAsia="宋体" w:cs="Times New Roman"/>
          <w:b/>
          <w:bCs/>
          <w:lang w:val="en-US" w:eastAsia="zh-CN"/>
        </w:rPr>
      </w:pPr>
      <w:bookmarkStart w:id="57" w:name="_Toc22117"/>
      <w:bookmarkStart w:id="58" w:name="_Toc19554"/>
      <w:r>
        <w:rPr>
          <w:rFonts w:hint="eastAsia" w:ascii="Times New Roman" w:hAnsi="Times New Roman" w:eastAsia="宋体" w:cs="Times New Roman"/>
          <w:b/>
          <w:bCs/>
          <w:lang w:val="en-US" w:eastAsia="zh-CN"/>
        </w:rPr>
        <w:t>（六）联合体投标</w:t>
      </w:r>
      <w:bookmarkEnd w:id="57"/>
      <w:bookmarkEnd w:id="58"/>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w:t>
      </w:r>
      <w:r>
        <w:rPr>
          <w:rFonts w:hint="eastAsia" w:cs="Times New Roman"/>
          <w:lang w:val="en-US" w:eastAsia="zh-CN"/>
        </w:rPr>
        <w:t>不</w:t>
      </w:r>
      <w:r>
        <w:rPr>
          <w:rFonts w:hint="eastAsia" w:ascii="Times New Roman" w:hAnsi="Times New Roman" w:eastAsia="宋体" w:cs="Times New Roman"/>
          <w:lang w:val="en-US" w:eastAsia="zh-CN"/>
        </w:rPr>
        <w:t>接受联合体投标。</w:t>
      </w:r>
    </w:p>
    <w:p>
      <w:pPr>
        <w:spacing w:line="300" w:lineRule="auto"/>
        <w:outlineLvl w:val="1"/>
        <w:rPr>
          <w:rFonts w:hint="eastAsia" w:ascii="Times New Roman" w:hAnsi="Times New Roman" w:eastAsia="宋体" w:cs="Times New Roman"/>
          <w:b/>
          <w:bCs/>
          <w:lang w:val="en-US" w:eastAsia="zh-CN"/>
        </w:rPr>
      </w:pPr>
      <w:bookmarkStart w:id="59" w:name="_Toc11478"/>
      <w:bookmarkStart w:id="60" w:name="_Toc21389"/>
      <w:r>
        <w:rPr>
          <w:rFonts w:hint="eastAsia" w:ascii="Times New Roman" w:hAnsi="Times New Roman" w:eastAsia="宋体" w:cs="Times New Roman"/>
          <w:b/>
          <w:bCs/>
          <w:lang w:val="en-US" w:eastAsia="zh-CN"/>
        </w:rPr>
        <w:t>（七）转包与分包</w:t>
      </w:r>
      <w:bookmarkEnd w:id="59"/>
      <w:bookmarkEnd w:id="60"/>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1.本项目不允许转包。</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2.本项目可以分包。</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3.投标人应仔细阅读招标文件的所有内容，按照招标文件的要求提交投标文件，并对所提供的全部资料的真实性承担法律责任。</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投标人在投标活动中提供任何虚假材料,其投标无效，并报监管部门查处；中标后发现的,中标人须依照《中华人民共和国消费者权益保护法》第49条之规定双倍赔偿招标人，且民事赔偿并不免除违法投标人的行政与刑事责任。</w:t>
      </w:r>
    </w:p>
    <w:p>
      <w:pPr>
        <w:spacing w:line="300" w:lineRule="auto"/>
        <w:outlineLvl w:val="1"/>
        <w:rPr>
          <w:rFonts w:hint="eastAsia" w:ascii="Times New Roman" w:hAnsi="Times New Roman" w:eastAsia="宋体" w:cs="Times New Roman"/>
          <w:b/>
          <w:bCs/>
          <w:lang w:val="en-US" w:eastAsia="zh-CN"/>
        </w:rPr>
      </w:pPr>
      <w:bookmarkStart w:id="61" w:name="_Toc4294"/>
      <w:bookmarkStart w:id="62" w:name="_Toc14774"/>
      <w:r>
        <w:rPr>
          <w:rFonts w:hint="eastAsia" w:ascii="Times New Roman" w:hAnsi="Times New Roman" w:eastAsia="宋体" w:cs="Times New Roman"/>
          <w:b/>
          <w:bCs/>
          <w:lang w:val="en-US" w:eastAsia="zh-CN"/>
        </w:rPr>
        <w:t>（八）质疑和投诉</w:t>
      </w:r>
      <w:bookmarkEnd w:id="61"/>
      <w:bookmarkEnd w:id="62"/>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投标人认为招标文件、招标过程或中标结果使自己的合法权益受到损害的，应当在知道或者应知其权益受到损害之日起七个工作日内，以书面形式向招标人、招标代理机构提出质疑。投标人对招标采购单位的质疑答复不满意或者招标采购单位未在规定时间内作出答复的，可以在答复期满后十五个工作日内向招标人投诉。</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pPr>
        <w:keepNext w:val="0"/>
        <w:keepLines w:val="0"/>
        <w:pageBreakBefore w:val="0"/>
        <w:kinsoku/>
        <w:wordWrap/>
        <w:overflowPunct/>
        <w:topLinePunct w:val="0"/>
        <w:autoSpaceDE/>
        <w:autoSpaceDN/>
        <w:bidi w:val="0"/>
        <w:adjustRightInd/>
        <w:snapToGrid/>
        <w:spacing w:line="300" w:lineRule="exact"/>
        <w:ind w:left="0" w:right="0" w:firstLine="562" w:firstLineChars="200"/>
        <w:jc w:val="both"/>
        <w:textAlignment w:val="auto"/>
        <w:rPr>
          <w:rFonts w:hint="eastAsia" w:ascii="宋体" w:hAnsi="宋体" w:eastAsia="宋体" w:cs="Times New Roman"/>
          <w:b/>
          <w:bCs/>
          <w:color w:val="000000" w:themeColor="text1"/>
          <w:sz w:val="28"/>
          <w:szCs w:val="28"/>
          <w:highlight w:val="none"/>
          <w:lang w:val="en-US" w:eastAsia="zh-CN"/>
          <w14:textFill>
            <w14:solidFill>
              <w14:schemeClr w14:val="tx1"/>
            </w14:solidFill>
          </w14:textFill>
        </w:rPr>
      </w:pPr>
      <w:bookmarkStart w:id="63" w:name="_Toc521014777"/>
      <w:bookmarkStart w:id="64" w:name="_Toc32144"/>
      <w:bookmarkStart w:id="65" w:name="_Toc28270"/>
      <w:bookmarkStart w:id="66" w:name="_Toc503212209"/>
      <w:bookmarkStart w:id="67" w:name="_Toc30350"/>
    </w:p>
    <w:p>
      <w:pPr>
        <w:keepNext w:val="0"/>
        <w:keepLines w:val="0"/>
        <w:pageBreakBefore w:val="0"/>
        <w:numPr>
          <w:ilvl w:val="0"/>
          <w:numId w:val="4"/>
        </w:numPr>
        <w:kinsoku/>
        <w:wordWrap/>
        <w:overflowPunct/>
        <w:topLinePunct w:val="0"/>
        <w:autoSpaceDE/>
        <w:autoSpaceDN/>
        <w:bidi w:val="0"/>
        <w:adjustRightInd/>
        <w:snapToGrid/>
        <w:spacing w:line="300" w:lineRule="exact"/>
        <w:ind w:left="0" w:right="0" w:firstLine="562" w:firstLineChars="200"/>
        <w:jc w:val="center"/>
        <w:textAlignment w:val="auto"/>
        <w:rPr>
          <w:rFonts w:hint="eastAsia" w:ascii="宋体" w:hAnsi="宋体" w:eastAsia="宋体" w:cs="Times New Roman"/>
          <w:b/>
          <w:bCs/>
          <w:color w:val="000000" w:themeColor="text1"/>
          <w:sz w:val="28"/>
          <w:szCs w:val="28"/>
          <w:highlight w:val="none"/>
          <w:lang w:val="en-US" w:eastAsia="zh-CN"/>
          <w14:textFill>
            <w14:solidFill>
              <w14:schemeClr w14:val="tx1"/>
            </w14:solidFill>
          </w14:textFill>
        </w:rPr>
      </w:pPr>
      <w:r>
        <w:rPr>
          <w:rFonts w:hint="eastAsia" w:ascii="宋体" w:hAnsi="宋体" w:eastAsia="宋体" w:cs="Times New Roman"/>
          <w:b/>
          <w:bCs/>
          <w:color w:val="000000" w:themeColor="text1"/>
          <w:sz w:val="28"/>
          <w:szCs w:val="28"/>
          <w:highlight w:val="none"/>
          <w:lang w:val="en-US" w:eastAsia="zh-CN"/>
          <w14:textFill>
            <w14:solidFill>
              <w14:schemeClr w14:val="tx1"/>
            </w14:solidFill>
          </w14:textFill>
        </w:rPr>
        <w:t>招标文件</w:t>
      </w:r>
      <w:bookmarkEnd w:id="63"/>
      <w:bookmarkEnd w:id="64"/>
      <w:bookmarkEnd w:id="65"/>
      <w:bookmarkEnd w:id="66"/>
      <w:bookmarkEnd w:id="67"/>
    </w:p>
    <w:p>
      <w:pPr>
        <w:keepNext w:val="0"/>
        <w:keepLines w:val="0"/>
        <w:pageBreakBefore w:val="0"/>
        <w:numPr>
          <w:ilvl w:val="0"/>
          <w:numId w:val="0"/>
        </w:numPr>
        <w:kinsoku/>
        <w:wordWrap/>
        <w:overflowPunct/>
        <w:topLinePunct w:val="0"/>
        <w:autoSpaceDE/>
        <w:autoSpaceDN/>
        <w:bidi w:val="0"/>
        <w:adjustRightInd/>
        <w:snapToGrid/>
        <w:spacing w:line="300" w:lineRule="exact"/>
        <w:ind w:right="0" w:rightChars="0"/>
        <w:jc w:val="both"/>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（一）招标文件的构成。本招标文件由以下部份组成：</w:t>
      </w:r>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第一章 招标公告</w:t>
      </w:r>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第二章 投标人须知</w:t>
      </w:r>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第三章 评标办法及标准</w:t>
      </w:r>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第四章 招标需求</w:t>
      </w:r>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第五章 合同主要条款</w:t>
      </w:r>
    </w:p>
    <w:p>
      <w:pPr>
        <w:spacing w:line="300" w:lineRule="auto"/>
        <w:ind w:left="210" w:leftChars="100" w:firstLine="105" w:firstLineChars="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第六章 投标文件格式</w:t>
      </w:r>
    </w:p>
    <w:p>
      <w:pPr>
        <w:spacing w:line="300" w:lineRule="auto"/>
        <w:outlineLvl w:val="1"/>
        <w:rPr>
          <w:rFonts w:hint="eastAsia" w:ascii="Times New Roman" w:hAnsi="Times New Roman" w:eastAsia="宋体" w:cs="Times New Roman"/>
          <w:b/>
          <w:bCs/>
          <w:lang w:val="en-US" w:eastAsia="zh-CN"/>
        </w:rPr>
      </w:pPr>
      <w:bookmarkStart w:id="68" w:name="_Toc18044"/>
      <w:bookmarkStart w:id="69" w:name="_Toc12877"/>
      <w:r>
        <w:rPr>
          <w:rFonts w:hint="eastAsia" w:ascii="Times New Roman" w:hAnsi="Times New Roman" w:eastAsia="宋体" w:cs="Times New Roman"/>
          <w:b/>
          <w:bCs/>
          <w:lang w:val="en-US" w:eastAsia="zh-CN"/>
        </w:rPr>
        <w:t>（二）投标人的风险</w:t>
      </w:r>
      <w:bookmarkEnd w:id="68"/>
      <w:bookmarkEnd w:id="69"/>
    </w:p>
    <w:p>
      <w:pPr>
        <w:spacing w:line="300" w:lineRule="auto"/>
        <w:ind w:left="210" w:leftChars="100" w:firstLine="315" w:firstLineChars="15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投标人没有按照招标文件要求提供全部资料，或者投标人没有对招标文件在各方面作出实质性响应是投标人的风险，并可能导致其投标为无效标。</w:t>
      </w:r>
    </w:p>
    <w:p>
      <w:pPr>
        <w:spacing w:line="300" w:lineRule="auto"/>
        <w:outlineLvl w:val="1"/>
        <w:rPr>
          <w:rFonts w:hint="eastAsia" w:ascii="Times New Roman" w:hAnsi="Times New Roman" w:eastAsia="宋体" w:cs="Times New Roman"/>
          <w:b/>
          <w:bCs/>
          <w:lang w:val="en-US" w:eastAsia="zh-CN"/>
        </w:rPr>
      </w:pPr>
      <w:bookmarkStart w:id="70" w:name="_Toc15241"/>
      <w:bookmarkStart w:id="71" w:name="_Toc27766"/>
      <w:r>
        <w:rPr>
          <w:rFonts w:hint="eastAsia" w:ascii="Times New Roman" w:hAnsi="Times New Roman" w:eastAsia="宋体" w:cs="Times New Roman"/>
          <w:b/>
          <w:bCs/>
          <w:lang w:val="en-US" w:eastAsia="zh-CN"/>
        </w:rPr>
        <w:t>（三）招标文件的澄清与修改</w:t>
      </w:r>
      <w:bookmarkEnd w:id="70"/>
      <w:bookmarkEnd w:id="71"/>
      <w:r>
        <w:rPr>
          <w:rFonts w:hint="eastAsia" w:ascii="Times New Roman" w:hAnsi="Times New Roman" w:eastAsia="宋体" w:cs="Times New Roman"/>
          <w:b/>
          <w:bCs/>
          <w:lang w:val="en-US" w:eastAsia="zh-CN"/>
        </w:rPr>
        <w:t xml:space="preserve"> </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1.招标代理机构必须以书面形式答复投标人要求澄清的问题，并将不包含问题来源的答复书面通知所有购买招标文件的投标人；除书面答复以外的其他澄清方式及澄清内容均无效。</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2.招标文件澄清、答复、修改、补充的内容为招标文件的组成部分。当招标文件与招标文件的答复、澄清、修改、补充通知就同一内容的表述不一致时，以最后发出的书面文件为准。</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3.招标文件的澄清、答复、修改或补充都应该通过本代理机构以法定形式发布，招标人非通过本机构，不得擅自澄清、答复、修改或补充招标文件。</w:t>
      </w:r>
    </w:p>
    <w:p>
      <w:pPr>
        <w:pStyle w:val="4"/>
        <w:numPr>
          <w:ilvl w:val="0"/>
          <w:numId w:val="0"/>
        </w:numPr>
        <w:ind w:leftChars="-50" w:right="62" w:rightChars="0"/>
        <w:jc w:val="center"/>
        <w:rPr>
          <w:rFonts w:hint="eastAsia" w:ascii="宋体" w:hAnsi="宋体" w:eastAsia="宋体" w:cs="Times New Roman"/>
          <w:b/>
          <w:bCs/>
          <w:color w:val="000000" w:themeColor="text1"/>
          <w:kern w:val="2"/>
          <w:sz w:val="28"/>
          <w:szCs w:val="28"/>
          <w:highlight w:val="none"/>
          <w:lang w:val="en-US" w:eastAsia="zh-CN" w:bidi="ar-SA"/>
          <w14:textFill>
            <w14:solidFill>
              <w14:schemeClr w14:val="tx1"/>
            </w14:solidFill>
          </w14:textFill>
        </w:rPr>
      </w:pPr>
      <w:bookmarkStart w:id="72" w:name="_Toc10814"/>
      <w:bookmarkStart w:id="73" w:name="_Toc27918"/>
      <w:bookmarkStart w:id="74" w:name="_Toc8746"/>
      <w:bookmarkStart w:id="75" w:name="_Toc765"/>
      <w:bookmarkStart w:id="76" w:name="_Toc503212210"/>
      <w:bookmarkStart w:id="77" w:name="_Toc12173"/>
      <w:bookmarkStart w:id="78" w:name="_Toc521014778"/>
      <w:r>
        <w:rPr>
          <w:rFonts w:hint="eastAsia" w:ascii="宋体" w:hAnsi="宋体" w:eastAsia="宋体" w:cs="Times New Roman"/>
          <w:b/>
          <w:bCs/>
          <w:color w:val="000000" w:themeColor="text1"/>
          <w:kern w:val="2"/>
          <w:sz w:val="28"/>
          <w:szCs w:val="28"/>
          <w:highlight w:val="none"/>
          <w:lang w:val="en-US" w:eastAsia="zh-CN" w:bidi="ar-SA"/>
          <w14:textFill>
            <w14:solidFill>
              <w14:schemeClr w14:val="tx1"/>
            </w14:solidFill>
          </w14:textFill>
        </w:rPr>
        <w:t>（三）投标文件的编制</w:t>
      </w:r>
      <w:bookmarkEnd w:id="72"/>
      <w:bookmarkEnd w:id="73"/>
      <w:bookmarkEnd w:id="74"/>
      <w:bookmarkEnd w:id="75"/>
      <w:bookmarkEnd w:id="76"/>
      <w:bookmarkEnd w:id="77"/>
      <w:bookmarkEnd w:id="78"/>
    </w:p>
    <w:p>
      <w:pPr>
        <w:spacing w:line="300" w:lineRule="auto"/>
        <w:rPr>
          <w:rFonts w:hint="eastAsia" w:ascii="Times New Roman" w:hAnsi="Times New Roman" w:eastAsia="宋体" w:cs="Times New Roman"/>
          <w:b/>
          <w:bCs/>
        </w:rPr>
      </w:pPr>
      <w:bookmarkStart w:id="79" w:name="_Toc23068"/>
      <w:bookmarkStart w:id="80" w:name="_Toc503212211"/>
      <w:bookmarkStart w:id="81" w:name="_Toc29977"/>
      <w:bookmarkStart w:id="82" w:name="_Toc521014779"/>
      <w:r>
        <w:rPr>
          <w:rFonts w:hint="eastAsia" w:ascii="Times New Roman" w:hAnsi="Times New Roman" w:eastAsia="宋体" w:cs="Times New Roman"/>
          <w:b/>
          <w:bCs/>
        </w:rPr>
        <w:t>投标文件的组成</w:t>
      </w:r>
      <w:bookmarkEnd w:id="79"/>
      <w:bookmarkEnd w:id="80"/>
      <w:bookmarkEnd w:id="81"/>
      <w:bookmarkEnd w:id="82"/>
    </w:p>
    <w:p>
      <w:pPr>
        <w:spacing w:line="300" w:lineRule="auto"/>
        <w:outlineLvl w:val="2"/>
        <w:rPr>
          <w:rFonts w:hint="eastAsia" w:ascii="Times New Roman" w:hAnsi="Times New Roman" w:eastAsia="宋体" w:cs="Times New Roman"/>
        </w:rPr>
      </w:pPr>
      <w:bookmarkStart w:id="83" w:name="_Toc21340"/>
      <w:r>
        <w:rPr>
          <w:rFonts w:hint="eastAsia" w:ascii="Times New Roman" w:hAnsi="Times New Roman" w:eastAsia="宋体" w:cs="Times New Roman"/>
          <w:lang w:val="en-US" w:eastAsia="zh-CN"/>
        </w:rPr>
        <w:t>1、</w:t>
      </w:r>
      <w:r>
        <w:rPr>
          <w:rFonts w:hint="eastAsia" w:ascii="Times New Roman" w:hAnsi="Times New Roman" w:eastAsia="宋体" w:cs="Times New Roman"/>
        </w:rPr>
        <w:t>投标文件由报价部分</w:t>
      </w:r>
      <w:r>
        <w:rPr>
          <w:rFonts w:hint="eastAsia" w:ascii="Times New Roman" w:hAnsi="Times New Roman" w:eastAsia="宋体" w:cs="Times New Roman"/>
          <w:lang w:eastAsia="zh-CN"/>
        </w:rPr>
        <w:t>、</w:t>
      </w:r>
      <w:r>
        <w:rPr>
          <w:rFonts w:hint="eastAsia" w:ascii="Times New Roman" w:hAnsi="Times New Roman" w:eastAsia="宋体" w:cs="Times New Roman"/>
        </w:rPr>
        <w:t>商务</w:t>
      </w:r>
      <w:r>
        <w:rPr>
          <w:rFonts w:hint="eastAsia" w:ascii="Times New Roman" w:hAnsi="Times New Roman" w:eastAsia="宋体" w:cs="Times New Roman"/>
          <w:lang w:val="en-US" w:eastAsia="zh-CN"/>
        </w:rPr>
        <w:t>部分、</w:t>
      </w:r>
      <w:r>
        <w:rPr>
          <w:rFonts w:hint="eastAsia" w:ascii="Times New Roman" w:hAnsi="Times New Roman" w:eastAsia="宋体" w:cs="Times New Roman"/>
        </w:rPr>
        <w:t>技术部分组成。</w:t>
      </w:r>
      <w:bookmarkEnd w:id="83"/>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2</w:t>
      </w:r>
      <w:r>
        <w:rPr>
          <w:rFonts w:hint="eastAsia" w:ascii="Times New Roman" w:hAnsi="Times New Roman" w:eastAsia="宋体" w:cs="Times New Roman"/>
        </w:rPr>
        <w:t>、投标单位应按招标文件的要求提供招标文件，并保证所有材料的真实性，以确保其投标对招标文件做出实质性的响应。</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3</w:t>
      </w:r>
      <w:r>
        <w:rPr>
          <w:rFonts w:hint="eastAsia" w:ascii="Times New Roman" w:hAnsi="Times New Roman" w:eastAsia="宋体" w:cs="Times New Roman"/>
        </w:rPr>
        <w:t>、招标文件使用的计量单位，应采用国家法定的计量单位。</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、投标人所递交的投标文件应包含以下文件：</w:t>
      </w:r>
    </w:p>
    <w:p>
      <w:pPr>
        <w:spacing w:line="300" w:lineRule="auto"/>
        <w:rPr>
          <w:rFonts w:hint="eastAsia" w:ascii="Times New Roman" w:hAnsi="Times New Roman" w:eastAsia="宋体" w:cs="Times New Roman"/>
          <w:b/>
          <w:bCs/>
        </w:rPr>
      </w:pPr>
      <w:r>
        <w:rPr>
          <w:rFonts w:hint="eastAsia" w:ascii="Times New Roman" w:hAnsi="Times New Roman" w:eastAsia="宋体" w:cs="Times New Roman"/>
          <w:b/>
          <w:bCs/>
        </w:rPr>
        <w:t>报价部分：</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投标</w:t>
      </w:r>
      <w:r>
        <w:rPr>
          <w:rFonts w:hint="eastAsia" w:ascii="Times New Roman" w:hAnsi="Times New Roman" w:eastAsia="宋体" w:cs="Times New Roman"/>
          <w:lang w:val="en-US" w:eastAsia="zh-CN"/>
        </w:rPr>
        <w:t>函</w:t>
      </w:r>
      <w:r>
        <w:rPr>
          <w:rFonts w:hint="eastAsia" w:ascii="Times New Roman" w:hAnsi="Times New Roman" w:eastAsia="宋体" w:cs="Times New Roman"/>
        </w:rPr>
        <w:t>；</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2、</w:t>
      </w:r>
      <w:r>
        <w:rPr>
          <w:rFonts w:hint="eastAsia" w:ascii="Times New Roman" w:hAnsi="Times New Roman" w:eastAsia="宋体" w:cs="Times New Roman"/>
        </w:rPr>
        <w:t>开标一览表；</w:t>
      </w:r>
    </w:p>
    <w:p>
      <w:pPr>
        <w:spacing w:line="300" w:lineRule="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3、投标报价明细表</w:t>
      </w:r>
    </w:p>
    <w:p>
      <w:pPr>
        <w:spacing w:line="300" w:lineRule="auto"/>
        <w:rPr>
          <w:rFonts w:hint="eastAsia" w:ascii="Times New Roman" w:hAnsi="Times New Roman" w:eastAsia="宋体" w:cs="Times New Roman"/>
          <w:b/>
          <w:bCs/>
        </w:rPr>
      </w:pPr>
      <w:r>
        <w:rPr>
          <w:rFonts w:hint="eastAsia" w:ascii="Times New Roman" w:hAnsi="Times New Roman" w:eastAsia="宋体" w:cs="Times New Roman"/>
          <w:b/>
          <w:bCs/>
        </w:rPr>
        <w:t>商务部分：</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投标单位简介，并附投标人资质证件等；</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5、</w:t>
      </w:r>
      <w:r>
        <w:rPr>
          <w:rFonts w:hint="eastAsia" w:ascii="Times New Roman" w:hAnsi="Times New Roman" w:eastAsia="宋体" w:cs="Times New Roman"/>
        </w:rPr>
        <w:t xml:space="preserve"> 出具法人营业执照函（格式见附件）；</w:t>
      </w:r>
    </w:p>
    <w:p>
      <w:pPr>
        <w:spacing w:line="300" w:lineRule="auto"/>
        <w:outlineLvl w:val="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w:t>
      </w:r>
      <w:r>
        <w:rPr>
          <w:rFonts w:hint="eastAsia" w:cs="Times New Roman"/>
          <w:lang w:val="en-US" w:eastAsia="zh-CN"/>
        </w:rPr>
        <w:t>联合体协议书（如是）；</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7、</w:t>
      </w:r>
      <w:r>
        <w:rPr>
          <w:rFonts w:hint="eastAsia" w:ascii="Times New Roman" w:hAnsi="Times New Roman" w:eastAsia="宋体" w:cs="Times New Roman"/>
        </w:rPr>
        <w:t>法定代表人证明书</w:t>
      </w:r>
      <w:r>
        <w:rPr>
          <w:rFonts w:hint="eastAsia" w:cs="Times New Roman"/>
          <w:lang w:val="en-US" w:eastAsia="zh-CN"/>
        </w:rPr>
        <w:t>及身份证复印件</w:t>
      </w:r>
      <w:r>
        <w:rPr>
          <w:rFonts w:hint="eastAsia" w:ascii="Times New Roman" w:hAnsi="Times New Roman" w:eastAsia="宋体" w:cs="Times New Roman"/>
        </w:rPr>
        <w:t>；</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8、</w:t>
      </w:r>
      <w:r>
        <w:rPr>
          <w:rFonts w:hint="eastAsia" w:ascii="Times New Roman" w:hAnsi="Times New Roman" w:eastAsia="宋体" w:cs="Times New Roman"/>
        </w:rPr>
        <w:t>法人代表授权委托书</w:t>
      </w:r>
      <w:r>
        <w:rPr>
          <w:rFonts w:hint="eastAsia" w:cs="Times New Roman"/>
          <w:lang w:val="en-US" w:eastAsia="zh-CN"/>
        </w:rPr>
        <w:t>及身份证复印件</w:t>
      </w:r>
      <w:r>
        <w:rPr>
          <w:rFonts w:hint="eastAsia" w:ascii="Times New Roman" w:hAnsi="Times New Roman" w:eastAsia="宋体" w:cs="Times New Roman"/>
        </w:rPr>
        <w:t>；</w:t>
      </w:r>
    </w:p>
    <w:p>
      <w:pPr>
        <w:spacing w:line="300" w:lineRule="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9、委托代理人身份证复印件及在公司所缴纳近 6个月的社保证明</w:t>
      </w:r>
      <w:r>
        <w:rPr>
          <w:rFonts w:hint="eastAsia" w:cs="Times New Roman"/>
          <w:lang w:val="en-US" w:eastAsia="zh-CN"/>
        </w:rPr>
        <w:t>扫描件</w:t>
      </w:r>
      <w:r>
        <w:rPr>
          <w:rFonts w:hint="eastAsia" w:ascii="Times New Roman" w:hAnsi="Times New Roman" w:eastAsia="宋体" w:cs="Times New Roman"/>
          <w:lang w:val="en-US" w:eastAsia="zh-CN"/>
        </w:rPr>
        <w:t xml:space="preserve">（社保缴纳个人明细）； </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10、</w:t>
      </w:r>
      <w:r>
        <w:rPr>
          <w:rFonts w:hint="eastAsia" w:cs="Times New Roman"/>
          <w:lang w:val="en-US" w:eastAsia="zh-CN"/>
        </w:rPr>
        <w:t>近三年</w:t>
      </w:r>
      <w:r>
        <w:rPr>
          <w:rFonts w:hint="eastAsia" w:ascii="Times New Roman" w:hAnsi="Times New Roman" w:eastAsia="宋体" w:cs="Times New Roman"/>
          <w:lang w:val="en-US" w:eastAsia="zh-CN"/>
        </w:rPr>
        <w:t>拟参加本次招标项目的投标人在“信用中国（www.creditchina.gov.cn）”被列入失信被执行人、企业经营异常名录、重大税收违法案件当事人名单、政府采购严重违法失信名单（尚在处罚期内的）；在“中国政府采购网（www.ccgp.gov.cn）”被列入失信被执行人、重大税收违法案件当事人名单、政府采购严重违法失信行为记录名单的(尚在处罚期内的)、经营异常名录的，将拒绝其参与本次政府釆购活动。</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需在查询的复印件上加盖企业鲜红公章）</w:t>
      </w:r>
      <w:r>
        <w:rPr>
          <w:rFonts w:hint="eastAsia" w:ascii="Times New Roman" w:hAnsi="Times New Roman" w:eastAsia="宋体" w:cs="Times New Roman"/>
        </w:rPr>
        <w:t>；</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1</w:t>
      </w:r>
      <w:r>
        <w:rPr>
          <w:rFonts w:hint="eastAsia" w:ascii="Times New Roman" w:hAnsi="Times New Roman" w:eastAsia="宋体" w:cs="Times New Roman"/>
          <w:lang w:val="en-US" w:eastAsia="zh-CN"/>
        </w:rPr>
        <w:t>、投标单位的依法缴纳税收和社会保障资金的良好记录；具有良好的商业信誉和健全的财务会计制度（需提供202</w:t>
      </w:r>
      <w:r>
        <w:rPr>
          <w:rFonts w:hint="eastAsia" w:cs="Times New Roman"/>
          <w:lang w:val="en-US" w:eastAsia="zh-CN"/>
        </w:rPr>
        <w:t>1</w:t>
      </w:r>
      <w:r>
        <w:rPr>
          <w:rFonts w:hint="eastAsia" w:ascii="Times New Roman" w:hAnsi="Times New Roman" w:eastAsia="宋体" w:cs="Times New Roman"/>
          <w:lang w:val="en-US" w:eastAsia="zh-CN"/>
        </w:rPr>
        <w:t>年度</w:t>
      </w:r>
      <w:r>
        <w:rPr>
          <w:rFonts w:hint="eastAsia" w:cs="Times New Roman"/>
          <w:lang w:val="en-US" w:eastAsia="zh-CN"/>
        </w:rPr>
        <w:t>或2022年度</w:t>
      </w:r>
      <w:r>
        <w:rPr>
          <w:rFonts w:hint="eastAsia" w:ascii="Times New Roman" w:hAnsi="Times New Roman" w:eastAsia="宋体" w:cs="Times New Roman"/>
          <w:lang w:val="en-US" w:eastAsia="zh-CN"/>
        </w:rPr>
        <w:t>财务审计报告；202</w:t>
      </w:r>
      <w:r>
        <w:rPr>
          <w:rFonts w:hint="eastAsia" w:cs="Times New Roman"/>
          <w:lang w:val="en-US" w:eastAsia="zh-CN"/>
        </w:rPr>
        <w:t>3</w:t>
      </w:r>
      <w:r>
        <w:rPr>
          <w:rFonts w:hint="eastAsia" w:ascii="Times New Roman" w:hAnsi="Times New Roman" w:eastAsia="宋体" w:cs="Times New Roman"/>
          <w:lang w:val="en-US" w:eastAsia="zh-CN"/>
        </w:rPr>
        <w:t>年成立的公司不提供；）；</w:t>
      </w:r>
    </w:p>
    <w:p>
      <w:pPr>
        <w:spacing w:line="300" w:lineRule="auto"/>
        <w:outlineLvl w:val="2"/>
        <w:rPr>
          <w:rFonts w:hint="eastAsia" w:ascii="Times New Roman" w:hAnsi="Times New Roman" w:eastAsia="宋体" w:cs="Times New Roman"/>
          <w:lang w:val="en-US" w:eastAsia="zh-CN"/>
        </w:rPr>
      </w:pPr>
      <w:bookmarkStart w:id="84" w:name="_Toc27038"/>
      <w:r>
        <w:rPr>
          <w:rFonts w:hint="eastAsia" w:ascii="Times New Roman" w:hAnsi="Times New Roman" w:eastAsia="宋体" w:cs="Times New Roman"/>
          <w:lang w:val="en-US" w:eastAsia="zh-CN"/>
        </w:rPr>
        <w:t>1</w:t>
      </w:r>
      <w:r>
        <w:rPr>
          <w:rFonts w:hint="eastAsia" w:cs="Times New Roman"/>
          <w:lang w:val="en-US" w:eastAsia="zh-CN"/>
        </w:rPr>
        <w:t>2</w:t>
      </w:r>
      <w:r>
        <w:rPr>
          <w:rFonts w:hint="eastAsia" w:ascii="Times New Roman" w:hAnsi="Times New Roman" w:eastAsia="宋体" w:cs="Times New Roman"/>
          <w:lang w:val="en-US" w:eastAsia="zh-CN"/>
        </w:rPr>
        <w:t>、投标保证金回单；</w:t>
      </w:r>
      <w:bookmarkEnd w:id="84"/>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3</w:t>
      </w:r>
      <w:r>
        <w:rPr>
          <w:rFonts w:hint="eastAsia" w:ascii="Times New Roman" w:hAnsi="Times New Roman" w:eastAsia="宋体" w:cs="Times New Roman"/>
          <w:lang w:val="en-US" w:eastAsia="zh-CN"/>
        </w:rPr>
        <w:t>、投标企业</w:t>
      </w:r>
      <w:r>
        <w:rPr>
          <w:rFonts w:hint="eastAsia" w:ascii="Times New Roman" w:hAnsi="Times New Roman" w:eastAsia="宋体" w:cs="Times New Roman"/>
        </w:rPr>
        <w:t>近</w:t>
      </w:r>
      <w:r>
        <w:rPr>
          <w:rFonts w:hint="eastAsia" w:ascii="Times New Roman" w:hAnsi="Times New Roman" w:eastAsia="宋体" w:cs="Times New Roman"/>
          <w:lang w:val="en-US" w:eastAsia="zh-CN"/>
        </w:rPr>
        <w:t>三</w:t>
      </w:r>
      <w:r>
        <w:rPr>
          <w:rFonts w:hint="eastAsia" w:ascii="Times New Roman" w:hAnsi="Times New Roman" w:eastAsia="宋体" w:cs="Times New Roman"/>
        </w:rPr>
        <w:t>年的业绩表及相关证明（如有，提供</w:t>
      </w:r>
      <w:r>
        <w:rPr>
          <w:rFonts w:hint="eastAsia" w:ascii="Times New Roman" w:hAnsi="Times New Roman" w:eastAsia="宋体" w:cs="Times New Roman"/>
          <w:lang w:val="en-US" w:eastAsia="zh-CN"/>
        </w:rPr>
        <w:t>经过行政主管部门备案的中标通知书及</w:t>
      </w:r>
      <w:r>
        <w:rPr>
          <w:rFonts w:hint="eastAsia" w:ascii="Times New Roman" w:hAnsi="Times New Roman" w:eastAsia="宋体" w:cs="Times New Roman"/>
        </w:rPr>
        <w:t>合同）（格式见附件）；</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4</w:t>
      </w:r>
      <w:r>
        <w:rPr>
          <w:rFonts w:hint="eastAsia" w:ascii="Times New Roman" w:hAnsi="Times New Roman" w:eastAsia="宋体" w:cs="Times New Roman"/>
          <w:lang w:val="en-US" w:eastAsia="zh-CN"/>
        </w:rPr>
        <w:t>、</w:t>
      </w:r>
      <w:r>
        <w:rPr>
          <w:rFonts w:hint="eastAsia" w:ascii="Times New Roman" w:hAnsi="Times New Roman" w:eastAsia="宋体" w:cs="Times New Roman"/>
        </w:rPr>
        <w:t xml:space="preserve">商务偏离表（格式见附件）；  </w:t>
      </w:r>
    </w:p>
    <w:p>
      <w:pPr>
        <w:spacing w:line="300" w:lineRule="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r>
        <w:rPr>
          <w:rFonts w:hint="eastAsia" w:cs="Times New Roman"/>
          <w:lang w:val="en-US" w:eastAsia="zh-CN"/>
        </w:rPr>
        <w:t>5</w:t>
      </w:r>
      <w:r>
        <w:rPr>
          <w:rFonts w:hint="eastAsia" w:ascii="Times New Roman" w:hAnsi="Times New Roman" w:eastAsia="宋体" w:cs="Times New Roman"/>
          <w:lang w:val="en-US" w:eastAsia="zh-CN"/>
        </w:rPr>
        <w:t>、</w:t>
      </w:r>
      <w:r>
        <w:rPr>
          <w:rFonts w:hint="eastAsia" w:ascii="Times New Roman" w:hAnsi="Times New Roman" w:eastAsia="宋体" w:cs="Times New Roman"/>
          <w:lang w:eastAsia="zh-CN"/>
        </w:rPr>
        <w:t>投标人</w:t>
      </w:r>
      <w:r>
        <w:rPr>
          <w:rFonts w:hint="eastAsia" w:ascii="Times New Roman" w:hAnsi="Times New Roman" w:eastAsia="宋体" w:cs="Times New Roman"/>
        </w:rPr>
        <w:t>反商业贿赂承诺书（格式见附件）；</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6</w:t>
      </w:r>
      <w:r>
        <w:rPr>
          <w:rFonts w:hint="eastAsia" w:ascii="Times New Roman" w:hAnsi="Times New Roman" w:eastAsia="宋体" w:cs="Times New Roman"/>
          <w:lang w:val="en-US" w:eastAsia="zh-CN"/>
        </w:rPr>
        <w:t>、无围标、串标等违法违规行为承诺书</w:t>
      </w:r>
      <w:r>
        <w:rPr>
          <w:rFonts w:hint="eastAsia" w:ascii="Times New Roman" w:hAnsi="Times New Roman" w:eastAsia="宋体" w:cs="Times New Roman"/>
        </w:rPr>
        <w:t>（格式见附件）；</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7</w:t>
      </w:r>
      <w:r>
        <w:rPr>
          <w:rFonts w:hint="eastAsia" w:ascii="Times New Roman" w:hAnsi="Times New Roman" w:eastAsia="宋体" w:cs="Times New Roman"/>
          <w:lang w:val="en-US" w:eastAsia="zh-CN"/>
        </w:rPr>
        <w:t>、</w:t>
      </w:r>
      <w:r>
        <w:rPr>
          <w:rFonts w:hint="eastAsia" w:cs="Times New Roman"/>
          <w:lang w:val="en-US" w:eastAsia="zh-CN"/>
        </w:rPr>
        <w:t>中小企业声明函</w:t>
      </w:r>
      <w:r>
        <w:rPr>
          <w:rFonts w:hint="eastAsia" w:ascii="Times New Roman" w:hAnsi="Times New Roman" w:eastAsia="宋体" w:cs="Times New Roman"/>
        </w:rPr>
        <w:t>；</w:t>
      </w:r>
    </w:p>
    <w:p>
      <w:pPr>
        <w:spacing w:line="300" w:lineRule="auto"/>
        <w:rPr>
          <w:rFonts w:hint="eastAsia" w:ascii="Times New Roman" w:hAnsi="Times New Roman" w:eastAsia="宋体" w:cs="Times New Roman"/>
        </w:rPr>
      </w:pPr>
      <w:r>
        <w:rPr>
          <w:rFonts w:hint="eastAsia" w:cs="Times New Roman"/>
          <w:lang w:val="en-US" w:eastAsia="zh-CN"/>
        </w:rPr>
        <w:t>18</w:t>
      </w:r>
      <w:r>
        <w:rPr>
          <w:rFonts w:hint="eastAsia" w:ascii="Times New Roman" w:hAnsi="Times New Roman" w:eastAsia="宋体" w:cs="Times New Roman"/>
          <w:lang w:val="en-US" w:eastAsia="zh-CN"/>
        </w:rPr>
        <w:t>、</w:t>
      </w:r>
      <w:r>
        <w:rPr>
          <w:rFonts w:hint="eastAsia" w:ascii="Times New Roman" w:hAnsi="Times New Roman" w:eastAsia="宋体" w:cs="Times New Roman"/>
        </w:rPr>
        <w:t>投标人认为有必要提供的声明及文件资料。</w:t>
      </w:r>
    </w:p>
    <w:p>
      <w:pPr>
        <w:spacing w:line="300" w:lineRule="auto"/>
        <w:rPr>
          <w:rFonts w:hint="eastAsia" w:ascii="Times New Roman" w:hAnsi="Times New Roman" w:eastAsia="宋体" w:cs="Times New Roman"/>
        </w:rPr>
      </w:pPr>
      <w:r>
        <w:rPr>
          <w:rFonts w:hint="eastAsia" w:ascii="Times New Roman" w:hAnsi="Times New Roman" w:eastAsia="宋体" w:cs="Times New Roman"/>
          <w:b/>
          <w:bCs/>
        </w:rPr>
        <w:t>技术部分</w:t>
      </w:r>
      <w:r>
        <w:rPr>
          <w:rFonts w:hint="eastAsia" w:ascii="Times New Roman" w:hAnsi="Times New Roman" w:eastAsia="宋体" w:cs="Times New Roman"/>
        </w:rPr>
        <w:t>：</w:t>
      </w:r>
    </w:p>
    <w:p>
      <w:pPr>
        <w:spacing w:line="300" w:lineRule="auto"/>
        <w:rPr>
          <w:rFonts w:hint="eastAsia" w:ascii="Times New Roman" w:hAnsi="Times New Roman" w:eastAsia="宋体" w:cs="Times New Roman"/>
        </w:rPr>
      </w:pPr>
      <w:r>
        <w:rPr>
          <w:rFonts w:hint="eastAsia" w:cs="Times New Roman"/>
          <w:lang w:val="en-US" w:eastAsia="zh-CN"/>
        </w:rPr>
        <w:t>19</w:t>
      </w:r>
      <w:r>
        <w:rPr>
          <w:rFonts w:hint="eastAsia" w:ascii="Times New Roman" w:hAnsi="Times New Roman" w:eastAsia="宋体" w:cs="Times New Roman"/>
          <w:lang w:val="en-US" w:eastAsia="zh-CN"/>
        </w:rPr>
        <w:t>、</w:t>
      </w:r>
      <w:r>
        <w:rPr>
          <w:rFonts w:hint="eastAsia" w:ascii="Times New Roman" w:hAnsi="Times New Roman" w:eastAsia="宋体" w:cs="Times New Roman"/>
        </w:rPr>
        <w:t>对本次</w:t>
      </w:r>
      <w:r>
        <w:rPr>
          <w:rFonts w:hint="eastAsia" w:ascii="Times New Roman" w:hAnsi="Times New Roman" w:eastAsia="宋体" w:cs="Times New Roman"/>
          <w:lang w:val="en-US" w:eastAsia="zh-CN"/>
        </w:rPr>
        <w:t>投标项目的技术方案</w:t>
      </w:r>
      <w:r>
        <w:rPr>
          <w:rFonts w:hint="eastAsia" w:ascii="Times New Roman" w:hAnsi="Times New Roman" w:eastAsia="宋体" w:cs="Times New Roman"/>
        </w:rPr>
        <w:t>(投标人视需要自行编写)；</w:t>
      </w:r>
    </w:p>
    <w:p>
      <w:pPr>
        <w:spacing w:line="300" w:lineRule="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eastAsia" w:cs="Times New Roman"/>
          <w:lang w:val="en-US" w:eastAsia="zh-CN"/>
        </w:rPr>
        <w:t>0</w:t>
      </w:r>
      <w:r>
        <w:rPr>
          <w:rFonts w:hint="eastAsia" w:ascii="Times New Roman" w:hAnsi="Times New Roman" w:eastAsia="宋体" w:cs="Times New Roman"/>
          <w:lang w:val="en-US" w:eastAsia="zh-CN"/>
        </w:rPr>
        <w:t>、服务承诺书</w:t>
      </w:r>
    </w:p>
    <w:p>
      <w:pPr>
        <w:spacing w:line="300" w:lineRule="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eastAsia" w:cs="Times New Roman"/>
          <w:lang w:val="en-US" w:eastAsia="zh-CN"/>
        </w:rPr>
        <w:t>1、</w:t>
      </w:r>
      <w:r>
        <w:rPr>
          <w:rFonts w:hint="eastAsia" w:ascii="Times New Roman" w:hAnsi="Times New Roman" w:eastAsia="宋体" w:cs="Times New Roman"/>
        </w:rPr>
        <w:t xml:space="preserve"> </w:t>
      </w:r>
      <w:r>
        <w:rPr>
          <w:rFonts w:hint="eastAsia" w:ascii="Times New Roman" w:hAnsi="Times New Roman" w:eastAsia="宋体" w:cs="Times New Roman"/>
          <w:lang w:eastAsia="zh-CN"/>
        </w:rPr>
        <w:t>项目负责人简历表</w:t>
      </w:r>
      <w:r>
        <w:rPr>
          <w:rFonts w:hint="eastAsia" w:ascii="Times New Roman" w:hAnsi="Times New Roman" w:eastAsia="宋体" w:cs="Times New Roman"/>
          <w:lang w:val="en-US" w:eastAsia="zh-CN"/>
        </w:rPr>
        <w:t>及相关证书</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2</w:t>
      </w:r>
      <w:r>
        <w:rPr>
          <w:rFonts w:hint="eastAsia" w:cs="Times New Roman"/>
          <w:lang w:val="en-US" w:eastAsia="zh-CN"/>
        </w:rPr>
        <w:t>2</w:t>
      </w:r>
      <w:r>
        <w:rPr>
          <w:rFonts w:hint="eastAsia" w:ascii="Times New Roman" w:hAnsi="Times New Roman" w:eastAsia="宋体" w:cs="Times New Roman"/>
          <w:lang w:val="en-US" w:eastAsia="zh-CN"/>
        </w:rPr>
        <w:t>、</w:t>
      </w:r>
      <w:r>
        <w:rPr>
          <w:rFonts w:hint="eastAsia" w:ascii="Times New Roman" w:hAnsi="Times New Roman" w:eastAsia="宋体" w:cs="Times New Roman"/>
          <w:lang w:eastAsia="zh-CN"/>
        </w:rPr>
        <w:t>人员配置</w:t>
      </w:r>
      <w:r>
        <w:rPr>
          <w:rFonts w:hint="eastAsia" w:ascii="Times New Roman" w:hAnsi="Times New Roman" w:eastAsia="宋体" w:cs="Times New Roman"/>
        </w:rPr>
        <w:t xml:space="preserve"> </w:t>
      </w:r>
    </w:p>
    <w:p>
      <w:pPr>
        <w:spacing w:line="300" w:lineRule="auto"/>
        <w:rPr>
          <w:rFonts w:hint="default" w:eastAsia="宋体"/>
          <w:lang w:val="en-US" w:eastAsia="zh-CN"/>
        </w:rPr>
      </w:pPr>
      <w:r>
        <w:rPr>
          <w:rFonts w:hint="eastAsia" w:cs="Times New Roman"/>
          <w:lang w:val="en-US" w:eastAsia="zh-CN"/>
        </w:rPr>
        <w:t>23、质疑函格式</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eastAsia" w:cs="Times New Roman"/>
          <w:lang w:val="en-US" w:eastAsia="zh-CN"/>
        </w:rPr>
        <w:t>4</w:t>
      </w:r>
      <w:r>
        <w:rPr>
          <w:rFonts w:hint="eastAsia" w:ascii="Times New Roman" w:hAnsi="Times New Roman" w:eastAsia="宋体" w:cs="Times New Roman"/>
          <w:lang w:val="en-US" w:eastAsia="zh-CN"/>
        </w:rPr>
        <w:t>、</w:t>
      </w:r>
      <w:r>
        <w:rPr>
          <w:rFonts w:hint="eastAsia" w:ascii="Times New Roman" w:hAnsi="Times New Roman" w:eastAsia="宋体" w:cs="Times New Roman"/>
          <w:lang w:eastAsia="zh-CN"/>
        </w:rPr>
        <w:t>其他有利于投标人的资料（如有）</w:t>
      </w:r>
      <w:r>
        <w:rPr>
          <w:rFonts w:hint="eastAsia" w:ascii="Times New Roman" w:hAnsi="Times New Roman" w:eastAsia="宋体" w:cs="Times New Roman"/>
          <w:lang w:val="en-US" w:eastAsia="zh-CN"/>
        </w:rPr>
        <w:t xml:space="preserve"> </w:t>
      </w:r>
    </w:p>
    <w:p>
      <w:pPr>
        <w:spacing w:line="300" w:lineRule="auto"/>
        <w:rPr>
          <w:rFonts w:hint="eastAsia" w:ascii="Times New Roman" w:hAnsi="Times New Roman" w:eastAsia="宋体" w:cs="Times New Roman"/>
        </w:rPr>
      </w:pPr>
      <w:r>
        <w:rPr>
          <w:rFonts w:hint="eastAsia" w:ascii="Times New Roman" w:hAnsi="Times New Roman" w:eastAsia="宋体" w:cs="Times New Roman"/>
        </w:rPr>
        <w:t>▲注：法定代表人授权委托书、投标声明书、投标函、投标报价一览表必须由法定代表人签名</w:t>
      </w:r>
      <w:r>
        <w:rPr>
          <w:rFonts w:hint="eastAsia" w:cs="Times New Roman"/>
          <w:lang w:val="en-US" w:eastAsia="zh-CN"/>
        </w:rPr>
        <w:t>或</w:t>
      </w:r>
      <w:r>
        <w:rPr>
          <w:rFonts w:hint="eastAsia" w:ascii="Times New Roman" w:hAnsi="Times New Roman" w:eastAsia="宋体" w:cs="Times New Roman"/>
        </w:rPr>
        <w:t>盖章并加盖单位公章。</w:t>
      </w:r>
    </w:p>
    <w:p>
      <w:pPr>
        <w:spacing w:line="300" w:lineRule="auto"/>
        <w:outlineLvl w:val="1"/>
        <w:rPr>
          <w:rFonts w:hint="eastAsia" w:ascii="Times New Roman" w:hAnsi="Times New Roman" w:eastAsia="宋体" w:cs="Times New Roman"/>
          <w:b/>
          <w:bCs/>
        </w:rPr>
      </w:pPr>
      <w:bookmarkStart w:id="85" w:name="_Toc28971"/>
      <w:bookmarkStart w:id="86" w:name="_Toc24112"/>
      <w:bookmarkStart w:id="87" w:name="_Toc14838"/>
      <w:bookmarkStart w:id="88" w:name="_Toc521014780"/>
      <w:bookmarkStart w:id="89" w:name="_Toc503212212"/>
      <w:bookmarkStart w:id="90" w:name="_Toc18015"/>
      <w:r>
        <w:rPr>
          <w:rFonts w:hint="eastAsia" w:ascii="Times New Roman" w:hAnsi="Times New Roman" w:eastAsia="宋体" w:cs="Times New Roman"/>
          <w:b/>
          <w:bCs/>
        </w:rPr>
        <w:t>投标文件的语言及计量</w:t>
      </w:r>
      <w:bookmarkEnd w:id="85"/>
      <w:bookmarkEnd w:id="86"/>
      <w:bookmarkEnd w:id="87"/>
      <w:bookmarkEnd w:id="88"/>
      <w:bookmarkEnd w:id="89"/>
      <w:bookmarkEnd w:id="90"/>
    </w:p>
    <w:p>
      <w:pPr>
        <w:spacing w:line="300" w:lineRule="auto"/>
        <w:rPr>
          <w:rFonts w:hint="eastAsia" w:ascii="Times New Roman" w:hAnsi="Times New Roman" w:eastAsia="宋体" w:cs="Times New Roman"/>
        </w:rPr>
      </w:pPr>
      <w:r>
        <w:rPr>
          <w:rFonts w:hint="eastAsia" w:ascii="Times New Roman" w:hAnsi="Times New Roman" w:eastAsia="宋体" w:cs="Times New Roman"/>
        </w:rPr>
        <w:t>▲1.投标文件以及投标方与招标方就有关投标事宜的所有来往函电，均应以中文汉语书写。除签名、盖章、专用名称等特殊情形外，以中文汉语以外的文字表述的投标文件视同未提供。</w:t>
      </w:r>
    </w:p>
    <w:p>
      <w:pPr>
        <w:spacing w:line="300" w:lineRule="auto"/>
        <w:rPr>
          <w:rFonts w:hint="eastAsia" w:ascii="Times New Roman" w:hAnsi="Times New Roman" w:eastAsia="宋体" w:cs="Times New Roman"/>
        </w:rPr>
      </w:pPr>
      <w:r>
        <w:rPr>
          <w:rFonts w:hint="eastAsia" w:ascii="Times New Roman" w:hAnsi="Times New Roman" w:eastAsia="宋体" w:cs="Times New Roman"/>
        </w:rPr>
        <w:t>▲2.投标计量单位，招标文件已有明确规定的，使用招标文件规定的计量单位；招标文件没有规定的，应采用中华人民共和国法定计量单位（货币单位：人民币元），否则视同未响应。</w:t>
      </w:r>
    </w:p>
    <w:p>
      <w:pPr>
        <w:spacing w:line="300" w:lineRule="auto"/>
        <w:rPr>
          <w:rFonts w:hint="eastAsia" w:ascii="Times New Roman" w:hAnsi="Times New Roman" w:eastAsia="宋体" w:cs="Times New Roman"/>
          <w:b/>
          <w:bCs/>
        </w:rPr>
      </w:pPr>
      <w:bookmarkStart w:id="91" w:name="_Toc503212213"/>
      <w:bookmarkStart w:id="92" w:name="_Toc6985"/>
      <w:bookmarkStart w:id="93" w:name="_Toc3970"/>
      <w:bookmarkStart w:id="94" w:name="_Toc521014781"/>
      <w:r>
        <w:rPr>
          <w:rFonts w:hint="eastAsia" w:ascii="Times New Roman" w:hAnsi="Times New Roman" w:eastAsia="宋体" w:cs="Times New Roman"/>
          <w:b/>
          <w:bCs/>
        </w:rPr>
        <w:t>投标报价</w:t>
      </w:r>
      <w:bookmarkEnd w:id="91"/>
      <w:bookmarkEnd w:id="92"/>
      <w:bookmarkEnd w:id="93"/>
      <w:bookmarkEnd w:id="94"/>
    </w:p>
    <w:p>
      <w:pPr>
        <w:spacing w:line="300" w:lineRule="auto"/>
        <w:rPr>
          <w:rFonts w:hint="eastAsia" w:ascii="Times New Roman" w:hAnsi="Times New Roman" w:eastAsia="宋体" w:cs="Times New Roman"/>
        </w:rPr>
      </w:pPr>
      <w:r>
        <w:rPr>
          <w:rFonts w:hint="eastAsia" w:ascii="Times New Roman" w:hAnsi="Times New Roman" w:eastAsia="宋体" w:cs="Times New Roman"/>
        </w:rPr>
        <w:t>▲1.投标报价应按招标文件中相关附表格式填写。</w:t>
      </w:r>
    </w:p>
    <w:p>
      <w:pPr>
        <w:spacing w:line="300" w:lineRule="auto"/>
        <w:rPr>
          <w:rFonts w:hint="eastAsia" w:ascii="Times New Roman" w:hAnsi="Times New Roman" w:eastAsia="宋体" w:cs="Times New Roman"/>
        </w:rPr>
      </w:pPr>
      <w:r>
        <w:rPr>
          <w:rFonts w:hint="eastAsia" w:ascii="Times New Roman" w:hAnsi="Times New Roman" w:eastAsia="宋体" w:cs="Times New Roman"/>
        </w:rPr>
        <w:t>▲2.投标报价是履行合同的最终价格，应包括包括货物及工程的供应、运输、安装、施工开具发票及相关售后服务等费用。</w:t>
      </w:r>
    </w:p>
    <w:p>
      <w:pPr>
        <w:spacing w:line="300" w:lineRule="auto"/>
        <w:rPr>
          <w:rFonts w:hint="eastAsia" w:ascii="Times New Roman" w:hAnsi="Times New Roman" w:eastAsia="宋体" w:cs="Times New Roman"/>
        </w:rPr>
      </w:pPr>
      <w:r>
        <w:rPr>
          <w:rFonts w:hint="eastAsia" w:ascii="Times New Roman" w:hAnsi="Times New Roman" w:eastAsia="宋体" w:cs="Times New Roman"/>
        </w:rPr>
        <w:t>▲3.投标文件只允许有一个报价，有选择的或有条件的报价将不予接受。</w:t>
      </w:r>
    </w:p>
    <w:p>
      <w:pPr>
        <w:spacing w:line="300" w:lineRule="auto"/>
        <w:rPr>
          <w:rFonts w:hint="eastAsia" w:ascii="Times New Roman" w:hAnsi="Times New Roman" w:eastAsia="宋体" w:cs="Times New Roman"/>
        </w:rPr>
      </w:pPr>
      <w:r>
        <w:rPr>
          <w:rFonts w:hint="eastAsia" w:ascii="Times New Roman" w:hAnsi="Times New Roman" w:eastAsia="宋体" w:cs="Times New Roman"/>
        </w:rPr>
        <w:t>▲4.招标代理服务费由中标单位支付，投标单位在报价时请考虑。</w:t>
      </w:r>
    </w:p>
    <w:p>
      <w:pPr>
        <w:spacing w:line="300" w:lineRule="auto"/>
        <w:rPr>
          <w:rFonts w:hint="eastAsia" w:ascii="Times New Roman" w:hAnsi="Times New Roman" w:eastAsia="宋体" w:cs="Times New Roman"/>
          <w:b/>
          <w:bCs/>
        </w:rPr>
      </w:pPr>
      <w:bookmarkStart w:id="95" w:name="_Toc21211"/>
      <w:bookmarkStart w:id="96" w:name="_Toc521014782"/>
      <w:bookmarkStart w:id="97" w:name="_Toc21800"/>
      <w:bookmarkStart w:id="98" w:name="_Toc503212214"/>
      <w:r>
        <w:rPr>
          <w:rFonts w:hint="eastAsia" w:ascii="Times New Roman" w:hAnsi="Times New Roman" w:eastAsia="宋体" w:cs="Times New Roman"/>
          <w:b/>
          <w:bCs/>
        </w:rPr>
        <w:t>投标文件的有效期</w:t>
      </w:r>
      <w:bookmarkEnd w:id="95"/>
      <w:bookmarkEnd w:id="96"/>
      <w:bookmarkEnd w:id="97"/>
      <w:bookmarkEnd w:id="98"/>
    </w:p>
    <w:p>
      <w:pPr>
        <w:spacing w:line="300" w:lineRule="auto"/>
        <w:ind w:left="0" w:leftChars="0" w:firstLine="0" w:firstLineChars="0"/>
        <w:rPr>
          <w:rFonts w:hint="eastAsia" w:ascii="Times New Roman" w:hAnsi="Times New Roman" w:eastAsia="宋体" w:cs="Times New Roman"/>
        </w:rPr>
      </w:pPr>
      <w:r>
        <w:rPr>
          <w:rFonts w:hint="eastAsia" w:ascii="Times New Roman" w:hAnsi="Times New Roman" w:eastAsia="宋体" w:cs="Times New Roman"/>
        </w:rPr>
        <w:t xml:space="preserve">▲1.自投标截止日起 </w:t>
      </w:r>
      <w:r>
        <w:rPr>
          <w:rFonts w:hint="eastAsia" w:cs="Times New Roman"/>
          <w:u w:val="single"/>
          <w:lang w:val="en-US" w:eastAsia="zh-CN"/>
        </w:rPr>
        <w:t xml:space="preserve"> </w:t>
      </w:r>
      <w:r>
        <w:rPr>
          <w:rFonts w:hint="eastAsia" w:ascii="Times New Roman" w:hAnsi="Times New Roman" w:eastAsia="宋体" w:cs="Times New Roman"/>
          <w:u w:val="single"/>
        </w:rPr>
        <w:t>90</w:t>
      </w:r>
      <w:r>
        <w:rPr>
          <w:rFonts w:hint="eastAsia" w:cs="Times New Roman"/>
          <w:u w:val="single"/>
          <w:lang w:val="en-US" w:eastAsia="zh-CN"/>
        </w:rPr>
        <w:t xml:space="preserve"> </w:t>
      </w:r>
      <w:r>
        <w:rPr>
          <w:rFonts w:hint="eastAsia" w:ascii="Times New Roman" w:hAnsi="Times New Roman" w:eastAsia="宋体" w:cs="Times New Roman"/>
        </w:rPr>
        <w:t>天投标文件应保持有效。有效期不足的投标文件将被拒绝。</w:t>
      </w:r>
    </w:p>
    <w:p>
      <w:pPr>
        <w:spacing w:line="300" w:lineRule="auto"/>
        <w:rPr>
          <w:rFonts w:hint="eastAsia" w:ascii="Times New Roman" w:hAnsi="Times New Roman" w:eastAsia="宋体" w:cs="Times New Roman"/>
        </w:rPr>
      </w:pPr>
      <w:r>
        <w:rPr>
          <w:rFonts w:hint="eastAsia" w:ascii="Times New Roman" w:hAnsi="Times New Roman" w:eastAsia="宋体" w:cs="Times New Roman"/>
        </w:rPr>
        <w:t xml:space="preserve">  2.在特殊情况下，招标人可与投标人协商延长投标书的有效期，这种要求和答复均以书面形式进行。</w:t>
      </w:r>
    </w:p>
    <w:p>
      <w:pPr>
        <w:spacing w:line="300" w:lineRule="auto"/>
        <w:rPr>
          <w:rFonts w:hint="eastAsia" w:ascii="Times New Roman" w:hAnsi="Times New Roman" w:eastAsia="宋体" w:cs="Times New Roman"/>
        </w:rPr>
      </w:pPr>
      <w:r>
        <w:rPr>
          <w:rFonts w:hint="eastAsia" w:ascii="Times New Roman" w:hAnsi="Times New Roman" w:eastAsia="宋体" w:cs="Times New Roman"/>
        </w:rPr>
        <w:t xml:space="preserve">  3.投标人可拒绝接受延期要求而不会导致投标保证金被没收。同意延长有效期的投标人需要相应延长投标保证金的有效期，但不能修改投标文件。 </w:t>
      </w:r>
    </w:p>
    <w:p>
      <w:pPr>
        <w:spacing w:line="300" w:lineRule="auto"/>
        <w:rPr>
          <w:rFonts w:hint="eastAsia" w:ascii="Times New Roman" w:hAnsi="Times New Roman" w:eastAsia="宋体" w:cs="Times New Roman"/>
        </w:rPr>
      </w:pPr>
      <w:r>
        <w:rPr>
          <w:rFonts w:hint="eastAsia" w:ascii="Times New Roman" w:hAnsi="Times New Roman" w:eastAsia="宋体" w:cs="Times New Roman"/>
        </w:rPr>
        <w:t xml:space="preserve">  4.中标人的投标文件自开标之日起至合同履行完毕止均应保持有效。</w:t>
      </w:r>
    </w:p>
    <w:p>
      <w:pPr>
        <w:spacing w:line="300" w:lineRule="auto"/>
        <w:rPr>
          <w:rFonts w:hint="eastAsia" w:ascii="Times New Roman" w:hAnsi="Times New Roman" w:eastAsia="宋体" w:cs="Times New Roman"/>
        </w:rPr>
      </w:pPr>
      <w:bookmarkStart w:id="99" w:name="_Toc16117"/>
      <w:bookmarkStart w:id="100" w:name="_Toc521014783"/>
      <w:bookmarkStart w:id="101" w:name="_Toc503212215"/>
      <w:bookmarkStart w:id="102" w:name="_Toc22838"/>
      <w:r>
        <w:rPr>
          <w:rFonts w:hint="eastAsia" w:ascii="Times New Roman" w:hAnsi="Times New Roman" w:eastAsia="宋体" w:cs="Times New Roman"/>
        </w:rPr>
        <w:t>投标保证金</w:t>
      </w:r>
      <w:bookmarkEnd w:id="99"/>
      <w:bookmarkEnd w:id="100"/>
      <w:bookmarkEnd w:id="101"/>
      <w:bookmarkEnd w:id="102"/>
    </w:p>
    <w:p>
      <w:pPr>
        <w:spacing w:line="300" w:lineRule="auto"/>
        <w:ind w:left="0" w:leftChars="0" w:firstLine="0" w:firstLineChars="0"/>
        <w:rPr>
          <w:rFonts w:hint="eastAsia" w:ascii="Times New Roman" w:hAnsi="Times New Roman" w:eastAsia="宋体" w:cs="Times New Roman"/>
        </w:rPr>
      </w:pPr>
      <w:r>
        <w:rPr>
          <w:rFonts w:hint="eastAsia" w:ascii="Times New Roman" w:hAnsi="Times New Roman" w:eastAsia="宋体" w:cs="Times New Roman"/>
        </w:rPr>
        <w:t>▲1.投标人须按规定提交投标保证金。否则，其投标将被拒绝。</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rPr>
        <w:t>2.保证金形式：</w:t>
      </w:r>
      <w:r>
        <w:rPr>
          <w:rFonts w:hint="eastAsia" w:ascii="Times New Roman" w:hAnsi="Times New Roman" w:eastAsia="宋体" w:cs="Times New Roman"/>
          <w:lang w:val="en-US" w:eastAsia="zh-CN"/>
        </w:rPr>
        <w:t>转账、汇款</w:t>
      </w:r>
      <w:r>
        <w:rPr>
          <w:rFonts w:hint="eastAsia" w:ascii="Times New Roman" w:hAnsi="Times New Roman" w:eastAsia="宋体" w:cs="Times New Roman"/>
        </w:rPr>
        <w:t xml:space="preserve">（必须从基本账户转出）。 </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rPr>
        <w:t>3.未中标人的投标保证金在公示期截止后退还。</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rPr>
        <w:t>4.中标人的投标保证金在中标通知书发出签订正式采购合同，履约保证金打到指定账户后退还。</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rPr>
        <w:t>5.保证金不计息。</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rPr>
        <w:t>6.投标人有下列情形之一的，投标保证金将不予退还：</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rPr>
        <w:t>（1）投标人在投标有效期内撤回投标文件的；</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rPr>
        <w:t>（2）投标人在投标过程中弄虚作假，提供虚假材料的；</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rPr>
        <w:t>（3）中标人无正当理由不与招标人签订合同的；</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rPr>
        <w:t>（4）其他严重扰乱招投标程序的。</w:t>
      </w:r>
    </w:p>
    <w:p>
      <w:pPr>
        <w:spacing w:line="300" w:lineRule="auto"/>
        <w:rPr>
          <w:rFonts w:hint="eastAsia" w:ascii="Times New Roman" w:hAnsi="Times New Roman" w:eastAsia="宋体" w:cs="Times New Roman"/>
          <w:b/>
          <w:bCs/>
        </w:rPr>
      </w:pPr>
      <w:bookmarkStart w:id="103" w:name="_Toc503212216"/>
      <w:bookmarkStart w:id="104" w:name="_Toc4584"/>
      <w:bookmarkStart w:id="105" w:name="_Toc25982"/>
      <w:bookmarkStart w:id="106" w:name="_Toc521014784"/>
      <w:r>
        <w:rPr>
          <w:rFonts w:hint="eastAsia" w:ascii="Times New Roman" w:hAnsi="Times New Roman" w:eastAsia="宋体" w:cs="Times New Roman"/>
          <w:b/>
          <w:bCs/>
        </w:rPr>
        <w:t>投标文件的签署和</w:t>
      </w:r>
      <w:bookmarkEnd w:id="103"/>
      <w:bookmarkEnd w:id="104"/>
      <w:bookmarkEnd w:id="105"/>
      <w:bookmarkEnd w:id="106"/>
      <w:r>
        <w:rPr>
          <w:rFonts w:hint="eastAsia" w:ascii="Times New Roman" w:hAnsi="Times New Roman" w:eastAsia="宋体" w:cs="Times New Roman"/>
          <w:b/>
          <w:bCs/>
          <w:lang w:eastAsia="zh-CN"/>
        </w:rPr>
        <w:t>递交</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投标人应按本招标文件规定的格式和顺序编制、装订投标文件并标注页码，投标文件内容不完整、编排混乱导致投标文件被误读、漏读或者查找不到相关内容的，是投标人的责任。</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lang w:val="en-US" w:eastAsia="zh-CN"/>
        </w:rPr>
        <w:t>2.</w:t>
      </w:r>
      <w:r>
        <w:rPr>
          <w:rFonts w:hint="eastAsia" w:ascii="Times New Roman" w:hAnsi="Times New Roman" w:eastAsia="宋体" w:cs="Times New Roman"/>
        </w:rPr>
        <w:t>投标人应于202</w:t>
      </w:r>
      <w:r>
        <w:rPr>
          <w:rFonts w:hint="eastAsia" w:cs="Times New Roman"/>
          <w:lang w:val="en-US" w:eastAsia="zh-CN"/>
        </w:rPr>
        <w:t>3</w:t>
      </w:r>
      <w:r>
        <w:rPr>
          <w:rFonts w:hint="eastAsia" w:ascii="Times New Roman" w:hAnsi="Times New Roman" w:eastAsia="宋体" w:cs="Times New Roman"/>
        </w:rPr>
        <w:t>年</w:t>
      </w:r>
      <w:r>
        <w:rPr>
          <w:rFonts w:hint="eastAsia" w:cs="Times New Roman"/>
          <w:lang w:val="en-US" w:eastAsia="zh-CN"/>
        </w:rPr>
        <w:t>01</w:t>
      </w:r>
      <w:r>
        <w:rPr>
          <w:rFonts w:hint="eastAsia" w:ascii="Times New Roman" w:hAnsi="Times New Roman" w:eastAsia="宋体" w:cs="Times New Roman"/>
        </w:rPr>
        <w:t>月</w:t>
      </w:r>
      <w:r>
        <w:rPr>
          <w:rFonts w:hint="eastAsia" w:cs="Times New Roman"/>
          <w:lang w:val="en-US" w:eastAsia="zh-CN"/>
        </w:rPr>
        <w:t>13</w:t>
      </w:r>
      <w:r>
        <w:rPr>
          <w:rFonts w:hint="eastAsia" w:ascii="Times New Roman" w:hAnsi="Times New Roman" w:eastAsia="宋体" w:cs="Times New Roman"/>
        </w:rPr>
        <w:t>日1</w:t>
      </w:r>
      <w:r>
        <w:rPr>
          <w:rFonts w:hint="eastAsia" w:ascii="Times New Roman" w:hAnsi="Times New Roman" w:eastAsia="宋体" w:cs="Times New Roman"/>
          <w:lang w:val="en-US" w:eastAsia="zh-CN"/>
        </w:rPr>
        <w:t>1</w:t>
      </w:r>
      <w:r>
        <w:rPr>
          <w:rFonts w:hint="eastAsia" w:ascii="Times New Roman" w:hAnsi="Times New Roman" w:eastAsia="宋体" w:cs="Times New Roman"/>
        </w:rPr>
        <w:t>：00</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北京时间</w:t>
      </w:r>
      <w:r>
        <w:rPr>
          <w:rFonts w:hint="eastAsia" w:ascii="Times New Roman" w:hAnsi="Times New Roman" w:eastAsia="宋体" w:cs="Times New Roman"/>
          <w:lang w:eastAsia="zh-CN"/>
        </w:rPr>
        <w:t>）</w:t>
      </w:r>
      <w:r>
        <w:rPr>
          <w:rFonts w:hint="eastAsia" w:ascii="Times New Roman" w:hAnsi="Times New Roman" w:eastAsia="宋体" w:cs="Times New Roman"/>
        </w:rPr>
        <w:t>前将电子投标文件上传到“</w:t>
      </w:r>
      <w:r>
        <w:rPr>
          <w:rFonts w:hint="eastAsia" w:ascii="Times New Roman" w:hAnsi="Times New Roman" w:eastAsia="宋体" w:cs="Times New Roman"/>
          <w:lang w:eastAsia="zh-CN"/>
        </w:rPr>
        <w:t>新疆政府采购</w:t>
      </w:r>
      <w:r>
        <w:rPr>
          <w:rFonts w:hint="eastAsia" w:ascii="Times New Roman" w:hAnsi="Times New Roman" w:eastAsia="宋体" w:cs="Times New Roman"/>
        </w:rPr>
        <w:t>”平台。应按照本项目招标文件和</w:t>
      </w:r>
      <w:r>
        <w:rPr>
          <w:rFonts w:hint="eastAsia" w:ascii="Times New Roman" w:hAnsi="Times New Roman" w:eastAsia="宋体" w:cs="Times New Roman"/>
          <w:lang w:eastAsia="zh-CN"/>
        </w:rPr>
        <w:t>新疆政府采购</w:t>
      </w:r>
      <w:r>
        <w:rPr>
          <w:rFonts w:hint="eastAsia" w:ascii="Times New Roman" w:hAnsi="Times New Roman" w:eastAsia="宋体" w:cs="Times New Roman"/>
        </w:rPr>
        <w:t>平台的要求编制、加密传输投标文件。供应商在使用系统进行投标的过程中遇到涉及平台使用的任何问题，可致电</w:t>
      </w:r>
      <w:r>
        <w:rPr>
          <w:rFonts w:hint="eastAsia" w:ascii="Times New Roman" w:hAnsi="Times New Roman" w:eastAsia="宋体" w:cs="Times New Roman"/>
          <w:lang w:eastAsia="zh-CN"/>
        </w:rPr>
        <w:t>新疆政府采购</w:t>
      </w:r>
      <w:r>
        <w:rPr>
          <w:rFonts w:hint="eastAsia" w:ascii="Times New Roman" w:hAnsi="Times New Roman" w:eastAsia="宋体" w:cs="Times New Roman"/>
        </w:rPr>
        <w:t>平台技术支持热线咨询，联系方式：400-881-7190。</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lang w:val="en-US" w:eastAsia="zh-CN"/>
        </w:rPr>
        <w:t>3</w:t>
      </w:r>
      <w:r>
        <w:rPr>
          <w:rFonts w:hint="eastAsia" w:ascii="Times New Roman" w:hAnsi="Times New Roman" w:eastAsia="宋体" w:cs="Times New Roman"/>
        </w:rPr>
        <w:t>.投标文件须由投标人在规定位置盖章并由法定代表人或法定代表人的授权委托人签署，投标人应写全称。</w:t>
      </w:r>
    </w:p>
    <w:p>
      <w:pPr>
        <w:spacing w:line="300" w:lineRule="auto"/>
        <w:ind w:left="210" w:leftChars="100" w:firstLine="105" w:firstLineChars="50"/>
        <w:rPr>
          <w:rFonts w:hint="eastAsia" w:ascii="Times New Roman" w:hAnsi="Times New Roman" w:eastAsia="宋体" w:cs="Times New Roma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.投标文件不得涂改，若有修改错漏处，须加盖单位公章或者法定代表人或授权委托人签字或盖章。投标文件因字迹潦草或表达不清所引起的后果由投标人负责。</w:t>
      </w:r>
      <w:bookmarkStart w:id="107" w:name="_Toc9280"/>
      <w:bookmarkStart w:id="108" w:name="_Toc28926"/>
    </w:p>
    <w:bookmarkEnd w:id="107"/>
    <w:bookmarkEnd w:id="108"/>
    <w:p>
      <w:pPr>
        <w:spacing w:line="300" w:lineRule="auto"/>
        <w:rPr>
          <w:rFonts w:hint="eastAsia" w:ascii="Times New Roman" w:hAnsi="Times New Roman" w:eastAsia="宋体" w:cs="Times New Roman"/>
          <w:b/>
          <w:bCs/>
        </w:rPr>
      </w:pPr>
      <w:bookmarkStart w:id="109" w:name="_Toc4197"/>
      <w:bookmarkStart w:id="110" w:name="_Toc521014786"/>
      <w:bookmarkStart w:id="111" w:name="_Toc503212218"/>
      <w:bookmarkStart w:id="112" w:name="_Toc6355"/>
      <w:r>
        <w:rPr>
          <w:rFonts w:hint="eastAsia" w:ascii="Times New Roman" w:hAnsi="Times New Roman" w:eastAsia="宋体" w:cs="Times New Roman"/>
          <w:b/>
          <w:bCs/>
        </w:rPr>
        <w:t>投标无效的情形</w:t>
      </w:r>
      <w:bookmarkEnd w:id="109"/>
      <w:bookmarkEnd w:id="110"/>
      <w:bookmarkEnd w:id="111"/>
      <w:bookmarkEnd w:id="112"/>
    </w:p>
    <w:p>
      <w:pPr>
        <w:spacing w:line="300" w:lineRule="auto"/>
        <w:ind w:left="0" w:leftChars="0" w:firstLine="420" w:firstLineChars="200"/>
        <w:rPr>
          <w:rFonts w:hint="eastAsia" w:ascii="Times New Roman" w:hAnsi="Times New Roman" w:eastAsia="宋体" w:cs="Times New Roman"/>
        </w:rPr>
      </w:pPr>
      <w:r>
        <w:rPr>
          <w:rFonts w:hint="eastAsia" w:ascii="Times New Roman" w:hAnsi="Times New Roman" w:eastAsia="宋体" w:cs="Times New Roman"/>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bookmarkStart w:id="113" w:name="_Toc13224"/>
      <w:bookmarkStart w:id="114" w:name="_Toc4280"/>
    </w:p>
    <w:p>
      <w:pPr>
        <w:pStyle w:val="4"/>
        <w:numPr>
          <w:ilvl w:val="0"/>
          <w:numId w:val="0"/>
        </w:numPr>
        <w:ind w:leftChars="-50" w:right="62" w:rightChars="0"/>
        <w:jc w:val="center"/>
        <w:rPr>
          <w:rFonts w:hint="eastAsia" w:ascii="宋体" w:hAnsi="宋体" w:eastAsia="宋体" w:cs="Times New Roman"/>
          <w:b/>
          <w:bCs/>
          <w:color w:val="000000" w:themeColor="text1"/>
          <w:kern w:val="2"/>
          <w:sz w:val="28"/>
          <w:szCs w:val="28"/>
          <w:highlight w:val="none"/>
          <w:lang w:val="en-US" w:eastAsia="zh-CN" w:bidi="ar-SA"/>
          <w14:textFill>
            <w14:solidFill>
              <w14:schemeClr w14:val="tx1"/>
            </w14:solidFill>
          </w14:textFill>
        </w:rPr>
      </w:pPr>
      <w:bookmarkStart w:id="115" w:name="_Toc31877"/>
      <w:bookmarkStart w:id="116" w:name="_Toc503212219"/>
      <w:bookmarkStart w:id="117" w:name="_Toc3022"/>
      <w:bookmarkStart w:id="118" w:name="_Toc11270"/>
      <w:bookmarkStart w:id="119" w:name="_Toc521014787"/>
      <w:r>
        <w:rPr>
          <w:rFonts w:hint="eastAsia" w:ascii="宋体" w:hAnsi="宋体" w:eastAsia="宋体" w:cs="Times New Roman"/>
          <w:b/>
          <w:bCs/>
          <w:color w:val="000000" w:themeColor="text1"/>
          <w:kern w:val="2"/>
          <w:sz w:val="28"/>
          <w:szCs w:val="28"/>
          <w:highlight w:val="none"/>
          <w:lang w:val="en-US" w:eastAsia="zh-CN" w:bidi="ar-SA"/>
          <w14:textFill>
            <w14:solidFill>
              <w14:schemeClr w14:val="tx1"/>
            </w14:solidFill>
          </w14:textFill>
        </w:rPr>
        <w:t>（四）开标</w:t>
      </w:r>
      <w:bookmarkEnd w:id="113"/>
      <w:bookmarkEnd w:id="114"/>
      <w:bookmarkEnd w:id="115"/>
      <w:bookmarkEnd w:id="116"/>
      <w:bookmarkEnd w:id="117"/>
      <w:bookmarkEnd w:id="118"/>
      <w:bookmarkEnd w:id="119"/>
    </w:p>
    <w:p>
      <w:pPr>
        <w:pStyle w:val="42"/>
        <w:snapToGrid w:val="0"/>
        <w:spacing w:line="360" w:lineRule="auto"/>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（一）开标准备</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招标代理机构将在规定的时间和地点进行开标。（本项目实行网上投标，采用电子投标文件。若供应商参与投标，自行承担投标一切费用；各供应商应在开标前应确保成为新疆维吾尔自治区政府采购网正式注册入库供应商，并完成CA数字证书申领。因未注册入库、未办理CA数字证书等原因造成无法投标或投标失败等后果由供应商自行承担；供应商将新疆政府采购电子交易客户端下载、安装完成后，可通过账号密码或CA登录客户端进行投标文件制作。在使用新疆政府采购投标客户端时，建议使用WIN7及以上操作系统。客户端请至新疆政府采购网（</w:t>
      </w:r>
      <w:r>
        <w:rPr>
          <w:rFonts w:hint="eastAsia" w:ascii="Times New Roman" w:hAnsi="Times New Roman" w:eastAsia="宋体" w:cs="Times New Roman"/>
          <w:kern w:val="2"/>
          <w:sz w:val="21"/>
          <w:szCs w:val="24"/>
          <w:lang w:val="en-US" w:eastAsia="zh-CN" w:bidi="ar-SA"/>
        </w:rPr>
        <w:fldChar w:fldCharType="begin"/>
      </w:r>
      <w:r>
        <w:rPr>
          <w:rFonts w:hint="eastAsia" w:ascii="Times New Roman" w:hAnsi="Times New Roman" w:eastAsia="宋体" w:cs="Times New Roman"/>
          <w:kern w:val="2"/>
          <w:sz w:val="21"/>
          <w:szCs w:val="24"/>
          <w:lang w:val="en-US" w:eastAsia="zh-CN" w:bidi="ar-SA"/>
        </w:rPr>
        <w:instrText xml:space="preserve"> HYPERLINK "http://www.ccgp-xinjiang.gov.cn/" </w:instrText>
      </w:r>
      <w:r>
        <w:rPr>
          <w:rFonts w:hint="eastAsia" w:ascii="Times New Roman" w:hAnsi="Times New Roman" w:eastAsia="宋体" w:cs="Times New Roman"/>
          <w:kern w:val="2"/>
          <w:sz w:val="21"/>
          <w:szCs w:val="24"/>
          <w:lang w:val="en-US" w:eastAsia="zh-CN" w:bidi="ar-SA"/>
        </w:rPr>
        <w:fldChar w:fldCharType="separate"/>
      </w:r>
      <w:r>
        <w:rPr>
          <w:rFonts w:hint="eastAsia" w:ascii="Times New Roman" w:hAnsi="Times New Roman" w:eastAsia="宋体" w:cs="Times New Roman"/>
          <w:kern w:val="2"/>
          <w:sz w:val="21"/>
          <w:szCs w:val="24"/>
          <w:lang w:val="en-US" w:eastAsia="zh-CN" w:bidi="ar-SA"/>
        </w:rPr>
        <w:t>http://www.ccgp-xinjiang.gov.cn/</w:t>
      </w:r>
      <w:r>
        <w:rPr>
          <w:rFonts w:hint="eastAsia" w:ascii="Times New Roman" w:hAnsi="Times New Roman" w:eastAsia="宋体" w:cs="Times New Roman"/>
          <w:kern w:val="2"/>
          <w:sz w:val="21"/>
          <w:szCs w:val="24"/>
          <w:lang w:val="en-US" w:eastAsia="zh-CN" w:bidi="ar-SA"/>
        </w:rPr>
        <w:fldChar w:fldCharType="end"/>
      </w:r>
      <w:r>
        <w:rPr>
          <w:rFonts w:hint="eastAsia" w:ascii="Times New Roman" w:hAnsi="Times New Roman" w:eastAsia="宋体" w:cs="Times New Roman"/>
          <w:kern w:val="2"/>
          <w:sz w:val="21"/>
          <w:szCs w:val="24"/>
          <w:lang w:val="en-US" w:eastAsia="zh-CN" w:bidi="ar-SA"/>
        </w:rPr>
        <w:t>）下载专区查看，如有问题可拨打新疆政府采购客户服务热线400-881-7190进行咨询。）</w:t>
      </w:r>
    </w:p>
    <w:p>
      <w:pPr>
        <w:pStyle w:val="42"/>
        <w:snapToGrid w:val="0"/>
        <w:spacing w:line="360" w:lineRule="auto"/>
        <w:outlineLvl w:val="1"/>
        <w:rPr>
          <w:rFonts w:hint="eastAsia" w:ascii="Times New Roman" w:hAnsi="Times New Roman" w:eastAsia="宋体" w:cs="Times New Roman"/>
          <w:b/>
          <w:bCs/>
          <w:kern w:val="2"/>
          <w:sz w:val="21"/>
          <w:szCs w:val="24"/>
          <w:lang w:val="en-US" w:eastAsia="zh-CN" w:bidi="ar-SA"/>
        </w:rPr>
      </w:pPr>
      <w:bookmarkStart w:id="120" w:name="_Toc1875"/>
      <w:bookmarkStart w:id="121" w:name="_Toc24853"/>
      <w:r>
        <w:rPr>
          <w:rFonts w:hint="eastAsia" w:ascii="Times New Roman" w:hAnsi="Times New Roman" w:eastAsia="宋体" w:cs="Times New Roman"/>
          <w:b/>
          <w:bCs/>
          <w:kern w:val="2"/>
          <w:sz w:val="21"/>
          <w:szCs w:val="24"/>
          <w:lang w:val="en-US" w:eastAsia="zh-CN" w:bidi="ar-SA"/>
        </w:rPr>
        <w:t>（二） 开标程序：</w:t>
      </w:r>
      <w:bookmarkEnd w:id="120"/>
      <w:bookmarkEnd w:id="121"/>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1.开标会由招标代理机构主持，主持人宣布开标会议开始；</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2.主持人介绍参加开标会的人员名单； </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3.主持人宣布评标期间的有关事项；告知应当回避的情形,提请有关人员回避；</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4.专家进入会场进入评标阶段，宣读评标纪律。</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5.资格审查由评标委员会组织检查</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6.符合性审查由评标委员会组织。</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7.符合性审查通过的企业评标委员会组织对商务部分审查，评分完毕后对技术部分审查，招标代理公司负责本环节的录音录像工作。</w:t>
      </w:r>
    </w:p>
    <w:p>
      <w:pPr>
        <w:pStyle w:val="42"/>
        <w:snapToGrid w:val="0"/>
        <w:spacing w:line="360" w:lineRule="auto"/>
        <w:ind w:firstLine="420" w:firstLineChars="200"/>
        <w:outlineLvl w:val="2"/>
        <w:rPr>
          <w:rFonts w:hint="eastAsia" w:ascii="Times New Roman" w:hAnsi="Times New Roman" w:eastAsia="宋体" w:cs="Times New Roman"/>
          <w:kern w:val="2"/>
          <w:sz w:val="21"/>
          <w:szCs w:val="24"/>
          <w:lang w:val="en-US" w:eastAsia="zh-CN" w:bidi="ar-SA"/>
        </w:rPr>
      </w:pPr>
      <w:bookmarkStart w:id="122" w:name="_Toc4270"/>
      <w:r>
        <w:rPr>
          <w:rFonts w:hint="eastAsia" w:ascii="Times New Roman" w:hAnsi="Times New Roman" w:eastAsia="宋体" w:cs="Times New Roman"/>
          <w:kern w:val="2"/>
          <w:sz w:val="21"/>
          <w:szCs w:val="24"/>
          <w:lang w:val="en-US" w:eastAsia="zh-CN" w:bidi="ar-SA"/>
        </w:rPr>
        <w:t>8.复会时由主持人公布无效投标的投标人名单、投标无效的原因</w:t>
      </w:r>
      <w:bookmarkEnd w:id="122"/>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9.由主持人按照递交标书逆向顺序逐一宣读投标企业的《投标报价一览表》，宣读其中的投标人名称及在其投标文件中承诺的投标报价和供货期，以及主持人认为有必要宣读的其他内容。</w:t>
      </w:r>
    </w:p>
    <w:p>
      <w:pPr>
        <w:pStyle w:val="42"/>
        <w:snapToGrid w:val="0"/>
        <w:spacing w:line="360" w:lineRule="auto"/>
        <w:ind w:firstLine="420" w:firstLineChars="200"/>
        <w:outlineLvl w:val="2"/>
        <w:rPr>
          <w:rFonts w:hint="eastAsia" w:ascii="Times New Roman" w:hAnsi="Times New Roman" w:eastAsia="宋体" w:cs="Times New Roman"/>
          <w:kern w:val="2"/>
          <w:sz w:val="21"/>
          <w:szCs w:val="24"/>
          <w:lang w:val="en-US" w:eastAsia="zh-CN" w:bidi="ar-SA"/>
        </w:rPr>
      </w:pPr>
      <w:bookmarkStart w:id="123" w:name="_Toc9665"/>
      <w:r>
        <w:rPr>
          <w:rFonts w:hint="eastAsia" w:ascii="Times New Roman" w:hAnsi="Times New Roman" w:eastAsia="宋体" w:cs="Times New Roman"/>
          <w:kern w:val="2"/>
          <w:sz w:val="21"/>
          <w:szCs w:val="24"/>
          <w:lang w:val="en-US" w:eastAsia="zh-CN" w:bidi="ar-SA"/>
        </w:rPr>
        <w:t>10.由主持人公布及其他有效投标的评分结果；</w:t>
      </w:r>
      <w:bookmarkEnd w:id="123"/>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 记录人做开标记录, 投标人代表对开标记录进行当场校核及勘误，并签字确认；同时由记录人、监督人当场签字确认。</w:t>
      </w:r>
    </w:p>
    <w:p>
      <w:pPr>
        <w:pStyle w:val="42"/>
        <w:snapToGrid w:val="0"/>
        <w:spacing w:line="360" w:lineRule="auto"/>
        <w:ind w:firstLine="420" w:firstLineChars="200"/>
        <w:outlineLvl w:val="2"/>
        <w:rPr>
          <w:rFonts w:hint="eastAsia" w:ascii="Times New Roman" w:hAnsi="Times New Roman" w:eastAsia="宋体" w:cs="Times New Roman"/>
          <w:kern w:val="2"/>
          <w:sz w:val="21"/>
          <w:szCs w:val="24"/>
          <w:lang w:val="en-US" w:eastAsia="zh-CN" w:bidi="ar-SA"/>
        </w:rPr>
      </w:pPr>
      <w:bookmarkStart w:id="124" w:name="_Toc2636"/>
      <w:r>
        <w:rPr>
          <w:rFonts w:hint="eastAsia" w:ascii="Times New Roman" w:hAnsi="Times New Roman" w:eastAsia="宋体" w:cs="Times New Roman"/>
          <w:kern w:val="2"/>
          <w:sz w:val="21"/>
          <w:szCs w:val="24"/>
          <w:lang w:val="en-US" w:eastAsia="zh-CN" w:bidi="ar-SA"/>
        </w:rPr>
        <w:t>12.开标会议结束。</w:t>
      </w:r>
      <w:bookmarkEnd w:id="124"/>
    </w:p>
    <w:p>
      <w:pPr>
        <w:pStyle w:val="4"/>
        <w:numPr>
          <w:ilvl w:val="0"/>
          <w:numId w:val="0"/>
        </w:numPr>
        <w:ind w:leftChars="-50" w:right="62" w:rightChars="0"/>
        <w:jc w:val="center"/>
        <w:rPr>
          <w:rFonts w:hint="eastAsia" w:ascii="宋体" w:hAnsi="宋体" w:eastAsia="宋体" w:cs="Times New Roman"/>
          <w:b/>
          <w:bCs/>
          <w:color w:val="000000" w:themeColor="text1"/>
          <w:kern w:val="2"/>
          <w:sz w:val="28"/>
          <w:szCs w:val="28"/>
          <w:highlight w:val="none"/>
          <w:lang w:val="en-US" w:eastAsia="zh-CN" w:bidi="ar-SA"/>
          <w14:textFill>
            <w14:solidFill>
              <w14:schemeClr w14:val="tx1"/>
            </w14:solidFill>
          </w14:textFill>
        </w:rPr>
      </w:pPr>
      <w:bookmarkStart w:id="125" w:name="_Toc20288"/>
      <w:bookmarkStart w:id="126" w:name="_Toc3024"/>
      <w:bookmarkStart w:id="127" w:name="_Toc20065"/>
      <w:bookmarkStart w:id="128" w:name="_Toc503212220"/>
      <w:bookmarkStart w:id="129" w:name="_Toc521014788"/>
      <w:bookmarkStart w:id="130" w:name="_Toc24288"/>
      <w:bookmarkStart w:id="131" w:name="_Toc12263"/>
      <w:r>
        <w:rPr>
          <w:rFonts w:hint="eastAsia" w:ascii="宋体" w:hAnsi="宋体" w:eastAsia="宋体" w:cs="Times New Roman"/>
          <w:b/>
          <w:bCs/>
          <w:color w:val="000000" w:themeColor="text1"/>
          <w:kern w:val="2"/>
          <w:sz w:val="28"/>
          <w:szCs w:val="28"/>
          <w:highlight w:val="none"/>
          <w:lang w:val="en-US" w:eastAsia="zh-CN" w:bidi="ar-SA"/>
          <w14:textFill>
            <w14:solidFill>
              <w14:schemeClr w14:val="tx1"/>
            </w14:solidFill>
          </w14:textFill>
        </w:rPr>
        <w:t>（五）评标</w:t>
      </w:r>
      <w:bookmarkEnd w:id="125"/>
      <w:bookmarkEnd w:id="126"/>
      <w:bookmarkEnd w:id="127"/>
      <w:bookmarkEnd w:id="128"/>
      <w:bookmarkEnd w:id="129"/>
      <w:bookmarkEnd w:id="130"/>
      <w:bookmarkEnd w:id="131"/>
    </w:p>
    <w:p>
      <w:pPr>
        <w:pStyle w:val="42"/>
        <w:snapToGrid w:val="0"/>
        <w:spacing w:line="360" w:lineRule="auto"/>
        <w:outlineLvl w:val="1"/>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（一）组建评标委员会</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本项目评标委员会由业主监督人在专家库中抽取评审专家5人组成；专家由招标代理机在开标前48小时在新疆政府采购专家中随机抽取此次评标专家。</w:t>
      </w:r>
    </w:p>
    <w:p>
      <w:pPr>
        <w:pStyle w:val="42"/>
        <w:snapToGrid w:val="0"/>
        <w:spacing w:line="360" w:lineRule="auto"/>
        <w:outlineLvl w:val="1"/>
        <w:rPr>
          <w:rFonts w:hint="eastAsia" w:ascii="Times New Roman" w:hAnsi="Times New Roman" w:eastAsia="宋体" w:cs="Times New Roman"/>
          <w:b/>
          <w:bCs/>
          <w:kern w:val="2"/>
          <w:sz w:val="21"/>
          <w:szCs w:val="24"/>
          <w:lang w:val="en-US" w:eastAsia="zh-CN" w:bidi="ar-SA"/>
        </w:rPr>
      </w:pPr>
      <w:bookmarkStart w:id="132" w:name="_Toc27271"/>
      <w:bookmarkStart w:id="133" w:name="_Toc26886"/>
      <w:r>
        <w:rPr>
          <w:rFonts w:hint="eastAsia" w:ascii="Times New Roman" w:hAnsi="Times New Roman" w:eastAsia="宋体" w:cs="Times New Roman"/>
          <w:b/>
          <w:bCs/>
          <w:kern w:val="2"/>
          <w:sz w:val="21"/>
          <w:szCs w:val="24"/>
          <w:lang w:val="en-US" w:eastAsia="zh-CN" w:bidi="ar-SA"/>
        </w:rPr>
        <w:t>（二）评标的方式</w:t>
      </w:r>
      <w:bookmarkEnd w:id="132"/>
      <w:bookmarkEnd w:id="133"/>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本项目采用不公开方式评标，评标的依据为《中华人民共和国招标投标法》《中华人民共和国政府采购法》、《中华人民共和国财政部令第87号--政府采购货物和服务招标投标管理办法》及招标文件。</w:t>
      </w:r>
    </w:p>
    <w:p>
      <w:pPr>
        <w:pStyle w:val="42"/>
        <w:snapToGrid w:val="0"/>
        <w:spacing w:line="360" w:lineRule="auto"/>
        <w:outlineLvl w:val="1"/>
        <w:rPr>
          <w:rFonts w:hint="eastAsia" w:ascii="Times New Roman" w:hAnsi="Times New Roman" w:eastAsia="宋体" w:cs="Times New Roman"/>
          <w:b/>
          <w:bCs/>
          <w:kern w:val="2"/>
          <w:sz w:val="21"/>
          <w:szCs w:val="24"/>
          <w:lang w:val="en-US" w:eastAsia="zh-CN" w:bidi="ar-SA"/>
        </w:rPr>
      </w:pPr>
      <w:bookmarkStart w:id="134" w:name="_Toc4747"/>
      <w:bookmarkStart w:id="135" w:name="_Toc13223"/>
      <w:r>
        <w:rPr>
          <w:rFonts w:hint="eastAsia" w:ascii="Times New Roman" w:hAnsi="Times New Roman" w:eastAsia="宋体" w:cs="Times New Roman"/>
          <w:b/>
          <w:bCs/>
          <w:kern w:val="2"/>
          <w:sz w:val="21"/>
          <w:szCs w:val="24"/>
          <w:lang w:val="en-US" w:eastAsia="zh-CN" w:bidi="ar-SA"/>
        </w:rPr>
        <w:t>（三）评标程序</w:t>
      </w:r>
      <w:bookmarkEnd w:id="134"/>
      <w:bookmarkEnd w:id="135"/>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 本项目采用</w:t>
      </w:r>
      <w:r>
        <w:rPr>
          <w:rFonts w:hint="eastAsia" w:ascii="Times New Roman" w:hAnsi="Times New Roman" w:cs="Times New Roman"/>
          <w:kern w:val="2"/>
          <w:sz w:val="21"/>
          <w:szCs w:val="24"/>
          <w:lang w:val="en-US" w:eastAsia="zh-CN" w:bidi="ar-SA"/>
        </w:rPr>
        <w:t>最低评标价</w:t>
      </w:r>
      <w:r>
        <w:rPr>
          <w:rFonts w:hint="eastAsia" w:ascii="Times New Roman" w:hAnsi="Times New Roman" w:eastAsia="宋体" w:cs="Times New Roman"/>
          <w:kern w:val="2"/>
          <w:sz w:val="21"/>
          <w:szCs w:val="24"/>
          <w:lang w:val="en-US" w:eastAsia="zh-CN" w:bidi="ar-SA"/>
        </w:rPr>
        <w:t>法，是指投标文件满足招标文件全部实质性要求，且投标</w:t>
      </w:r>
      <w:r>
        <w:rPr>
          <w:rFonts w:hint="eastAsia" w:ascii="Times New Roman" w:hAnsi="Times New Roman" w:cs="Times New Roman"/>
          <w:kern w:val="2"/>
          <w:sz w:val="21"/>
          <w:szCs w:val="24"/>
          <w:lang w:val="en-US" w:eastAsia="zh-CN" w:bidi="ar-SA"/>
        </w:rPr>
        <w:t>报价</w:t>
      </w:r>
      <w:r>
        <w:rPr>
          <w:rFonts w:hint="eastAsia" w:ascii="Times New Roman" w:hAnsi="Times New Roman" w:eastAsia="宋体" w:cs="Times New Roman"/>
          <w:kern w:val="2"/>
          <w:sz w:val="21"/>
          <w:szCs w:val="24"/>
          <w:lang w:val="en-US" w:eastAsia="zh-CN" w:bidi="ar-SA"/>
        </w:rPr>
        <w:t>最</w:t>
      </w:r>
      <w:r>
        <w:rPr>
          <w:rFonts w:hint="eastAsia" w:ascii="Times New Roman" w:hAnsi="Times New Roman" w:cs="Times New Roman"/>
          <w:kern w:val="2"/>
          <w:sz w:val="21"/>
          <w:szCs w:val="24"/>
          <w:lang w:val="en-US" w:eastAsia="zh-CN" w:bidi="ar-SA"/>
        </w:rPr>
        <w:t>低</w:t>
      </w:r>
      <w:r>
        <w:rPr>
          <w:rFonts w:hint="eastAsia" w:ascii="Times New Roman" w:hAnsi="Times New Roman" w:eastAsia="宋体" w:cs="Times New Roman"/>
          <w:kern w:val="2"/>
          <w:sz w:val="21"/>
          <w:szCs w:val="24"/>
          <w:lang w:val="en-US" w:eastAsia="zh-CN" w:bidi="ar-SA"/>
        </w:rPr>
        <w:t xml:space="preserve">的投标人为中标候选人的评标方法 </w:t>
      </w:r>
    </w:p>
    <w:p>
      <w:pPr>
        <w:pStyle w:val="42"/>
        <w:snapToGrid w:val="0"/>
        <w:spacing w:line="360" w:lineRule="auto"/>
        <w:ind w:firstLine="420" w:firstLineChars="200"/>
        <w:outlineLvl w:val="2"/>
        <w:rPr>
          <w:rFonts w:hint="eastAsia" w:ascii="Times New Roman" w:hAnsi="Times New Roman" w:eastAsia="宋体" w:cs="Times New Roman"/>
          <w:kern w:val="2"/>
          <w:sz w:val="21"/>
          <w:szCs w:val="24"/>
          <w:lang w:val="en-US" w:eastAsia="zh-CN" w:bidi="ar-SA"/>
        </w:rPr>
      </w:pPr>
      <w:bookmarkStart w:id="136" w:name="_Toc17462"/>
      <w:r>
        <w:rPr>
          <w:rFonts w:hint="eastAsia" w:ascii="Times New Roman" w:hAnsi="Times New Roman" w:eastAsia="宋体" w:cs="Times New Roman"/>
          <w:kern w:val="2"/>
          <w:sz w:val="21"/>
          <w:szCs w:val="24"/>
          <w:lang w:val="en-US" w:eastAsia="zh-CN" w:bidi="ar-SA"/>
        </w:rPr>
        <w:t>2. 评标的依据为招标文件和投标文件。</w:t>
      </w:r>
      <w:bookmarkEnd w:id="136"/>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 评标过程的保密性。开标后，直到授予投标人合同为止，凡是属于审查、澄清、评价和比较的有关资料以及授标建议等均不得向投标人或其他无关的人员透露。</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 投标人在评标过程中所进行的试图影响评标结果、有悖于招标规则的活动，可能导致取消其中标资格。</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 与招标文件有重大偏离的投标文件将被拒绝。且此重大偏离在开标后不许修改。</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 根据国家计委等七部委颁发的《评标委员会和评标方法暂行规定》以下为重大偏离：</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（一）投标保证金的缴纳主体与投标人不一致的，没有按照招标文件要求提供投标担保，或者所提供的投标担保有瑕疵的；</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（二）投标文件没有投标人法定代表人或其授权代表签字（章）和加盖投标单位公章的；</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（三）投标文件记载的招标项目完成期限超过招标文件规定的完成期限；</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（四）明显不符合技术规格和技术标准（技术规格、合同条款有偏离情况的）；</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（五）商务条款有偏离情况的；</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（六）投标附有招标人不能接受的条件；</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（七）不符合招标文件中规定的其他实质性要求。</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（八) 投标报价不符合招标文件规定的要求。</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投标文件有上述情形之一的，视为非实质性响应招标，并按规定作废标处理。招标文件对重大偏差另有规定的，从其规定。</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评标委员会应当审查每一投标文件是否对招标文件提出的所有实质性要求和条件作出响应。未能在实质上响应招标的投标，将作废标处理。</w:t>
      </w:r>
    </w:p>
    <w:p>
      <w:pPr>
        <w:pStyle w:val="42"/>
        <w:snapToGrid w:val="0"/>
        <w:spacing w:line="360" w:lineRule="auto"/>
        <w:ind w:firstLine="420" w:firstLineChars="200"/>
        <w:outlineLvl w:val="2"/>
        <w:rPr>
          <w:rFonts w:hint="eastAsia" w:ascii="Times New Roman" w:hAnsi="Times New Roman" w:eastAsia="宋体" w:cs="Times New Roman"/>
          <w:kern w:val="2"/>
          <w:sz w:val="21"/>
          <w:szCs w:val="24"/>
          <w:lang w:val="en-US" w:eastAsia="zh-CN" w:bidi="ar-SA"/>
        </w:rPr>
      </w:pPr>
      <w:bookmarkStart w:id="137" w:name="_Toc3963"/>
      <w:r>
        <w:rPr>
          <w:rFonts w:hint="eastAsia" w:ascii="Times New Roman" w:hAnsi="Times New Roman" w:eastAsia="宋体" w:cs="Times New Roman"/>
          <w:kern w:val="2"/>
          <w:sz w:val="21"/>
          <w:szCs w:val="24"/>
          <w:lang w:val="en-US" w:eastAsia="zh-CN" w:bidi="ar-SA"/>
        </w:rPr>
        <w:t>7.对投标文件的初步审查和响应性确定</w:t>
      </w:r>
      <w:bookmarkEnd w:id="137"/>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 开标后招标人将审查投标文件的完整性、准确性以及保证金提交、文件签署情况。在审查时，（一）投标文件中开标一览表（报价表）内容与投标文件中相应内容不一致的，以开标一览表（报价表）为准；（二）大写金额和小写金额不一致的，以大写金额为准；（三）单价金额小数点或者百分比有明显错位的，以开标一览表的总价为准，并修改单价；（四）总价金额与按单价汇总金额不一致的，以单价金额计算结果为准。若投标人拒绝接受上述修正，其投标将可能被拒绝。</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 在对投标文件进行详细评估之前，评标委员会将审查每一份投标文件是否对招标文件的要求作出了实质性的响应。实质性响应的投标文件应该是与招标文件的全部条款、条件和技术规格相符，而没有重大偏离。</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10.招标人判断投标文件的响应性是基于投标文件本身而不靠外部证据。</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11.招标人将拒绝被定为非响应性的投标，投标人不能通过修正或撤消不符之处而使其投标成为响应性投标。</w:t>
      </w:r>
    </w:p>
    <w:p>
      <w:pPr>
        <w:pStyle w:val="42"/>
        <w:snapToGrid w:val="0"/>
        <w:spacing w:line="360" w:lineRule="auto"/>
        <w:outlineLvl w:val="1"/>
        <w:rPr>
          <w:rFonts w:hint="eastAsia" w:ascii="Times New Roman" w:hAnsi="Times New Roman" w:eastAsia="宋体" w:cs="Times New Roman"/>
          <w:b/>
          <w:bCs/>
          <w:kern w:val="2"/>
          <w:sz w:val="21"/>
          <w:szCs w:val="24"/>
          <w:lang w:val="en-US" w:eastAsia="zh-CN" w:bidi="ar-SA"/>
        </w:rPr>
      </w:pPr>
      <w:bookmarkStart w:id="138" w:name="_Toc32133"/>
      <w:bookmarkStart w:id="139" w:name="_Toc13450"/>
      <w:r>
        <w:rPr>
          <w:rFonts w:hint="eastAsia" w:ascii="Times New Roman" w:hAnsi="Times New Roman" w:eastAsia="宋体" w:cs="Times New Roman"/>
          <w:b/>
          <w:bCs/>
          <w:kern w:val="2"/>
          <w:sz w:val="21"/>
          <w:szCs w:val="24"/>
          <w:lang w:val="en-US" w:eastAsia="zh-CN" w:bidi="ar-SA"/>
        </w:rPr>
        <w:t>（四）澄清问题的形式</w:t>
      </w:r>
      <w:bookmarkEnd w:id="138"/>
      <w:bookmarkEnd w:id="139"/>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pStyle w:val="42"/>
        <w:snapToGrid w:val="0"/>
        <w:spacing w:line="360" w:lineRule="auto"/>
        <w:outlineLvl w:val="1"/>
        <w:rPr>
          <w:rFonts w:hint="eastAsia" w:ascii="Times New Roman" w:hAnsi="Times New Roman" w:eastAsia="宋体" w:cs="Times New Roman"/>
          <w:b/>
          <w:bCs/>
          <w:kern w:val="2"/>
          <w:sz w:val="21"/>
          <w:szCs w:val="24"/>
          <w:lang w:val="en-US" w:eastAsia="zh-CN" w:bidi="ar-SA"/>
        </w:rPr>
      </w:pPr>
      <w:bookmarkStart w:id="140" w:name="_Toc31156"/>
      <w:bookmarkStart w:id="141" w:name="_Toc30297"/>
      <w:r>
        <w:rPr>
          <w:rFonts w:hint="eastAsia" w:ascii="Times New Roman" w:hAnsi="Times New Roman" w:eastAsia="宋体" w:cs="Times New Roman"/>
          <w:b/>
          <w:bCs/>
          <w:kern w:val="2"/>
          <w:sz w:val="21"/>
          <w:szCs w:val="24"/>
          <w:lang w:val="en-US" w:eastAsia="zh-CN" w:bidi="ar-SA"/>
        </w:rPr>
        <w:t>（五）错误修正</w:t>
      </w:r>
      <w:bookmarkEnd w:id="140"/>
      <w:bookmarkEnd w:id="141"/>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投标文件如果出现计算或表达上的错误，修正错误的原则如下：</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1.投标报价一览表总价与投标报价明细表汇总数不一致的，以投标报价一览表为准；</w:t>
      </w:r>
    </w:p>
    <w:p>
      <w:pPr>
        <w:pStyle w:val="42"/>
        <w:snapToGrid w:val="0"/>
        <w:spacing w:line="360" w:lineRule="auto"/>
        <w:ind w:firstLine="420" w:firstLineChars="200"/>
        <w:outlineLvl w:val="2"/>
        <w:rPr>
          <w:rFonts w:hint="eastAsia" w:ascii="Times New Roman" w:hAnsi="Times New Roman" w:eastAsia="宋体" w:cs="Times New Roman"/>
          <w:kern w:val="2"/>
          <w:sz w:val="21"/>
          <w:szCs w:val="24"/>
          <w:lang w:val="en-US" w:eastAsia="zh-CN" w:bidi="ar-SA"/>
        </w:rPr>
      </w:pPr>
      <w:bookmarkStart w:id="142" w:name="_Toc29280"/>
      <w:r>
        <w:rPr>
          <w:rFonts w:hint="eastAsia" w:ascii="Times New Roman" w:hAnsi="Times New Roman" w:eastAsia="宋体" w:cs="Times New Roman"/>
          <w:kern w:val="2"/>
          <w:sz w:val="21"/>
          <w:szCs w:val="24"/>
          <w:lang w:val="en-US" w:eastAsia="zh-CN" w:bidi="ar-SA"/>
        </w:rPr>
        <w:t>2.投标文件的大写金额和小写金额不一致的，以大写金额为准；</w:t>
      </w:r>
      <w:bookmarkEnd w:id="142"/>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3.总价金额与按单价汇总金额不一致的，以单价金额计算结果为准；</w:t>
      </w:r>
    </w:p>
    <w:p>
      <w:pPr>
        <w:pStyle w:val="42"/>
        <w:snapToGrid w:val="0"/>
        <w:spacing w:line="360" w:lineRule="auto"/>
        <w:ind w:firstLine="420" w:firstLineChars="200"/>
        <w:outlineLvl w:val="2"/>
        <w:rPr>
          <w:rFonts w:hint="eastAsia" w:ascii="Times New Roman" w:hAnsi="Times New Roman" w:eastAsia="宋体" w:cs="Times New Roman"/>
          <w:kern w:val="2"/>
          <w:sz w:val="21"/>
          <w:szCs w:val="24"/>
          <w:lang w:val="en-US" w:eastAsia="zh-CN" w:bidi="ar-SA"/>
        </w:rPr>
      </w:pPr>
      <w:bookmarkStart w:id="143" w:name="_Toc16465"/>
      <w:r>
        <w:rPr>
          <w:rFonts w:hint="eastAsia" w:ascii="Times New Roman" w:hAnsi="Times New Roman" w:eastAsia="宋体" w:cs="Times New Roman"/>
          <w:kern w:val="2"/>
          <w:sz w:val="21"/>
          <w:szCs w:val="24"/>
          <w:lang w:val="en-US" w:eastAsia="zh-CN" w:bidi="ar-SA"/>
        </w:rPr>
        <w:t>4.对不同文字文本投标文件的解释发生异议的，以中文文本为准。</w:t>
      </w:r>
      <w:bookmarkEnd w:id="143"/>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按上述修正错误的原则及方法调整或修正投标文件的投标报价，投标人同意并签字确认后，调整后的投标报价对投标人具有约束作用。如果投标人不接受修正后的报价，则其投标将作为无效投标处理。</w:t>
      </w:r>
    </w:p>
    <w:p>
      <w:pPr>
        <w:pStyle w:val="42"/>
        <w:snapToGrid w:val="0"/>
        <w:spacing w:line="360" w:lineRule="auto"/>
        <w:outlineLvl w:val="1"/>
        <w:rPr>
          <w:rFonts w:hint="eastAsia" w:ascii="Times New Roman" w:hAnsi="Times New Roman" w:eastAsia="宋体" w:cs="Times New Roman"/>
          <w:b/>
          <w:bCs/>
          <w:kern w:val="2"/>
          <w:sz w:val="21"/>
          <w:szCs w:val="24"/>
          <w:lang w:val="en-US" w:eastAsia="zh-CN" w:bidi="ar-SA"/>
        </w:rPr>
      </w:pPr>
      <w:bookmarkStart w:id="144" w:name="_Toc19846"/>
      <w:bookmarkStart w:id="145" w:name="_Toc15699"/>
      <w:r>
        <w:rPr>
          <w:rFonts w:hint="eastAsia" w:ascii="Times New Roman" w:hAnsi="Times New Roman" w:eastAsia="宋体" w:cs="Times New Roman"/>
          <w:b/>
          <w:bCs/>
          <w:kern w:val="2"/>
          <w:sz w:val="21"/>
          <w:szCs w:val="24"/>
          <w:lang w:val="en-US" w:eastAsia="zh-CN" w:bidi="ar-SA"/>
        </w:rPr>
        <w:t>（六）评标原则和评标办法</w:t>
      </w:r>
      <w:bookmarkEnd w:id="144"/>
      <w:bookmarkEnd w:id="145"/>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2.评标办法。本项目评标办法是</w:t>
      </w:r>
      <w:r>
        <w:rPr>
          <w:rFonts w:hint="eastAsia" w:ascii="Times New Roman" w:hAnsi="Times New Roman" w:cs="Times New Roman"/>
          <w:kern w:val="2"/>
          <w:sz w:val="21"/>
          <w:szCs w:val="24"/>
          <w:lang w:val="en-US" w:eastAsia="zh-CN" w:bidi="ar-SA"/>
        </w:rPr>
        <w:t>最低评标价法</w:t>
      </w:r>
      <w:r>
        <w:rPr>
          <w:rFonts w:hint="eastAsia" w:ascii="Times New Roman" w:hAnsi="Times New Roman" w:eastAsia="宋体" w:cs="Times New Roman"/>
          <w:kern w:val="2"/>
          <w:sz w:val="21"/>
          <w:szCs w:val="24"/>
          <w:lang w:val="en-US" w:eastAsia="zh-CN" w:bidi="ar-SA"/>
        </w:rPr>
        <w:t>，是指投标文件满足招标文件全部实质性要求，且投标</w:t>
      </w:r>
      <w:r>
        <w:rPr>
          <w:rFonts w:hint="eastAsia" w:ascii="Times New Roman" w:hAnsi="Times New Roman" w:cs="Times New Roman"/>
          <w:kern w:val="2"/>
          <w:sz w:val="21"/>
          <w:szCs w:val="24"/>
          <w:lang w:val="en-US" w:eastAsia="zh-CN" w:bidi="ar-SA"/>
        </w:rPr>
        <w:t>报价</w:t>
      </w:r>
      <w:r>
        <w:rPr>
          <w:rFonts w:hint="eastAsia" w:ascii="Times New Roman" w:hAnsi="Times New Roman" w:eastAsia="宋体" w:cs="Times New Roman"/>
          <w:kern w:val="2"/>
          <w:sz w:val="21"/>
          <w:szCs w:val="24"/>
          <w:lang w:val="en-US" w:eastAsia="zh-CN" w:bidi="ar-SA"/>
        </w:rPr>
        <w:t>最</w:t>
      </w:r>
      <w:r>
        <w:rPr>
          <w:rFonts w:hint="eastAsia" w:ascii="Times New Roman" w:hAnsi="Times New Roman" w:cs="Times New Roman"/>
          <w:kern w:val="2"/>
          <w:sz w:val="21"/>
          <w:szCs w:val="24"/>
          <w:lang w:val="en-US" w:eastAsia="zh-CN" w:bidi="ar-SA"/>
        </w:rPr>
        <w:t>低</w:t>
      </w:r>
      <w:r>
        <w:rPr>
          <w:rFonts w:hint="eastAsia" w:ascii="Times New Roman" w:hAnsi="Times New Roman" w:eastAsia="宋体" w:cs="Times New Roman"/>
          <w:kern w:val="2"/>
          <w:sz w:val="21"/>
          <w:szCs w:val="24"/>
          <w:lang w:val="en-US" w:eastAsia="zh-CN" w:bidi="ar-SA"/>
        </w:rPr>
        <w:t>的投标人为中标候选人的评标方法</w:t>
      </w:r>
      <w:r>
        <w:rPr>
          <w:rFonts w:hint="eastAsia" w:ascii="Times New Roman" w:hAnsi="Times New Roman"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 xml:space="preserve"> </w:t>
      </w:r>
    </w:p>
    <w:p>
      <w:pPr>
        <w:pStyle w:val="42"/>
        <w:snapToGrid w:val="0"/>
        <w:spacing w:line="360" w:lineRule="auto"/>
        <w:ind w:left="0" w:leftChars="0" w:firstLine="0" w:firstLineChars="0"/>
        <w:outlineLvl w:val="1"/>
        <w:rPr>
          <w:rFonts w:hint="eastAsia" w:ascii="Times New Roman" w:hAnsi="Times New Roman" w:eastAsia="宋体" w:cs="Times New Roman"/>
          <w:b/>
          <w:bCs/>
          <w:kern w:val="2"/>
          <w:sz w:val="21"/>
          <w:szCs w:val="24"/>
          <w:lang w:val="en-US" w:eastAsia="zh-CN" w:bidi="ar-SA"/>
        </w:rPr>
      </w:pPr>
      <w:bookmarkStart w:id="146" w:name="_Toc29743"/>
      <w:bookmarkStart w:id="147" w:name="_Toc9664"/>
      <w:r>
        <w:rPr>
          <w:rFonts w:hint="eastAsia" w:ascii="Times New Roman" w:hAnsi="Times New Roman" w:eastAsia="宋体" w:cs="Times New Roman"/>
          <w:b/>
          <w:bCs/>
          <w:kern w:val="2"/>
          <w:sz w:val="21"/>
          <w:szCs w:val="24"/>
          <w:lang w:val="en-US" w:eastAsia="zh-CN" w:bidi="ar-SA"/>
        </w:rPr>
        <w:t>（七）评标过程的监控</w:t>
      </w:r>
      <w:bookmarkEnd w:id="146"/>
      <w:bookmarkEnd w:id="147"/>
    </w:p>
    <w:p>
      <w:pPr>
        <w:pStyle w:val="42"/>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本项目评标过程实行录像监控、照片记录，且由监标人员进行现场监督，投标人在评标过程中所进行的试图影响评标结果的不公正活动，可能导致其投标被拒绝。</w:t>
      </w:r>
    </w:p>
    <w:p>
      <w:pPr>
        <w:pStyle w:val="4"/>
        <w:numPr>
          <w:ilvl w:val="0"/>
          <w:numId w:val="0"/>
        </w:numPr>
        <w:ind w:leftChars="-50" w:right="62" w:rightChars="0"/>
        <w:jc w:val="center"/>
        <w:rPr>
          <w:rFonts w:hint="eastAsia" w:ascii="宋体" w:hAnsi="宋体" w:eastAsia="宋体" w:cs="Times New Roman"/>
          <w:b/>
          <w:bCs/>
          <w:color w:val="000000" w:themeColor="text1"/>
          <w:kern w:val="2"/>
          <w:sz w:val="28"/>
          <w:szCs w:val="28"/>
          <w:highlight w:val="none"/>
          <w:lang w:val="en-US" w:eastAsia="zh-CN" w:bidi="ar-SA"/>
          <w14:textFill>
            <w14:solidFill>
              <w14:schemeClr w14:val="tx1"/>
            </w14:solidFill>
          </w14:textFill>
        </w:rPr>
      </w:pPr>
      <w:bookmarkStart w:id="148" w:name="_Toc521014789"/>
      <w:bookmarkStart w:id="149" w:name="_Toc21069"/>
      <w:bookmarkStart w:id="150" w:name="_Toc503212221"/>
      <w:bookmarkStart w:id="151" w:name="_Toc10823"/>
      <w:bookmarkStart w:id="152" w:name="_Toc2497"/>
      <w:bookmarkStart w:id="153" w:name="_Toc28372"/>
      <w:bookmarkStart w:id="154" w:name="_Toc26644"/>
      <w:r>
        <w:rPr>
          <w:rFonts w:hint="eastAsia" w:ascii="宋体" w:hAnsi="宋体" w:eastAsia="宋体" w:cs="Times New Roman"/>
          <w:b/>
          <w:bCs/>
          <w:color w:val="000000" w:themeColor="text1"/>
          <w:kern w:val="2"/>
          <w:sz w:val="28"/>
          <w:szCs w:val="28"/>
          <w:highlight w:val="none"/>
          <w:lang w:val="en-US" w:eastAsia="zh-CN" w:bidi="ar-SA"/>
          <w14:textFill>
            <w14:solidFill>
              <w14:schemeClr w14:val="tx1"/>
            </w14:solidFill>
          </w14:textFill>
        </w:rPr>
        <w:t>（六）定标</w:t>
      </w:r>
      <w:bookmarkEnd w:id="148"/>
      <w:bookmarkEnd w:id="149"/>
      <w:bookmarkEnd w:id="150"/>
      <w:bookmarkEnd w:id="151"/>
      <w:bookmarkEnd w:id="152"/>
      <w:bookmarkEnd w:id="153"/>
      <w:bookmarkEnd w:id="154"/>
    </w:p>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确定中标人。本项目由招标人根据评标结果排名第一位的候选人为中标人</w:t>
      </w:r>
    </w:p>
    <w:p>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                          </w:t>
      </w:r>
      <w:bookmarkStart w:id="155" w:name="_Toc521014790"/>
      <w:bookmarkStart w:id="156" w:name="_Toc503212222"/>
      <w:bookmarkStart w:id="157" w:name="_Toc15327"/>
      <w:bookmarkStart w:id="158" w:name="_Toc11259"/>
      <w:bookmarkStart w:id="159" w:name="_Toc20063"/>
    </w:p>
    <w:p>
      <w:pPr>
        <w:snapToGrid w:val="0"/>
        <w:spacing w:line="360" w:lineRule="auto"/>
        <w:ind w:firstLine="480" w:firstLineChars="200"/>
        <w:rPr>
          <w:rFonts w:hint="eastAsia" w:ascii="宋体" w:hAnsi="宋体" w:eastAsia="宋体" w:cs="宋体"/>
          <w:color w:val="000000"/>
          <w:sz w:val="24"/>
        </w:rPr>
      </w:pPr>
    </w:p>
    <w:p>
      <w:pPr>
        <w:snapToGrid w:val="0"/>
        <w:spacing w:line="360" w:lineRule="auto"/>
        <w:ind w:firstLine="480" w:firstLineChars="200"/>
        <w:rPr>
          <w:rFonts w:hint="eastAsia" w:ascii="宋体" w:hAnsi="宋体" w:eastAsia="宋体" w:cs="宋体"/>
          <w:color w:val="000000"/>
          <w:sz w:val="24"/>
        </w:rPr>
      </w:pPr>
    </w:p>
    <w:p>
      <w:pPr>
        <w:snapToGrid w:val="0"/>
        <w:spacing w:line="360" w:lineRule="auto"/>
        <w:ind w:firstLine="562" w:firstLineChars="200"/>
        <w:jc w:val="center"/>
        <w:outlineLvl w:val="1"/>
        <w:rPr>
          <w:rFonts w:hint="eastAsia" w:ascii="宋体" w:hAnsi="宋体" w:eastAsia="宋体" w:cs="宋体"/>
          <w:color w:val="000000"/>
        </w:rPr>
      </w:pPr>
      <w:bookmarkStart w:id="160" w:name="_Toc20345"/>
      <w:bookmarkStart w:id="161" w:name="_Toc20117"/>
      <w:r>
        <w:rPr>
          <w:rFonts w:hint="eastAsia" w:ascii="宋体" w:hAnsi="宋体" w:eastAsia="宋体" w:cs="Times New Roman"/>
          <w:b/>
          <w:bCs/>
          <w:color w:val="000000" w:themeColor="text1"/>
          <w:kern w:val="2"/>
          <w:sz w:val="28"/>
          <w:szCs w:val="28"/>
          <w:highlight w:val="none"/>
          <w:lang w:val="en-US" w:eastAsia="zh-CN" w:bidi="ar-SA"/>
          <w14:textFill>
            <w14:solidFill>
              <w14:schemeClr w14:val="tx1"/>
            </w14:solidFill>
          </w14:textFill>
        </w:rPr>
        <w:t>（七）合同授予</w:t>
      </w:r>
      <w:bookmarkEnd w:id="155"/>
      <w:bookmarkEnd w:id="156"/>
      <w:bookmarkEnd w:id="157"/>
      <w:bookmarkEnd w:id="158"/>
      <w:bookmarkEnd w:id="159"/>
      <w:bookmarkEnd w:id="160"/>
      <w:bookmarkEnd w:id="161"/>
    </w:p>
    <w:p>
      <w:pPr>
        <w:snapToGrid w:val="0"/>
        <w:spacing w:line="360" w:lineRule="auto"/>
        <w:ind w:firstLine="422" w:firstLineChars="200"/>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签订合同</w:t>
      </w:r>
    </w:p>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1.招标人与中标人应当在《中标通知书》发出之日起7日内签订合同。同时，招标代理机构对合同内容进行审查，如发现与采购结果和投标承诺内容不一致的，应予以纠正。</w:t>
      </w:r>
    </w:p>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2.中标人拖延、拒签合同的,将被扣罚投标保证金并取消中标资格。</w:t>
      </w:r>
    </w:p>
    <w:p>
      <w:pPr>
        <w:pStyle w:val="8"/>
        <w:rPr>
          <w:rFonts w:hint="eastAsia" w:ascii="宋体" w:hAnsi="宋体" w:eastAsia="宋体" w:cs="宋体"/>
          <w:color w:val="000000"/>
          <w:kern w:val="0"/>
          <w:sz w:val="22"/>
          <w:szCs w:val="22"/>
          <w:shd w:val="clear" w:color="auto" w:fill="FFFFFF"/>
        </w:rPr>
      </w:pPr>
      <w:r>
        <w:rPr>
          <w:rFonts w:hint="eastAsia" w:ascii="宋体" w:hAnsi="宋体" w:eastAsia="宋体" w:cs="宋体"/>
          <w:b/>
          <w:bCs/>
          <w:color w:val="000000"/>
          <w:sz w:val="36"/>
          <w:szCs w:val="36"/>
        </w:rPr>
        <w:br w:type="page"/>
      </w:r>
    </w:p>
    <w:p>
      <w:pPr>
        <w:pStyle w:val="8"/>
        <w:numPr>
          <w:ilvl w:val="0"/>
          <w:numId w:val="0"/>
        </w:numPr>
        <w:ind w:leftChars="-50" w:right="62" w:rightChars="0"/>
        <w:jc w:val="center"/>
        <w:outlineLvl w:val="0"/>
        <w:rPr>
          <w:rFonts w:hint="eastAsia"/>
          <w:lang w:val="en-US" w:eastAsia="zh-CN"/>
        </w:rPr>
      </w:pPr>
      <w:bookmarkStart w:id="162" w:name="_Toc23291"/>
      <w:bookmarkStart w:id="163" w:name="_Toc521014791"/>
      <w:bookmarkStart w:id="164" w:name="_Toc503212223"/>
      <w:bookmarkStart w:id="165" w:name="_Toc4147"/>
      <w:bookmarkStart w:id="166" w:name="_Toc2362"/>
      <w:r>
        <w:rPr>
          <w:rFonts w:hint="eastAsia" w:ascii="宋体" w:hAnsi="宋体" w:cs="Times New Roman"/>
          <w:b/>
          <w:kern w:val="2"/>
          <w:sz w:val="28"/>
          <w:szCs w:val="28"/>
          <w:lang w:val="en-US" w:eastAsia="zh-CN" w:bidi="ar-SA"/>
        </w:rPr>
        <w:t xml:space="preserve">第三章 </w:t>
      </w:r>
      <w:r>
        <w:rPr>
          <w:rFonts w:hint="eastAsia" w:ascii="宋体" w:hAnsi="宋体" w:eastAsia="宋体" w:cs="Times New Roman"/>
          <w:b/>
          <w:kern w:val="2"/>
          <w:sz w:val="28"/>
          <w:szCs w:val="28"/>
          <w:lang w:val="en-US" w:eastAsia="zh-CN" w:bidi="ar-SA"/>
        </w:rPr>
        <w:t>评标办法及标准</w:t>
      </w:r>
      <w:bookmarkEnd w:id="162"/>
      <w:bookmarkEnd w:id="163"/>
      <w:bookmarkEnd w:id="164"/>
      <w:bookmarkEnd w:id="165"/>
      <w:bookmarkEnd w:id="166"/>
    </w:p>
    <w:p>
      <w:pPr>
        <w:rPr>
          <w:rFonts w:hint="eastAsia"/>
          <w:lang w:val="en-US" w:eastAsia="zh-CN"/>
        </w:rPr>
      </w:pPr>
    </w:p>
    <w:tbl>
      <w:tblPr>
        <w:tblStyle w:val="69"/>
        <w:tblpPr w:leftFromText="180" w:rightFromText="180" w:vertAnchor="text" w:horzAnchor="page" w:tblpX="1522" w:tblpY="459"/>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489"/>
        <w:gridCol w:w="6883"/>
        <w:gridCol w:w="621"/>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397" w:type="pct"/>
            <w:vMerge w:val="restart"/>
            <w:noWrap w:val="0"/>
            <w:vAlign w:val="center"/>
          </w:tcPr>
          <w:p>
            <w:pPr>
              <w:snapToGrid w:val="0"/>
              <w:spacing w:line="360" w:lineRule="auto"/>
              <w:jc w:val="center"/>
              <w:rPr>
                <w:rFonts w:hint="eastAsia" w:ascii="Times New Roman" w:hAnsi="Times New Roman" w:eastAsia="宋体" w:cs="Times New Roman"/>
                <w:b/>
                <w:bCs/>
                <w:kern w:val="2"/>
                <w:sz w:val="21"/>
                <w:szCs w:val="24"/>
                <w:lang w:val="en-US" w:eastAsia="zh-CN" w:bidi="ar-SA"/>
              </w:rPr>
            </w:pPr>
            <w:bookmarkStart w:id="167" w:name="_Toc20987"/>
            <w:r>
              <w:rPr>
                <w:rFonts w:hint="eastAsia" w:ascii="Times New Roman" w:hAnsi="Times New Roman" w:eastAsia="宋体" w:cs="Times New Roman"/>
                <w:b/>
                <w:bCs/>
                <w:kern w:val="2"/>
                <w:sz w:val="21"/>
                <w:szCs w:val="24"/>
                <w:lang w:val="en-US" w:eastAsia="zh-CN" w:bidi="ar-SA"/>
              </w:rPr>
              <w:t>评审项</w:t>
            </w:r>
          </w:p>
        </w:tc>
        <w:tc>
          <w:tcPr>
            <w:tcW w:w="394" w:type="dxa"/>
            <w:vMerge w:val="restart"/>
            <w:noWrap w:val="0"/>
            <w:vAlign w:val="center"/>
          </w:tcPr>
          <w:p>
            <w:pPr>
              <w:snapToGrid w:val="0"/>
              <w:spacing w:line="360" w:lineRule="auto"/>
              <w:ind w:left="0" w:leftChars="0" w:right="62" w:rightChars="0" w:firstLine="0" w:firstLineChars="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序号</w:t>
            </w:r>
          </w:p>
        </w:tc>
        <w:tc>
          <w:tcPr>
            <w:tcW w:w="3693" w:type="pct"/>
            <w:vMerge w:val="restart"/>
            <w:noWrap w:val="0"/>
            <w:vAlign w:val="center"/>
          </w:tcPr>
          <w:p>
            <w:pPr>
              <w:snapToGrid w:val="0"/>
              <w:spacing w:line="360" w:lineRule="auto"/>
              <w:ind w:firstLine="422" w:firstLineChars="20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评审内容</w:t>
            </w:r>
          </w:p>
        </w:tc>
        <w:tc>
          <w:tcPr>
            <w:tcW w:w="700" w:type="pct"/>
            <w:gridSpan w:val="2"/>
            <w:noWrap w:val="0"/>
            <w:vAlign w:val="center"/>
          </w:tcPr>
          <w:p>
            <w:pPr>
              <w:snapToGrid w:val="0"/>
              <w:spacing w:line="36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评审方法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trPr>
        <w:tc>
          <w:tcPr>
            <w:tcW w:w="397" w:type="pct"/>
            <w:vMerge w:val="continue"/>
            <w:noWrap w:val="0"/>
            <w:vAlign w:val="center"/>
          </w:tcPr>
          <w:p>
            <w:pPr>
              <w:snapToGrid w:val="0"/>
              <w:spacing w:line="360" w:lineRule="auto"/>
              <w:ind w:firstLine="420" w:firstLineChars="200"/>
              <w:jc w:val="center"/>
              <w:rPr>
                <w:rFonts w:hint="eastAsia" w:ascii="Times New Roman" w:hAnsi="Times New Roman" w:eastAsia="宋体" w:cs="Times New Roman"/>
                <w:kern w:val="2"/>
                <w:sz w:val="21"/>
                <w:szCs w:val="24"/>
                <w:lang w:val="en-US" w:eastAsia="zh-CN" w:bidi="ar-SA"/>
              </w:rPr>
            </w:pPr>
          </w:p>
        </w:tc>
        <w:tc>
          <w:tcPr>
            <w:tcW w:w="209" w:type="pct"/>
            <w:vMerge w:val="continue"/>
            <w:noWrap w:val="0"/>
            <w:vAlign w:val="center"/>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93" w:type="pct"/>
            <w:vMerge w:val="continue"/>
            <w:noWrap w:val="0"/>
            <w:vAlign w:val="center"/>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33" w:type="pct"/>
            <w:noWrap w:val="0"/>
            <w:vAlign w:val="center"/>
          </w:tcPr>
          <w:p>
            <w:pPr>
              <w:snapToGrid w:val="0"/>
              <w:spacing w:line="36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通过</w:t>
            </w:r>
          </w:p>
        </w:tc>
        <w:tc>
          <w:tcPr>
            <w:tcW w:w="366" w:type="pct"/>
            <w:noWrap w:val="0"/>
            <w:vAlign w:val="center"/>
          </w:tcPr>
          <w:p>
            <w:pPr>
              <w:snapToGrid w:val="0"/>
              <w:spacing w:line="360" w:lineRule="auto"/>
              <w:ind w:left="0" w:leftChars="0"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不通过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397" w:type="pct"/>
            <w:vMerge w:val="restart"/>
            <w:noWrap w:val="0"/>
            <w:vAlign w:val="center"/>
          </w:tcPr>
          <w:p>
            <w:pPr>
              <w:ind w:left="113" w:right="113"/>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资</w:t>
            </w:r>
          </w:p>
          <w:p>
            <w:pPr>
              <w:ind w:left="113" w:right="113"/>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w:t>
            </w:r>
          </w:p>
          <w:p>
            <w:pPr>
              <w:ind w:left="113" w:right="113"/>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性</w:t>
            </w:r>
          </w:p>
          <w:p>
            <w:pPr>
              <w:ind w:left="113" w:right="113"/>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审</w:t>
            </w:r>
          </w:p>
          <w:p>
            <w:pPr>
              <w:ind w:left="113" w:right="113"/>
              <w:jc w:val="center"/>
              <w:rPr>
                <w:rFonts w:hint="eastAsia" w:ascii="Times New Roman" w:hAnsi="Times New Roman" w:eastAsia="宋体" w:cs="Times New Roman"/>
                <w:kern w:val="2"/>
                <w:sz w:val="21"/>
                <w:szCs w:val="24"/>
                <w:lang w:val="en-US" w:eastAsia="zh-CN" w:bidi="ar-SA"/>
              </w:rPr>
            </w:pPr>
            <w:r>
              <w:rPr>
                <w:rFonts w:hint="eastAsia" w:ascii="宋体" w:hAnsi="宋体" w:eastAsia="宋体" w:cs="宋体"/>
                <w:color w:val="auto"/>
                <w:kern w:val="0"/>
                <w:sz w:val="24"/>
                <w:szCs w:val="24"/>
                <w:highlight w:val="none"/>
                <w:lang w:val="en-US" w:eastAsia="zh-CN" w:bidi="ar"/>
              </w:rPr>
              <w:t>查</w:t>
            </w:r>
          </w:p>
        </w:tc>
        <w:tc>
          <w:tcPr>
            <w:tcW w:w="394" w:type="dxa"/>
            <w:noWrap w:val="0"/>
            <w:vAlign w:val="center"/>
          </w:tcPr>
          <w:p>
            <w:pPr>
              <w:snapToGrid w:val="0"/>
              <w:spacing w:line="360" w:lineRule="auto"/>
              <w:ind w:left="0" w:leftChars="0" w:right="62"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3693" w:type="pct"/>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是否满足《中华人民共和国政府采购法》第二十二条规定</w:t>
            </w:r>
          </w:p>
        </w:tc>
        <w:tc>
          <w:tcPr>
            <w:tcW w:w="333"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6"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trPr>
        <w:tc>
          <w:tcPr>
            <w:tcW w:w="397" w:type="pct"/>
            <w:vMerge w:val="continue"/>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94" w:type="dxa"/>
            <w:noWrap w:val="0"/>
            <w:vAlign w:val="center"/>
          </w:tcPr>
          <w:p>
            <w:pPr>
              <w:snapToGrid w:val="0"/>
              <w:spacing w:line="360" w:lineRule="auto"/>
              <w:ind w:left="0" w:leftChars="0" w:right="62"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3693" w:type="pct"/>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是否提供经年审核有效的三证合一营业执照；</w:t>
            </w:r>
          </w:p>
        </w:tc>
        <w:tc>
          <w:tcPr>
            <w:tcW w:w="333"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6"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397" w:type="pct"/>
            <w:vMerge w:val="continue"/>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94" w:type="dxa"/>
            <w:noWrap w:val="0"/>
            <w:vAlign w:val="center"/>
          </w:tcPr>
          <w:p>
            <w:pPr>
              <w:snapToGrid w:val="0"/>
              <w:spacing w:line="360" w:lineRule="auto"/>
              <w:ind w:left="0" w:leftChars="0" w:right="62" w:rightChars="0" w:firstLine="0" w:firstLineChars="0"/>
              <w:jc w:val="center"/>
              <w:rPr>
                <w:rFonts w:hint="eastAsia"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p>
        </w:tc>
        <w:tc>
          <w:tcPr>
            <w:tcW w:w="6883" w:type="dxa"/>
            <w:noWrap w:val="0"/>
            <w:vAlign w:val="center"/>
          </w:tcPr>
          <w:p>
            <w:pPr>
              <w:snapToGrid w:val="0"/>
              <w:spacing w:line="360" w:lineRule="auto"/>
              <w:ind w:left="105" w:leftChars="0" w:right="62" w:rightChars="0" w:hanging="105" w:hangingChars="5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法定代表人参加的需</w:t>
            </w:r>
            <w:r>
              <w:rPr>
                <w:rFonts w:hint="eastAsia" w:cs="Times New Roman"/>
                <w:kern w:val="2"/>
                <w:sz w:val="21"/>
                <w:szCs w:val="24"/>
                <w:lang w:val="en-US" w:eastAsia="zh-CN" w:bidi="ar-SA"/>
              </w:rPr>
              <w:t>提供</w:t>
            </w:r>
            <w:r>
              <w:rPr>
                <w:rFonts w:hint="eastAsia" w:ascii="Times New Roman" w:hAnsi="Times New Roman" w:eastAsia="宋体" w:cs="Times New Roman"/>
                <w:kern w:val="2"/>
                <w:sz w:val="21"/>
                <w:szCs w:val="24"/>
                <w:lang w:val="en-US" w:eastAsia="zh-CN" w:bidi="ar-SA"/>
              </w:rPr>
              <w:t>法定代表人证明书，委托代理人参加的需</w:t>
            </w:r>
            <w:r>
              <w:rPr>
                <w:rFonts w:hint="eastAsia" w:cs="Times New Roman"/>
                <w:kern w:val="2"/>
                <w:sz w:val="21"/>
                <w:szCs w:val="24"/>
                <w:lang w:val="en-US" w:eastAsia="zh-CN" w:bidi="ar-SA"/>
              </w:rPr>
              <w:t>提供</w:t>
            </w:r>
            <w:r>
              <w:rPr>
                <w:rFonts w:hint="eastAsia" w:ascii="Times New Roman" w:hAnsi="Times New Roman" w:eastAsia="宋体" w:cs="Times New Roman"/>
                <w:kern w:val="2"/>
                <w:sz w:val="21"/>
                <w:szCs w:val="24"/>
                <w:lang w:val="en-US" w:eastAsia="zh-CN" w:bidi="ar-SA"/>
              </w:rPr>
              <w:t>法定代表人授权委托书，在公司所缴纳近6个月的社保证明复印件（社保缴纳个人明细）；</w:t>
            </w:r>
          </w:p>
        </w:tc>
        <w:tc>
          <w:tcPr>
            <w:tcW w:w="333"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6"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397" w:type="pct"/>
            <w:vMerge w:val="continue"/>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94" w:type="dxa"/>
            <w:noWrap w:val="0"/>
            <w:vAlign w:val="center"/>
          </w:tcPr>
          <w:p>
            <w:pPr>
              <w:snapToGrid w:val="0"/>
              <w:spacing w:line="360" w:lineRule="auto"/>
              <w:ind w:left="0" w:leftChars="0" w:right="62"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w:t>
            </w:r>
          </w:p>
        </w:tc>
        <w:tc>
          <w:tcPr>
            <w:tcW w:w="6883" w:type="dxa"/>
            <w:noWrap w:val="0"/>
            <w:vAlign w:val="center"/>
          </w:tcPr>
          <w:p>
            <w:pPr>
              <w:snapToGrid w:val="0"/>
              <w:spacing w:line="360" w:lineRule="auto"/>
              <w:ind w:left="105" w:leftChars="0" w:right="62" w:rightChars="0" w:hanging="105" w:hangingChars="5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是否符合：凡拟参加本次招标项目的供应商须提供2021年度</w:t>
            </w:r>
            <w:r>
              <w:rPr>
                <w:rFonts w:hint="eastAsia" w:cs="Times New Roman"/>
                <w:kern w:val="2"/>
                <w:sz w:val="21"/>
                <w:szCs w:val="24"/>
                <w:lang w:val="en-US" w:eastAsia="zh-CN" w:bidi="ar-SA"/>
              </w:rPr>
              <w:t>或2022年度</w:t>
            </w:r>
            <w:r>
              <w:rPr>
                <w:rFonts w:hint="eastAsia" w:ascii="Times New Roman" w:hAnsi="Times New Roman" w:eastAsia="宋体" w:cs="Times New Roman"/>
                <w:kern w:val="2"/>
                <w:sz w:val="21"/>
                <w:szCs w:val="24"/>
                <w:lang w:val="en-US" w:eastAsia="zh-CN" w:bidi="ar-SA"/>
              </w:rPr>
              <w:t>财务审计报告全册（202</w:t>
            </w:r>
            <w:r>
              <w:rPr>
                <w:rFonts w:hint="eastAsia" w:cs="Times New Roman"/>
                <w:kern w:val="2"/>
                <w:sz w:val="21"/>
                <w:szCs w:val="24"/>
                <w:lang w:val="en-US" w:eastAsia="zh-CN" w:bidi="ar-SA"/>
              </w:rPr>
              <w:t>3</w:t>
            </w:r>
            <w:r>
              <w:rPr>
                <w:rFonts w:hint="eastAsia" w:ascii="Times New Roman" w:hAnsi="Times New Roman" w:eastAsia="宋体" w:cs="Times New Roman"/>
                <w:kern w:val="2"/>
                <w:sz w:val="21"/>
                <w:szCs w:val="24"/>
                <w:lang w:val="en-US" w:eastAsia="zh-CN" w:bidi="ar-SA"/>
              </w:rPr>
              <w:t>年成立的公司不提供）</w:t>
            </w:r>
          </w:p>
        </w:tc>
        <w:tc>
          <w:tcPr>
            <w:tcW w:w="333"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6"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397" w:type="pct"/>
            <w:vMerge w:val="continue"/>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94" w:type="dxa"/>
            <w:noWrap w:val="0"/>
            <w:vAlign w:val="center"/>
          </w:tcPr>
          <w:p>
            <w:pPr>
              <w:snapToGrid w:val="0"/>
              <w:spacing w:line="360" w:lineRule="auto"/>
              <w:ind w:left="0" w:leftChars="0" w:right="62"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w:t>
            </w:r>
          </w:p>
        </w:tc>
        <w:tc>
          <w:tcPr>
            <w:tcW w:w="6883" w:type="dxa"/>
            <w:noWrap w:val="0"/>
            <w:vAlign w:val="center"/>
          </w:tcPr>
          <w:p>
            <w:pPr>
              <w:snapToGrid w:val="0"/>
              <w:spacing w:line="360" w:lineRule="auto"/>
              <w:ind w:left="105" w:leftChars="0" w:right="62" w:rightChars="0" w:hanging="105" w:hangingChars="5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是否符合：单位负责人为同一人或者存在直接控股、管理关系的不同投标人，不得参加同一合同项下的政府采购活动的规定；</w:t>
            </w:r>
          </w:p>
        </w:tc>
        <w:tc>
          <w:tcPr>
            <w:tcW w:w="333"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6"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397" w:type="pct"/>
            <w:vMerge w:val="continue"/>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94" w:type="dxa"/>
            <w:noWrap w:val="0"/>
            <w:vAlign w:val="center"/>
          </w:tcPr>
          <w:p>
            <w:pPr>
              <w:snapToGrid w:val="0"/>
              <w:spacing w:line="360" w:lineRule="auto"/>
              <w:ind w:left="0" w:leftChars="0" w:right="62"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w:t>
            </w:r>
          </w:p>
        </w:tc>
        <w:tc>
          <w:tcPr>
            <w:tcW w:w="6883" w:type="dxa"/>
            <w:noWrap w:val="0"/>
            <w:vAlign w:val="center"/>
          </w:tcPr>
          <w:p>
            <w:pPr>
              <w:snapToGrid w:val="0"/>
              <w:spacing w:line="360" w:lineRule="auto"/>
              <w:ind w:left="105" w:leftChars="0" w:right="62" w:rightChars="0" w:hanging="105" w:hangingChars="5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是否按招标文件要求缴纳投标保证金；</w:t>
            </w:r>
          </w:p>
        </w:tc>
        <w:tc>
          <w:tcPr>
            <w:tcW w:w="333"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6"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397" w:type="pct"/>
            <w:vMerge w:val="continue"/>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94" w:type="dxa"/>
            <w:noWrap w:val="0"/>
            <w:vAlign w:val="center"/>
          </w:tcPr>
          <w:p>
            <w:pPr>
              <w:snapToGrid w:val="0"/>
              <w:spacing w:line="360" w:lineRule="auto"/>
              <w:ind w:left="0" w:leftChars="0" w:right="62"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w:t>
            </w:r>
          </w:p>
        </w:tc>
        <w:tc>
          <w:tcPr>
            <w:tcW w:w="6883" w:type="dxa"/>
            <w:noWrap w:val="0"/>
            <w:vAlign w:val="center"/>
          </w:tcPr>
          <w:p>
            <w:pPr>
              <w:snapToGrid w:val="0"/>
              <w:spacing w:line="360" w:lineRule="auto"/>
              <w:ind w:left="105" w:leftChars="0" w:right="62" w:rightChars="0" w:hanging="105" w:hangingChars="5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是否符合：</w:t>
            </w:r>
            <w:r>
              <w:rPr>
                <w:rFonts w:hint="eastAsia" w:cs="Times New Roman"/>
                <w:kern w:val="2"/>
                <w:sz w:val="21"/>
                <w:szCs w:val="24"/>
                <w:lang w:val="en-US" w:eastAsia="zh-CN" w:bidi="ar-SA"/>
              </w:rPr>
              <w:t>近三年</w:t>
            </w:r>
            <w:r>
              <w:rPr>
                <w:rFonts w:hint="eastAsia" w:ascii="Times New Roman" w:hAnsi="Times New Roman" w:eastAsia="宋体" w:cs="Times New Roman"/>
                <w:kern w:val="2"/>
                <w:sz w:val="21"/>
                <w:szCs w:val="24"/>
                <w:lang w:val="en-US" w:eastAsia="zh-CN" w:bidi="ar-SA"/>
              </w:rPr>
              <w:t>拟参加本次招标项目的投标人在“信用中国（www.creditchina.gov.cn）”被列入失信被执行人、企业经营异常名录、重大税收违法案件当事人名单、政府采购严重违法失信名单（尚在处罚期内的）；在“中国政府采购网（www.ccgp.gov.cn）”被列入政府采购严重违法失信行为记录名单的（尚在处罚期内的）；经营异常名录的取消投标资格。</w:t>
            </w:r>
          </w:p>
        </w:tc>
        <w:tc>
          <w:tcPr>
            <w:tcW w:w="333"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6"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397" w:type="pct"/>
            <w:vMerge w:val="continue"/>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94" w:type="dxa"/>
            <w:noWrap w:val="0"/>
            <w:vAlign w:val="center"/>
          </w:tcPr>
          <w:p>
            <w:pPr>
              <w:snapToGrid w:val="0"/>
              <w:spacing w:line="360" w:lineRule="auto"/>
              <w:ind w:left="0" w:leftChars="0" w:right="62" w:rightChars="0"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8</w:t>
            </w:r>
          </w:p>
        </w:tc>
        <w:tc>
          <w:tcPr>
            <w:tcW w:w="6883" w:type="dxa"/>
            <w:noWrap w:val="0"/>
            <w:vAlign w:val="center"/>
          </w:tcPr>
          <w:p>
            <w:pPr>
              <w:snapToGrid w:val="0"/>
              <w:spacing w:line="360" w:lineRule="auto"/>
              <w:ind w:left="105" w:leftChars="0" w:right="62" w:rightChars="0" w:hanging="105" w:hangingChars="5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企业负责人为同一人或者存在直接控股、管理关系的不同投标人，不得参加同一合同项下的政府采购活动。否则，皆取消投标资格。</w:t>
            </w:r>
          </w:p>
        </w:tc>
        <w:tc>
          <w:tcPr>
            <w:tcW w:w="333"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6"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397" w:type="pct"/>
            <w:vMerge w:val="continue"/>
            <w:noWrap w:val="0"/>
            <w:vAlign w:val="center"/>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94" w:type="dxa"/>
            <w:noWrap w:val="0"/>
            <w:vAlign w:val="center"/>
          </w:tcPr>
          <w:p>
            <w:pPr>
              <w:snapToGrid w:val="0"/>
              <w:spacing w:line="360" w:lineRule="auto"/>
              <w:ind w:left="0" w:leftChars="0" w:right="62" w:rightChars="0"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9</w:t>
            </w:r>
          </w:p>
        </w:tc>
        <w:tc>
          <w:tcPr>
            <w:tcW w:w="3693" w:type="pct"/>
            <w:noWrap w:val="0"/>
            <w:vAlign w:val="center"/>
          </w:tcPr>
          <w:p>
            <w:pPr>
              <w:snapToGrid w:val="0"/>
              <w:spacing w:line="36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缴纳投标保证金：55000.00元整（大写：伍万伍仟元整）。</w:t>
            </w:r>
          </w:p>
        </w:tc>
        <w:tc>
          <w:tcPr>
            <w:tcW w:w="333"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c>
          <w:tcPr>
            <w:tcW w:w="366" w:type="pct"/>
            <w:noWrap w:val="0"/>
            <w:vAlign w:val="top"/>
          </w:tcPr>
          <w:p>
            <w:pPr>
              <w:snapToGrid w:val="0"/>
              <w:spacing w:line="360" w:lineRule="auto"/>
              <w:ind w:firstLine="420" w:firstLineChars="200"/>
              <w:rPr>
                <w:rFonts w:hint="eastAsia" w:ascii="Times New Roman" w:hAnsi="Times New Roman" w:eastAsia="宋体" w:cs="Times New Roman"/>
                <w:kern w:val="2"/>
                <w:sz w:val="21"/>
                <w:szCs w:val="24"/>
                <w:lang w:val="en-US" w:eastAsia="zh-CN" w:bidi="ar-SA"/>
              </w:rPr>
            </w:pPr>
          </w:p>
        </w:tc>
      </w:tr>
    </w:tbl>
    <w:p>
      <w:pPr>
        <w:snapToGrid w:val="0"/>
        <w:spacing w:line="360" w:lineRule="auto"/>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附表1：初步评审-资格性审查表</w:t>
      </w:r>
    </w:p>
    <w:p>
      <w:pPr>
        <w:bidi w:val="0"/>
        <w:jc w:val="left"/>
        <w:rPr>
          <w:rFonts w:hint="eastAsia"/>
          <w:lang w:val="en-US" w:eastAsia="zh-CN"/>
        </w:rPr>
        <w:sectPr>
          <w:footerReference r:id="rId13" w:type="default"/>
          <w:pgSz w:w="11906" w:h="16838"/>
          <w:pgMar w:top="1440" w:right="1213" w:bottom="1440" w:left="1486" w:header="283" w:footer="567" w:gutter="0"/>
          <w:pgNumType w:fmt="decimal" w:start="1"/>
          <w:cols w:space="720" w:num="1"/>
          <w:docGrid w:linePitch="312" w:charSpace="-2478"/>
        </w:sectPr>
      </w:pPr>
    </w:p>
    <w:p>
      <w:pPr>
        <w:snapToGrid w:val="0"/>
        <w:spacing w:line="360" w:lineRule="auto"/>
        <w:ind w:left="0" w:leftChars="0" w:firstLine="0" w:firstLineChars="0"/>
        <w:rPr>
          <w:rFonts w:hint="eastAsia" w:ascii="Times New Roman" w:hAnsi="Times New Roman" w:eastAsia="宋体" w:cs="Times New Roman"/>
          <w:b w:val="0"/>
          <w:bCs w:val="0"/>
          <w:kern w:val="2"/>
          <w:sz w:val="21"/>
          <w:szCs w:val="24"/>
          <w:lang w:val="en-US" w:eastAsia="zh-CN" w:bidi="ar-SA"/>
        </w:rPr>
      </w:pPr>
    </w:p>
    <w:p>
      <w:pPr>
        <w:snapToGrid w:val="0"/>
        <w:spacing w:line="360" w:lineRule="auto"/>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附表2：初步评审-符合性审查表</w:t>
      </w:r>
    </w:p>
    <w:tbl>
      <w:tblPr>
        <w:tblStyle w:val="6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5"/>
        <w:gridCol w:w="847"/>
        <w:gridCol w:w="5422"/>
        <w:gridCol w:w="648"/>
        <w:gridCol w:w="674"/>
        <w:gridCol w:w="578"/>
        <w:gridCol w:w="4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25" w:type="dxa"/>
            <w:vMerge w:val="restart"/>
            <w:tcBorders>
              <w:right w:val="single" w:color="auto" w:sz="4" w:space="0"/>
            </w:tcBorders>
            <w:noWrap w:val="0"/>
            <w:vAlign w:val="center"/>
          </w:tcPr>
          <w:p>
            <w:pPr>
              <w:snapToGrid w:val="0"/>
              <w:spacing w:line="360" w:lineRule="auto"/>
              <w:ind w:left="0" w:leftChars="0" w:firstLine="0" w:firstLineChars="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评审项</w:t>
            </w:r>
          </w:p>
        </w:tc>
        <w:tc>
          <w:tcPr>
            <w:tcW w:w="847" w:type="dxa"/>
            <w:vMerge w:val="restart"/>
            <w:tcBorders>
              <w:right w:val="single" w:color="auto" w:sz="4" w:space="0"/>
            </w:tcBorders>
            <w:noWrap w:val="0"/>
            <w:vAlign w:val="center"/>
          </w:tcPr>
          <w:p>
            <w:pPr>
              <w:snapToGrid w:val="0"/>
              <w:spacing w:line="360" w:lineRule="auto"/>
              <w:ind w:left="0" w:leftChars="0" w:firstLine="0" w:firstLineChars="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序号</w:t>
            </w:r>
          </w:p>
        </w:tc>
        <w:tc>
          <w:tcPr>
            <w:tcW w:w="5422" w:type="dxa"/>
            <w:vMerge w:val="restart"/>
            <w:tcBorders>
              <w:right w:val="single" w:color="auto" w:sz="4" w:space="0"/>
            </w:tcBorders>
            <w:noWrap w:val="0"/>
            <w:vAlign w:val="center"/>
          </w:tcPr>
          <w:p>
            <w:pPr>
              <w:snapToGrid w:val="0"/>
              <w:spacing w:line="360" w:lineRule="auto"/>
              <w:ind w:left="0" w:leftChars="0" w:firstLine="0" w:firstLineChars="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评审内容</w:t>
            </w:r>
          </w:p>
        </w:tc>
        <w:tc>
          <w:tcPr>
            <w:tcW w:w="2389" w:type="dxa"/>
            <w:gridSpan w:val="4"/>
            <w:tcBorders>
              <w:left w:val="single" w:color="auto" w:sz="4" w:space="0"/>
              <w:bottom w:val="single" w:color="auto" w:sz="4" w:space="0"/>
            </w:tcBorders>
            <w:noWrap w:val="0"/>
            <w:vAlign w:val="center"/>
          </w:tcPr>
          <w:p>
            <w:pPr>
              <w:snapToGrid w:val="0"/>
              <w:spacing w:line="360" w:lineRule="auto"/>
              <w:ind w:left="0" w:leftChars="0" w:firstLine="0" w:firstLineChars="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投标企业名称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025" w:type="dxa"/>
            <w:vMerge w:val="continue"/>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vMerge w:val="continue"/>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22" w:type="dxa"/>
            <w:vMerge w:val="continue"/>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48" w:type="dxa"/>
            <w:tcBorders>
              <w:top w:val="single" w:color="auto" w:sz="4" w:space="0"/>
              <w:left w:val="single" w:color="auto" w:sz="4" w:space="0"/>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674" w:type="dxa"/>
            <w:tcBorders>
              <w:top w:val="single" w:color="auto" w:sz="4" w:space="0"/>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8" w:type="dxa"/>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p>
        </w:tc>
        <w:tc>
          <w:tcPr>
            <w:tcW w:w="489" w:type="dxa"/>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1025" w:type="dxa"/>
            <w:vMerge w:val="restart"/>
            <w:noWrap w:val="0"/>
            <w:textDirection w:val="tbRlV"/>
            <w:vAlign w:val="center"/>
          </w:tcPr>
          <w:p>
            <w:pPr>
              <w:snapToGrid w:val="0"/>
              <w:spacing w:line="36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ascii="宋体" w:hAnsi="宋体" w:eastAsia="宋体" w:cs="宋体"/>
                <w:color w:val="auto"/>
                <w:kern w:val="0"/>
                <w:sz w:val="24"/>
                <w:szCs w:val="24"/>
                <w:highlight w:val="none"/>
                <w:lang w:val="en-US" w:eastAsia="zh-CN" w:bidi="ar"/>
              </w:rPr>
              <w:t>符合性审查</w:t>
            </w:r>
          </w:p>
        </w:tc>
        <w:tc>
          <w:tcPr>
            <w:tcW w:w="847" w:type="dxa"/>
            <w:noWrap w:val="0"/>
            <w:vAlign w:val="center"/>
          </w:tcPr>
          <w:p>
            <w:pPr>
              <w:snapToGrid w:val="0"/>
              <w:spacing w:line="36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投标文件是否按招标文件要求签署、盖章；</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1025" w:type="dxa"/>
            <w:vMerge w:val="continue"/>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noWrap w:val="0"/>
            <w:vAlign w:val="center"/>
          </w:tcPr>
          <w:p>
            <w:pPr>
              <w:snapToGrid w:val="0"/>
              <w:spacing w:line="36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投标文件是否不齐全或者内容虚假的；</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1025" w:type="dxa"/>
            <w:vMerge w:val="continue"/>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noWrap w:val="0"/>
            <w:vAlign w:val="center"/>
          </w:tcPr>
          <w:p>
            <w:pPr>
              <w:snapToGrid w:val="0"/>
              <w:spacing w:line="36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投标文件记载的招标项目</w:t>
            </w:r>
            <w:r>
              <w:rPr>
                <w:rFonts w:hint="eastAsia" w:cs="Times New Roman"/>
                <w:kern w:val="2"/>
                <w:sz w:val="21"/>
                <w:szCs w:val="24"/>
                <w:lang w:val="en-US" w:eastAsia="zh-CN" w:bidi="ar-SA"/>
              </w:rPr>
              <w:t>服务</w:t>
            </w:r>
            <w:r>
              <w:rPr>
                <w:rFonts w:hint="eastAsia" w:ascii="Times New Roman" w:hAnsi="Times New Roman" w:eastAsia="宋体" w:cs="Times New Roman"/>
                <w:kern w:val="2"/>
                <w:sz w:val="21"/>
                <w:szCs w:val="24"/>
                <w:lang w:val="en-US" w:eastAsia="zh-CN" w:bidi="ar-SA"/>
              </w:rPr>
              <w:t>期是否超过招标文件规</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定的</w:t>
            </w:r>
            <w:r>
              <w:rPr>
                <w:rFonts w:hint="eastAsia" w:cs="Times New Roman"/>
                <w:kern w:val="2"/>
                <w:sz w:val="21"/>
                <w:szCs w:val="24"/>
                <w:lang w:val="en-US" w:eastAsia="zh-CN" w:bidi="ar-SA"/>
              </w:rPr>
              <w:t>服务</w:t>
            </w:r>
            <w:r>
              <w:rPr>
                <w:rFonts w:hint="eastAsia" w:ascii="Times New Roman" w:hAnsi="Times New Roman" w:eastAsia="宋体" w:cs="Times New Roman"/>
                <w:kern w:val="2"/>
                <w:sz w:val="21"/>
                <w:szCs w:val="24"/>
                <w:lang w:val="en-US" w:eastAsia="zh-CN" w:bidi="ar-SA"/>
              </w:rPr>
              <w:t>期；</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8" w:hRule="atLeast"/>
          <w:jc w:val="center"/>
        </w:trPr>
        <w:tc>
          <w:tcPr>
            <w:tcW w:w="1025" w:type="dxa"/>
            <w:vMerge w:val="continue"/>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noWrap w:val="0"/>
            <w:vAlign w:val="center"/>
          </w:tcPr>
          <w:p>
            <w:pPr>
              <w:snapToGrid w:val="0"/>
              <w:spacing w:line="36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投标有效期是否满足招标文件要求的；</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1025" w:type="dxa"/>
            <w:vMerge w:val="continue"/>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noWrap w:val="0"/>
            <w:vAlign w:val="center"/>
          </w:tcPr>
          <w:p>
            <w:pPr>
              <w:snapToGrid w:val="0"/>
              <w:spacing w:line="360" w:lineRule="auto"/>
              <w:ind w:left="0" w:leftChars="0"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投标报价是否高于采购预算价且投标报价是否为唯一报价，有多个报价时是否明确有效力的报价；</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1025" w:type="dxa"/>
            <w:vMerge w:val="continue"/>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noWrap w:val="0"/>
            <w:vAlign w:val="center"/>
          </w:tcPr>
          <w:p>
            <w:pPr>
              <w:snapToGrid w:val="0"/>
              <w:spacing w:line="36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投标文件的内容是否满足招标内容及要求；</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1025" w:type="dxa"/>
            <w:vMerge w:val="continue"/>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noWrap w:val="0"/>
            <w:vAlign w:val="center"/>
          </w:tcPr>
          <w:p>
            <w:pPr>
              <w:snapToGrid w:val="0"/>
              <w:spacing w:line="36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商务条款是否有偏离情况的；</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1025" w:type="dxa"/>
            <w:vMerge w:val="continue"/>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noWrap w:val="0"/>
            <w:vAlign w:val="center"/>
          </w:tcPr>
          <w:p>
            <w:pPr>
              <w:snapToGrid w:val="0"/>
              <w:spacing w:line="360" w:lineRule="auto"/>
              <w:ind w:left="0" w:leftChars="0"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投标文件是否附有招标人不能接受条件的；</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1025" w:type="dxa"/>
            <w:vMerge w:val="continue"/>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noWrap w:val="0"/>
            <w:vAlign w:val="center"/>
          </w:tcPr>
          <w:p>
            <w:pPr>
              <w:snapToGrid w:val="0"/>
              <w:spacing w:line="360" w:lineRule="auto"/>
              <w:ind w:left="0" w:leftChars="0"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是否存在法律、法规和招标文件规定的其他无效情形；</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1025" w:type="dxa"/>
            <w:vMerge w:val="continue"/>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847" w:type="dxa"/>
            <w:noWrap w:val="0"/>
            <w:vAlign w:val="center"/>
          </w:tcPr>
          <w:p>
            <w:pPr>
              <w:snapToGrid w:val="0"/>
              <w:spacing w:line="360" w:lineRule="auto"/>
              <w:ind w:left="0" w:leftChars="0"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c>
          <w:tcPr>
            <w:tcW w:w="5422" w:type="dxa"/>
            <w:tcBorders>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投标文件中所提供的相关证明材料及文件是否清晰、具有较强辨识度</w:t>
            </w:r>
          </w:p>
        </w:tc>
        <w:tc>
          <w:tcPr>
            <w:tcW w:w="648" w:type="dxa"/>
            <w:tcBorders>
              <w:left w:val="single" w:color="auto" w:sz="4" w:space="0"/>
              <w:righ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7294" w:type="dxa"/>
            <w:gridSpan w:val="3"/>
            <w:tcBorders>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结论：通过评审打“√ ”        未通过评审“×”</w:t>
            </w:r>
          </w:p>
        </w:tc>
        <w:tc>
          <w:tcPr>
            <w:tcW w:w="648" w:type="dxa"/>
            <w:tcBorders>
              <w:left w:val="single" w:color="auto" w:sz="4" w:space="0"/>
              <w:righ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674" w:type="dxa"/>
            <w:tcBorders>
              <w:left w:val="single" w:color="auto" w:sz="4" w:space="0"/>
            </w:tcBorders>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8" w:type="dxa"/>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489" w:type="dxa"/>
            <w:noWrap w:val="0"/>
            <w:vAlign w:val="top"/>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bl>
    <w:p>
      <w:pPr>
        <w:spacing w:line="400" w:lineRule="exact"/>
        <w:rPr>
          <w:rFonts w:ascii="宋体" w:hAnsi="宋体" w:cs="宋体"/>
          <w:b/>
          <w:sz w:val="28"/>
          <w:szCs w:val="28"/>
        </w:rPr>
      </w:pPr>
    </w:p>
    <w:p>
      <w:pPr>
        <w:autoSpaceDE w:val="0"/>
        <w:autoSpaceDN w:val="0"/>
        <w:adjustRightInd w:val="0"/>
        <w:spacing w:line="400" w:lineRule="exact"/>
        <w:jc w:val="left"/>
        <w:rPr>
          <w:rFonts w:ascii="宋体" w:hAnsi="宋体" w:cs="宋体"/>
          <w:b/>
          <w:bCs/>
          <w:kern w:val="0"/>
          <w:sz w:val="28"/>
          <w:szCs w:val="28"/>
        </w:rPr>
      </w:pPr>
    </w:p>
    <w:p>
      <w:pPr>
        <w:spacing w:after="240" w:afterLines="100"/>
        <w:ind w:firstLine="602"/>
        <w:jc w:val="center"/>
        <w:outlineLvl w:val="9"/>
        <w:rPr>
          <w:rFonts w:hint="eastAsia" w:ascii="宋体" w:hAnsi="宋体" w:cs="宋体"/>
          <w:b/>
          <w:bCs/>
          <w:kern w:val="0"/>
          <w:sz w:val="28"/>
          <w:szCs w:val="28"/>
        </w:rPr>
      </w:pPr>
      <w:r>
        <w:rPr>
          <w:rFonts w:hint="eastAsia" w:ascii="宋体" w:hAnsi="宋体" w:cs="宋体"/>
          <w:b/>
          <w:bCs/>
          <w:kern w:val="0"/>
          <w:sz w:val="28"/>
          <w:szCs w:val="28"/>
        </w:rPr>
        <w:br w:type="page"/>
      </w:r>
    </w:p>
    <w:p>
      <w:pPr>
        <w:ind w:left="0" w:leftChars="0" w:firstLine="0" w:firstLineChars="0"/>
        <w:jc w:val="both"/>
        <w:outlineLvl w:val="9"/>
        <w:rPr>
          <w:rFonts w:hint="eastAsia" w:ascii="宋体" w:hAnsi="宋体" w:cs="宋体"/>
          <w:b/>
          <w:bCs/>
          <w:color w:val="000000"/>
          <w:sz w:val="36"/>
        </w:rPr>
        <w:sectPr>
          <w:footerReference r:id="rId14" w:type="default"/>
          <w:type w:val="continuous"/>
          <w:pgSz w:w="11905" w:h="16838"/>
          <w:pgMar w:top="1446" w:right="1219" w:bottom="1446" w:left="1219" w:header="283" w:footer="567" w:gutter="0"/>
          <w:pgNumType w:fmt="decimal"/>
          <w:cols w:space="720" w:num="1"/>
          <w:docGrid w:type="lines" w:linePitch="316" w:charSpace="0"/>
        </w:sectPr>
      </w:pPr>
    </w:p>
    <w:bookmarkEnd w:id="167"/>
    <w:p>
      <w:pPr>
        <w:pageBreakBefore w:val="0"/>
        <w:widowControl w:val="0"/>
        <w:numPr>
          <w:ilvl w:val="0"/>
          <w:numId w:val="0"/>
        </w:numPr>
        <w:kinsoku/>
        <w:wordWrap/>
        <w:overflowPunct/>
        <w:topLinePunct w:val="0"/>
        <w:autoSpaceDE/>
        <w:autoSpaceDN/>
        <w:bidi w:val="0"/>
        <w:spacing w:line="440" w:lineRule="exact"/>
        <w:ind w:right="62" w:rightChars="0"/>
        <w:jc w:val="center"/>
        <w:textAlignment w:val="auto"/>
        <w:outlineLvl w:val="0"/>
        <w:rPr>
          <w:rFonts w:hint="eastAsia" w:ascii="宋体" w:hAnsi="宋体" w:eastAsia="宋体" w:cs="Times New Roman"/>
          <w:b/>
          <w:kern w:val="2"/>
          <w:sz w:val="28"/>
          <w:szCs w:val="28"/>
          <w:lang w:val="en-US" w:eastAsia="zh-CN" w:bidi="ar-SA"/>
        </w:rPr>
      </w:pPr>
      <w:bookmarkStart w:id="168" w:name="_Toc11692"/>
      <w:r>
        <w:rPr>
          <w:rFonts w:hint="eastAsia" w:ascii="宋体" w:hAnsi="宋体" w:eastAsia="宋体" w:cs="Times New Roman"/>
          <w:b/>
          <w:kern w:val="2"/>
          <w:sz w:val="28"/>
          <w:szCs w:val="28"/>
          <w:lang w:val="en-US" w:eastAsia="zh-CN" w:bidi="ar-SA"/>
        </w:rPr>
        <w:t xml:space="preserve">第四章 </w:t>
      </w:r>
      <w:r>
        <w:rPr>
          <w:rFonts w:hint="eastAsia" w:ascii="宋体" w:hAnsi="宋体" w:cs="Times New Roman"/>
          <w:b/>
          <w:kern w:val="2"/>
          <w:sz w:val="28"/>
          <w:szCs w:val="28"/>
          <w:lang w:val="en-US" w:eastAsia="zh-CN" w:bidi="ar-SA"/>
        </w:rPr>
        <w:t>采购清单</w:t>
      </w:r>
      <w:bookmarkEnd w:id="168"/>
    </w:p>
    <w:tbl>
      <w:tblPr>
        <w:tblStyle w:val="69"/>
        <w:tblW w:w="5615" w:type="pct"/>
        <w:tblInd w:w="-4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5"/>
        <w:gridCol w:w="1334"/>
        <w:gridCol w:w="2437"/>
        <w:gridCol w:w="900"/>
        <w:gridCol w:w="1177"/>
        <w:gridCol w:w="1240"/>
        <w:gridCol w:w="3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序号</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名称</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规格参数</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单位</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数量</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单价（元））</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参考图例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7"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17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铺装</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现浇混凝土人行道-红色压花混凝土地面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1.1.块料品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种、规格:</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40厚1:2.5</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彩色水泥</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砂浆嵌砌2</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0-25mm石 子</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2.基础、</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垫层：材</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料品种、</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厚度:100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厚C15混凝</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土</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3.垫层:20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0厚戈壁料</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压实</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4.素土夯</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实</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6375.16</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134.83</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人行道块料铺设-混凝土砖</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1.1.块料品种、规格:混凝土砖</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2.做法:素土夯实</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3.200厚戈壁料压实</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4.100厚C15素混凝土</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5.23厚1:2.5干硬性水泥砂浆</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6.未尽事宜具体详设计</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3183.38</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125.87</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人行道块料铺设-30厚花岗岩</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1.1.块料品种、规格:30厚花岗岩</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2.做法:素土夯实</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3.200厚戈壁料压实</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4.100厚C15素混凝土</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5.50厚1:2.5干硬性水泥砂浆</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6.未尽事宜具体详设计</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1420</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233.11</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w:t>
            </w:r>
          </w:p>
        </w:tc>
        <w:tc>
          <w:tcPr>
            <w:tcW w:w="17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新建劳动教育基地</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7"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平整场地</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1.土壤类别:一、二类土</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2.要求:新建劳动教育基地工程预计需平整土地1000 平方米（预估地块规格20米*50米），将土地分隔为相同大小的10块</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1000</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3.16</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新建劳动教育基地</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1.采用ABS材料模压组装成型</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2.水池规格安装1米*1米规格</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500.36</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4810" cy="1554480"/>
                  <wp:effectExtent l="0" t="0" r="2540" b="762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1"/>
                          <a:stretch>
                            <a:fillRect/>
                          </a:stretch>
                        </pic:blipFill>
                        <pic:spPr>
                          <a:xfrm>
                            <a:off x="0" y="0"/>
                            <a:ext cx="1654810" cy="15544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修葺隔断</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1.毛石、高90CM，宽20CM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270</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239.8</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w:t>
            </w:r>
          </w:p>
        </w:tc>
        <w:tc>
          <w:tcPr>
            <w:tcW w:w="17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旗杆</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旗杆</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1.1.面积:2.2㎡</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2.要求:单个国旗杆长5.7米，宽3.7米，高0.6米，台面为红火烧面花岗岩，栏杆为汉白玉，有国旗，队旗，校旗三个旗杆</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3.旗杆均采用热轧无缝钢管制作，所有金属经除锈后均刷防锈漆一道，银粉漆两道。</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4.旗杆基础为现浇混凝土基础并配钢筋</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5.未尽事宜具体详设计</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44506.01</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w:t>
            </w:r>
          </w:p>
        </w:tc>
        <w:tc>
          <w:tcPr>
            <w:tcW w:w="17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标识标语</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4"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法制广场-文化品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（法制之廊）</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2.5200*2550*3100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3.碳化色、深棕色木制定制品；</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56680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22095" cy="1158875"/>
                  <wp:effectExtent l="0" t="0" r="1905" b="317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2"/>
                          <a:stretch>
                            <a:fillRect/>
                          </a:stretch>
                        </pic:blipFill>
                        <pic:spPr>
                          <a:xfrm>
                            <a:off x="0" y="0"/>
                            <a:ext cx="1522095" cy="1158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7"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法制广场-文化石（护法之石）</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1.广场文化石2000*200*3000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2.花岗石 、 大理石 、 青石等雕刻制作；</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25070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77645" cy="1263015"/>
                  <wp:effectExtent l="0" t="0" r="8255" b="13335"/>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23"/>
                          <a:stretch>
                            <a:fillRect/>
                          </a:stretch>
                        </pic:blipFill>
                        <pic:spPr>
                          <a:xfrm>
                            <a:off x="0" y="0"/>
                            <a:ext cx="1477645" cy="12630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宣传橱窗</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(法制之栏）</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1.讲文明树新风2000*500*2100   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31610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16050" cy="1149985"/>
                  <wp:effectExtent l="0" t="0" r="12700" b="1206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24"/>
                          <a:stretch>
                            <a:fillRect/>
                          </a:stretch>
                        </pic:blipFill>
                        <pic:spPr>
                          <a:xfrm>
                            <a:off x="0" y="0"/>
                            <a:ext cx="1416050" cy="11499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法制广场-文化小品（公平之称）</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1.讲文明树新风4300*1000*3200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21800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14780" cy="1099185"/>
                  <wp:effectExtent l="0" t="0" r="13970" b="571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25"/>
                          <a:stretch>
                            <a:fillRect/>
                          </a:stretch>
                        </pic:blipFill>
                        <pic:spPr>
                          <a:xfrm>
                            <a:off x="0" y="0"/>
                            <a:ext cx="1414780" cy="10991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法制广场-文化石（度量之盘）</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1.广场文化石3700*750*4000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2.花岗石 、 大理石 、 青石等雕刻制作；</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21800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372870" cy="1060450"/>
                  <wp:effectExtent l="0" t="0" r="17780" b="635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26"/>
                          <a:stretch>
                            <a:fillRect/>
                          </a:stretch>
                        </pic:blipFill>
                        <pic:spPr>
                          <a:xfrm>
                            <a:off x="0" y="0"/>
                            <a:ext cx="1372870" cy="10604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9"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法制广场-文化石</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（方圆矩石）</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1.广场文化石2750*2750*3500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2.花岗石 、 大理石 、 青石等雕刻制作；</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25070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37970" cy="1294765"/>
                  <wp:effectExtent l="0" t="0" r="5080" b="63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27"/>
                          <a:stretch>
                            <a:fillRect/>
                          </a:stretch>
                        </pic:blipFill>
                        <pic:spPr>
                          <a:xfrm>
                            <a:off x="0" y="0"/>
                            <a:ext cx="1537970" cy="12947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9"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法制广场-文化石（规正之镜）</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1.广场文化石3800*3800*3350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2.花岗石 、 大理石 、 青石等雕刻制作；</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21800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75435" cy="1264920"/>
                  <wp:effectExtent l="0" t="0" r="5715" b="1143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8"/>
                          <a:stretch>
                            <a:fillRect/>
                          </a:stretch>
                        </pic:blipFill>
                        <pic:spPr>
                          <a:xfrm>
                            <a:off x="0" y="0"/>
                            <a:ext cx="1575435" cy="12649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2"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法制广场-宣传专栏(文明之栏）</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1.讲文明树新风6700*250*4200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26160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325880" cy="904240"/>
                  <wp:effectExtent l="0" t="0" r="7620" b="1016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29"/>
                          <a:stretch>
                            <a:fillRect/>
                          </a:stretch>
                        </pic:blipFill>
                        <pic:spPr>
                          <a:xfrm>
                            <a:off x="0" y="0"/>
                            <a:ext cx="1325880" cy="9042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宣传专栏</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(法规之门）</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1.讲文明树新风5500*240*3500   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17440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15745" cy="1042670"/>
                  <wp:effectExtent l="0" t="0" r="8255" b="5080"/>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30"/>
                          <a:stretch>
                            <a:fillRect/>
                          </a:stretch>
                        </pic:blipFill>
                        <pic:spPr>
                          <a:xfrm>
                            <a:off x="0" y="0"/>
                            <a:ext cx="1515745" cy="10426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法制广场-文化石</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（誓言之台）</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1.广场文化石5350*2500*4000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2.花岗石 、 大理石 、 青石等雕刻制作；</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39875" cy="1196340"/>
                  <wp:effectExtent l="0" t="0" r="3175" b="3810"/>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31"/>
                          <a:stretch>
                            <a:fillRect/>
                          </a:stretch>
                        </pic:blipFill>
                        <pic:spPr>
                          <a:xfrm>
                            <a:off x="0" y="0"/>
                            <a:ext cx="1539875" cy="11963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法制广场-宣传专栏（思想之虹）</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1.讲文明树新风5500*260*2500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23980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45590" cy="815975"/>
                  <wp:effectExtent l="0" t="0" r="16510" b="317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2"/>
                          <a:stretch>
                            <a:fillRect/>
                          </a:stretch>
                        </pic:blipFill>
                        <pic:spPr>
                          <a:xfrm>
                            <a:off x="0" y="0"/>
                            <a:ext cx="1545590" cy="815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5"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法制广场-文化石（初心之石）</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1.广场文化石2300*1000*2500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2.花岗石 、 大理石 、 青石等雕刻制作；</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32700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73835" cy="1127125"/>
                  <wp:effectExtent l="0" t="0" r="1206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3"/>
                          <a:stretch>
                            <a:fillRect/>
                          </a:stretch>
                        </pic:blipFill>
                        <pic:spPr>
                          <a:xfrm>
                            <a:off x="0" y="0"/>
                            <a:ext cx="1473835" cy="11271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1"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文化石</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(文明之石）</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1.广场文化石2100*2200*1800   花岗石 、 大理石 、 青石等雕刻制作；</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30520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380490" cy="1153795"/>
                  <wp:effectExtent l="0" t="0" r="10160" b="825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4"/>
                          <a:stretch>
                            <a:fillRect/>
                          </a:stretch>
                        </pic:blipFill>
                        <pic:spPr>
                          <a:xfrm>
                            <a:off x="0" y="0"/>
                            <a:ext cx="1380490" cy="11537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法制广场-石凳、石凳</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1.广场休息1200mm,高65mm,厚40mm;板凳5mm,高35mm,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2.花岗岩材料;需机刻法律知识；</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18</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8720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302385" cy="1096645"/>
                  <wp:effectExtent l="0" t="0" r="12065" b="8255"/>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35"/>
                          <a:stretch>
                            <a:fillRect/>
                          </a:stretch>
                        </pic:blipFill>
                        <pic:spPr>
                          <a:xfrm>
                            <a:off x="0" y="0"/>
                            <a:ext cx="1302385" cy="10966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法制广场-宣传橱窗（讲文明树新风）</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1.讲文明树新风3600*60*2100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16350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248410" cy="1073150"/>
                  <wp:effectExtent l="0" t="0" r="8890" b="12700"/>
                  <wp:docPr id="61" name="图片 20" descr="165961993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descr="1659619936293"/>
                          <pic:cNvPicPr>
                            <a:picLocks noChangeAspect="1"/>
                          </pic:cNvPicPr>
                        </pic:nvPicPr>
                        <pic:blipFill>
                          <a:blip r:embed="rId36"/>
                          <a:stretch>
                            <a:fillRect/>
                          </a:stretch>
                        </pic:blipFill>
                        <pic:spPr>
                          <a:xfrm>
                            <a:off x="0" y="0"/>
                            <a:ext cx="1248410" cy="1073150"/>
                          </a:xfrm>
                          <a:prstGeom prst="round2Diag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4"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法制广场-导向牌</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1.讲文明树新风:导向牌1200*60*1600 2.2mm不锈钢板材、镀锌板材；激光切割</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2.折弯成型</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3.焊接打磨</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3052</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36370" cy="1093470"/>
                  <wp:effectExtent l="0" t="0" r="11430" b="11430"/>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37"/>
                          <a:stretch>
                            <a:fillRect/>
                          </a:stretch>
                        </pic:blipFill>
                        <pic:spPr>
                          <a:xfrm>
                            <a:off x="0" y="0"/>
                            <a:ext cx="1436370" cy="10934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5"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法制广场-张拉膜景观</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小品</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1.广场文化品17000 *10000*5000 张拉式膜结构，玻璃纤维织物为基材涂PVC而成</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32700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87805" cy="1040765"/>
                  <wp:effectExtent l="0" t="0" r="17145" b="698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8"/>
                          <a:stretch>
                            <a:fillRect/>
                          </a:stretch>
                        </pic:blipFill>
                        <pic:spPr>
                          <a:xfrm>
                            <a:off x="0" y="0"/>
                            <a:ext cx="1487805" cy="10407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广场文化品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(五四之魂）</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1.广场文化品5500*260*2500，2mm不锈钢板材、镀锌板材；激光切割，折弯成型，焊接打磨，静电喷塑；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34880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03350" cy="941705"/>
                  <wp:effectExtent l="0" t="0" r="6350"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9"/>
                          <a:stretch>
                            <a:fillRect/>
                          </a:stretch>
                        </pic:blipFill>
                        <pic:spPr>
                          <a:xfrm>
                            <a:off x="0" y="0"/>
                            <a:ext cx="1403350" cy="9417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广场文化品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(五四之帆）</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1.广场文化品5500*360*32002mm不锈钢板材、镀锌板材；激光切割，折弯成型，焊接打磨，静电喷塑；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62130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16050" cy="946150"/>
                  <wp:effectExtent l="0" t="0" r="12700" b="635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40"/>
                          <a:stretch>
                            <a:fillRect/>
                          </a:stretch>
                        </pic:blipFill>
                        <pic:spPr>
                          <a:xfrm>
                            <a:off x="0" y="0"/>
                            <a:ext cx="1416050" cy="946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5"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广场文化品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(五四之船）</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1.广场文化品2200*800*2500，2mm不锈钢板材、镀锌板材；激光切割，折弯成型，焊接打磨，静电喷塑；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39240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62735" cy="1037590"/>
                  <wp:effectExtent l="0" t="0" r="18415" b="10160"/>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41"/>
                          <a:stretch>
                            <a:fillRect/>
                          </a:stretch>
                        </pic:blipFill>
                        <pic:spPr>
                          <a:xfrm>
                            <a:off x="0" y="0"/>
                            <a:ext cx="1562735" cy="10375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9"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广场文化品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(五四之帜）</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1.讲文明树新风7050*600*3200，2mm不锈钢板材、镀锌板材；激光切割，折弯成型，焊接打磨，静电喷塑；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56680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63040" cy="878840"/>
                  <wp:effectExtent l="0" t="0" r="3810" b="16510"/>
                  <wp:docPr id="6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pic:cNvPicPr>
                            <a:picLocks noChangeAspect="1"/>
                          </pic:cNvPicPr>
                        </pic:nvPicPr>
                        <pic:blipFill>
                          <a:blip r:embed="rId42"/>
                          <a:stretch>
                            <a:fillRect/>
                          </a:stretch>
                        </pic:blipFill>
                        <pic:spPr>
                          <a:xfrm>
                            <a:off x="0" y="0"/>
                            <a:ext cx="1463040" cy="8788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广场文化品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(五四之舵）</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1.广场文化品3200*800*1800 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39240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27810" cy="872490"/>
                  <wp:effectExtent l="0" t="0" r="15240" b="38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3"/>
                          <a:stretch>
                            <a:fillRect/>
                          </a:stretch>
                        </pic:blipFill>
                        <pic:spPr>
                          <a:xfrm>
                            <a:off x="0" y="0"/>
                            <a:ext cx="1527810" cy="8724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广场文化品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(五四之形）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1.讲文明树新风7050*600*3200  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40330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71625" cy="980440"/>
                  <wp:effectExtent l="0" t="0" r="9525" b="10160"/>
                  <wp:docPr id="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9"/>
                          <pic:cNvPicPr>
                            <a:picLocks noChangeAspect="1"/>
                          </pic:cNvPicPr>
                        </pic:nvPicPr>
                        <pic:blipFill>
                          <a:blip r:embed="rId44"/>
                          <a:stretch>
                            <a:fillRect/>
                          </a:stretch>
                        </pic:blipFill>
                        <pic:spPr>
                          <a:xfrm>
                            <a:off x="0" y="0"/>
                            <a:ext cx="1571625" cy="9804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广场文化品</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(五四之心）</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1.讲文明树新风5500*260*2500  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34880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48130" cy="907415"/>
                  <wp:effectExtent l="0" t="0" r="13970" b="6985"/>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pic:cNvPicPr>
                            <a:picLocks noChangeAspect="1"/>
                          </pic:cNvPicPr>
                        </pic:nvPicPr>
                        <pic:blipFill>
                          <a:blip r:embed="rId45"/>
                          <a:stretch>
                            <a:fillRect/>
                          </a:stretch>
                        </pic:blipFill>
                        <pic:spPr>
                          <a:xfrm>
                            <a:off x="0" y="0"/>
                            <a:ext cx="1548130" cy="9074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7"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宣传专栏</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(习语之窗）</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2.7050*1000*3500  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56680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67815" cy="832485"/>
                  <wp:effectExtent l="0" t="0" r="13335" b="571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46"/>
                          <a:stretch>
                            <a:fillRect/>
                          </a:stretch>
                        </pic:blipFill>
                        <pic:spPr>
                          <a:xfrm>
                            <a:off x="0" y="0"/>
                            <a:ext cx="1567815" cy="8324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宣传橱窗（党建之栏）</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1.讲文明树新风2000*200*2100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17222</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266825" cy="1184910"/>
                  <wp:effectExtent l="0" t="0" r="9525" b="1524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47"/>
                          <a:stretch>
                            <a:fillRect/>
                          </a:stretch>
                        </pic:blipFill>
                        <pic:spPr>
                          <a:xfrm>
                            <a:off x="0" y="0"/>
                            <a:ext cx="1266825" cy="11849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9"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路灯杆文化宣传</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1.政治文化1200*350mm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2.1.2mm镀锌板、不锈钢、铝合金；4mm透明耐力板；表面处理分为静电喷塑、氟碳烤漆、汽车金属烤漆等；</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230</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545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58595" cy="702945"/>
                  <wp:effectExtent l="0" t="0" r="8255" b="1905"/>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48"/>
                          <a:stretch>
                            <a:fillRect/>
                          </a:stretch>
                        </pic:blipFill>
                        <pic:spPr>
                          <a:xfrm>
                            <a:off x="0" y="0"/>
                            <a:ext cx="1458595" cy="7029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2"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圆形法治文化墙</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1.法律知识半径500mm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2.2mm亚克力、PVC、不锈钢板等    表面处理分为静电喷塑、氟碳烤漆</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组</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4905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82420" cy="490220"/>
                  <wp:effectExtent l="0" t="0" r="17780" b="5080"/>
                  <wp:docPr id="6" name="图片 5" descr="165961814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659618145936"/>
                          <pic:cNvPicPr>
                            <a:picLocks noChangeAspect="1"/>
                          </pic:cNvPicPr>
                        </pic:nvPicPr>
                        <pic:blipFill>
                          <a:blip r:embed="rId49"/>
                          <a:stretch>
                            <a:fillRect/>
                          </a:stretch>
                        </pic:blipFill>
                        <pic:spPr>
                          <a:xfrm>
                            <a:off x="0" y="0"/>
                            <a:ext cx="1582420" cy="4902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楼宇间宣传橱窗/新建法治长廊100m</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1.（13700/14900）*3550*120（侧厚）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14170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53845" cy="428625"/>
                  <wp:effectExtent l="0" t="0" r="8255" b="9525"/>
                  <wp:docPr id="9" name="图片 8" descr="165962085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659620857118"/>
                          <pic:cNvPicPr>
                            <a:picLocks noChangeAspect="1"/>
                          </pic:cNvPicPr>
                        </pic:nvPicPr>
                        <pic:blipFill>
                          <a:blip r:embed="rId50"/>
                          <a:stretch>
                            <a:fillRect/>
                          </a:stretch>
                        </pic:blipFill>
                        <pic:spPr>
                          <a:xfrm>
                            <a:off x="0" y="0"/>
                            <a:ext cx="1553845" cy="4286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教学楼走廊文化宣传</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1.文明标语23000*2100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2.2mm厚铝塑板、亚克力、KT板等；数控雕刻，激光切割，喷绘UV打印</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组</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27250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98930" cy="481330"/>
                  <wp:effectExtent l="0" t="0" r="1270" b="13970"/>
                  <wp:docPr id="5" name="图片 4" descr="d00cb74c94a2feaadfe11a7d4dbd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00cb74c94a2feaadfe11a7d4dbda8a"/>
                          <pic:cNvPicPr>
                            <a:picLocks noChangeAspect="1"/>
                          </pic:cNvPicPr>
                        </pic:nvPicPr>
                        <pic:blipFill>
                          <a:blip r:embed="rId51"/>
                          <a:stretch>
                            <a:fillRect/>
                          </a:stretch>
                        </pic:blipFill>
                        <pic:spPr>
                          <a:xfrm>
                            <a:off x="0" y="0"/>
                            <a:ext cx="1598930" cy="4813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2"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室内运动馆文化宣传</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1.体育文化3000*半径500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2.2mm厚铝塑板、亚克力、KT板等；数控雕刻，激光切割，喷绘UV打印</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组</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1744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84960" cy="529590"/>
                  <wp:effectExtent l="0" t="0" r="15240" b="3810"/>
                  <wp:docPr id="70" name="图片 2" descr="16596177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descr="1659617789049"/>
                          <pic:cNvPicPr>
                            <a:picLocks noChangeAspect="1"/>
                          </pic:cNvPicPr>
                        </pic:nvPicPr>
                        <pic:blipFill>
                          <a:blip r:embed="rId52"/>
                          <a:stretch>
                            <a:fillRect/>
                          </a:stretch>
                        </pic:blipFill>
                        <pic:spPr>
                          <a:xfrm>
                            <a:off x="0" y="0"/>
                            <a:ext cx="1584960" cy="5295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标牌</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1.葺隔断标牌450*1200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2.2mm不锈钢板材、镀锌板材；激光切割，折弯成型，焊接打磨，静电喷塑；</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3488</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44</w:t>
            </w:r>
          </w:p>
        </w:tc>
        <w:tc>
          <w:tcPr>
            <w:tcW w:w="17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法制长廊100米土建部分</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新建法制长廊100米</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1.建筑面积 400 平方米，建设 100 米长法制长廊一条、两侧花池、宣传橱窗，主体材料为成品防腐木，结构为亭体整体木结构。用于休憩、法治宣传。</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2.地面贴砖 400 平方米，防腐木长廊搭建 400 平方米，立廊柱 52 根，长廊内两侧建设规格为 3 米长靠椅 20 个，安装宣传钢构橱窗 20 个，长廊外两侧建设花岗岩花池，单个花池规格按照100 米*0.6 米修建，总面积 120 平方米。</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3.长廊做法 (自上而下) 为:凳面采用50 厚 600×600 防腐木压顶，，地面为花岗岩面层30 厚 1:2 水泥砂浆结合层，C40 混凝土基础，100 厚 C20 聚合物混凝土垫层，300 厚天然戈壁土碾压密实，密实系数≥93%， 300 厚风积沙碾压密实，密实系数≥93%，素土夯实，密实系数≥93%。</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292025.55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46</w:t>
            </w:r>
          </w:p>
        </w:tc>
        <w:tc>
          <w:tcPr>
            <w:tcW w:w="17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图书馆</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电子借阅台</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1.桌子尺寸：1650*750*750。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2.椅子尺寸：510*570*420。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3.材料：纯实木，橡木，少结巴，无霉变，无任何人造板材，无贴皮，开放式喷涂油漆，自然干燥，保留原木纹理质感，必须满足招标文件附件效果图及图纸。（1桌1椅为一套）</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5450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2905" cy="1351915"/>
                  <wp:effectExtent l="0" t="0" r="4445"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3"/>
                          <a:stretch>
                            <a:fillRect/>
                          </a:stretch>
                        </pic:blipFill>
                        <pic:spPr>
                          <a:xfrm>
                            <a:off x="0" y="0"/>
                            <a:ext cx="1652905" cy="13519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座椅组合</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1.桌子尺寸：1200*800*750。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2.椅子尺寸：510*570*420。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3.材料：纯实木，橡木，少结巴，无霉变，无任何人造板材，无贴皮，开放式喷涂油漆，自然干燥，保留原木纹理质感，必须满足招标文件附件效果图及图纸。（1桌4椅为一套）</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24</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1090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4810" cy="1214120"/>
                  <wp:effectExtent l="0" t="0" r="2540" b="50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4"/>
                          <a:stretch>
                            <a:fillRect/>
                          </a:stretch>
                        </pic:blipFill>
                        <pic:spPr>
                          <a:xfrm>
                            <a:off x="0" y="0"/>
                            <a:ext cx="1654810" cy="12141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双层空面书架</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1.书架尺寸：2700*450*2150。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3.材料：纯实木，橡木，少结巴，无霉变，无任何人造板材，无贴皮，开放式喷涂油漆，自然干燥，保留原木纹理质感，必须满足招标文件附件效果图及图纸。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2616</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3540" cy="2256790"/>
                  <wp:effectExtent l="0" t="0" r="3810" b="1016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1653540" cy="22567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休闲区沙发组合</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1.沙发尺寸：1400*700*395。</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2.材料：三防科技布面料，防水防污防油渍，耐磨且方便打理，内部填充公仔棉，饱满后世依靠舒适。（2个为一组）</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组</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4687</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2270" cy="1250950"/>
                  <wp:effectExtent l="0" t="0" r="5080" b="635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1652270" cy="12509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室内改造拆除</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1.人工按照图纸效果图改造，拆除原有构造，达到使用要求，包括垃圾清运。</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墙面装饰板-轻钢龙骨干挂木饰面墙面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1.1.龙骨材料种类、规格、中距:用铆钉把卡式龙骨固定于隔墙龙骨上中距450mm，安装U型轻钢龙骨与卡式龙骨卡槽链接固定中距300mm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2.隔离层材料种类、规格:用自攻螺丝固定12mm厚多层板基层（刷防火涂料三遍）与U型轻钢龙骨固定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3.基层材料种类、规格:用自攻螺丝固定木挂条与多层板基层</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4.面层材料品种、规格、颜色:木饰面卡件安装，木饰面平整度调整，成品木饰面安装、</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220.5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吊顶做法-造型吊顶</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1.1.吊顶形式、吊杆规格、高度:龙骨吸顶吊件用膨胀螺栓与钢筋混凝土板或钢架转换层固定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2.龙骨材料种类、规格、中距:8吊筋和配件固定50或60主龙骨,中距900mm;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3.基层材料种类、规格:5或12厚纸面石膏板,用自攻螺钉与龙骨固定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4.面层材料品种、规格:用马来凌批刀在基层上批类仪于长方形图案.图案尽量不重叠。且每个仿形角度尽可能朝向不一样 图案与图案间最好留半个图案大小间隙</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2.1.吊顶形式、吊杆规格、高度:龙骨吸顶吊件用膨胀螺栓与钢筋混凝土板或钢架转换层固定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2.龙骨材料种类、规格、中距: 8吊筋和配件固定50 或60 主龙骨:中距900mm:依次固定50副龙骨</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3.面层材料品种、规格:逐步干挂安装不锈钢,点焊时需考虑间隙缝5根据不锈钢设计情况、基层也可加方管固定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162.5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305.2</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9"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空调</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内机：960*390*290外机：800*300*550，1.5匹，KFR-35GW/N8HE1，壁挂式，冷暖类型：冷暖电辅，适用面积：15㎡-23㎡，工作方式：变频，制热功率：≥1350W，制冷功率：≥970W实际采用材料详具体平台，需满足耐腐蚀，导热快，耐用等基础条件</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7085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734820" cy="681990"/>
                  <wp:effectExtent l="0" t="0" r="17780" b="3810"/>
                  <wp:docPr id="1" name="图片 4" descr="166684997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666849975810"/>
                          <pic:cNvPicPr>
                            <a:picLocks noChangeAspect="1"/>
                          </pic:cNvPicPr>
                        </pic:nvPicPr>
                        <pic:blipFill>
                          <a:blip r:embed="rId57"/>
                          <a:stretch>
                            <a:fillRect/>
                          </a:stretch>
                        </pic:blipFill>
                        <pic:spPr>
                          <a:xfrm>
                            <a:off x="0" y="0"/>
                            <a:ext cx="1734820" cy="681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摄像头</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85*80*160，400万2K高清，焦距4mm，,红外夜视距离30m，实际采用材料详具体平台，需满足耐用等基础条件</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1962</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60525" cy="849630"/>
                  <wp:effectExtent l="0" t="0" r="15875" b="7620"/>
                  <wp:docPr id="8" name="图片 7" descr="16714391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671439125094"/>
                          <pic:cNvPicPr>
                            <a:picLocks noChangeAspect="1"/>
                          </pic:cNvPicPr>
                        </pic:nvPicPr>
                        <pic:blipFill>
                          <a:blip r:embed="rId58"/>
                          <a:stretch>
                            <a:fillRect/>
                          </a:stretch>
                        </pic:blipFill>
                        <pic:spPr>
                          <a:xfrm>
                            <a:off x="0" y="0"/>
                            <a:ext cx="1660525" cy="8496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9"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木质门</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2200*400*260，免漆木质复合低碳无漆木门，不锈钢平板锁，静音荷叶，实木门套</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樘</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1744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727710" cy="1705610"/>
                  <wp:effectExtent l="0" t="0" r="15240" b="889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59"/>
                          <a:stretch>
                            <a:fillRect/>
                          </a:stretch>
                        </pic:blipFill>
                        <pic:spPr>
                          <a:xfrm>
                            <a:off x="0" y="0"/>
                            <a:ext cx="727710" cy="17056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1"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灯具及开关插座</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10a带开关面板网线网络86型墙面暗装5孔16A空调墙壁USB五孔插座一开双控</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436</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072515" cy="1268095"/>
                  <wp:effectExtent l="0" t="0" r="13335" b="825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60"/>
                          <a:stretch>
                            <a:fillRect/>
                          </a:stretch>
                        </pic:blipFill>
                        <pic:spPr>
                          <a:xfrm>
                            <a:off x="0" y="0"/>
                            <a:ext cx="1072515" cy="12680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58</w:t>
            </w:r>
          </w:p>
        </w:tc>
        <w:tc>
          <w:tcPr>
            <w:tcW w:w="17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模拟法庭</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听众席坐凳</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1椅子尺寸：650*650*420（靠背600）。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2.材料：钢制脚架，菜哦之坚固，四角承重，弹性皮质布，坐垫采用自然乳胶材质，不易滋生细菌，透气干爽，柔韧有弹性闷热不透气。</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36</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4175" cy="1665605"/>
                  <wp:effectExtent l="0" t="0" r="3175" b="1079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61"/>
                          <a:stretch>
                            <a:fillRect/>
                          </a:stretch>
                        </pic:blipFill>
                        <pic:spPr>
                          <a:xfrm>
                            <a:off x="0" y="0"/>
                            <a:ext cx="1654175" cy="16656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被告席</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1.被告席：1500*1000*750。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3.材料：羚羊色彩实木，橡木，少结巴，无霉变，无任何人造板材，无贴皮，开放式喷涂油漆，自然干燥，保留原木纹理质感。</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872</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325880" cy="1353185"/>
                  <wp:effectExtent l="0" t="0" r="7620" b="1841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62"/>
                          <a:stretch>
                            <a:fillRect/>
                          </a:stretch>
                        </pic:blipFill>
                        <pic:spPr>
                          <a:xfrm>
                            <a:off x="0" y="0"/>
                            <a:ext cx="1325880" cy="13531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4"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法警休息凳</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1椅子尺寸：650*650*420（靠背600）。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2.材料：羚羊色彩实木，橡木，少结巴，无霉变，无任何人造板材，无贴皮，开放式喷涂油漆，自然干燥，保留原木纹理质感。</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436</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4810" cy="1976120"/>
                  <wp:effectExtent l="0" t="0" r="2540" b="508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63"/>
                          <a:stretch>
                            <a:fillRect/>
                          </a:stretch>
                        </pic:blipFill>
                        <pic:spPr>
                          <a:xfrm>
                            <a:off x="0" y="0"/>
                            <a:ext cx="1654810" cy="19761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辩护席</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1.桌子尺寸：1500*780*750。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2.椅子尺寸：510*570*420。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3.材料：羚羊色彩实木，橡木，少结巴，无霉变，无任何人造板材，无贴皮，开放式喷涂油漆，自然干燥，保留原木纹理质感。（1桌2椅为一套）</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1308</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3540" cy="2007235"/>
                  <wp:effectExtent l="0" t="0" r="3810" b="1206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64"/>
                          <a:stretch>
                            <a:fillRect/>
                          </a:stretch>
                        </pic:blipFill>
                        <pic:spPr>
                          <a:xfrm>
                            <a:off x="0" y="0"/>
                            <a:ext cx="1653540" cy="20072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记录员席</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1.桌子尺寸：1100*780*750。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2.椅子尺寸：510*570*420。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3.材料：羚羊色彩实木，橡木，少结巴，无霉变，无任何人造板材，无贴皮，开放式喷涂油漆，自然干燥，保留原木纹理质感。（1桌1椅为一套）</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1308</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49095" cy="1144905"/>
                  <wp:effectExtent l="0" t="0" r="8255" b="1714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65"/>
                          <a:stretch>
                            <a:fillRect/>
                          </a:stretch>
                        </pic:blipFill>
                        <pic:spPr>
                          <a:xfrm>
                            <a:off x="0" y="0"/>
                            <a:ext cx="1649095" cy="11449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2"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红榉切片板贴面审判台</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1.审判台：3400*770*900。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3.材料：羚羊色彩实木，橡木，少结巴，无霉变，无任何人造板材，无贴皮，开放式喷涂油漆，自然干燥，保留原木纹理质感。</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3379</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4810" cy="781685"/>
                  <wp:effectExtent l="0" t="0" r="2540" b="1841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66"/>
                          <a:stretch>
                            <a:fillRect/>
                          </a:stretch>
                        </pic:blipFill>
                        <pic:spPr>
                          <a:xfrm>
                            <a:off x="0" y="0"/>
                            <a:ext cx="1654810" cy="7816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2"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法官座椅</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1椅子尺寸：650*650*420（靠背900）。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2.材料：羚羊色彩实木，橡木，少结巴，无霉变，无任何人造板材，无贴皮，开放式喷涂油漆，自然干燥，保留原木纹理质感。</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654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2270" cy="2091055"/>
                  <wp:effectExtent l="0" t="0" r="5080" b="444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67"/>
                          <a:stretch>
                            <a:fillRect/>
                          </a:stretch>
                        </pic:blipFill>
                        <pic:spPr>
                          <a:xfrm>
                            <a:off x="0" y="0"/>
                            <a:ext cx="1652270" cy="20910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木质门</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2200*400*260，免漆木质复合低碳无漆木门，不锈钢平板锁，静音荷叶，实木门套</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樘</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1744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652145" cy="1529715"/>
                  <wp:effectExtent l="0" t="0" r="14605" b="133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9"/>
                          <a:stretch>
                            <a:fillRect/>
                          </a:stretch>
                        </pic:blipFill>
                        <pic:spPr>
                          <a:xfrm>
                            <a:off x="0" y="0"/>
                            <a:ext cx="652145" cy="15297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硬木架高地板</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1.椅子尺寸：500*500*3500。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2.材料：纯实木，橡木，少结巴，无霉变，无任何人造板材，无贴皮，开放式喷涂油漆，自然干燥，保留原木纹理质感。</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16.25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491.56</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104900" cy="1438275"/>
                  <wp:effectExtent l="0" t="0" r="0" b="952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68"/>
                          <a:stretch>
                            <a:fillRect/>
                          </a:stretch>
                        </pic:blipFill>
                        <pic:spPr>
                          <a:xfrm>
                            <a:off x="0" y="0"/>
                            <a:ext cx="1104900" cy="14382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吊顶天棚-纸面石膏板做法</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1.吊顶形式、吊杆规格、高度:龙骨吸顶吊件用膨胀螺栓与钢筋混凝土板或钢架转换层固定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2.龙骨材料种类、规格、中距:8吊筋和配件固定50或60主龙骨,中距900mm;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3.基层材料种类、规格:5或12厚纸面石膏板,用自攻螺钉与龙骨固定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4.面层材料品种、规格:底面乳胶漆白色立邦</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110.5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107.89</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红榉木切片板贴面假梁回光吊顶 上藏40W日光灯</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1.制作安装，完成正常使用全部工作内容，包括管线等。</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26.91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381.5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灯具及开关插座</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10a带开关面板网线网络86型墙面暗装5孔16A空调墙壁USB五孔插座一开双控</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2180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944880" cy="1116330"/>
                  <wp:effectExtent l="0" t="0" r="7620" b="762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60"/>
                          <a:stretch>
                            <a:fillRect/>
                          </a:stretch>
                        </pic:blipFill>
                        <pic:spPr>
                          <a:xfrm>
                            <a:off x="0" y="0"/>
                            <a:ext cx="944880" cy="11163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墙面做法</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1.300宽红榉木切片贴面角线，与窗帘盒交圈</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2.红榉木切片贴面护壁板2150+700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3.5厚红榉木切片贴面包柱</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4.红榉切片板贴面木腰线-200mm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5.红榉木切片板贴面踢脚-300mm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141.75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741.2</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5"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木窗帘盒</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1.窗帘盒材质、规格:硬木窗帘盒</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28.58</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中法庭法台背景</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1.背景尺寸：1000*1000*3500。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2.材料：纯实木，橡木，少结巴，无霉变，无任何人造板材，无贴皮，开放式喷涂油漆，自然干燥，保留原木纹理质感。</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24.5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872</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2270" cy="1092200"/>
                  <wp:effectExtent l="0" t="0" r="5080" b="12700"/>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69"/>
                          <a:stretch>
                            <a:fillRect/>
                          </a:stretch>
                        </pic:blipFill>
                        <pic:spPr>
                          <a:xfrm>
                            <a:off x="0" y="0"/>
                            <a:ext cx="1652270" cy="10922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空调</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内机：960*390*290外机：800*300*550，1.5匹，KFR-35GW/N8HE1，壁挂式，冷暖类型：冷暖电辅，适用面积：15㎡-23㎡，工作方式：变频，制热功率：≥1350W，制冷功率：≥970W实际采用材料详具体平台，需满足耐腐蚀，导热快，耐用等基础条件</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7085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39570" cy="644525"/>
                  <wp:effectExtent l="0" t="0" r="17780" b="3175"/>
                  <wp:docPr id="27" name="图片 4" descr="166684997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1666849975810"/>
                          <pic:cNvPicPr>
                            <a:picLocks noChangeAspect="1"/>
                          </pic:cNvPicPr>
                        </pic:nvPicPr>
                        <pic:blipFill>
                          <a:blip r:embed="rId57"/>
                          <a:stretch>
                            <a:fillRect/>
                          </a:stretch>
                        </pic:blipFill>
                        <pic:spPr>
                          <a:xfrm>
                            <a:off x="0" y="0"/>
                            <a:ext cx="1639570" cy="6445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9"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摄像头</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85*80*160 ，400万2K高清，焦距4mm，,红外夜视距离30m，实际采用材料详具体平台，需满足耐用等基础条件</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1962</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09725" cy="823595"/>
                  <wp:effectExtent l="0" t="0" r="9525" b="14605"/>
                  <wp:docPr id="40" name="图片 7" descr="16714391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1671439125094"/>
                          <pic:cNvPicPr>
                            <a:picLocks noChangeAspect="1"/>
                          </pic:cNvPicPr>
                        </pic:nvPicPr>
                        <pic:blipFill>
                          <a:blip r:embed="rId58"/>
                          <a:stretch>
                            <a:fillRect/>
                          </a:stretch>
                        </pic:blipFill>
                        <pic:spPr>
                          <a:xfrm>
                            <a:off x="0" y="0"/>
                            <a:ext cx="1609725" cy="823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服装</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常规中学学生身高尺寸，模拟法庭法官、律师等服装</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w:t>
            </w:r>
            <w:r>
              <w:rPr>
                <w:rFonts w:hint="eastAsia" w:cs="Times New Roman"/>
                <w:kern w:val="2"/>
                <w:sz w:val="21"/>
                <w:szCs w:val="24"/>
                <w:lang w:val="en-US" w:eastAsia="zh-CN" w:bidi="ar-SA"/>
              </w:rPr>
              <w:t>30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61795" cy="687705"/>
                  <wp:effectExtent l="0" t="0" r="14605" b="17145"/>
                  <wp:docPr id="51" name="图片 16" descr="167144052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descr="1671440523408"/>
                          <pic:cNvPicPr>
                            <a:picLocks noChangeAspect="1"/>
                          </pic:cNvPicPr>
                        </pic:nvPicPr>
                        <pic:blipFill>
                          <a:blip r:embed="rId70"/>
                          <a:stretch>
                            <a:fillRect/>
                          </a:stretch>
                        </pic:blipFill>
                        <pic:spPr>
                          <a:xfrm>
                            <a:off x="0" y="0"/>
                            <a:ext cx="1661795" cy="6877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7"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电脑</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540*420主机：38*16*40，内存16G,硬盘容量240GB/256GB SSD+1TB，英特尔12代处理器，SE2422HR显示器，</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6540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00200" cy="1318895"/>
                  <wp:effectExtent l="0" t="0" r="0" b="1460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71"/>
                          <a:stretch>
                            <a:fillRect/>
                          </a:stretch>
                        </pic:blipFill>
                        <pic:spPr>
                          <a:xfrm>
                            <a:off x="0" y="0"/>
                            <a:ext cx="1600200" cy="13188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摄像机</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150*73*66，DV WIFI、90倍变焦、5轴防抖、（V270升级版）</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5450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712595" cy="845820"/>
                  <wp:effectExtent l="0" t="0" r="1905" b="1143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72"/>
                          <a:stretch>
                            <a:fillRect/>
                          </a:stretch>
                        </pic:blipFill>
                        <pic:spPr>
                          <a:xfrm>
                            <a:off x="0" y="0"/>
                            <a:ext cx="1712595" cy="84582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打印机</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1000*300*700，MP2014A3黑白激光打印复印扫描多功能一体机 MP 2014 标配</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3270</w:t>
            </w:r>
            <w:r>
              <w:rPr>
                <w:rFonts w:hint="eastAsia" w:cs="Times New Roman"/>
                <w:kern w:val="2"/>
                <w:sz w:val="21"/>
                <w:szCs w:val="24"/>
                <w:lang w:val="en-US" w:eastAsia="zh-CN" w:bidi="ar-SA"/>
              </w:rPr>
              <w:t>.51</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84960" cy="1304290"/>
                  <wp:effectExtent l="0" t="0" r="15240" b="10160"/>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73"/>
                          <a:stretch>
                            <a:fillRect/>
                          </a:stretch>
                        </pic:blipFill>
                        <pic:spPr>
                          <a:xfrm>
                            <a:off x="0" y="0"/>
                            <a:ext cx="1584960" cy="13042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投影仪</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490*470*140，投影仪4K超高清办公投影机1080P智能</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3815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589405" cy="1099185"/>
                  <wp:effectExtent l="0" t="0" r="10795" b="5715"/>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74"/>
                          <a:stretch>
                            <a:fillRect/>
                          </a:stretch>
                        </pic:blipFill>
                        <pic:spPr>
                          <a:xfrm>
                            <a:off x="0" y="0"/>
                            <a:ext cx="1589405" cy="10991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6"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室内改造拆除</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1.人工按照图纸效果图改造，拆除原有构造，达到使用要求，包括垃圾清运。</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82</w:t>
            </w:r>
          </w:p>
        </w:tc>
        <w:tc>
          <w:tcPr>
            <w:tcW w:w="17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校史馆</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新建墙体</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1.新砌筑，抹灰。</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6.7</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445.54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5"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室内改造拆除</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1.人工按照图纸效果图改造，拆除原有构造，达到使用要求，包括垃圾清运。</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办公桌椅</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1.桌子尺寸：4400*1200*750。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2.椅子尺寸：510*570*420。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材料：桌子纯实木，橡木，少结巴，无霉变，无任何人造板材，无贴皮，开放式喷涂油漆，自然干燥，保留原木纹理质感。椅子钢制脚架，菜哦之坚固，四角承重，弹性皮质布，坐垫采用自然乳胶材质，不易滋生细菌，透气干爽，柔韧有弹性闷热不透气。（1桌1椅为一套）</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3597</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4810" cy="1276985"/>
                  <wp:effectExtent l="0" t="0" r="2540" b="18415"/>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75"/>
                          <a:stretch>
                            <a:fillRect/>
                          </a:stretch>
                        </pic:blipFill>
                        <pic:spPr>
                          <a:xfrm>
                            <a:off x="0" y="0"/>
                            <a:ext cx="1654810" cy="12769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沙发组合</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1.沙发尺寸：1400*700*395。</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2.材料：三防科技布面料，防水防污防油渍，耐磨且方便打理，内部填充公仔棉，饱满后世依靠舒适</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3597</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2270" cy="1250950"/>
                  <wp:effectExtent l="0" t="0" r="5080" b="6350"/>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56"/>
                          <a:stretch>
                            <a:fillRect/>
                          </a:stretch>
                        </pic:blipFill>
                        <pic:spPr>
                          <a:xfrm>
                            <a:off x="0" y="0"/>
                            <a:ext cx="1652270" cy="12509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4"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大展柜</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1.书架尺寸：5700*500*1700。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2.材料：纯实木，橡木，少结巴，无霉变，无任何人造板材，无贴皮，开放式喷涂油漆，自然干燥，保留原木纹理质感，必须满足招标文件附件效果图及图纸。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个</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5668</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4175" cy="2186305"/>
                  <wp:effectExtent l="0" t="0" r="3175" b="4445"/>
                  <wp:docPr id="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pic:cNvPicPr>
                            <a:picLocks noChangeAspect="1"/>
                          </pic:cNvPicPr>
                        </pic:nvPicPr>
                        <pic:blipFill>
                          <a:blip r:embed="rId76"/>
                          <a:stretch>
                            <a:fillRect/>
                          </a:stretch>
                        </pic:blipFill>
                        <pic:spPr>
                          <a:xfrm>
                            <a:off x="0" y="0"/>
                            <a:ext cx="1654175" cy="21863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小展柜</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1.书架尺寸：1200*500*1700。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2.材料：纯实木，橡木，少结巴，无霉变，无任何人造板材，无贴皮，开放式喷涂油漆，自然干燥，保留原木纹理质感，必须满足招标文件附件效果图及图纸。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组</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3488</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4810" cy="1594485"/>
                  <wp:effectExtent l="0" t="0" r="2540" b="5715"/>
                  <wp:docPr id="7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pic:cNvPicPr>
                            <a:picLocks noChangeAspect="1"/>
                          </pic:cNvPicPr>
                        </pic:nvPicPr>
                        <pic:blipFill>
                          <a:blip r:embed="rId77"/>
                          <a:stretch>
                            <a:fillRect/>
                          </a:stretch>
                        </pic:blipFill>
                        <pic:spPr>
                          <a:xfrm>
                            <a:off x="0" y="0"/>
                            <a:ext cx="1654810" cy="15944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5"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大会议桌 带14把椅子</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1.桌子尺寸：4400*1200*750。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2.椅子尺寸：510*570*420。</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材料：桌子纯实木，橡木，少结巴，无霉变，无任何人造板材，无贴皮，开放式喷涂油漆，自然干燥，保留原木纹理质感。椅子钢制脚架，菜哦之坚固，四角承重，弹性皮质布，坐垫采用自然乳胶材质，不易滋生细菌，透气干爽，柔韧有弹性闷热不透气，必须满足招标文件附件效果图及图纸。（1桌14椅为一套）</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8938</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52270" cy="938530"/>
                  <wp:effectExtent l="0" t="0" r="5080" b="13970"/>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78"/>
                          <a:stretch>
                            <a:fillRect/>
                          </a:stretch>
                        </pic:blipFill>
                        <pic:spPr>
                          <a:xfrm>
                            <a:off x="0" y="0"/>
                            <a:ext cx="1652270" cy="9385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90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液晶电视</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40英寸挂机1920*1080分辨率,屏幕比例：16:9，视频显示格式: 1080p，刷屏率: 60Hz，操作系统: Android(安卓)实际采用材料详具体平台，需满足耐用等基础条件</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6167.9</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82115" cy="1064895"/>
                  <wp:effectExtent l="0" t="0" r="13335" b="190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79"/>
                          <a:stretch>
                            <a:fillRect/>
                          </a:stretch>
                        </pic:blipFill>
                        <pic:spPr>
                          <a:xfrm>
                            <a:off x="0" y="0"/>
                            <a:ext cx="1682115" cy="10648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3.7*2.95学校风景灯箱 （木龙骨基层）</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1.风景展示灯箱制作安装， 包括浅色乳胶漆 （木龙骨基层，玻璃展示柜）</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8.85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3597</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4.243*2.95皮山实验中学学校 背景牌</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1.含不锈钢字。油性背胶写真画面（防火板基层） 木踢脚线（h=60mm)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12.52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3597</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13.02*2.95 油性背胶写真画面（防火板基层）</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1.密度板基层，防火板饰面，油性背胶写真画面（防火板基层），木踢脚线等，</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2.95*4.48  油性背胶写真画面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1.木踢脚线（h=60mm），木工板基层 （仿古砖纹墙纸）油性背胶写真画面（防火板基层，出墙200mm)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13.22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3.7*2.95   油性背胶写真画面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1.木踢脚线（h=60mm），木工板基层 （浅纹墙纸）油性背胶写真画面（防火板基层，出墙200mm)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2.玻璃展柜</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10.92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3.95*2.95   油性背胶写真画面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1.木踢脚线（h=60mm），木工板基层 （浅纹墙纸）油性背胶写真画面（防火板基层，出墙200mm)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2.玻璃展柜</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11.65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7.7*2.95   油性背胶写真画面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1.木踢脚线（h=60mm），木工板基层 （浅纹墙纸）油性背胶写真画面（防火板基层，出墙200mm)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2.玻璃展柜</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22.72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13.02*2.95   油性背胶写真画面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1.木踢脚线（h=60mm），木工板基层 （浅纹墙纸）油性背胶写真画面（防火板基层，出墙200mm)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2.玻璃展柜</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38.41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3.36*2.95   油性背胶写真画面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1.木踢脚线（h=60mm），木工板基层 （仿古砖纹墙纸）油性背胶写真画面（防火板基层，出墙200mm)，木纹墙纸（防火板基层，PVC字）</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2.玻璃展柜</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9.91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套装门装饰</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1.套装门，一圈木工板基层（灰色铝塑板饰面），顶部黑色铝塑板，不锈钢字，灰色铝塑板条（30mm）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7.53</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545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11.2*2.95  题词台背景</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1.题词台（高密度基层，防火板饰面），油性背胶写真画面（防火板基层），木制踢脚线，套装门，木工板基层（灰色铝塑板饰面），浅色乳胶漆，IT布喷绘，画轴，防火板基层</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33.04</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2616</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墙面做法</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233.1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顶面做法</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138.4</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空调</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内机：960*390*290外机：800*300*550，1.5匹，KFR-35GW/N8HE1，壁挂式，冷暖类型：冷暖电辅，适用面积：15㎡-23㎡，工作方式：变频，制热功率：≥1350W，制冷功率：≥970W实际采用材料详具体平台，需满足耐腐蚀，导热快，耐用等基础条件</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7325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60525" cy="652780"/>
                  <wp:effectExtent l="0" t="0" r="15875" b="13970"/>
                  <wp:docPr id="80" name="图片 4" descr="166684997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descr="1666849975810"/>
                          <pic:cNvPicPr>
                            <a:picLocks noChangeAspect="1"/>
                          </pic:cNvPicPr>
                        </pic:nvPicPr>
                        <pic:blipFill>
                          <a:blip r:embed="rId57"/>
                          <a:stretch>
                            <a:fillRect/>
                          </a:stretch>
                        </pic:blipFill>
                        <pic:spPr>
                          <a:xfrm>
                            <a:off x="0" y="0"/>
                            <a:ext cx="1660525" cy="6527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摄像头</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85*80*160，400万2K高清，焦距4mm，,红外夜视距离30m，实际采用材料详具体平台，需满足耐用等基础条件</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2834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60525" cy="849630"/>
                  <wp:effectExtent l="0" t="0" r="15875" b="7620"/>
                  <wp:docPr id="81" name="图片 7" descr="16714391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descr="1671439125094"/>
                          <pic:cNvPicPr>
                            <a:picLocks noChangeAspect="1"/>
                          </pic:cNvPicPr>
                        </pic:nvPicPr>
                        <pic:blipFill>
                          <a:blip r:embed="rId58"/>
                          <a:stretch>
                            <a:fillRect/>
                          </a:stretch>
                        </pic:blipFill>
                        <pic:spPr>
                          <a:xfrm>
                            <a:off x="0" y="0"/>
                            <a:ext cx="1660525" cy="8496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灯具及开关插座</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10a带开关面板网线网络86型墙面暗装5孔16A空调墙壁USB五孔插座一开双控</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组</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2180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209675" cy="1429385"/>
                  <wp:effectExtent l="0" t="0" r="9525" b="18415"/>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60"/>
                          <a:stretch>
                            <a:fillRect/>
                          </a:stretch>
                        </pic:blipFill>
                        <pic:spPr>
                          <a:xfrm>
                            <a:off x="0" y="0"/>
                            <a:ext cx="1209675" cy="14293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107</w:t>
            </w:r>
          </w:p>
        </w:tc>
        <w:tc>
          <w:tcPr>
            <w:tcW w:w="17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心里疏导室</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108</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空调</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内机：960*390*290外机：800*300*550，1.5匹，KFR-35GW/N8HE1，壁挂式，冷暖类型：冷暖电辅，适用面积：15㎡-23㎡，工作方式：变频，制热功率：≥1350W，制冷功率：≥970W实际采用材料详具体平台，需满足耐腐蚀，导热快，耐用等基础条件</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7085</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70050" cy="655955"/>
                  <wp:effectExtent l="0" t="0" r="6350" b="10795"/>
                  <wp:docPr id="83" name="图片 4" descr="166684997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descr="1666849975810"/>
                          <pic:cNvPicPr>
                            <a:picLocks noChangeAspect="1"/>
                          </pic:cNvPicPr>
                        </pic:nvPicPr>
                        <pic:blipFill>
                          <a:blip r:embed="rId57"/>
                          <a:stretch>
                            <a:fillRect/>
                          </a:stretch>
                        </pic:blipFill>
                        <pic:spPr>
                          <a:xfrm>
                            <a:off x="0" y="0"/>
                            <a:ext cx="1670050" cy="6559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109</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摄像头</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85*80*160，400万2K高清，焦距4mm，,红外夜视距离30m，实际采用材料详具体平台，需满足耐用等基础条件</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1962</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619885" cy="828675"/>
                  <wp:effectExtent l="0" t="0" r="18415" b="9525"/>
                  <wp:docPr id="84" name="图片 7" descr="16714391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descr="1671439125094"/>
                          <pic:cNvPicPr>
                            <a:picLocks noChangeAspect="1"/>
                          </pic:cNvPicPr>
                        </pic:nvPicPr>
                        <pic:blipFill>
                          <a:blip r:embed="rId58"/>
                          <a:stretch>
                            <a:fillRect/>
                          </a:stretch>
                        </pic:blipFill>
                        <pic:spPr>
                          <a:xfrm>
                            <a:off x="0" y="0"/>
                            <a:ext cx="1619885" cy="8286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110</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电脑</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540*420主机：38*16*40，内存16G,硬盘容量240GB/256GB SSD+1TB，英特尔12代处理器，SE2422HR显示器，</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台</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6540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489710" cy="1228090"/>
                  <wp:effectExtent l="0" t="0" r="15240" b="10160"/>
                  <wp:docPr id="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pic:cNvPicPr>
                            <a:picLocks noChangeAspect="1"/>
                          </pic:cNvPicPr>
                        </pic:nvPicPr>
                        <pic:blipFill>
                          <a:blip r:embed="rId71"/>
                          <a:stretch>
                            <a:fillRect/>
                          </a:stretch>
                        </pic:blipFill>
                        <pic:spPr>
                          <a:xfrm>
                            <a:off x="0" y="0"/>
                            <a:ext cx="1489710" cy="12280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8"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木质门</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2200*400*260，免漆木质复合低碳无漆木门，不锈钢平板锁，静音荷叶，实木门套详细大样详图纸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樘</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1744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742315" cy="1739900"/>
                  <wp:effectExtent l="0" t="0" r="635" b="12700"/>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pic:cNvPicPr>
                            <a:picLocks noChangeAspect="1"/>
                          </pic:cNvPicPr>
                        </pic:nvPicPr>
                        <pic:blipFill>
                          <a:blip r:embed="rId59"/>
                          <a:stretch>
                            <a:fillRect/>
                          </a:stretch>
                        </pic:blipFill>
                        <pic:spPr>
                          <a:xfrm>
                            <a:off x="0" y="0"/>
                            <a:ext cx="742315" cy="17399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墙面装饰板-轻钢龙骨干挂木饰面墙面</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1.龙骨材料种类、规格、中距:用铆钉把卡式龙骨固定于隔墙龙骨上中距450mm，安装U型轻钢龙骨与卡式龙骨卡槽链接固定中距300mm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2.隔离层材料种类、规格:用自攻螺丝固定12mm厚多层板基层（刷防火涂料三遍）与U型轻钢龙骨固定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3.基层材料种类、规格:用自攻螺丝固定木挂条与多层板基层</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4.面层材料品种、规格、颜色:木饰面卡件安装，木饰面平整度调整，成品木饰面安装、</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5.含墙面各种标牌造型</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190.4</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122.64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吊顶天棚-纸面石膏板做法</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1.吊顶形式、吊杆规格、高度:龙骨吸顶吊件用膨胀螺栓与钢筋混凝土板或钢架转换层固定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2.龙骨材料种类、规格、中距:8吊筋和配件固定50或60主龙骨,中距900mm;</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3.基层材料种类、规格:5或12厚纸面石膏板,用自攻螺钉与龙骨固定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4.面层材料品种、规格:用马来凌批刀在基层上批类仪于长方形图案.图案尽量不重叠。且每个仿形角度尽可能朝向不一样 图案与图案间最好留半个图案大小间隙</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46.45</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107.89</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114</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吊顶天棚-金属吊顶做法</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1.吊顶形式、吊杆规格、高度:龙骨吸顶吊件用膨胀螺栓与钢筋混凝土板或钢架转换层固定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2.龙骨材料种类、规格、中距:8吊筋和配件固定50 或60 主龙骨:中距900mm:依次固定50副龙骨</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3.面层材料品种、规格:逐步干挂安装不锈钢,点焊时需考虑间隙缝5根据不锈钢设计情况、基层也可加方管固定</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4.1.制作安装，完成正常使用全部工作内容，包括管线等。详细大样详图纸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5.1.必须满足招标文件附件效果图及图纸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m2</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66</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144.04</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灯具及开关插座-心里疏导室</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10a带开关面板网线网络86型墙面暗装5孔16A空调墙壁USB五孔插座一开双控</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详细大样详图纸</w:t>
            </w:r>
          </w:p>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必须满足招标文件附件效果图及图纸</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组</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2180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1209675" cy="1429385"/>
                  <wp:effectExtent l="0" t="0" r="9525" b="18415"/>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60"/>
                          <a:stretch>
                            <a:fillRect/>
                          </a:stretch>
                        </pic:blipFill>
                        <pic:spPr>
                          <a:xfrm>
                            <a:off x="0" y="0"/>
                            <a:ext cx="1209675" cy="14293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31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室内改造拆除</w:t>
            </w:r>
          </w:p>
        </w:tc>
        <w:tc>
          <w:tcPr>
            <w:tcW w:w="11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1.人工按照图纸效果图改造，拆除原有构造，达到使用要求，包括垃圾清运。</w:t>
            </w:r>
          </w:p>
        </w:tc>
        <w:tc>
          <w:tcPr>
            <w:tcW w:w="4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w:t>
            </w:r>
          </w:p>
        </w:tc>
        <w:tc>
          <w:tcPr>
            <w:tcW w:w="5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5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3270</w:t>
            </w:r>
          </w:p>
        </w:tc>
        <w:tc>
          <w:tcPr>
            <w:tcW w:w="1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p>
        </w:tc>
      </w:tr>
    </w:tbl>
    <w:p>
      <w:pPr>
        <w:snapToGrid w:val="0"/>
        <w:spacing w:line="360" w:lineRule="auto"/>
        <w:ind w:left="0" w:leftChars="0" w:firstLine="0" w:firstLineChars="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ab/>
      </w:r>
      <w:r>
        <w:rPr>
          <w:rFonts w:hint="eastAsia" w:ascii="Times New Roman" w:hAnsi="Times New Roman" w:eastAsia="宋体" w:cs="Times New Roman"/>
          <w:kern w:val="2"/>
          <w:sz w:val="21"/>
          <w:szCs w:val="24"/>
          <w:lang w:val="en-US" w:eastAsia="zh-CN" w:bidi="ar-SA"/>
        </w:rPr>
        <w:drawing>
          <wp:inline distT="0" distB="0" distL="0" distR="0">
            <wp:extent cx="56515" cy="193040"/>
            <wp:effectExtent l="0" t="0" r="635" b="16510"/>
            <wp:docPr id="73" name="IM 2"/>
            <wp:cNvGraphicFramePr/>
            <a:graphic xmlns:a="http://schemas.openxmlformats.org/drawingml/2006/main">
              <a:graphicData uri="http://schemas.openxmlformats.org/drawingml/2006/picture">
                <pic:pic xmlns:pic="http://schemas.openxmlformats.org/drawingml/2006/picture">
                  <pic:nvPicPr>
                    <pic:cNvPr id="73" name="IM 2"/>
                    <pic:cNvPicPr/>
                  </pic:nvPicPr>
                  <pic:blipFill>
                    <a:blip r:embed="rId80"/>
                    <a:stretch>
                      <a:fillRect/>
                    </a:stretch>
                  </pic:blipFill>
                  <pic:spPr>
                    <a:xfrm>
                      <a:off x="0" y="0"/>
                      <a:ext cx="57092" cy="193100"/>
                    </a:xfrm>
                    <a:prstGeom prst="rect">
                      <a:avLst/>
                    </a:prstGeom>
                  </pic:spPr>
                </pic:pic>
              </a:graphicData>
            </a:graphic>
          </wp:inline>
        </w:drawing>
      </w:r>
    </w:p>
    <w:p>
      <w:pPr>
        <w:keepNext w:val="0"/>
        <w:keepLines w:val="0"/>
        <w:pageBreakBefore w:val="0"/>
        <w:tabs>
          <w:tab w:val="left" w:pos="900"/>
        </w:tabs>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eastAsia" w:ascii="宋体" w:hAnsi="宋体" w:cs="Times New Roman"/>
          <w:b/>
          <w:kern w:val="2"/>
          <w:sz w:val="28"/>
          <w:szCs w:val="28"/>
          <w:lang w:val="en-US" w:eastAsia="zh-CN" w:bidi="ar-SA"/>
        </w:rPr>
      </w:pPr>
      <w:r>
        <w:rPr>
          <w:rFonts w:hint="eastAsia" w:ascii="宋体" w:hAnsi="宋体" w:cs="Times New Roman"/>
          <w:b/>
          <w:kern w:val="2"/>
          <w:sz w:val="28"/>
          <w:szCs w:val="28"/>
          <w:lang w:val="en-US" w:eastAsia="zh-CN" w:bidi="ar-SA"/>
        </w:rPr>
        <w:t>注：</w:t>
      </w:r>
    </w:p>
    <w:p>
      <w:pPr>
        <w:keepNext w:val="0"/>
        <w:keepLines w:val="0"/>
        <w:pageBreakBefore w:val="0"/>
        <w:tabs>
          <w:tab w:val="left" w:pos="900"/>
        </w:tabs>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eastAsia" w:ascii="宋体" w:hAnsi="Times New Roman" w:eastAsia="宋体" w:cs="宋体"/>
          <w:b/>
          <w:bCs/>
          <w:color w:val="auto"/>
          <w:kern w:val="0"/>
          <w:sz w:val="24"/>
          <w:highlight w:val="none"/>
        </w:rPr>
      </w:pPr>
      <w:r>
        <w:rPr>
          <w:rFonts w:hint="eastAsia" w:ascii="宋体" w:hAnsi="宋体" w:cs="Times New Roman"/>
          <w:b/>
          <w:kern w:val="2"/>
          <w:sz w:val="28"/>
          <w:szCs w:val="28"/>
          <w:lang w:val="en-US" w:eastAsia="zh-CN" w:bidi="ar-SA"/>
        </w:rPr>
        <w:t>1.</w:t>
      </w:r>
      <w:r>
        <w:rPr>
          <w:rFonts w:hint="eastAsia" w:ascii="仿宋" w:hAnsi="仿宋" w:eastAsia="仿宋" w:cs="仿宋"/>
          <w:b/>
          <w:bCs/>
          <w:i w:val="0"/>
          <w:caps w:val="0"/>
          <w:color w:val="000000"/>
          <w:spacing w:val="0"/>
          <w:sz w:val="21"/>
          <w:szCs w:val="21"/>
          <w:lang w:val="en-US" w:eastAsia="zh-CN"/>
        </w:rPr>
        <w:t>投标人报价包含：货物及工程的供应、运输、安装、施工开具发票及相关售后服务等，请投标人自行考虑施工过程中可能产生的任何费用</w:t>
      </w:r>
    </w:p>
    <w:p>
      <w:pPr>
        <w:keepNext w:val="0"/>
        <w:keepLines w:val="0"/>
        <w:pageBreakBefore w:val="0"/>
        <w:tabs>
          <w:tab w:val="left" w:pos="900"/>
        </w:tabs>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eastAsia" w:ascii="仿宋" w:hAnsi="仿宋" w:eastAsia="仿宋" w:cs="仿宋"/>
          <w:b/>
          <w:bCs/>
          <w:i w:val="0"/>
          <w:caps w:val="0"/>
          <w:color w:val="000000"/>
          <w:spacing w:val="0"/>
          <w:sz w:val="21"/>
          <w:szCs w:val="21"/>
          <w:lang w:val="en-US" w:eastAsia="zh-CN"/>
        </w:rPr>
      </w:pPr>
      <w:r>
        <w:rPr>
          <w:rFonts w:hint="eastAsia" w:ascii="仿宋" w:hAnsi="仿宋" w:eastAsia="仿宋" w:cs="仿宋"/>
          <w:b/>
          <w:bCs/>
          <w:i w:val="0"/>
          <w:caps w:val="0"/>
          <w:color w:val="000000"/>
          <w:spacing w:val="0"/>
          <w:sz w:val="21"/>
          <w:szCs w:val="21"/>
          <w:lang w:val="en-US" w:eastAsia="zh-CN"/>
        </w:rPr>
        <w:t>2.上表所列单价为单项最高限价，单项报价不得超过各品类单项最高限价，总价不得超过本项目最高限价，否则做无效报价处理。</w:t>
      </w:r>
    </w:p>
    <w:p>
      <w:pPr>
        <w:keepNext w:val="0"/>
        <w:keepLines w:val="0"/>
        <w:pageBreakBefore w:val="0"/>
        <w:tabs>
          <w:tab w:val="left" w:pos="900"/>
        </w:tabs>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eastAsia" w:ascii="仿宋" w:hAnsi="仿宋" w:eastAsia="仿宋" w:cs="仿宋"/>
          <w:b/>
          <w:bCs/>
          <w:i w:val="0"/>
          <w:caps w:val="0"/>
          <w:color w:val="000000"/>
          <w:spacing w:val="0"/>
          <w:sz w:val="21"/>
          <w:szCs w:val="21"/>
          <w:lang w:val="en-US" w:eastAsia="zh-CN"/>
        </w:rPr>
      </w:pPr>
      <w:r>
        <w:rPr>
          <w:rFonts w:hint="eastAsia" w:ascii="仿宋" w:hAnsi="仿宋" w:eastAsia="仿宋" w:cs="仿宋"/>
          <w:b/>
          <w:bCs/>
          <w:i w:val="0"/>
          <w:caps w:val="0"/>
          <w:color w:val="000000"/>
          <w:spacing w:val="0"/>
          <w:sz w:val="21"/>
          <w:szCs w:val="21"/>
          <w:lang w:val="en-US" w:eastAsia="zh-CN"/>
        </w:rPr>
        <w:t>3.必须满足招标文件附件效果图及图纸，严格按照招标人要求完成本项目。</w:t>
      </w:r>
    </w:p>
    <w:p>
      <w:pPr>
        <w:keepNext w:val="0"/>
        <w:keepLines w:val="0"/>
        <w:pageBreakBefore w:val="0"/>
        <w:tabs>
          <w:tab w:val="left" w:pos="900"/>
        </w:tabs>
        <w:kinsoku/>
        <w:wordWrap/>
        <w:overflowPunct/>
        <w:topLinePunct w:val="0"/>
        <w:autoSpaceDE/>
        <w:autoSpaceDN/>
        <w:bidi w:val="0"/>
        <w:adjustRightInd/>
        <w:snapToGrid/>
        <w:spacing w:beforeLines="10" w:afterLines="10" w:line="300" w:lineRule="exact"/>
        <w:ind w:left="0" w:right="0" w:firstLine="0" w:firstLineChars="0"/>
        <w:jc w:val="both"/>
        <w:textAlignment w:val="auto"/>
        <w:rPr>
          <w:rFonts w:hint="default" w:ascii="仿宋" w:hAnsi="仿宋" w:eastAsia="仿宋" w:cs="仿宋"/>
          <w:b/>
          <w:bCs/>
          <w:i w:val="0"/>
          <w:caps w:val="0"/>
          <w:color w:val="000000"/>
          <w:spacing w:val="0"/>
          <w:sz w:val="21"/>
          <w:szCs w:val="21"/>
          <w:lang w:val="en-US" w:eastAsia="zh-CN"/>
        </w:rPr>
      </w:pPr>
      <w:r>
        <w:rPr>
          <w:rFonts w:hint="eastAsia" w:ascii="仿宋" w:hAnsi="仿宋" w:eastAsia="仿宋" w:cs="仿宋"/>
          <w:b/>
          <w:bCs/>
          <w:i w:val="0"/>
          <w:caps w:val="0"/>
          <w:color w:val="000000"/>
          <w:spacing w:val="0"/>
          <w:sz w:val="21"/>
          <w:szCs w:val="21"/>
          <w:lang w:val="en-US" w:eastAsia="zh-CN"/>
        </w:rPr>
        <w:t>4</w:t>
      </w:r>
      <w:r>
        <w:rPr>
          <w:rFonts w:hint="default" w:ascii="仿宋" w:hAnsi="仿宋" w:eastAsia="仿宋" w:cs="仿宋"/>
          <w:b/>
          <w:bCs/>
          <w:i w:val="0"/>
          <w:caps w:val="0"/>
          <w:color w:val="000000"/>
          <w:spacing w:val="0"/>
          <w:sz w:val="21"/>
          <w:szCs w:val="21"/>
          <w:lang w:val="en-US" w:eastAsia="zh-CN"/>
        </w:rPr>
        <w:t>.</w:t>
      </w:r>
      <w:r>
        <w:rPr>
          <w:rFonts w:hint="eastAsia" w:ascii="仿宋" w:hAnsi="仿宋" w:eastAsia="仿宋" w:cs="仿宋"/>
          <w:b/>
          <w:bCs/>
          <w:i w:val="0"/>
          <w:caps w:val="0"/>
          <w:color w:val="000000"/>
          <w:spacing w:val="0"/>
          <w:sz w:val="21"/>
          <w:szCs w:val="21"/>
          <w:lang w:val="en-US" w:eastAsia="zh-CN"/>
        </w:rPr>
        <w:t>以上内容涉及品牌的仅供参考。</w:t>
      </w:r>
    </w:p>
    <w:p>
      <w:pPr>
        <w:pageBreakBefore w:val="0"/>
        <w:widowControl w:val="0"/>
        <w:numPr>
          <w:ilvl w:val="0"/>
          <w:numId w:val="0"/>
        </w:numPr>
        <w:kinsoku/>
        <w:wordWrap/>
        <w:overflowPunct/>
        <w:topLinePunct w:val="0"/>
        <w:autoSpaceDE/>
        <w:autoSpaceDN/>
        <w:bidi w:val="0"/>
        <w:spacing w:line="440" w:lineRule="exact"/>
        <w:ind w:right="62" w:rightChars="0"/>
        <w:jc w:val="center"/>
        <w:textAlignment w:val="auto"/>
        <w:outlineLvl w:val="0"/>
        <w:rPr>
          <w:rFonts w:hint="eastAsia" w:ascii="宋体" w:hAnsi="宋体" w:eastAsia="宋体" w:cs="Times New Roman"/>
          <w:b/>
          <w:kern w:val="2"/>
          <w:sz w:val="28"/>
          <w:szCs w:val="28"/>
          <w:lang w:val="en-US" w:eastAsia="zh-CN" w:bidi="ar-SA"/>
        </w:rPr>
      </w:pPr>
      <w:bookmarkStart w:id="169" w:name="_Toc2874"/>
      <w:r>
        <w:rPr>
          <w:rFonts w:hint="eastAsia" w:ascii="宋体" w:hAnsi="宋体" w:eastAsia="宋体" w:cs="Times New Roman"/>
          <w:b/>
          <w:kern w:val="2"/>
          <w:sz w:val="28"/>
          <w:szCs w:val="28"/>
          <w:lang w:val="en-US" w:eastAsia="zh-CN" w:bidi="ar-SA"/>
        </w:rPr>
        <w:t>第五章  合同主要条款</w:t>
      </w:r>
      <w:bookmarkEnd w:id="169"/>
    </w:p>
    <w:p>
      <w:pPr>
        <w:snapToGrid w:val="0"/>
        <w:spacing w:line="36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(本合同仅供参考，最终合同由采购人与中标人协商确定)</w:t>
      </w:r>
    </w:p>
    <w:p>
      <w:pPr>
        <w:snapToGrid w:val="0"/>
        <w:spacing w:line="360" w:lineRule="auto"/>
        <w:ind w:left="0" w:leftChars="0" w:firstLine="0" w:firstLineChars="0"/>
        <w:jc w:val="left"/>
        <w:rPr>
          <w:rFonts w:hint="eastAsia" w:ascii="Times New Roman" w:hAnsi="Times New Roman" w:eastAsia="宋体" w:cs="Times New Roman"/>
          <w:kern w:val="2"/>
          <w:sz w:val="21"/>
          <w:szCs w:val="24"/>
          <w:u w:val="single"/>
          <w:lang w:val="en-US" w:eastAsia="zh-CN" w:bidi="ar-SA"/>
        </w:rPr>
      </w:pPr>
      <w:bookmarkStart w:id="170" w:name="_Toc331685783"/>
    </w:p>
    <w:p>
      <w:pPr>
        <w:widowControl/>
        <w:jc w:val="left"/>
        <w:rPr>
          <w:rFonts w:ascii="宋体" w:hAnsi="宋体" w:cs="宋体"/>
          <w:szCs w:val="21"/>
        </w:rPr>
      </w:pPr>
      <w:r>
        <w:rPr>
          <w:rFonts w:hint="eastAsia" w:ascii="Times New Roman" w:hAnsi="Times New Roman" w:eastAsia="宋体" w:cs="Times New Roman"/>
          <w:kern w:val="2"/>
          <w:sz w:val="21"/>
          <w:szCs w:val="24"/>
          <w:lang w:val="en-US" w:eastAsia="zh-CN" w:bidi="ar-SA"/>
        </w:rPr>
        <w:t xml:space="preserve">                                                 </w:t>
      </w:r>
    </w:p>
    <w:p>
      <w:pPr>
        <w:pStyle w:val="174"/>
        <w:ind w:firstLine="420"/>
        <w:rPr>
          <w:rFonts w:ascii="宋体" w:hAnsi="宋体"/>
          <w:sz w:val="21"/>
          <w:szCs w:val="21"/>
        </w:rPr>
      </w:pPr>
      <w:r>
        <w:rPr>
          <w:rFonts w:hint="eastAsia" w:ascii="宋体" w:hAnsi="宋体"/>
          <w:sz w:val="21"/>
          <w:szCs w:val="21"/>
        </w:rPr>
        <w:t xml:space="preserve">合同编号：                                         </w:t>
      </w:r>
    </w:p>
    <w:p>
      <w:pPr>
        <w:pStyle w:val="174"/>
        <w:ind w:firstLine="420"/>
        <w:rPr>
          <w:rFonts w:ascii="宋体" w:hAnsi="宋体"/>
          <w:sz w:val="21"/>
          <w:szCs w:val="21"/>
        </w:rPr>
      </w:pPr>
      <w:r>
        <w:rPr>
          <w:rFonts w:hint="eastAsia" w:ascii="宋体" w:hAnsi="宋体"/>
          <w:sz w:val="21"/>
          <w:szCs w:val="21"/>
        </w:rPr>
        <w:t xml:space="preserve">签订地点：                                         </w:t>
      </w:r>
    </w:p>
    <w:p>
      <w:pPr>
        <w:pStyle w:val="174"/>
        <w:ind w:firstLine="420"/>
        <w:rPr>
          <w:rFonts w:ascii="宋体" w:hAnsi="宋体"/>
          <w:sz w:val="21"/>
          <w:szCs w:val="21"/>
        </w:rPr>
      </w:pPr>
      <w:r>
        <w:rPr>
          <w:rFonts w:hint="eastAsia" w:ascii="宋体" w:hAnsi="宋体"/>
          <w:sz w:val="21"/>
          <w:szCs w:val="21"/>
        </w:rPr>
        <w:t xml:space="preserve">签订时间：                                         </w:t>
      </w:r>
    </w:p>
    <w:p>
      <w:pPr>
        <w:pStyle w:val="174"/>
        <w:ind w:firstLine="420"/>
        <w:rPr>
          <w:rFonts w:ascii="宋体" w:hAnsi="宋体"/>
          <w:sz w:val="21"/>
          <w:szCs w:val="21"/>
        </w:rPr>
      </w:pPr>
      <w:r>
        <w:rPr>
          <w:rFonts w:hint="eastAsia" w:ascii="宋体" w:hAnsi="宋体"/>
          <w:sz w:val="21"/>
          <w:szCs w:val="21"/>
        </w:rPr>
        <w:t xml:space="preserve">采购人（甲方）：                                          </w:t>
      </w:r>
    </w:p>
    <w:p>
      <w:pPr>
        <w:pStyle w:val="174"/>
        <w:ind w:firstLine="420"/>
        <w:rPr>
          <w:rFonts w:ascii="宋体" w:hAnsi="宋体"/>
          <w:sz w:val="21"/>
          <w:szCs w:val="21"/>
        </w:rPr>
      </w:pPr>
      <w:r>
        <w:rPr>
          <w:rFonts w:hint="eastAsia" w:ascii="宋体" w:hAnsi="宋体"/>
          <w:sz w:val="21"/>
          <w:szCs w:val="21"/>
        </w:rPr>
        <w:t xml:space="preserve">供应商（乙方）：                                          </w:t>
      </w:r>
    </w:p>
    <w:p>
      <w:pPr>
        <w:spacing w:line="400" w:lineRule="exact"/>
        <w:rPr>
          <w:rFonts w:ascii="宋体" w:hAnsi="宋体"/>
          <w:szCs w:val="21"/>
        </w:rPr>
      </w:pPr>
    </w:p>
    <w:p>
      <w:pPr>
        <w:pStyle w:val="174"/>
        <w:ind w:firstLine="420"/>
        <w:rPr>
          <w:rFonts w:ascii="宋体" w:hAnsi="宋体"/>
          <w:sz w:val="21"/>
          <w:szCs w:val="21"/>
        </w:rPr>
      </w:pPr>
      <w:r>
        <w:rPr>
          <w:rFonts w:hint="eastAsia" w:ascii="宋体" w:hAnsi="宋体"/>
          <w:sz w:val="21"/>
          <w:szCs w:val="21"/>
        </w:rPr>
        <w:t>根据《中华人民共和国政府采购法》、《中华人民共和国合同法》及</w:t>
      </w:r>
      <w:r>
        <w:rPr>
          <w:rFonts w:ascii="宋体" w:hAnsi="宋体"/>
          <w:color w:val="000000"/>
          <w:sz w:val="21"/>
          <w:szCs w:val="21"/>
        </w:rPr>
        <w:t>XX</w:t>
      </w:r>
      <w:r>
        <w:rPr>
          <w:rFonts w:hint="eastAsia" w:ascii="宋体" w:hAnsi="宋体"/>
          <w:sz w:val="21"/>
          <w:szCs w:val="21"/>
        </w:rPr>
        <w:t>政府采购中心采购项目（项目编号：</w:t>
      </w:r>
      <w:r>
        <w:rPr>
          <w:rFonts w:ascii="宋体" w:hAnsi="宋体"/>
          <w:color w:val="000000"/>
          <w:sz w:val="21"/>
          <w:szCs w:val="21"/>
        </w:rPr>
        <w:t>XX</w:t>
      </w:r>
      <w:r>
        <w:rPr>
          <w:rFonts w:hint="eastAsia" w:ascii="宋体" w:hAnsi="宋体"/>
          <w:sz w:val="21"/>
          <w:szCs w:val="2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rPr>
          <w:b/>
        </w:rPr>
      </w:pPr>
      <w:bookmarkStart w:id="171" w:name="_Toc217446107"/>
      <w:r>
        <w:rPr>
          <w:rFonts w:hint="eastAsia"/>
          <w:b/>
        </w:rPr>
        <w:t>一、合同货物</w:t>
      </w:r>
      <w:bookmarkEnd w:id="171"/>
    </w:p>
    <w:tbl>
      <w:tblPr>
        <w:tblStyle w:val="69"/>
        <w:tblW w:w="731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51"/>
        <w:gridCol w:w="968"/>
        <w:gridCol w:w="743"/>
        <w:gridCol w:w="885"/>
        <w:gridCol w:w="1027"/>
        <w:gridCol w:w="1154"/>
        <w:gridCol w:w="10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1451"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10" w:firstLineChars="100"/>
              <w:rPr>
                <w:rFonts w:ascii="宋体" w:hAnsi="宋体"/>
                <w:szCs w:val="21"/>
              </w:rPr>
            </w:pPr>
            <w:r>
              <w:rPr>
                <w:rFonts w:hint="eastAsia" w:ascii="宋体" w:hAnsi="宋体" w:cs="Arial"/>
                <w:szCs w:val="21"/>
              </w:rPr>
              <w:t>货物品名</w:t>
            </w:r>
          </w:p>
        </w:tc>
        <w:tc>
          <w:tcPr>
            <w:tcW w:w="96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Arial"/>
                <w:szCs w:val="21"/>
              </w:rPr>
            </w:pPr>
            <w:r>
              <w:rPr>
                <w:rFonts w:hint="eastAsia" w:ascii="宋体" w:hAnsi="宋体" w:cs="Arial"/>
                <w:szCs w:val="21"/>
              </w:rPr>
              <w:t>规格</w:t>
            </w:r>
          </w:p>
          <w:p>
            <w:pPr>
              <w:spacing w:line="400" w:lineRule="exact"/>
              <w:jc w:val="center"/>
              <w:rPr>
                <w:rFonts w:ascii="宋体" w:hAnsi="宋体"/>
                <w:szCs w:val="21"/>
              </w:rPr>
            </w:pPr>
            <w:r>
              <w:rPr>
                <w:rFonts w:hint="eastAsia" w:ascii="宋体" w:hAnsi="宋体" w:cs="Arial"/>
                <w:szCs w:val="21"/>
              </w:rPr>
              <w:t>型号</w:t>
            </w:r>
          </w:p>
        </w:tc>
        <w:tc>
          <w:tcPr>
            <w:tcW w:w="74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Cs w:val="21"/>
              </w:rPr>
            </w:pPr>
            <w:r>
              <w:rPr>
                <w:rFonts w:hint="eastAsia" w:ascii="宋体" w:hAnsi="宋体" w:cs="Arial"/>
                <w:szCs w:val="21"/>
              </w:rPr>
              <w:t>单位</w:t>
            </w:r>
          </w:p>
        </w:tc>
        <w:tc>
          <w:tcPr>
            <w:tcW w:w="8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05" w:firstLineChars="50"/>
              <w:rPr>
                <w:rFonts w:ascii="宋体" w:hAnsi="宋体"/>
                <w:szCs w:val="21"/>
              </w:rPr>
            </w:pPr>
            <w:r>
              <w:rPr>
                <w:rFonts w:hint="eastAsia" w:ascii="宋体" w:hAnsi="宋体" w:cs="Arial"/>
                <w:szCs w:val="21"/>
              </w:rPr>
              <w:t>数量</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05" w:firstLineChars="50"/>
              <w:jc w:val="center"/>
              <w:rPr>
                <w:rFonts w:ascii="宋体" w:hAnsi="宋体" w:cs="Arial"/>
                <w:szCs w:val="21"/>
              </w:rPr>
            </w:pPr>
            <w:r>
              <w:rPr>
                <w:rFonts w:hint="eastAsia" w:ascii="宋体" w:hAnsi="宋体" w:cs="Arial"/>
                <w:szCs w:val="21"/>
              </w:rPr>
              <w:t>单价</w:t>
            </w:r>
          </w:p>
          <w:p>
            <w:pPr>
              <w:spacing w:line="400" w:lineRule="exact"/>
              <w:jc w:val="center"/>
              <w:rPr>
                <w:rFonts w:ascii="宋体" w:hAnsi="宋体" w:cs="Arial"/>
                <w:szCs w:val="21"/>
              </w:rPr>
            </w:pPr>
            <w:r>
              <w:rPr>
                <w:rFonts w:hint="eastAsia" w:ascii="宋体" w:hAnsi="宋体" w:cs="Arial"/>
                <w:szCs w:val="21"/>
              </w:rPr>
              <w:t>（万元）</w:t>
            </w:r>
          </w:p>
        </w:tc>
        <w:tc>
          <w:tcPr>
            <w:tcW w:w="115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10" w:firstLineChars="100"/>
              <w:rPr>
                <w:rFonts w:ascii="宋体" w:hAnsi="宋体" w:cs="Arial"/>
                <w:szCs w:val="21"/>
              </w:rPr>
            </w:pPr>
            <w:r>
              <w:rPr>
                <w:rFonts w:hint="eastAsia" w:ascii="宋体" w:hAnsi="宋体" w:cs="Arial"/>
                <w:szCs w:val="21"/>
              </w:rPr>
              <w:t>总价</w:t>
            </w:r>
          </w:p>
          <w:p>
            <w:pPr>
              <w:spacing w:line="400" w:lineRule="exact"/>
              <w:rPr>
                <w:rFonts w:ascii="宋体" w:hAnsi="宋体"/>
                <w:szCs w:val="21"/>
              </w:rPr>
            </w:pPr>
            <w:r>
              <w:rPr>
                <w:rFonts w:hint="eastAsia" w:ascii="宋体" w:hAnsi="宋体" w:cs="Arial"/>
                <w:szCs w:val="21"/>
              </w:rPr>
              <w:t>（万元）</w:t>
            </w:r>
          </w:p>
        </w:tc>
        <w:tc>
          <w:tcPr>
            <w:tcW w:w="10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05" w:firstLineChars="50"/>
              <w:rPr>
                <w:rFonts w:ascii="宋体" w:hAnsi="宋体"/>
                <w:szCs w:val="21"/>
              </w:rPr>
            </w:pPr>
            <w:r>
              <w:rPr>
                <w:rFonts w:hint="eastAsia" w:ascii="宋体" w:hAnsi="宋体" w:cs="Arial"/>
                <w:szCs w:val="21"/>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14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96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74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8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115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10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145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96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74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8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115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c>
          <w:tcPr>
            <w:tcW w:w="10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1"/>
              </w:rPr>
            </w:pPr>
            <w:r>
              <w:rPr>
                <w:rFonts w:hint="eastAsia" w:ascii="宋体" w:hAnsi="宋体"/>
                <w:szCs w:val="21"/>
              </w:rPr>
              <w:t> </w:t>
            </w:r>
          </w:p>
        </w:tc>
      </w:tr>
    </w:tbl>
    <w:p>
      <w:pPr>
        <w:rPr>
          <w:b/>
        </w:rPr>
      </w:pPr>
      <w:bookmarkStart w:id="172" w:name="_Toc217446108"/>
      <w:r>
        <w:rPr>
          <w:rFonts w:hint="eastAsia"/>
          <w:b/>
        </w:rPr>
        <w:t>二、合同总价</w:t>
      </w:r>
      <w:bookmarkEnd w:id="172"/>
    </w:p>
    <w:p>
      <w:pPr>
        <w:pStyle w:val="19"/>
        <w:spacing w:line="400" w:lineRule="exact"/>
        <w:ind w:firstLine="420" w:firstLineChars="175"/>
        <w:rPr>
          <w:rFonts w:ascii="宋体" w:hAnsi="宋体"/>
          <w:szCs w:val="21"/>
        </w:rPr>
      </w:pPr>
      <w:r>
        <w:rPr>
          <w:rFonts w:hint="eastAsia" w:ascii="宋体" w:hAnsi="宋体"/>
          <w:szCs w:val="21"/>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outlineLvl w:val="1"/>
        <w:rPr>
          <w:b/>
        </w:rPr>
      </w:pPr>
      <w:bookmarkStart w:id="173" w:name="_Toc217446109"/>
      <w:r>
        <w:rPr>
          <w:rFonts w:hint="eastAsia"/>
          <w:b/>
        </w:rPr>
        <w:t>三、质量要求</w:t>
      </w:r>
      <w:bookmarkEnd w:id="173"/>
    </w:p>
    <w:p>
      <w:pPr>
        <w:pStyle w:val="174"/>
        <w:ind w:firstLine="420"/>
        <w:rPr>
          <w:rFonts w:ascii="宋体" w:hAnsi="宋体"/>
          <w:sz w:val="21"/>
          <w:szCs w:val="21"/>
        </w:rPr>
      </w:pPr>
      <w:r>
        <w:rPr>
          <w:rFonts w:hint="eastAsia" w:ascii="宋体" w:hAnsi="宋体"/>
          <w:sz w:val="21"/>
          <w:szCs w:val="21"/>
        </w:rPr>
        <w:t>1、乙方须提供全新的货物（含零部件、配件等），表面无划伤、无碰撞痕迹，且权属清楚，不得侵害他人的知识产权。</w:t>
      </w:r>
    </w:p>
    <w:p>
      <w:pPr>
        <w:pStyle w:val="174"/>
        <w:ind w:firstLine="420"/>
        <w:rPr>
          <w:rFonts w:ascii="宋体" w:hAnsi="宋体"/>
          <w:sz w:val="21"/>
          <w:szCs w:val="21"/>
        </w:rPr>
      </w:pPr>
      <w:r>
        <w:rPr>
          <w:rFonts w:hint="eastAsia" w:ascii="宋体" w:hAnsi="宋体"/>
          <w:sz w:val="21"/>
          <w:szCs w:val="21"/>
        </w:rPr>
        <w:t>货物必须符合或优于国家（行业）标准，以及本项目招标文件的质量要求和技术指标与出厂标准。</w:t>
      </w:r>
    </w:p>
    <w:p>
      <w:pPr>
        <w:pStyle w:val="174"/>
        <w:ind w:firstLine="420"/>
        <w:rPr>
          <w:rFonts w:ascii="宋体" w:hAnsi="宋体"/>
          <w:sz w:val="21"/>
          <w:szCs w:val="21"/>
        </w:rPr>
      </w:pPr>
      <w:r>
        <w:rPr>
          <w:rFonts w:hint="eastAsia" w:ascii="宋体" w:hAnsi="宋体"/>
          <w:sz w:val="21"/>
          <w:szCs w:val="2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174"/>
        <w:ind w:firstLine="420"/>
        <w:rPr>
          <w:rFonts w:ascii="宋体" w:hAnsi="宋体"/>
          <w:sz w:val="21"/>
          <w:szCs w:val="21"/>
        </w:rPr>
      </w:pPr>
      <w:r>
        <w:rPr>
          <w:rFonts w:hint="eastAsia" w:ascii="宋体" w:hAnsi="宋体"/>
          <w:sz w:val="21"/>
          <w:szCs w:val="21"/>
        </w:rPr>
        <w:t>4、货物制造质量出现问题，乙方应负责三包（包修、包换、包退），费用由乙方负担，甲方有权到乙方生产场地检查货物质量和生产进度。</w:t>
      </w:r>
    </w:p>
    <w:p>
      <w:pPr>
        <w:pStyle w:val="174"/>
        <w:ind w:firstLine="420"/>
        <w:rPr>
          <w:rFonts w:ascii="宋体" w:hAnsi="宋体"/>
          <w:sz w:val="21"/>
          <w:szCs w:val="21"/>
        </w:rPr>
      </w:pPr>
      <w:r>
        <w:rPr>
          <w:rFonts w:hint="eastAsia" w:ascii="宋体" w:hAnsi="宋体"/>
          <w:sz w:val="21"/>
          <w:szCs w:val="21"/>
        </w:rPr>
        <w:t>5、货到现场后由于甲方保管不当造成的质量问题，乙方亦应负责修理，但费用由甲方负担。</w:t>
      </w:r>
    </w:p>
    <w:p>
      <w:pPr>
        <w:outlineLvl w:val="1"/>
        <w:rPr>
          <w:b/>
        </w:rPr>
      </w:pPr>
      <w:bookmarkStart w:id="174" w:name="_Toc217446110"/>
      <w:r>
        <w:rPr>
          <w:rFonts w:hint="eastAsia"/>
          <w:b/>
        </w:rPr>
        <w:t>四、交货及验收</w:t>
      </w:r>
      <w:bookmarkEnd w:id="174"/>
    </w:p>
    <w:p>
      <w:pPr>
        <w:pStyle w:val="174"/>
        <w:ind w:firstLine="420"/>
        <w:rPr>
          <w:rFonts w:ascii="宋体" w:hAnsi="宋体"/>
          <w:sz w:val="21"/>
          <w:szCs w:val="21"/>
        </w:rPr>
      </w:pPr>
      <w:r>
        <w:rPr>
          <w:rFonts w:hint="eastAsia" w:ascii="宋体" w:hAnsi="宋体"/>
          <w:sz w:val="21"/>
          <w:szCs w:val="21"/>
        </w:rPr>
        <w:t>1、乙方交货期限为合同签订生效后的</w:t>
      </w:r>
      <w:r>
        <w:rPr>
          <w:rFonts w:ascii="宋体" w:hAnsi="宋体"/>
          <w:color w:val="000000"/>
          <w:sz w:val="21"/>
          <w:szCs w:val="21"/>
        </w:rPr>
        <w:t>XX</w:t>
      </w:r>
      <w:r>
        <w:rPr>
          <w:rFonts w:hint="eastAsia" w:ascii="宋体" w:hAnsi="宋体"/>
          <w:sz w:val="21"/>
          <w:szCs w:val="21"/>
        </w:rPr>
        <w:t>日内，在合同签订生效之日起</w:t>
      </w:r>
      <w:r>
        <w:rPr>
          <w:rFonts w:ascii="宋体" w:hAnsi="宋体"/>
          <w:color w:val="000000"/>
          <w:sz w:val="21"/>
          <w:szCs w:val="21"/>
        </w:rPr>
        <w:t>XX</w:t>
      </w:r>
      <w:r>
        <w:rPr>
          <w:rFonts w:hint="eastAsia" w:ascii="宋体" w:hAnsi="宋体"/>
          <w:sz w:val="21"/>
          <w:szCs w:val="21"/>
        </w:rPr>
        <w:t>天内交货到甲方指定地点，随即在</w:t>
      </w:r>
      <w:r>
        <w:rPr>
          <w:rFonts w:ascii="宋体" w:hAnsi="宋体"/>
          <w:color w:val="000000"/>
          <w:sz w:val="21"/>
          <w:szCs w:val="21"/>
        </w:rPr>
        <w:t>XX</w:t>
      </w:r>
      <w:r>
        <w:rPr>
          <w:rFonts w:hint="eastAsia" w:ascii="宋体" w:hAnsi="宋体"/>
          <w:sz w:val="21"/>
          <w:szCs w:val="21"/>
        </w:rPr>
        <w:t>日内全部完成安装调试验收合格交付使用，并且最迟应在</w:t>
      </w:r>
      <w:r>
        <w:rPr>
          <w:rFonts w:ascii="宋体" w:hAnsi="宋体"/>
          <w:color w:val="000000"/>
          <w:sz w:val="21"/>
          <w:szCs w:val="21"/>
        </w:rPr>
        <w:t>XX</w:t>
      </w:r>
      <w:r>
        <w:rPr>
          <w:rFonts w:hint="eastAsia" w:ascii="宋体" w:hAnsi="宋体"/>
          <w:sz w:val="21"/>
          <w:szCs w:val="21"/>
        </w:rPr>
        <w:t>年</w:t>
      </w:r>
      <w:r>
        <w:rPr>
          <w:rFonts w:ascii="宋体" w:hAnsi="宋体"/>
          <w:color w:val="000000"/>
          <w:sz w:val="21"/>
          <w:szCs w:val="21"/>
        </w:rPr>
        <w:t>XX</w:t>
      </w:r>
      <w:r>
        <w:rPr>
          <w:rFonts w:hint="eastAsia" w:ascii="宋体" w:hAnsi="宋体"/>
          <w:sz w:val="21"/>
          <w:szCs w:val="21"/>
        </w:rPr>
        <w:t>月</w:t>
      </w:r>
      <w:r>
        <w:rPr>
          <w:rFonts w:ascii="宋体" w:hAnsi="宋体"/>
          <w:color w:val="000000"/>
          <w:sz w:val="21"/>
          <w:szCs w:val="21"/>
        </w:rPr>
        <w:t>XX</w:t>
      </w:r>
      <w:r>
        <w:rPr>
          <w:rFonts w:hint="eastAsia" w:ascii="宋体" w:hAnsi="宋体"/>
          <w:sz w:val="21"/>
          <w:szCs w:val="21"/>
        </w:rPr>
        <w:t>日前全部完成安装调试验收合格交付使用(如由于采购人的原因造成合同延迟签订或验收的，时间顺延)。交货验收时须提供产品质检部门从同类产品中抽样检查合格的检测报告。</w:t>
      </w:r>
    </w:p>
    <w:p>
      <w:pPr>
        <w:pStyle w:val="174"/>
        <w:ind w:firstLine="420"/>
        <w:outlineLvl w:val="2"/>
        <w:rPr>
          <w:rFonts w:ascii="宋体" w:hAnsi="宋体"/>
          <w:sz w:val="21"/>
          <w:szCs w:val="21"/>
        </w:rPr>
      </w:pPr>
      <w:r>
        <w:rPr>
          <w:rFonts w:hint="eastAsia" w:ascii="宋体" w:hAnsi="宋体"/>
          <w:sz w:val="21"/>
          <w:szCs w:val="21"/>
        </w:rPr>
        <w:t>2、验收由甲方组织，乙方配合进行：</w:t>
      </w:r>
    </w:p>
    <w:p>
      <w:pPr>
        <w:pStyle w:val="174"/>
        <w:ind w:firstLine="420"/>
        <w:rPr>
          <w:rFonts w:ascii="宋体" w:hAnsi="宋体"/>
          <w:sz w:val="21"/>
          <w:szCs w:val="21"/>
        </w:rPr>
      </w:pPr>
      <w:r>
        <w:rPr>
          <w:rFonts w:hint="eastAsia" w:ascii="宋体" w:hAnsi="宋体"/>
          <w:sz w:val="21"/>
          <w:szCs w:val="21"/>
        </w:rPr>
        <w:t>(1) 货物在乙方通知安装调试完毕后日内初步验收。初步验收合格后，进入试用期；试用期间发生重大质量问题，修复后试用相应顺延；试用期结束后日内完成最终验收；</w:t>
      </w:r>
    </w:p>
    <w:p>
      <w:pPr>
        <w:pStyle w:val="174"/>
        <w:ind w:firstLine="420"/>
        <w:rPr>
          <w:rFonts w:ascii="宋体" w:hAnsi="宋体"/>
          <w:sz w:val="21"/>
          <w:szCs w:val="21"/>
        </w:rPr>
      </w:pPr>
      <w:r>
        <w:rPr>
          <w:rFonts w:hint="eastAsia" w:ascii="宋体" w:hAnsi="宋体"/>
          <w:sz w:val="21"/>
          <w:szCs w:val="2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174"/>
        <w:ind w:firstLine="420"/>
        <w:rPr>
          <w:rFonts w:ascii="宋体" w:hAnsi="宋体"/>
          <w:sz w:val="21"/>
          <w:szCs w:val="21"/>
        </w:rPr>
      </w:pPr>
      <w:r>
        <w:rPr>
          <w:rFonts w:hint="eastAsia" w:ascii="宋体" w:hAnsi="宋体"/>
          <w:sz w:val="21"/>
          <w:szCs w:val="2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74"/>
        <w:ind w:firstLine="420"/>
        <w:rPr>
          <w:rFonts w:ascii="宋体" w:hAnsi="宋体"/>
          <w:sz w:val="21"/>
          <w:szCs w:val="21"/>
        </w:rPr>
      </w:pPr>
      <w:r>
        <w:rPr>
          <w:rFonts w:hint="eastAsia" w:ascii="宋体" w:hAnsi="宋体"/>
          <w:sz w:val="21"/>
          <w:szCs w:val="21"/>
        </w:rPr>
        <w:t>(4) 如质量验收合格，双方签署质量验收报告。</w:t>
      </w:r>
    </w:p>
    <w:p>
      <w:pPr>
        <w:pStyle w:val="174"/>
        <w:ind w:firstLine="420"/>
        <w:rPr>
          <w:rFonts w:ascii="宋体" w:hAnsi="宋体"/>
          <w:sz w:val="21"/>
          <w:szCs w:val="21"/>
        </w:rPr>
      </w:pPr>
      <w:r>
        <w:rPr>
          <w:rFonts w:hint="eastAsia" w:ascii="宋体" w:hAnsi="宋体"/>
          <w:sz w:val="21"/>
          <w:szCs w:val="21"/>
        </w:rPr>
        <w:t>3、货物安装完成后日内，甲方无故不进行验收工作并已使用货物的，视同已安装调试完成并验收合格。</w:t>
      </w:r>
    </w:p>
    <w:p>
      <w:pPr>
        <w:pStyle w:val="174"/>
        <w:ind w:firstLine="420"/>
        <w:rPr>
          <w:rFonts w:ascii="宋体" w:hAnsi="宋体"/>
          <w:sz w:val="21"/>
          <w:szCs w:val="21"/>
        </w:rPr>
      </w:pPr>
      <w:r>
        <w:rPr>
          <w:rFonts w:hint="eastAsia" w:ascii="宋体" w:hAnsi="宋体"/>
          <w:sz w:val="21"/>
          <w:szCs w:val="21"/>
        </w:rPr>
        <w:t>4、乙方应将所提供货物的装箱清单、配件、随机工具、用户使用手册、原厂保修卡等资料交付给甲方；乙方不能完整交付货物及本款规定的单证和工具的，必须负责补齐，否则视为未按合同约定交货。</w:t>
      </w:r>
    </w:p>
    <w:p>
      <w:pPr>
        <w:pStyle w:val="174"/>
        <w:ind w:firstLine="420"/>
        <w:rPr>
          <w:rFonts w:ascii="宋体" w:hAnsi="宋体"/>
          <w:sz w:val="21"/>
          <w:szCs w:val="21"/>
        </w:rPr>
      </w:pPr>
      <w:r>
        <w:rPr>
          <w:rFonts w:hint="eastAsia" w:ascii="宋体" w:hAnsi="宋体"/>
          <w:sz w:val="21"/>
          <w:szCs w:val="21"/>
        </w:rPr>
        <w:t>5、如货物经乙方次维修仍不能达到合同约定的质量标准，甲方有权退货，并视作乙方不能交付货物而须支付违约赔偿金给甲方，甲方还可依法追究乙方的违约责任。 </w:t>
      </w:r>
    </w:p>
    <w:p>
      <w:pPr>
        <w:outlineLvl w:val="1"/>
        <w:rPr>
          <w:b/>
        </w:rPr>
      </w:pPr>
      <w:bookmarkStart w:id="175" w:name="_Toc217446111"/>
      <w:r>
        <w:rPr>
          <w:rFonts w:hint="eastAsia"/>
          <w:b/>
        </w:rPr>
        <w:t>五、付款方式</w:t>
      </w:r>
      <w:bookmarkEnd w:id="175"/>
    </w:p>
    <w:p>
      <w:pPr>
        <w:pStyle w:val="174"/>
        <w:ind w:firstLine="420"/>
        <w:rPr>
          <w:rFonts w:ascii="宋体" w:hAnsi="宋体"/>
          <w:sz w:val="21"/>
          <w:szCs w:val="21"/>
        </w:rPr>
      </w:pPr>
      <w:r>
        <w:rPr>
          <w:rFonts w:hint="eastAsia" w:ascii="宋体" w:hAnsi="宋体"/>
          <w:sz w:val="21"/>
          <w:szCs w:val="21"/>
        </w:rPr>
        <w:t>1、甲方在本合同签订生效之日起接到乙方通知和票据凭证资料以及乙方交给甲方的合同履约保证金（按合同总价的百分之计算款额￥元，人民币大写：元整）后的日内支付合同金额百分之的价款；</w:t>
      </w:r>
    </w:p>
    <w:p>
      <w:pPr>
        <w:pStyle w:val="174"/>
        <w:ind w:firstLine="420"/>
        <w:rPr>
          <w:rFonts w:ascii="宋体" w:hAnsi="宋体"/>
          <w:sz w:val="21"/>
          <w:szCs w:val="21"/>
        </w:rPr>
      </w:pPr>
      <w:r>
        <w:rPr>
          <w:rFonts w:hint="eastAsia" w:ascii="宋体" w:hAnsi="宋体"/>
          <w:sz w:val="21"/>
          <w:szCs w:val="21"/>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174"/>
        <w:ind w:firstLine="420"/>
        <w:rPr>
          <w:rFonts w:ascii="宋体" w:hAnsi="宋体"/>
          <w:sz w:val="21"/>
          <w:szCs w:val="21"/>
        </w:rPr>
      </w:pPr>
      <w:r>
        <w:rPr>
          <w:rFonts w:hint="eastAsia" w:ascii="宋体" w:hAnsi="宋体"/>
          <w:sz w:val="21"/>
          <w:szCs w:val="21"/>
        </w:rPr>
        <w:t>3、合同履约保证金：在货物验收合格满后，甲方财务部门接到乙方通知和支付凭证资料文件，以及由甲方确认本合同货物质量与服务等约定事项已经履行完毕的正式书面文件后的日内，递交结算凭证资料给银行并由其向乙方支付价款￥元， 人民币大写：元整；</w:t>
      </w:r>
    </w:p>
    <w:p>
      <w:pPr>
        <w:pStyle w:val="174"/>
        <w:ind w:firstLine="420"/>
        <w:rPr>
          <w:rFonts w:ascii="宋体" w:hAnsi="宋体"/>
          <w:sz w:val="21"/>
          <w:szCs w:val="21"/>
        </w:rPr>
      </w:pPr>
      <w:r>
        <w:rPr>
          <w:rFonts w:hint="eastAsia" w:ascii="宋体" w:hAnsi="宋体"/>
          <w:sz w:val="21"/>
          <w:szCs w:val="21"/>
        </w:rPr>
        <w:t>4、乙方须向甲方出具合法有效完整的完税发票及凭证资料进行支付结算。</w:t>
      </w:r>
    </w:p>
    <w:p>
      <w:pPr>
        <w:outlineLvl w:val="1"/>
        <w:rPr>
          <w:b/>
        </w:rPr>
      </w:pPr>
      <w:bookmarkStart w:id="176" w:name="_Toc217446112"/>
      <w:r>
        <w:rPr>
          <w:rFonts w:hint="eastAsia"/>
          <w:b/>
        </w:rPr>
        <w:t>六、售后服务</w:t>
      </w:r>
      <w:bookmarkEnd w:id="176"/>
    </w:p>
    <w:p>
      <w:pPr>
        <w:pStyle w:val="174"/>
        <w:ind w:firstLine="420"/>
        <w:rPr>
          <w:rFonts w:ascii="宋体" w:hAnsi="宋体"/>
          <w:sz w:val="21"/>
          <w:szCs w:val="21"/>
        </w:rPr>
      </w:pPr>
      <w:r>
        <w:rPr>
          <w:rFonts w:hint="eastAsia" w:ascii="宋体" w:hAnsi="宋体"/>
          <w:sz w:val="21"/>
          <w:szCs w:val="21"/>
        </w:rPr>
        <w:t>1、质保期为验收合格后</w:t>
      </w:r>
      <w:r>
        <w:rPr>
          <w:rFonts w:ascii="宋体" w:hAnsi="宋体"/>
          <w:color w:val="000000"/>
          <w:sz w:val="21"/>
          <w:szCs w:val="21"/>
        </w:rPr>
        <w:t>XX</w:t>
      </w:r>
      <w:r>
        <w:rPr>
          <w:rFonts w:hint="eastAsia" w:ascii="宋体" w:hAnsi="宋体"/>
          <w:sz w:val="21"/>
          <w:szCs w:val="2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174"/>
        <w:ind w:firstLine="420"/>
        <w:outlineLvl w:val="2"/>
        <w:rPr>
          <w:rFonts w:ascii="宋体" w:hAnsi="宋体"/>
          <w:sz w:val="21"/>
          <w:szCs w:val="21"/>
        </w:rPr>
      </w:pPr>
      <w:r>
        <w:rPr>
          <w:rFonts w:hint="eastAsia" w:ascii="宋体" w:hAnsi="宋体"/>
          <w:sz w:val="21"/>
          <w:szCs w:val="21"/>
        </w:rPr>
        <w:t>2、乙方须指派专人负责与甲方联系售后服务事宜。 </w:t>
      </w:r>
    </w:p>
    <w:p>
      <w:pPr>
        <w:outlineLvl w:val="1"/>
        <w:rPr>
          <w:b/>
        </w:rPr>
      </w:pPr>
      <w:bookmarkStart w:id="177" w:name="_Toc217446113"/>
      <w:r>
        <w:rPr>
          <w:rFonts w:hint="eastAsia"/>
          <w:b/>
        </w:rPr>
        <w:t>七、违约责任</w:t>
      </w:r>
      <w:bookmarkEnd w:id="177"/>
    </w:p>
    <w:p>
      <w:pPr>
        <w:pStyle w:val="174"/>
        <w:ind w:firstLine="420"/>
        <w:outlineLvl w:val="2"/>
        <w:rPr>
          <w:rFonts w:ascii="宋体" w:hAnsi="宋体"/>
          <w:sz w:val="21"/>
          <w:szCs w:val="21"/>
        </w:rPr>
      </w:pPr>
      <w:r>
        <w:rPr>
          <w:rFonts w:hint="eastAsia" w:ascii="宋体" w:hAnsi="宋体"/>
          <w:sz w:val="21"/>
          <w:szCs w:val="21"/>
        </w:rPr>
        <w:t>1、甲方违约责任</w:t>
      </w:r>
    </w:p>
    <w:p>
      <w:pPr>
        <w:pStyle w:val="174"/>
        <w:ind w:firstLine="420"/>
        <w:rPr>
          <w:rFonts w:ascii="宋体" w:hAnsi="宋体"/>
          <w:sz w:val="21"/>
          <w:szCs w:val="21"/>
        </w:rPr>
      </w:pPr>
      <w:r>
        <w:rPr>
          <w:rFonts w:hint="eastAsia" w:ascii="宋体" w:hAnsi="宋体"/>
          <w:sz w:val="21"/>
          <w:szCs w:val="21"/>
        </w:rPr>
        <w:t>（1） 甲方无正当理由拒收货物的，甲方应偿付合同总价百分之的违约金；</w:t>
      </w:r>
    </w:p>
    <w:p>
      <w:pPr>
        <w:pStyle w:val="174"/>
        <w:ind w:firstLine="420"/>
        <w:rPr>
          <w:rFonts w:ascii="宋体" w:hAnsi="宋体"/>
          <w:sz w:val="21"/>
          <w:szCs w:val="21"/>
        </w:rPr>
      </w:pPr>
      <w:r>
        <w:rPr>
          <w:rFonts w:hint="eastAsia" w:ascii="宋体" w:hAnsi="宋体"/>
          <w:sz w:val="21"/>
          <w:szCs w:val="21"/>
        </w:rPr>
        <w:t>（2） 甲方逾期支付货款的，除应及时付足货款外，应向乙方偿付欠款总额万分之 /天的违约金；逾期付款超过天的，乙方有权终止合同；</w:t>
      </w:r>
    </w:p>
    <w:p>
      <w:pPr>
        <w:pStyle w:val="174"/>
        <w:ind w:firstLine="420"/>
        <w:rPr>
          <w:rFonts w:ascii="宋体" w:hAnsi="宋体"/>
          <w:sz w:val="21"/>
          <w:szCs w:val="21"/>
        </w:rPr>
      </w:pPr>
      <w:r>
        <w:rPr>
          <w:rFonts w:hint="eastAsia" w:ascii="宋体" w:hAnsi="宋体"/>
          <w:sz w:val="21"/>
          <w:szCs w:val="21"/>
        </w:rPr>
        <w:t>（3） 甲方偿付的违约金不足以弥补乙方损失的，还应按乙方损失尚未弥补的部分，支付赔偿金给乙方。</w:t>
      </w:r>
    </w:p>
    <w:p>
      <w:pPr>
        <w:pStyle w:val="174"/>
        <w:ind w:firstLine="420"/>
        <w:outlineLvl w:val="2"/>
        <w:rPr>
          <w:rFonts w:ascii="宋体" w:hAnsi="宋体"/>
          <w:sz w:val="21"/>
          <w:szCs w:val="21"/>
        </w:rPr>
      </w:pPr>
      <w:r>
        <w:rPr>
          <w:rFonts w:hint="eastAsia" w:ascii="宋体" w:hAnsi="宋体"/>
          <w:sz w:val="21"/>
          <w:szCs w:val="21"/>
        </w:rPr>
        <w:t>2、乙方违约责任</w:t>
      </w:r>
    </w:p>
    <w:p>
      <w:pPr>
        <w:pStyle w:val="174"/>
        <w:ind w:firstLine="420"/>
        <w:rPr>
          <w:rFonts w:ascii="宋体" w:hAnsi="宋体"/>
          <w:sz w:val="21"/>
          <w:szCs w:val="21"/>
        </w:rPr>
      </w:pPr>
      <w:r>
        <w:rPr>
          <w:rFonts w:hint="eastAsia" w:ascii="宋体" w:hAnsi="宋体"/>
          <w:sz w:val="21"/>
          <w:szCs w:val="2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174"/>
        <w:ind w:firstLine="420"/>
        <w:rPr>
          <w:rFonts w:ascii="宋体" w:hAnsi="宋体"/>
          <w:sz w:val="21"/>
          <w:szCs w:val="21"/>
        </w:rPr>
      </w:pPr>
      <w:r>
        <w:rPr>
          <w:rFonts w:hint="eastAsia" w:ascii="宋体" w:hAnsi="宋体"/>
          <w:sz w:val="21"/>
          <w:szCs w:val="21"/>
        </w:rPr>
        <w:t>（2）乙方不能交付货物或逾期交付货物而违约的，除应及时交足货物外，应向甲方偿付逾期交货部分货款总额的万分之 /天的违约金；逾期交货超过</w:t>
      </w:r>
      <w:r>
        <w:rPr>
          <w:rFonts w:ascii="宋体" w:hAnsi="宋体"/>
          <w:color w:val="000000"/>
          <w:sz w:val="21"/>
          <w:szCs w:val="21"/>
        </w:rPr>
        <w:t>XX</w:t>
      </w:r>
      <w:r>
        <w:rPr>
          <w:rFonts w:hint="eastAsia" w:ascii="宋体" w:hAnsi="宋体"/>
          <w:sz w:val="21"/>
          <w:szCs w:val="21"/>
        </w:rPr>
        <w:t>天，甲方有权终止合同，乙方则应按合同总价的百分之的款额向甲方偿付赔偿金，并须全额退还甲方已经付给乙方的货款及其利息。</w:t>
      </w:r>
    </w:p>
    <w:p>
      <w:pPr>
        <w:pStyle w:val="174"/>
        <w:ind w:firstLine="420"/>
        <w:rPr>
          <w:rFonts w:ascii="宋体" w:hAnsi="宋体"/>
          <w:sz w:val="21"/>
          <w:szCs w:val="21"/>
        </w:rPr>
      </w:pPr>
      <w:r>
        <w:rPr>
          <w:rFonts w:hint="eastAsia" w:ascii="宋体" w:hAnsi="宋体"/>
          <w:sz w:val="21"/>
          <w:szCs w:val="2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174"/>
        <w:ind w:firstLine="420"/>
        <w:rPr>
          <w:rFonts w:ascii="宋体" w:hAnsi="宋体"/>
          <w:sz w:val="21"/>
          <w:szCs w:val="21"/>
        </w:rPr>
      </w:pPr>
      <w:r>
        <w:rPr>
          <w:rFonts w:hint="eastAsia" w:ascii="宋体" w:hAnsi="宋体"/>
          <w:sz w:val="21"/>
          <w:szCs w:val="2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174"/>
        <w:ind w:firstLine="420"/>
        <w:rPr>
          <w:rFonts w:ascii="宋体" w:hAnsi="宋体"/>
          <w:sz w:val="21"/>
          <w:szCs w:val="21"/>
        </w:rPr>
      </w:pPr>
      <w:r>
        <w:rPr>
          <w:rFonts w:hint="eastAsia" w:ascii="宋体" w:hAnsi="宋体"/>
          <w:sz w:val="21"/>
          <w:szCs w:val="21"/>
        </w:rPr>
        <w:t>（5）乙方偿付的违约金不足以弥补甲方损失的，还应按甲方损失尚未弥补的部分，支付赔偿金给甲方。</w:t>
      </w:r>
    </w:p>
    <w:p>
      <w:pPr>
        <w:outlineLvl w:val="1"/>
        <w:rPr>
          <w:b/>
        </w:rPr>
      </w:pPr>
      <w:bookmarkStart w:id="178" w:name="_Toc217446114"/>
      <w:r>
        <w:rPr>
          <w:rFonts w:hint="eastAsia"/>
          <w:b/>
        </w:rPr>
        <w:t>八、争议解决办法</w:t>
      </w:r>
      <w:bookmarkEnd w:id="178"/>
    </w:p>
    <w:p>
      <w:pPr>
        <w:pStyle w:val="174"/>
        <w:ind w:firstLine="420"/>
        <w:rPr>
          <w:rFonts w:ascii="宋体" w:hAnsi="宋体"/>
          <w:sz w:val="21"/>
          <w:szCs w:val="21"/>
        </w:rPr>
      </w:pPr>
      <w:r>
        <w:rPr>
          <w:rFonts w:hint="eastAsia" w:ascii="宋体" w:hAnsi="宋体"/>
          <w:sz w:val="21"/>
          <w:szCs w:val="21"/>
        </w:rPr>
        <w:t>1、因货物的质量问题发生争议，由质量技术监督部门或其指定的质量鉴定机构进行质量鉴定。货物符合标准的，鉴定费由甲方承担；货物不符合质量标准的，鉴定费由乙方承担。</w:t>
      </w:r>
    </w:p>
    <w:p>
      <w:pPr>
        <w:pStyle w:val="174"/>
        <w:ind w:firstLine="420"/>
        <w:rPr>
          <w:rFonts w:ascii="宋体" w:hAnsi="宋体"/>
          <w:sz w:val="21"/>
          <w:szCs w:val="21"/>
        </w:rPr>
      </w:pPr>
      <w:r>
        <w:rPr>
          <w:rFonts w:hint="eastAsia" w:ascii="宋体" w:hAnsi="宋体"/>
          <w:sz w:val="21"/>
          <w:szCs w:val="21"/>
        </w:rPr>
        <w:t>2、合同履行期间,若双方发生争议，可协商或由有关部门调解解决，协商或调解不成的，由当事人依法维护其合法权益。</w:t>
      </w:r>
    </w:p>
    <w:p>
      <w:pPr>
        <w:outlineLvl w:val="1"/>
        <w:rPr>
          <w:b/>
        </w:rPr>
      </w:pPr>
      <w:bookmarkStart w:id="179" w:name="_Toc217446115"/>
      <w:r>
        <w:rPr>
          <w:rFonts w:hint="eastAsia"/>
          <w:b/>
        </w:rPr>
        <w:t>九、其他</w:t>
      </w:r>
      <w:bookmarkEnd w:id="179"/>
    </w:p>
    <w:p>
      <w:pPr>
        <w:pStyle w:val="174"/>
        <w:ind w:firstLine="420"/>
        <w:outlineLvl w:val="2"/>
        <w:rPr>
          <w:rFonts w:ascii="宋体" w:hAnsi="宋体"/>
          <w:sz w:val="21"/>
          <w:szCs w:val="21"/>
        </w:rPr>
      </w:pPr>
      <w:r>
        <w:rPr>
          <w:rFonts w:hint="eastAsia" w:ascii="宋体" w:hAnsi="宋体"/>
          <w:sz w:val="21"/>
          <w:szCs w:val="21"/>
        </w:rPr>
        <w:t>1、如有未尽事宜，由双方依法订立补充合同。</w:t>
      </w:r>
    </w:p>
    <w:p>
      <w:pPr>
        <w:pStyle w:val="174"/>
        <w:ind w:firstLine="420"/>
        <w:rPr>
          <w:rFonts w:ascii="宋体" w:hAnsi="宋体"/>
          <w:sz w:val="21"/>
          <w:szCs w:val="21"/>
        </w:rPr>
      </w:pPr>
      <w:r>
        <w:rPr>
          <w:rFonts w:hint="eastAsia" w:ascii="宋体" w:hAnsi="宋体"/>
          <w:sz w:val="21"/>
          <w:szCs w:val="21"/>
        </w:rPr>
        <w:t>2、本合同一式六份，自双方签章之日起生效。甲方三份，乙方、政府采购管理部门、采购代理机构各一份。</w:t>
      </w:r>
    </w:p>
    <w:p>
      <w:pPr>
        <w:spacing w:line="400" w:lineRule="exact"/>
        <w:rPr>
          <w:rFonts w:ascii="宋体" w:hAnsi="宋体"/>
          <w:szCs w:val="21"/>
        </w:rPr>
      </w:pPr>
    </w:p>
    <w:p>
      <w:pPr>
        <w:spacing w:line="400" w:lineRule="exact"/>
        <w:ind w:firstLine="420" w:firstLineChars="200"/>
        <w:rPr>
          <w:rFonts w:ascii="宋体" w:hAnsi="宋体"/>
          <w:szCs w:val="21"/>
        </w:rPr>
      </w:pPr>
      <w:r>
        <w:rPr>
          <w:rFonts w:hint="eastAsia" w:ascii="宋体" w:hAnsi="宋体"/>
          <w:szCs w:val="21"/>
        </w:rPr>
        <w:t xml:space="preserve">甲方：   （盖章）   </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 xml:space="preserve">       乙方：   （盖章）</w:t>
      </w:r>
    </w:p>
    <w:p>
      <w:pPr>
        <w:spacing w:line="400" w:lineRule="exact"/>
        <w:ind w:firstLine="420" w:firstLineChars="200"/>
        <w:rPr>
          <w:rFonts w:ascii="宋体" w:hAnsi="宋体"/>
          <w:szCs w:val="21"/>
        </w:rPr>
      </w:pPr>
      <w:r>
        <w:rPr>
          <w:rFonts w:hint="eastAsia" w:ascii="宋体" w:hAnsi="宋体"/>
          <w:szCs w:val="21"/>
        </w:rPr>
        <w:t>法定代表人（授权代表）：            法定代表人（授权代表）：</w:t>
      </w:r>
    </w:p>
    <w:p>
      <w:pPr>
        <w:spacing w:line="400" w:lineRule="exact"/>
        <w:ind w:firstLine="420" w:firstLineChars="200"/>
        <w:rPr>
          <w:rFonts w:ascii="宋体" w:hAnsi="宋体"/>
          <w:szCs w:val="21"/>
        </w:rPr>
      </w:pPr>
      <w:r>
        <w:rPr>
          <w:rFonts w:hint="eastAsia" w:ascii="宋体" w:hAnsi="宋体"/>
          <w:szCs w:val="21"/>
        </w:rPr>
        <w:t>地    址：                         地    址：</w:t>
      </w:r>
    </w:p>
    <w:p>
      <w:pPr>
        <w:spacing w:line="400" w:lineRule="exact"/>
        <w:ind w:firstLine="420" w:firstLineChars="200"/>
        <w:rPr>
          <w:rFonts w:ascii="宋体" w:hAnsi="宋体"/>
          <w:szCs w:val="21"/>
        </w:rPr>
      </w:pPr>
      <w:r>
        <w:rPr>
          <w:rFonts w:hint="eastAsia" w:ascii="宋体" w:hAnsi="宋体"/>
          <w:szCs w:val="21"/>
        </w:rPr>
        <w:t>开户银行：                         开户银行：</w:t>
      </w:r>
    </w:p>
    <w:p>
      <w:pPr>
        <w:spacing w:line="400" w:lineRule="exact"/>
        <w:ind w:firstLine="420" w:firstLineChars="200"/>
        <w:rPr>
          <w:rFonts w:ascii="宋体" w:hAnsi="宋体"/>
          <w:szCs w:val="21"/>
        </w:rPr>
      </w:pPr>
      <w:r>
        <w:rPr>
          <w:rFonts w:hint="eastAsia" w:ascii="宋体" w:hAnsi="宋体"/>
          <w:szCs w:val="21"/>
        </w:rPr>
        <w:t>账号：                             账号：</w:t>
      </w:r>
    </w:p>
    <w:p>
      <w:pPr>
        <w:spacing w:line="400" w:lineRule="exact"/>
        <w:ind w:firstLine="420" w:firstLineChars="200"/>
        <w:rPr>
          <w:rFonts w:ascii="宋体" w:hAnsi="宋体"/>
          <w:szCs w:val="21"/>
        </w:rPr>
      </w:pPr>
      <w:r>
        <w:rPr>
          <w:rFonts w:hint="eastAsia" w:ascii="宋体" w:hAnsi="宋体"/>
          <w:szCs w:val="21"/>
        </w:rPr>
        <w:t>电    话：                         电    话：</w:t>
      </w:r>
    </w:p>
    <w:p>
      <w:pPr>
        <w:spacing w:line="400" w:lineRule="exact"/>
        <w:ind w:firstLine="420" w:firstLineChars="200"/>
        <w:rPr>
          <w:rFonts w:ascii="宋体" w:hAnsi="宋体"/>
          <w:szCs w:val="21"/>
        </w:rPr>
      </w:pPr>
      <w:r>
        <w:rPr>
          <w:rFonts w:hint="eastAsia" w:ascii="宋体" w:hAnsi="宋体"/>
          <w:szCs w:val="21"/>
        </w:rPr>
        <w:t>传    真：                         传    真：</w:t>
      </w:r>
    </w:p>
    <w:p>
      <w:pPr>
        <w:spacing w:line="400" w:lineRule="exact"/>
        <w:ind w:firstLine="420" w:firstLineChars="200"/>
        <w:rPr>
          <w:rFonts w:ascii="宋体" w:hAnsi="宋体"/>
          <w:color w:val="000000"/>
          <w:szCs w:val="21"/>
        </w:rPr>
      </w:pPr>
      <w:r>
        <w:rPr>
          <w:rFonts w:hint="eastAsia" w:ascii="宋体" w:hAnsi="宋体"/>
          <w:szCs w:val="21"/>
        </w:rPr>
        <w:t>签约日期：</w:t>
      </w:r>
      <w:r>
        <w:rPr>
          <w:rFonts w:ascii="宋体" w:hAnsi="宋体"/>
          <w:color w:val="000000"/>
          <w:szCs w:val="21"/>
        </w:rPr>
        <w:t>XX</w:t>
      </w:r>
      <w:r>
        <w:rPr>
          <w:rFonts w:hint="eastAsia" w:ascii="宋体" w:hAnsi="宋体"/>
          <w:szCs w:val="21"/>
        </w:rPr>
        <w:t>年</w:t>
      </w:r>
      <w:r>
        <w:rPr>
          <w:rFonts w:ascii="宋体" w:hAnsi="宋体"/>
          <w:color w:val="000000"/>
          <w:szCs w:val="21"/>
        </w:rPr>
        <w:t>XX</w:t>
      </w:r>
      <w:r>
        <w:rPr>
          <w:rFonts w:hint="eastAsia" w:ascii="宋体" w:hAnsi="宋体"/>
          <w:szCs w:val="21"/>
        </w:rPr>
        <w:t>月</w:t>
      </w:r>
      <w:r>
        <w:rPr>
          <w:rFonts w:ascii="宋体" w:hAnsi="宋体"/>
          <w:color w:val="000000"/>
          <w:szCs w:val="21"/>
        </w:rPr>
        <w:t>XX</w:t>
      </w:r>
      <w:r>
        <w:rPr>
          <w:rFonts w:hint="eastAsia" w:ascii="宋体" w:hAnsi="宋体"/>
          <w:szCs w:val="21"/>
        </w:rPr>
        <w:t xml:space="preserve">日 </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签约日期：</w:t>
      </w:r>
      <w:r>
        <w:rPr>
          <w:rFonts w:ascii="宋体" w:hAnsi="宋体"/>
          <w:color w:val="000000"/>
          <w:szCs w:val="21"/>
        </w:rPr>
        <w:t>XX</w:t>
      </w:r>
      <w:r>
        <w:rPr>
          <w:rFonts w:hint="eastAsia" w:ascii="宋体" w:hAnsi="宋体"/>
          <w:szCs w:val="21"/>
        </w:rPr>
        <w:t>年</w:t>
      </w:r>
      <w:r>
        <w:rPr>
          <w:rFonts w:ascii="宋体" w:hAnsi="宋体"/>
          <w:color w:val="000000"/>
          <w:szCs w:val="21"/>
        </w:rPr>
        <w:t>XX</w:t>
      </w:r>
      <w:r>
        <w:rPr>
          <w:rFonts w:hint="eastAsia" w:ascii="宋体" w:hAnsi="宋体"/>
          <w:szCs w:val="21"/>
        </w:rPr>
        <w:t>月</w:t>
      </w:r>
      <w:r>
        <w:rPr>
          <w:rFonts w:ascii="宋体" w:hAnsi="宋体"/>
          <w:color w:val="000000"/>
          <w:szCs w:val="21"/>
        </w:rPr>
        <w:t>XX</w:t>
      </w:r>
      <w:r>
        <w:rPr>
          <w:rFonts w:hint="eastAsia" w:ascii="宋体" w:hAnsi="宋体"/>
          <w:color w:val="000000"/>
          <w:szCs w:val="21"/>
        </w:rPr>
        <w:t>日</w:t>
      </w: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pStyle w:val="2"/>
        <w:rPr>
          <w:rFonts w:hint="eastAsia" w:ascii="宋体" w:hAnsi="宋体" w:eastAsia="宋体" w:cs="宋体"/>
          <w:b/>
          <w:color w:val="000000"/>
          <w:sz w:val="24"/>
          <w:szCs w:val="24"/>
          <w:highlight w:val="none"/>
        </w:rPr>
      </w:pPr>
    </w:p>
    <w:p>
      <w:pPr>
        <w:rPr>
          <w:rFonts w:hint="eastAsia" w:ascii="宋体" w:hAnsi="宋体" w:eastAsia="宋体" w:cs="宋体"/>
          <w:b/>
          <w:color w:val="000000"/>
          <w:sz w:val="24"/>
          <w:szCs w:val="24"/>
          <w:highlight w:val="none"/>
        </w:rPr>
      </w:pPr>
    </w:p>
    <w:p>
      <w:pPr>
        <w:pStyle w:val="2"/>
        <w:rPr>
          <w:rFonts w:hint="eastAsia" w:ascii="宋体" w:hAnsi="宋体" w:eastAsia="宋体" w:cs="宋体"/>
          <w:b/>
          <w:color w:val="000000"/>
          <w:sz w:val="24"/>
          <w:szCs w:val="24"/>
          <w:highlight w:val="none"/>
        </w:rPr>
      </w:pPr>
    </w:p>
    <w:p>
      <w:pPr>
        <w:rPr>
          <w:rFonts w:hint="eastAsia" w:ascii="宋体" w:hAnsi="宋体" w:eastAsia="宋体" w:cs="宋体"/>
          <w:b/>
          <w:color w:val="000000"/>
          <w:sz w:val="24"/>
          <w:szCs w:val="24"/>
          <w:highlight w:val="none"/>
        </w:rPr>
      </w:pPr>
    </w:p>
    <w:p>
      <w:pPr>
        <w:spacing w:line="240" w:lineRule="auto"/>
        <w:jc w:val="center"/>
        <w:rPr>
          <w:rFonts w:hint="eastAsia" w:ascii="宋体" w:hAnsi="宋体" w:eastAsia="宋体" w:cs="宋体"/>
          <w:b/>
          <w:color w:val="000000"/>
          <w:sz w:val="24"/>
          <w:szCs w:val="24"/>
          <w:highlight w:val="none"/>
        </w:rPr>
      </w:pPr>
    </w:p>
    <w:p>
      <w:pPr>
        <w:pStyle w:val="2"/>
        <w:rPr>
          <w:rFonts w:hint="eastAsia"/>
        </w:rPr>
      </w:pPr>
    </w:p>
    <w:p>
      <w:pPr>
        <w:rPr>
          <w:rFonts w:hint="eastAsia"/>
        </w:rPr>
      </w:pPr>
    </w:p>
    <w:p>
      <w:pPr>
        <w:pStyle w:val="2"/>
        <w:rPr>
          <w:rFonts w:hint="eastAsia"/>
        </w:rPr>
      </w:pPr>
    </w:p>
    <w:p>
      <w:pPr>
        <w:spacing w:line="240" w:lineRule="auto"/>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第二部分 合同一般条款</w:t>
      </w:r>
      <w:bookmarkEnd w:id="170"/>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180" w:name="_Toc22939"/>
      <w:bookmarkStart w:id="181" w:name="_Toc487900349"/>
      <w:bookmarkStart w:id="182" w:name="_Toc19614"/>
      <w:bookmarkStart w:id="183" w:name="_Ref467379214"/>
      <w:bookmarkStart w:id="184" w:name="_Ref467378499"/>
      <w:bookmarkStart w:id="185" w:name="_Toc9652"/>
      <w:bookmarkStart w:id="186" w:name="_Ref467379205"/>
      <w:bookmarkStart w:id="187" w:name="_Ref467379094"/>
      <w:bookmarkStart w:id="188" w:name="_Ref467378463"/>
      <w:bookmarkStart w:id="189" w:name="_Ref467379109"/>
      <w:bookmarkStart w:id="190" w:name="_Toc16917"/>
      <w:bookmarkStart w:id="191" w:name="_Ref467379195"/>
      <w:bookmarkStart w:id="192" w:name="_Toc259093669"/>
      <w:bookmarkStart w:id="193" w:name="_Ref467379101"/>
      <w:bookmarkStart w:id="194" w:name="_Toc22431"/>
      <w:bookmarkStart w:id="195" w:name="_Toc18200"/>
      <w:bookmarkStart w:id="196" w:name="_Toc28763"/>
      <w:bookmarkStart w:id="197" w:name="_Toc22904"/>
      <w:bookmarkStart w:id="198" w:name="_Toc16970"/>
      <w:bookmarkStart w:id="199" w:name="_Ref467379225"/>
      <w:bookmarkStart w:id="200" w:name="_Toc279701240"/>
      <w:bookmarkStart w:id="201" w:name="_Ref467378404"/>
      <w:bookmarkStart w:id="202" w:name="_Toc11445"/>
      <w:r>
        <w:rPr>
          <w:rFonts w:hint="eastAsia" w:ascii="Times New Roman" w:hAnsi="Times New Roman" w:eastAsia="宋体" w:cs="Times New Roman"/>
          <w:b/>
          <w:bCs/>
          <w:kern w:val="2"/>
          <w:sz w:val="21"/>
          <w:szCs w:val="24"/>
          <w:lang w:val="en-US" w:eastAsia="zh-CN" w:bidi="ar-SA"/>
        </w:rPr>
        <w:t>2.1 定义</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本合同中的下列词语应按以下内容进行解释：</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2.1.1 “合同”系指采购人和中标投标人签订的载明双方当事人所达成的协议，并包括所有的附件、附录和构成合同的其他文件。</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2.1.2 “合同价”系指根据合同约定，中标投标人在完全履行合同义务后，采购人应支付给中标投标人的价格。</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2.1.3 “货物”系指中标投标人根据合同约定应向采购人交付的一切各种形态和种类的物品，包括原材料、燃料、设备、机械、仪表、备件、计算机软件、产品等，并包括工具、手册等其他相关资料。</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bookmarkStart w:id="203" w:name="_Ref467378840"/>
      <w:r>
        <w:rPr>
          <w:rFonts w:hint="eastAsia" w:ascii="Times New Roman" w:hAnsi="Times New Roman" w:eastAsia="宋体" w:cs="Times New Roman"/>
          <w:kern w:val="2"/>
          <w:sz w:val="21"/>
          <w:szCs w:val="24"/>
          <w:lang w:val="en-US" w:eastAsia="zh-CN" w:bidi="ar-SA"/>
        </w:rPr>
        <w:t>2.1.4 “甲方”系指与中标投标人签署合同的采购人</w:t>
      </w:r>
      <w:bookmarkEnd w:id="203"/>
      <w:r>
        <w:rPr>
          <w:rFonts w:hint="eastAsia" w:ascii="Times New Roman" w:hAnsi="Times New Roman" w:eastAsia="宋体" w:cs="Times New Roman"/>
          <w:kern w:val="2"/>
          <w:sz w:val="21"/>
          <w:szCs w:val="24"/>
          <w:lang w:val="en-US" w:eastAsia="zh-CN" w:bidi="ar-SA"/>
        </w:rPr>
        <w:t>；采购人委托采购代理机构代表其与乙方签订合同的，采购人的授权委托书作为合同附件。</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bookmarkStart w:id="204" w:name="_Ref467379400"/>
      <w:r>
        <w:rPr>
          <w:rFonts w:hint="eastAsia" w:ascii="Times New Roman" w:hAnsi="Times New Roman" w:eastAsia="宋体" w:cs="Times New Roman"/>
          <w:kern w:val="2"/>
          <w:sz w:val="21"/>
          <w:szCs w:val="24"/>
          <w:lang w:val="en-US" w:eastAsia="zh-CN" w:bidi="ar-SA"/>
        </w:rPr>
        <w:t>2.1.5 “乙方”系指根据合同约定交付货物的中标</w:t>
      </w:r>
      <w:bookmarkEnd w:id="204"/>
      <w:r>
        <w:rPr>
          <w:rFonts w:hint="eastAsia" w:ascii="Times New Roman" w:hAnsi="Times New Roman" w:eastAsia="宋体" w:cs="Times New Roman"/>
          <w:kern w:val="2"/>
          <w:sz w:val="21"/>
          <w:szCs w:val="24"/>
          <w:lang w:val="en-US" w:eastAsia="zh-CN" w:bidi="ar-SA"/>
        </w:rPr>
        <w:t>投标人；两个以上的自然人、法人或者其他组织组成一个联合体，以一个投标人的身份共同参加政府采购的，联合体各方均应为乙方或者与乙方相同地位的合同当事人，并就合同约定的事项对甲方承担连带责任。</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bookmarkStart w:id="205" w:name="_Ref467379436"/>
      <w:r>
        <w:rPr>
          <w:rFonts w:hint="eastAsia" w:ascii="Times New Roman" w:hAnsi="Times New Roman" w:eastAsia="宋体" w:cs="Times New Roman"/>
          <w:kern w:val="2"/>
          <w:sz w:val="21"/>
          <w:szCs w:val="24"/>
          <w:lang w:val="en-US" w:eastAsia="zh-CN" w:bidi="ar-SA"/>
        </w:rPr>
        <w:t>2.1.6 “现场”系指合同约定货物将要运至或者安装的地点。</w:t>
      </w:r>
      <w:bookmarkEnd w:id="205"/>
    </w:p>
    <w:p>
      <w:pPr>
        <w:spacing w:line="560" w:lineRule="exact"/>
        <w:ind w:firstLine="361" w:firstLineChars="200"/>
        <w:outlineLvl w:val="0"/>
        <w:rPr>
          <w:rFonts w:hint="eastAsia" w:ascii="Times New Roman" w:hAnsi="Times New Roman" w:eastAsia="宋体" w:cs="Times New Roman"/>
          <w:b/>
          <w:bCs/>
          <w:kern w:val="2"/>
          <w:sz w:val="18"/>
          <w:szCs w:val="18"/>
          <w:lang w:val="en-US" w:eastAsia="zh-CN" w:bidi="ar-SA"/>
        </w:rPr>
      </w:pPr>
      <w:bookmarkStart w:id="206" w:name="_Toc1967"/>
      <w:bookmarkStart w:id="207" w:name="_Toc15561"/>
      <w:bookmarkStart w:id="208" w:name="_Toc13557"/>
      <w:bookmarkStart w:id="209" w:name="_Toc13336"/>
      <w:bookmarkStart w:id="210" w:name="_Toc279701241"/>
      <w:bookmarkStart w:id="211" w:name="_Toc1705"/>
      <w:bookmarkStart w:id="212" w:name="_Toc487900350"/>
      <w:bookmarkStart w:id="213" w:name="_Toc31131"/>
      <w:bookmarkStart w:id="214" w:name="_Toc27635"/>
      <w:bookmarkStart w:id="215" w:name="_Toc8472"/>
      <w:bookmarkStart w:id="216" w:name="_Toc32504"/>
      <w:bookmarkStart w:id="217" w:name="_Toc20853"/>
      <w:bookmarkStart w:id="218" w:name="_Toc259093670"/>
      <w:r>
        <w:rPr>
          <w:rFonts w:hint="eastAsia" w:ascii="Times New Roman" w:hAnsi="Times New Roman" w:eastAsia="宋体" w:cs="Times New Roman"/>
          <w:b/>
          <w:bCs/>
          <w:kern w:val="2"/>
          <w:sz w:val="18"/>
          <w:szCs w:val="18"/>
          <w:lang w:val="en-US" w:eastAsia="zh-CN" w:bidi="ar-SA"/>
        </w:rPr>
        <w:t>2.2 技术规范</w:t>
      </w:r>
      <w:bookmarkEnd w:id="206"/>
      <w:bookmarkEnd w:id="207"/>
      <w:bookmarkEnd w:id="208"/>
      <w:bookmarkEnd w:id="209"/>
      <w:bookmarkEnd w:id="210"/>
      <w:bookmarkEnd w:id="211"/>
      <w:bookmarkEnd w:id="212"/>
      <w:bookmarkEnd w:id="213"/>
      <w:bookmarkEnd w:id="214"/>
      <w:bookmarkEnd w:id="215"/>
      <w:bookmarkEnd w:id="216"/>
      <w:bookmarkEnd w:id="217"/>
      <w:bookmarkEnd w:id="218"/>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219" w:name="_Toc7715"/>
      <w:bookmarkStart w:id="220" w:name="_Toc279701242"/>
      <w:bookmarkStart w:id="221" w:name="_Toc9829"/>
      <w:bookmarkStart w:id="222" w:name="_Toc23716"/>
      <w:bookmarkStart w:id="223" w:name="_Toc9557"/>
      <w:bookmarkStart w:id="224" w:name="_Toc8504"/>
      <w:bookmarkStart w:id="225" w:name="_Toc23631"/>
      <w:bookmarkStart w:id="226" w:name="_Toc27853"/>
      <w:bookmarkStart w:id="227" w:name="_Toc487900351"/>
      <w:bookmarkStart w:id="228" w:name="_Toc31634"/>
      <w:bookmarkStart w:id="229" w:name="_Toc259093671"/>
      <w:bookmarkStart w:id="230" w:name="_Toc25689"/>
      <w:bookmarkStart w:id="231" w:name="_Toc30303"/>
      <w:r>
        <w:rPr>
          <w:rFonts w:hint="eastAsia" w:ascii="Times New Roman" w:hAnsi="Times New Roman" w:eastAsia="宋体" w:cs="Times New Roman"/>
          <w:b/>
          <w:bCs/>
          <w:kern w:val="2"/>
          <w:sz w:val="21"/>
          <w:szCs w:val="24"/>
          <w:lang w:val="en-US" w:eastAsia="zh-CN" w:bidi="ar-SA"/>
        </w:rPr>
        <w:t>2.3 知识产权</w:t>
      </w:r>
      <w:bookmarkEnd w:id="219"/>
      <w:bookmarkEnd w:id="220"/>
      <w:bookmarkEnd w:id="221"/>
      <w:bookmarkEnd w:id="222"/>
      <w:bookmarkEnd w:id="223"/>
      <w:bookmarkEnd w:id="224"/>
      <w:bookmarkEnd w:id="225"/>
      <w:bookmarkEnd w:id="226"/>
      <w:bookmarkEnd w:id="227"/>
      <w:bookmarkEnd w:id="228"/>
      <w:bookmarkEnd w:id="229"/>
      <w:bookmarkEnd w:id="230"/>
      <w:bookmarkEnd w:id="231"/>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2.3.2具有知识产权的计算机软件等货物的知识产权归属，详见合同专用条款。</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232" w:name="_Toc21086"/>
      <w:bookmarkStart w:id="233" w:name="_Toc19455"/>
      <w:bookmarkStart w:id="234" w:name="_Toc11932"/>
      <w:bookmarkStart w:id="235" w:name="_Toc17478"/>
      <w:bookmarkStart w:id="236" w:name="_Toc24074"/>
      <w:bookmarkStart w:id="237" w:name="_Toc11150"/>
      <w:bookmarkStart w:id="238" w:name="_Toc25769"/>
      <w:bookmarkStart w:id="239" w:name="_Toc29149"/>
      <w:bookmarkStart w:id="240" w:name="_Toc4194"/>
      <w:bookmarkStart w:id="241" w:name="_Toc1620"/>
      <w:r>
        <w:rPr>
          <w:rFonts w:hint="eastAsia" w:ascii="Times New Roman" w:hAnsi="Times New Roman" w:eastAsia="宋体" w:cs="Times New Roman"/>
          <w:b/>
          <w:bCs/>
          <w:kern w:val="2"/>
          <w:sz w:val="21"/>
          <w:szCs w:val="24"/>
          <w:lang w:val="en-US" w:eastAsia="zh-CN" w:bidi="ar-SA"/>
        </w:rPr>
        <w:t>2.4 包装和装运</w:t>
      </w:r>
      <w:bookmarkEnd w:id="232"/>
      <w:bookmarkEnd w:id="233"/>
      <w:bookmarkEnd w:id="234"/>
      <w:bookmarkEnd w:id="235"/>
      <w:bookmarkEnd w:id="236"/>
      <w:bookmarkEnd w:id="237"/>
      <w:bookmarkEnd w:id="238"/>
      <w:bookmarkEnd w:id="239"/>
      <w:bookmarkEnd w:id="240"/>
      <w:bookmarkEnd w:id="241"/>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2.4.1除合同专用条款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2.4.2 装运货物的要求和通知，详见合同专用条款。</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242" w:name="_Ref467378591"/>
      <w:bookmarkStart w:id="243" w:name="_Ref467379536"/>
      <w:bookmarkStart w:id="244" w:name="_Toc487900354"/>
      <w:bookmarkStart w:id="245" w:name="_Ref467379542"/>
      <w:bookmarkStart w:id="246" w:name="_Ref467379527"/>
      <w:bookmarkStart w:id="247" w:name="_Toc279701245"/>
      <w:bookmarkStart w:id="248" w:name="_Ref467378541"/>
      <w:bookmarkStart w:id="249" w:name="_Toc259093674"/>
      <w:bookmarkStart w:id="250" w:name="_Toc26182"/>
      <w:bookmarkStart w:id="251" w:name="_Toc32471"/>
      <w:bookmarkStart w:id="252" w:name="_Toc178"/>
      <w:bookmarkStart w:id="253" w:name="_Toc825"/>
      <w:bookmarkStart w:id="254" w:name="_Toc28369"/>
      <w:bookmarkStart w:id="255" w:name="_Toc19074"/>
      <w:bookmarkStart w:id="256" w:name="_Toc1950"/>
      <w:bookmarkStart w:id="257" w:name="_Toc30869"/>
      <w:bookmarkStart w:id="258" w:name="_Toc30272"/>
      <w:bookmarkStart w:id="259" w:name="_Toc27983"/>
      <w:r>
        <w:rPr>
          <w:rFonts w:hint="eastAsia" w:ascii="Times New Roman" w:hAnsi="Times New Roman" w:eastAsia="宋体" w:cs="Times New Roman"/>
          <w:b/>
          <w:bCs/>
          <w:kern w:val="2"/>
          <w:sz w:val="21"/>
          <w:szCs w:val="24"/>
          <w:lang w:val="en-US" w:eastAsia="zh-CN" w:bidi="ar-SA"/>
        </w:rPr>
        <w:t>2.</w:t>
      </w:r>
      <w:bookmarkEnd w:id="242"/>
      <w:bookmarkEnd w:id="243"/>
      <w:bookmarkEnd w:id="244"/>
      <w:bookmarkEnd w:id="245"/>
      <w:bookmarkEnd w:id="246"/>
      <w:bookmarkEnd w:id="247"/>
      <w:bookmarkEnd w:id="248"/>
      <w:bookmarkEnd w:id="249"/>
      <w:r>
        <w:rPr>
          <w:rFonts w:hint="eastAsia" w:ascii="Times New Roman" w:hAnsi="Times New Roman" w:eastAsia="宋体" w:cs="Times New Roman"/>
          <w:b/>
          <w:bCs/>
          <w:kern w:val="2"/>
          <w:sz w:val="21"/>
          <w:szCs w:val="24"/>
          <w:lang w:val="en-US" w:eastAsia="zh-CN" w:bidi="ar-SA"/>
        </w:rPr>
        <w:t>5 履约检查和问题反馈</w:t>
      </w:r>
      <w:bookmarkEnd w:id="250"/>
      <w:bookmarkEnd w:id="251"/>
      <w:bookmarkEnd w:id="252"/>
      <w:bookmarkEnd w:id="253"/>
      <w:bookmarkEnd w:id="254"/>
      <w:bookmarkEnd w:id="255"/>
      <w:bookmarkEnd w:id="256"/>
      <w:bookmarkEnd w:id="257"/>
      <w:bookmarkEnd w:id="258"/>
      <w:bookmarkEnd w:id="259"/>
    </w:p>
    <w:p>
      <w:pPr>
        <w:spacing w:line="560" w:lineRule="exact"/>
        <w:ind w:firstLine="420" w:firstLineChars="200"/>
        <w:rPr>
          <w:rFonts w:hint="eastAsia" w:ascii="Times New Roman" w:hAnsi="Times New Roman" w:eastAsia="宋体" w:cs="Times New Roman"/>
          <w:kern w:val="2"/>
          <w:sz w:val="21"/>
          <w:szCs w:val="24"/>
          <w:lang w:val="en-US" w:eastAsia="zh-CN" w:bidi="ar-SA"/>
        </w:rPr>
      </w:pPr>
      <w:bookmarkStart w:id="260" w:name="_Ref467379657"/>
      <w:r>
        <w:rPr>
          <w:rFonts w:hint="eastAsia" w:ascii="Times New Roman" w:hAnsi="Times New Roman" w:eastAsia="宋体" w:cs="Times New Roman"/>
          <w:kern w:val="2"/>
          <w:sz w:val="21"/>
          <w:szCs w:val="24"/>
          <w:lang w:val="en-US" w:eastAsia="zh-CN" w:bidi="ar-SA"/>
        </w:rPr>
        <w:t>2.5.1</w:t>
      </w:r>
      <w:bookmarkEnd w:id="260"/>
      <w:bookmarkStart w:id="261" w:name="_Toc186431854"/>
      <w:bookmarkStart w:id="262" w:name="_Toc279701247"/>
      <w:bookmarkStart w:id="263" w:name="_Ref467379793"/>
      <w:bookmarkStart w:id="264" w:name="_Ref467379807"/>
      <w:bookmarkStart w:id="265" w:name="_Toc259093676"/>
      <w:bookmarkStart w:id="266" w:name="_Toc487900357"/>
      <w:r>
        <w:rPr>
          <w:rFonts w:hint="eastAsia" w:ascii="Times New Roman" w:hAnsi="Times New Roman" w:eastAsia="宋体" w:cs="Times New Roman"/>
          <w:kern w:val="2"/>
          <w:sz w:val="21"/>
          <w:szCs w:val="24"/>
          <w:lang w:val="en-US" w:eastAsia="zh-CN" w:bidi="ar-SA"/>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2.5.2 合同履行期间，甲方有权将履行过程中出现的问题反馈给乙方，双方当事人应以书面形式约定需要完善和改进的内容</w:t>
      </w:r>
      <w:bookmarkEnd w:id="261"/>
      <w:bookmarkStart w:id="267" w:name="_Toc186431855"/>
      <w:r>
        <w:rPr>
          <w:rFonts w:hint="eastAsia" w:ascii="Times New Roman" w:hAnsi="Times New Roman" w:eastAsia="宋体" w:cs="Times New Roman"/>
          <w:kern w:val="2"/>
          <w:sz w:val="21"/>
          <w:szCs w:val="24"/>
          <w:lang w:val="en-US" w:eastAsia="zh-CN" w:bidi="ar-SA"/>
        </w:rPr>
        <w:t>。</w:t>
      </w:r>
    </w:p>
    <w:bookmarkEnd w:id="267"/>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268" w:name="_Toc7836"/>
      <w:bookmarkStart w:id="269" w:name="_Toc16577"/>
      <w:bookmarkStart w:id="270" w:name="_Toc6987"/>
      <w:bookmarkStart w:id="271" w:name="_Toc8786"/>
      <w:bookmarkStart w:id="272" w:name="_Toc2279"/>
      <w:bookmarkStart w:id="273" w:name="_Toc19219"/>
      <w:bookmarkStart w:id="274" w:name="_Toc22776"/>
      <w:bookmarkStart w:id="275" w:name="_Toc28451"/>
      <w:bookmarkStart w:id="276" w:name="_Toc20387"/>
      <w:bookmarkStart w:id="277" w:name="_Toc24597"/>
      <w:r>
        <w:rPr>
          <w:rFonts w:hint="eastAsia" w:ascii="Times New Roman" w:hAnsi="Times New Roman" w:eastAsia="宋体" w:cs="Times New Roman"/>
          <w:b/>
          <w:bCs/>
          <w:kern w:val="2"/>
          <w:sz w:val="21"/>
          <w:szCs w:val="24"/>
          <w:lang w:val="en-US" w:eastAsia="zh-CN" w:bidi="ar-SA"/>
        </w:rPr>
        <w:t>2.6 结算方式和付款条件</w:t>
      </w:r>
      <w:bookmarkEnd w:id="262"/>
      <w:bookmarkEnd w:id="263"/>
      <w:bookmarkEnd w:id="264"/>
      <w:bookmarkEnd w:id="265"/>
      <w:bookmarkEnd w:id="266"/>
      <w:bookmarkEnd w:id="268"/>
      <w:bookmarkEnd w:id="269"/>
      <w:bookmarkEnd w:id="270"/>
      <w:bookmarkEnd w:id="271"/>
      <w:bookmarkEnd w:id="272"/>
      <w:bookmarkEnd w:id="273"/>
      <w:bookmarkEnd w:id="274"/>
      <w:bookmarkEnd w:id="275"/>
      <w:bookmarkEnd w:id="276"/>
      <w:bookmarkEnd w:id="277"/>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详见合同专用条款。</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278" w:name="_Toc259093677"/>
      <w:bookmarkStart w:id="279" w:name="_Toc487900358"/>
      <w:bookmarkStart w:id="280" w:name="_Ref467379863"/>
      <w:bookmarkStart w:id="281" w:name="_Ref467379923"/>
      <w:bookmarkStart w:id="282" w:name="_Toc279701248"/>
      <w:bookmarkStart w:id="283" w:name="_Ref467379852"/>
      <w:bookmarkStart w:id="284" w:name="_Toc28812"/>
      <w:bookmarkStart w:id="285" w:name="_Toc1198"/>
      <w:bookmarkStart w:id="286" w:name="_Toc16110"/>
      <w:bookmarkStart w:id="287" w:name="_Toc774"/>
      <w:bookmarkStart w:id="288" w:name="_Toc905"/>
      <w:bookmarkStart w:id="289" w:name="_Toc23337"/>
      <w:bookmarkStart w:id="290" w:name="_Toc1395"/>
      <w:bookmarkStart w:id="291" w:name="_Toc14899"/>
      <w:bookmarkStart w:id="292" w:name="_Toc3225"/>
      <w:bookmarkStart w:id="293" w:name="_Toc12012"/>
      <w:r>
        <w:rPr>
          <w:rFonts w:hint="eastAsia" w:ascii="Times New Roman" w:hAnsi="Times New Roman" w:eastAsia="宋体" w:cs="Times New Roman"/>
          <w:b/>
          <w:bCs/>
          <w:kern w:val="2"/>
          <w:sz w:val="21"/>
          <w:szCs w:val="24"/>
          <w:lang w:val="en-US" w:eastAsia="zh-CN" w:bidi="ar-SA"/>
        </w:rPr>
        <w:t>2.7 技术资料</w:t>
      </w:r>
      <w:bookmarkEnd w:id="278"/>
      <w:bookmarkEnd w:id="279"/>
      <w:bookmarkEnd w:id="280"/>
      <w:bookmarkEnd w:id="281"/>
      <w:bookmarkEnd w:id="282"/>
      <w:bookmarkEnd w:id="283"/>
      <w:r>
        <w:rPr>
          <w:rFonts w:hint="eastAsia" w:ascii="Times New Roman" w:hAnsi="Times New Roman" w:eastAsia="宋体" w:cs="Times New Roman"/>
          <w:b/>
          <w:bCs/>
          <w:kern w:val="2"/>
          <w:sz w:val="21"/>
          <w:szCs w:val="24"/>
          <w:lang w:val="en-US" w:eastAsia="zh-CN" w:bidi="ar-SA"/>
        </w:rPr>
        <w:t>和保密义务</w:t>
      </w:r>
      <w:bookmarkEnd w:id="284"/>
      <w:bookmarkEnd w:id="285"/>
      <w:bookmarkEnd w:id="286"/>
      <w:bookmarkEnd w:id="287"/>
      <w:bookmarkEnd w:id="288"/>
      <w:bookmarkEnd w:id="289"/>
      <w:bookmarkEnd w:id="290"/>
      <w:bookmarkEnd w:id="291"/>
      <w:bookmarkEnd w:id="292"/>
      <w:bookmarkEnd w:id="293"/>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2.7.1 乙方有权依据合同约定和项目需要，向甲方了解有关情况，调阅有关资料等，甲方应予积极配合；</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2.7.2 乙方有义务妥善保管和保护由甲方提供的前款信息和资料等；</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294" w:name="_Toc7860"/>
      <w:bookmarkStart w:id="295" w:name="_Toc14301"/>
      <w:bookmarkStart w:id="296" w:name="_Toc2838"/>
      <w:bookmarkStart w:id="297" w:name="_Toc11864"/>
      <w:bookmarkStart w:id="298" w:name="_Toc6460"/>
      <w:bookmarkStart w:id="299" w:name="_Toc13442"/>
      <w:bookmarkStart w:id="300" w:name="_Toc13130"/>
      <w:bookmarkStart w:id="301" w:name="_Toc19803"/>
      <w:r>
        <w:rPr>
          <w:rFonts w:hint="eastAsia" w:ascii="Times New Roman" w:hAnsi="Times New Roman" w:eastAsia="宋体" w:cs="Times New Roman"/>
          <w:b/>
          <w:bCs/>
          <w:kern w:val="2"/>
          <w:sz w:val="21"/>
          <w:szCs w:val="24"/>
          <w:lang w:val="en-US" w:eastAsia="zh-CN" w:bidi="ar-SA"/>
        </w:rPr>
        <w:t>2.8 质量保证</w:t>
      </w:r>
      <w:bookmarkEnd w:id="294"/>
      <w:bookmarkEnd w:id="295"/>
      <w:bookmarkEnd w:id="296"/>
      <w:bookmarkEnd w:id="297"/>
      <w:bookmarkEnd w:id="298"/>
      <w:bookmarkEnd w:id="299"/>
      <w:bookmarkEnd w:id="300"/>
      <w:bookmarkEnd w:id="301"/>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2.8.1 乙方应建立和完善履行合同的内部质量保证体系，并提供相关内部规章制度给甲方，以便甲方进行监督检查；</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2.8.2 乙方应保证履行合同的人员数量和素质、软件和硬件设备的配置、场地、环境和设施等满足全面履行合同的要求，并应接受甲方的监督检查。</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302" w:name="_Toc17648"/>
      <w:bookmarkStart w:id="303" w:name="_Toc17244"/>
      <w:bookmarkStart w:id="304" w:name="_Toc23768"/>
      <w:bookmarkStart w:id="305" w:name="_Toc2990"/>
      <w:bookmarkStart w:id="306" w:name="_Toc27782"/>
      <w:bookmarkStart w:id="307" w:name="_Toc2429"/>
      <w:bookmarkStart w:id="308" w:name="_Toc11641"/>
      <w:bookmarkStart w:id="309" w:name="_Toc19420"/>
      <w:bookmarkStart w:id="310" w:name="_Toc279701252"/>
      <w:bookmarkStart w:id="311" w:name="_Toc259093681"/>
      <w:bookmarkStart w:id="312" w:name="_Toc487900362"/>
      <w:r>
        <w:rPr>
          <w:rFonts w:hint="eastAsia" w:ascii="Times New Roman" w:hAnsi="Times New Roman" w:eastAsia="宋体" w:cs="Times New Roman"/>
          <w:b/>
          <w:bCs/>
          <w:kern w:val="2"/>
          <w:sz w:val="21"/>
          <w:szCs w:val="24"/>
          <w:lang w:val="en-US" w:eastAsia="zh-CN" w:bidi="ar-SA"/>
        </w:rPr>
        <w:t>2.9 货物的风险负担</w:t>
      </w:r>
      <w:bookmarkEnd w:id="302"/>
      <w:bookmarkEnd w:id="303"/>
      <w:bookmarkEnd w:id="304"/>
      <w:bookmarkEnd w:id="305"/>
      <w:bookmarkEnd w:id="306"/>
      <w:bookmarkEnd w:id="307"/>
      <w:bookmarkEnd w:id="308"/>
      <w:bookmarkEnd w:id="309"/>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货物或者在途货物或者交付给第一承运人后的货物毁损、灭失的风险负担详见合同专用条款。</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313" w:name="_Toc20495"/>
      <w:bookmarkStart w:id="314" w:name="_Toc4487"/>
      <w:bookmarkStart w:id="315" w:name="_Toc13111"/>
      <w:bookmarkStart w:id="316" w:name="_Toc14055"/>
      <w:bookmarkStart w:id="317" w:name="_Toc11996"/>
      <w:bookmarkStart w:id="318" w:name="_Toc1317"/>
      <w:bookmarkStart w:id="319" w:name="_Toc16383"/>
      <w:bookmarkStart w:id="320" w:name="_Toc18768"/>
      <w:r>
        <w:rPr>
          <w:rFonts w:hint="eastAsia" w:ascii="Times New Roman" w:hAnsi="Times New Roman" w:eastAsia="宋体" w:cs="Times New Roman"/>
          <w:b/>
          <w:bCs/>
          <w:kern w:val="2"/>
          <w:sz w:val="21"/>
          <w:szCs w:val="24"/>
          <w:lang w:val="en-US" w:eastAsia="zh-CN" w:bidi="ar-SA"/>
        </w:rPr>
        <w:t>2.10 延迟交货</w:t>
      </w:r>
      <w:bookmarkEnd w:id="310"/>
      <w:bookmarkEnd w:id="311"/>
      <w:bookmarkEnd w:id="312"/>
      <w:bookmarkEnd w:id="313"/>
      <w:bookmarkEnd w:id="314"/>
      <w:bookmarkEnd w:id="315"/>
      <w:bookmarkEnd w:id="316"/>
      <w:bookmarkEnd w:id="317"/>
      <w:bookmarkEnd w:id="318"/>
      <w:bookmarkEnd w:id="319"/>
      <w:bookmarkEnd w:id="320"/>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321" w:name="_Toc10624"/>
      <w:bookmarkStart w:id="322" w:name="_Toc2431"/>
      <w:bookmarkStart w:id="323" w:name="_Toc27305"/>
      <w:bookmarkStart w:id="324" w:name="_Toc7502"/>
      <w:bookmarkStart w:id="325" w:name="_Toc4271"/>
      <w:bookmarkStart w:id="326" w:name="_Toc21628"/>
      <w:bookmarkStart w:id="327" w:name="_Toc14128"/>
      <w:bookmarkStart w:id="328" w:name="_Toc26705"/>
      <w:bookmarkStart w:id="329" w:name="_Toc487900364"/>
      <w:bookmarkStart w:id="330" w:name="_Ref467378121"/>
      <w:bookmarkStart w:id="331" w:name="_Toc259093683"/>
      <w:bookmarkStart w:id="332" w:name="_Toc279701254"/>
      <w:r>
        <w:rPr>
          <w:rFonts w:hint="eastAsia" w:ascii="Times New Roman" w:hAnsi="Times New Roman" w:eastAsia="宋体" w:cs="Times New Roman"/>
          <w:b/>
          <w:bCs/>
          <w:kern w:val="2"/>
          <w:sz w:val="21"/>
          <w:szCs w:val="24"/>
          <w:lang w:val="en-US" w:eastAsia="zh-CN" w:bidi="ar-SA"/>
        </w:rPr>
        <w:t>2.11 合同变更</w:t>
      </w:r>
      <w:bookmarkEnd w:id="321"/>
      <w:bookmarkEnd w:id="322"/>
      <w:bookmarkEnd w:id="323"/>
      <w:bookmarkEnd w:id="324"/>
      <w:bookmarkEnd w:id="325"/>
      <w:bookmarkEnd w:id="326"/>
      <w:bookmarkEnd w:id="327"/>
      <w:bookmarkEnd w:id="328"/>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2.11.1双方当事人协商一致，可以签订书面补充合同的形式变更合同，但不得违背采购文件确定的事项，且如果系追加与合同标的相同的货物的，那么所有补充合同的采购金额不得超过原合同价的10%；</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2.11.2 合同继续履行将损害国家利益和社会公共利益的，双方当事人应当以书面形式变更合同。有过错的一方应当承担赔偿责任，双方当事人都有过错的，各自承担相应的责任。</w:t>
      </w:r>
      <w:bookmarkStart w:id="333" w:name="_Toc279701259"/>
      <w:bookmarkStart w:id="334" w:name="_Toc259093688"/>
      <w:bookmarkStart w:id="335" w:name="_Toc487900369"/>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336" w:name="_Toc9013"/>
      <w:bookmarkStart w:id="337" w:name="_Toc31277"/>
      <w:bookmarkStart w:id="338" w:name="_Toc27360"/>
      <w:bookmarkStart w:id="339" w:name="_Toc10366"/>
      <w:bookmarkStart w:id="340" w:name="_Toc13330"/>
      <w:bookmarkStart w:id="341" w:name="_Toc15237"/>
      <w:bookmarkStart w:id="342" w:name="_Toc13604"/>
      <w:bookmarkStart w:id="343" w:name="_Toc21469"/>
      <w:bookmarkStart w:id="344" w:name="_Toc8912"/>
      <w:bookmarkStart w:id="345" w:name="_Toc22955"/>
      <w:r>
        <w:rPr>
          <w:rFonts w:hint="eastAsia" w:ascii="Times New Roman" w:hAnsi="Times New Roman" w:eastAsia="宋体" w:cs="Times New Roman"/>
          <w:b/>
          <w:bCs/>
          <w:kern w:val="2"/>
          <w:sz w:val="21"/>
          <w:szCs w:val="24"/>
          <w:lang w:val="en-US" w:eastAsia="zh-CN" w:bidi="ar-SA"/>
        </w:rPr>
        <w:t>2.12 合同转让</w:t>
      </w:r>
      <w:bookmarkEnd w:id="333"/>
      <w:bookmarkEnd w:id="334"/>
      <w:bookmarkEnd w:id="335"/>
      <w:r>
        <w:rPr>
          <w:rFonts w:hint="eastAsia" w:ascii="Times New Roman" w:hAnsi="Times New Roman" w:eastAsia="宋体" w:cs="Times New Roman"/>
          <w:b/>
          <w:bCs/>
          <w:kern w:val="2"/>
          <w:sz w:val="21"/>
          <w:szCs w:val="24"/>
          <w:lang w:val="en-US" w:eastAsia="zh-CN" w:bidi="ar-SA"/>
        </w:rPr>
        <w:t>和分包</w:t>
      </w:r>
      <w:bookmarkEnd w:id="336"/>
      <w:bookmarkEnd w:id="337"/>
      <w:bookmarkEnd w:id="338"/>
      <w:bookmarkEnd w:id="339"/>
      <w:bookmarkEnd w:id="340"/>
      <w:bookmarkEnd w:id="341"/>
      <w:bookmarkEnd w:id="342"/>
      <w:bookmarkEnd w:id="343"/>
      <w:bookmarkEnd w:id="344"/>
      <w:bookmarkEnd w:id="345"/>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投标人就分包项目向甲方承担连带责任。</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346" w:name="_Toc16508"/>
      <w:bookmarkStart w:id="347" w:name="_Toc16866"/>
      <w:bookmarkStart w:id="348" w:name="_Toc14589"/>
      <w:bookmarkStart w:id="349" w:name="_Toc13315"/>
      <w:bookmarkStart w:id="350" w:name="_Toc13566"/>
      <w:bookmarkStart w:id="351" w:name="_Toc14066"/>
      <w:bookmarkStart w:id="352" w:name="_Toc13667"/>
      <w:bookmarkStart w:id="353" w:name="_Toc11275"/>
      <w:bookmarkStart w:id="354" w:name="_Toc21117"/>
      <w:bookmarkStart w:id="355" w:name="_Toc30689"/>
      <w:r>
        <w:rPr>
          <w:rFonts w:hint="eastAsia" w:ascii="Times New Roman" w:hAnsi="Times New Roman" w:eastAsia="宋体" w:cs="Times New Roman"/>
          <w:b/>
          <w:bCs/>
          <w:kern w:val="2"/>
          <w:sz w:val="21"/>
          <w:szCs w:val="24"/>
          <w:lang w:val="en-US" w:eastAsia="zh-CN" w:bidi="ar-SA"/>
        </w:rPr>
        <w:t>2.13 不可抗力</w:t>
      </w:r>
      <w:bookmarkEnd w:id="346"/>
      <w:bookmarkEnd w:id="347"/>
      <w:bookmarkEnd w:id="348"/>
      <w:bookmarkEnd w:id="349"/>
      <w:bookmarkEnd w:id="350"/>
      <w:bookmarkEnd w:id="351"/>
      <w:bookmarkEnd w:id="352"/>
      <w:bookmarkEnd w:id="353"/>
      <w:bookmarkEnd w:id="354"/>
      <w:bookmarkEnd w:id="355"/>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2.13.1如果任何一方遭遇法律规定的不可抗力，致使合同履行受阻时，履行合同的期限应予延长，延长的期限应相当于不可抗力所影响的时间；</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2.13.2 因不可抗力致使不能实现合同目的的，当事人可以解除合同；</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2.13.3 因不可抗力致使合同有变更必要的，双方当事人应在合同专用条款约定时间内以书面形式变更合同；</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2.13.4受不可抗力影响的一方在不可抗力发生后，应在合同专用条款约定时间内以书面形式通知对方当事人，并在合同专用条款约定时间内，将有关部门出具的证明文件送达对方当事人。</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356" w:name="_Toc279701255"/>
      <w:bookmarkStart w:id="357" w:name="_Toc4202"/>
      <w:bookmarkStart w:id="358" w:name="_Toc28553"/>
      <w:bookmarkStart w:id="359" w:name="_Toc30676"/>
      <w:bookmarkStart w:id="360" w:name="_Toc6969"/>
      <w:bookmarkStart w:id="361" w:name="_Toc24210"/>
      <w:bookmarkStart w:id="362" w:name="_Toc3271"/>
      <w:bookmarkStart w:id="363" w:name="_Toc689"/>
      <w:bookmarkStart w:id="364" w:name="_Toc487900365"/>
      <w:bookmarkStart w:id="365" w:name="_Toc26701"/>
      <w:bookmarkStart w:id="366" w:name="_Toc259093684"/>
      <w:bookmarkStart w:id="367" w:name="_Toc12526"/>
      <w:bookmarkStart w:id="368" w:name="_Toc15529"/>
      <w:r>
        <w:rPr>
          <w:rFonts w:hint="eastAsia" w:ascii="Times New Roman" w:hAnsi="Times New Roman" w:eastAsia="宋体" w:cs="Times New Roman"/>
          <w:b/>
          <w:bCs/>
          <w:kern w:val="2"/>
          <w:sz w:val="21"/>
          <w:szCs w:val="24"/>
          <w:lang w:val="en-US" w:eastAsia="zh-CN" w:bidi="ar-SA"/>
        </w:rPr>
        <w:t>2.14 税费</w:t>
      </w:r>
      <w:bookmarkEnd w:id="356"/>
      <w:bookmarkEnd w:id="357"/>
      <w:bookmarkEnd w:id="358"/>
      <w:bookmarkEnd w:id="359"/>
      <w:bookmarkEnd w:id="360"/>
      <w:bookmarkEnd w:id="361"/>
      <w:bookmarkEnd w:id="362"/>
      <w:bookmarkEnd w:id="363"/>
      <w:bookmarkEnd w:id="364"/>
      <w:bookmarkEnd w:id="365"/>
      <w:bookmarkEnd w:id="366"/>
      <w:bookmarkEnd w:id="367"/>
      <w:bookmarkEnd w:id="368"/>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与合同有关的一切税费，均按照中华人民共和国法律的相关规定。</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369" w:name="_Toc279701258"/>
      <w:bookmarkStart w:id="370" w:name="_Toc4921"/>
      <w:bookmarkStart w:id="371" w:name="_Toc23378"/>
      <w:bookmarkStart w:id="372" w:name="_Toc8298"/>
      <w:bookmarkStart w:id="373" w:name="_Toc23363"/>
      <w:bookmarkStart w:id="374" w:name="_Toc14652"/>
      <w:bookmarkStart w:id="375" w:name="_Toc16959"/>
      <w:bookmarkStart w:id="376" w:name="_Toc487900368"/>
      <w:bookmarkStart w:id="377" w:name="_Toc725"/>
      <w:bookmarkStart w:id="378" w:name="_Toc19279"/>
      <w:bookmarkStart w:id="379" w:name="_Toc259093687"/>
      <w:bookmarkStart w:id="380" w:name="_Toc7102"/>
      <w:bookmarkStart w:id="381" w:name="_Toc9201"/>
      <w:r>
        <w:rPr>
          <w:rFonts w:hint="eastAsia" w:ascii="Times New Roman" w:hAnsi="Times New Roman" w:eastAsia="宋体" w:cs="Times New Roman"/>
          <w:b/>
          <w:bCs/>
          <w:kern w:val="2"/>
          <w:sz w:val="21"/>
          <w:szCs w:val="24"/>
          <w:lang w:val="en-US" w:eastAsia="zh-CN" w:bidi="ar-SA"/>
        </w:rPr>
        <w:t>2.15 乙方破产</w:t>
      </w:r>
      <w:bookmarkEnd w:id="369"/>
      <w:bookmarkEnd w:id="370"/>
      <w:bookmarkEnd w:id="371"/>
      <w:bookmarkEnd w:id="372"/>
      <w:bookmarkEnd w:id="373"/>
      <w:bookmarkEnd w:id="374"/>
      <w:bookmarkEnd w:id="375"/>
      <w:bookmarkEnd w:id="376"/>
      <w:bookmarkEnd w:id="377"/>
      <w:bookmarkEnd w:id="378"/>
      <w:bookmarkEnd w:id="379"/>
      <w:bookmarkEnd w:id="380"/>
      <w:bookmarkEnd w:id="381"/>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382" w:name="_Toc6134"/>
      <w:bookmarkStart w:id="383" w:name="_Toc6847"/>
      <w:bookmarkStart w:id="384" w:name="_Toc13954"/>
      <w:bookmarkStart w:id="385" w:name="_Toc2684"/>
      <w:bookmarkStart w:id="386" w:name="_Toc29378"/>
      <w:bookmarkStart w:id="387" w:name="_Toc29333"/>
      <w:bookmarkStart w:id="388" w:name="_Toc9443"/>
      <w:bookmarkStart w:id="389" w:name="_Toc15387"/>
      <w:bookmarkStart w:id="390" w:name="_Toc28828"/>
      <w:bookmarkStart w:id="391" w:name="_Toc6530"/>
      <w:r>
        <w:rPr>
          <w:rFonts w:hint="eastAsia" w:ascii="Times New Roman" w:hAnsi="Times New Roman" w:eastAsia="宋体" w:cs="Times New Roman"/>
          <w:b/>
          <w:bCs/>
          <w:kern w:val="2"/>
          <w:sz w:val="21"/>
          <w:szCs w:val="24"/>
          <w:lang w:val="en-US" w:eastAsia="zh-CN" w:bidi="ar-SA"/>
        </w:rPr>
        <w:t>2.16 合同中止、终止</w:t>
      </w:r>
      <w:bookmarkEnd w:id="382"/>
      <w:bookmarkEnd w:id="383"/>
      <w:bookmarkEnd w:id="384"/>
      <w:bookmarkEnd w:id="385"/>
      <w:bookmarkEnd w:id="386"/>
      <w:bookmarkEnd w:id="387"/>
      <w:bookmarkEnd w:id="388"/>
      <w:bookmarkEnd w:id="389"/>
      <w:bookmarkEnd w:id="390"/>
      <w:bookmarkEnd w:id="391"/>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2.16.1 双方当事人不得擅自中止或者终止合同；</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2.16.2合同继续履行将损害国家利益和社会公共利益的，双方当事人应当中止或者终止合同。有过错的一方应当承担赔偿责任，双方当事人都有过错的，各自承担相应的责任。</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392" w:name="_Toc14563"/>
      <w:bookmarkStart w:id="393" w:name="_Toc17050"/>
      <w:bookmarkStart w:id="394" w:name="_Toc5287"/>
      <w:bookmarkStart w:id="395" w:name="_Toc13616"/>
      <w:bookmarkStart w:id="396" w:name="_Toc1125"/>
      <w:bookmarkStart w:id="397" w:name="_Toc786"/>
      <w:bookmarkStart w:id="398" w:name="_Toc29723"/>
      <w:bookmarkStart w:id="399" w:name="_Toc22722"/>
      <w:bookmarkStart w:id="400" w:name="_Toc6596"/>
      <w:bookmarkStart w:id="401" w:name="_Toc19390"/>
      <w:r>
        <w:rPr>
          <w:rFonts w:hint="eastAsia" w:ascii="Times New Roman" w:hAnsi="Times New Roman" w:eastAsia="宋体" w:cs="Times New Roman"/>
          <w:b/>
          <w:bCs/>
          <w:kern w:val="2"/>
          <w:sz w:val="21"/>
          <w:szCs w:val="24"/>
          <w:lang w:val="en-US" w:eastAsia="zh-CN" w:bidi="ar-SA"/>
        </w:rPr>
        <w:t>2.17 检验和验收</w:t>
      </w:r>
      <w:bookmarkEnd w:id="392"/>
      <w:bookmarkEnd w:id="393"/>
      <w:bookmarkEnd w:id="394"/>
      <w:bookmarkEnd w:id="395"/>
      <w:bookmarkEnd w:id="396"/>
      <w:bookmarkEnd w:id="397"/>
      <w:bookmarkEnd w:id="398"/>
      <w:bookmarkEnd w:id="399"/>
      <w:bookmarkEnd w:id="400"/>
      <w:bookmarkEnd w:id="401"/>
    </w:p>
    <w:p>
      <w:pPr>
        <w:tabs>
          <w:tab w:val="left" w:pos="360"/>
          <w:tab w:val="left" w:pos="540"/>
          <w:tab w:val="left" w:pos="1080"/>
        </w:tabs>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2.17.1货物交付前，乙方应对货物的质量、数量等方面进行详细、全面的检验，并向甲方出具证明货物符合合同约定的文件；货物交付时，乙方在合同专用条款约定时间内组织验收，并可依法邀请相关方参加，验收应出具验收书。</w:t>
      </w:r>
    </w:p>
    <w:p>
      <w:pPr>
        <w:tabs>
          <w:tab w:val="left" w:pos="360"/>
          <w:tab w:val="left" w:pos="540"/>
          <w:tab w:val="left" w:pos="1080"/>
        </w:tabs>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2.17.3 检验和验收标准、程序等具体内容以及前述验收书的效力详见合同专用条款。</w:t>
      </w:r>
    </w:p>
    <w:bookmarkEnd w:id="329"/>
    <w:bookmarkEnd w:id="330"/>
    <w:bookmarkEnd w:id="331"/>
    <w:bookmarkEnd w:id="332"/>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402" w:name="_Toc279701261"/>
      <w:bookmarkStart w:id="403" w:name="_Toc259093690"/>
      <w:bookmarkStart w:id="404" w:name="_Toc487900371"/>
      <w:bookmarkStart w:id="405" w:name="_Toc16089"/>
      <w:bookmarkStart w:id="406" w:name="_Toc15871"/>
      <w:bookmarkStart w:id="407" w:name="_Toc11284"/>
      <w:bookmarkStart w:id="408" w:name="_Toc8977"/>
      <w:bookmarkStart w:id="409" w:name="_Toc25182"/>
      <w:bookmarkStart w:id="410" w:name="_Toc11908"/>
      <w:bookmarkStart w:id="411" w:name="_Toc14977"/>
      <w:bookmarkStart w:id="412" w:name="_Toc19604"/>
      <w:bookmarkStart w:id="413" w:name="_Toc12036"/>
      <w:bookmarkStart w:id="414" w:name="_Toc21540"/>
      <w:r>
        <w:rPr>
          <w:rFonts w:hint="eastAsia" w:ascii="Times New Roman" w:hAnsi="Times New Roman" w:eastAsia="宋体" w:cs="Times New Roman"/>
          <w:b/>
          <w:bCs/>
          <w:kern w:val="2"/>
          <w:sz w:val="21"/>
          <w:szCs w:val="24"/>
          <w:lang w:val="en-US" w:eastAsia="zh-CN" w:bidi="ar-SA"/>
        </w:rPr>
        <w:t>2.18 通知</w:t>
      </w:r>
      <w:bookmarkEnd w:id="402"/>
      <w:bookmarkEnd w:id="403"/>
      <w:bookmarkEnd w:id="404"/>
      <w:r>
        <w:rPr>
          <w:rFonts w:hint="eastAsia" w:ascii="Times New Roman" w:hAnsi="Times New Roman" w:eastAsia="宋体" w:cs="Times New Roman"/>
          <w:b/>
          <w:bCs/>
          <w:kern w:val="2"/>
          <w:sz w:val="21"/>
          <w:szCs w:val="24"/>
          <w:lang w:val="en-US" w:eastAsia="zh-CN" w:bidi="ar-SA"/>
        </w:rPr>
        <w:t>和送达</w:t>
      </w:r>
      <w:bookmarkEnd w:id="405"/>
      <w:bookmarkEnd w:id="406"/>
      <w:bookmarkEnd w:id="407"/>
      <w:bookmarkEnd w:id="408"/>
      <w:bookmarkEnd w:id="409"/>
      <w:bookmarkEnd w:id="410"/>
      <w:bookmarkEnd w:id="411"/>
      <w:bookmarkEnd w:id="412"/>
      <w:bookmarkEnd w:id="413"/>
      <w:bookmarkEnd w:id="414"/>
    </w:p>
    <w:p>
      <w:pPr>
        <w:spacing w:line="560" w:lineRule="exact"/>
        <w:ind w:firstLine="420" w:firstLineChars="200"/>
        <w:rPr>
          <w:rFonts w:hint="eastAsia" w:ascii="Times New Roman" w:hAnsi="Times New Roman" w:eastAsia="宋体" w:cs="Times New Roman"/>
          <w:kern w:val="2"/>
          <w:sz w:val="21"/>
          <w:szCs w:val="24"/>
          <w:lang w:val="en-US" w:eastAsia="zh-CN" w:bidi="ar-SA"/>
        </w:rPr>
      </w:pPr>
      <w:bookmarkStart w:id="415" w:name="_Toc6698"/>
      <w:bookmarkStart w:id="416" w:name="_Toc3135"/>
      <w:bookmarkStart w:id="417" w:name="_Toc259093691"/>
      <w:bookmarkStart w:id="418" w:name="_Toc487900372"/>
      <w:bookmarkStart w:id="419" w:name="_Toc279701262"/>
      <w:r>
        <w:rPr>
          <w:rFonts w:hint="eastAsia" w:ascii="Times New Roman" w:hAnsi="Times New Roman" w:eastAsia="宋体" w:cs="Times New Roman"/>
          <w:kern w:val="2"/>
          <w:sz w:val="21"/>
          <w:szCs w:val="24"/>
          <w:lang w:val="en-US" w:eastAsia="zh-CN" w:bidi="ar-SA"/>
        </w:rPr>
        <w:t>2.18.1 任何一方因履行合同而以合同第一部分尾部所列明的          发出的所有通知、文件、材料，均视为已向对方当事人送达；任何一方变更上述送达方式或者地址的，应于   个工作日内书面通知对方当事人，在对方当事人收到有关变更通知之前，变更前的约定送达方式或者地址仍视为有效。</w:t>
      </w:r>
      <w:bookmarkEnd w:id="415"/>
      <w:bookmarkEnd w:id="416"/>
    </w:p>
    <w:p>
      <w:pPr>
        <w:spacing w:line="560" w:lineRule="exact"/>
        <w:ind w:firstLine="420" w:firstLineChars="200"/>
        <w:rPr>
          <w:rFonts w:hint="eastAsia" w:ascii="Times New Roman" w:hAnsi="Times New Roman" w:eastAsia="宋体" w:cs="Times New Roman"/>
          <w:kern w:val="2"/>
          <w:sz w:val="21"/>
          <w:szCs w:val="24"/>
          <w:lang w:val="en-US" w:eastAsia="zh-CN" w:bidi="ar-SA"/>
        </w:rPr>
      </w:pPr>
      <w:bookmarkStart w:id="420" w:name="_Toc23294"/>
      <w:bookmarkStart w:id="421" w:name="_Toc23128"/>
      <w:r>
        <w:rPr>
          <w:rFonts w:hint="eastAsia" w:ascii="Times New Roman" w:hAnsi="Times New Roman" w:eastAsia="宋体" w:cs="Times New Roman"/>
          <w:kern w:val="2"/>
          <w:sz w:val="21"/>
          <w:szCs w:val="24"/>
          <w:lang w:val="en-US" w:eastAsia="zh-CN" w:bidi="ar-SA"/>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420"/>
      <w:bookmarkEnd w:id="421"/>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422" w:name="_Toc14626"/>
      <w:bookmarkStart w:id="423" w:name="_Toc5507"/>
      <w:bookmarkStart w:id="424" w:name="_Toc4355"/>
      <w:bookmarkStart w:id="425" w:name="_Toc18540"/>
      <w:bookmarkStart w:id="426" w:name="_Toc848"/>
      <w:bookmarkStart w:id="427" w:name="_Toc9916"/>
      <w:bookmarkStart w:id="428" w:name="_Toc14896"/>
      <w:bookmarkStart w:id="429" w:name="_Toc29488"/>
      <w:bookmarkStart w:id="430" w:name="_Toc16769"/>
      <w:bookmarkStart w:id="431" w:name="_Toc30599"/>
      <w:r>
        <w:rPr>
          <w:rFonts w:hint="eastAsia" w:ascii="Times New Roman" w:hAnsi="Times New Roman" w:eastAsia="宋体" w:cs="Times New Roman"/>
          <w:b/>
          <w:bCs/>
          <w:kern w:val="2"/>
          <w:sz w:val="21"/>
          <w:szCs w:val="24"/>
          <w:lang w:val="en-US" w:eastAsia="zh-CN" w:bidi="ar-SA"/>
        </w:rPr>
        <w:t>2.19 计量单位</w:t>
      </w:r>
      <w:bookmarkEnd w:id="417"/>
      <w:bookmarkEnd w:id="418"/>
      <w:bookmarkEnd w:id="419"/>
      <w:bookmarkEnd w:id="422"/>
      <w:bookmarkEnd w:id="423"/>
      <w:bookmarkEnd w:id="424"/>
      <w:bookmarkEnd w:id="425"/>
      <w:bookmarkEnd w:id="426"/>
      <w:bookmarkEnd w:id="427"/>
      <w:bookmarkEnd w:id="428"/>
      <w:bookmarkEnd w:id="429"/>
      <w:bookmarkEnd w:id="430"/>
      <w:bookmarkEnd w:id="431"/>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除技术规范中另有规定外,合同的计量单位均使用国家法定计量单位。</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432" w:name="_Toc259093692"/>
      <w:bookmarkStart w:id="433" w:name="_Toc18567"/>
      <w:bookmarkStart w:id="434" w:name="_Toc26728"/>
      <w:bookmarkStart w:id="435" w:name="_Toc279701263"/>
      <w:bookmarkStart w:id="436" w:name="_Toc12773"/>
      <w:bookmarkStart w:id="437" w:name="_Toc12784"/>
      <w:bookmarkStart w:id="438" w:name="_Toc4647"/>
      <w:bookmarkStart w:id="439" w:name="_Toc8385"/>
      <w:bookmarkStart w:id="440" w:name="_Toc21688"/>
      <w:bookmarkStart w:id="441" w:name="_Toc487900373"/>
      <w:bookmarkStart w:id="442" w:name="_Toc19036"/>
      <w:bookmarkStart w:id="443" w:name="_Toc10330"/>
      <w:r>
        <w:rPr>
          <w:rFonts w:hint="eastAsia" w:ascii="Times New Roman" w:hAnsi="Times New Roman" w:eastAsia="宋体" w:cs="Times New Roman"/>
          <w:b/>
          <w:bCs/>
          <w:kern w:val="2"/>
          <w:sz w:val="21"/>
          <w:szCs w:val="24"/>
          <w:lang w:val="en-US" w:eastAsia="zh-CN" w:bidi="ar-SA"/>
        </w:rPr>
        <w:t>2.20 合同使用的文字和适用的法律</w:t>
      </w:r>
      <w:bookmarkEnd w:id="432"/>
      <w:bookmarkEnd w:id="433"/>
      <w:bookmarkEnd w:id="434"/>
      <w:bookmarkEnd w:id="435"/>
      <w:bookmarkEnd w:id="436"/>
      <w:bookmarkEnd w:id="437"/>
      <w:bookmarkEnd w:id="438"/>
      <w:bookmarkEnd w:id="439"/>
      <w:bookmarkEnd w:id="440"/>
      <w:bookmarkEnd w:id="441"/>
      <w:bookmarkEnd w:id="442"/>
      <w:bookmarkEnd w:id="443"/>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2.20.1 合同使用汉语书就、变更和解释；</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2.20.2 合同适用中华人民共和国法律。</w:t>
      </w:r>
    </w:p>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444" w:name="_Toc32426"/>
      <w:bookmarkStart w:id="445" w:name="_Toc279701264"/>
      <w:bookmarkStart w:id="446" w:name="_Toc259093693"/>
      <w:bookmarkStart w:id="447" w:name="_Toc3148"/>
      <w:bookmarkStart w:id="448" w:name="_Toc21191"/>
      <w:bookmarkStart w:id="449" w:name="_Toc16673"/>
      <w:bookmarkStart w:id="450" w:name="_Toc12004"/>
      <w:bookmarkStart w:id="451" w:name="_Toc9006"/>
      <w:bookmarkStart w:id="452" w:name="_Toc5694"/>
      <w:bookmarkStart w:id="453" w:name="_Toc4674"/>
      <w:bookmarkStart w:id="454" w:name="_Toc12681"/>
      <w:bookmarkStart w:id="455" w:name="_Toc12336"/>
      <w:bookmarkStart w:id="456" w:name="_Toc487900374"/>
      <w:r>
        <w:rPr>
          <w:rFonts w:hint="eastAsia" w:ascii="Times New Roman" w:hAnsi="Times New Roman" w:eastAsia="宋体" w:cs="Times New Roman"/>
          <w:b/>
          <w:bCs/>
          <w:kern w:val="2"/>
          <w:sz w:val="21"/>
          <w:szCs w:val="24"/>
          <w:lang w:val="en-US" w:eastAsia="zh-CN" w:bidi="ar-SA"/>
        </w:rPr>
        <w:t>2.21 履约保证金</w:t>
      </w:r>
      <w:bookmarkEnd w:id="444"/>
      <w:bookmarkEnd w:id="445"/>
      <w:bookmarkEnd w:id="446"/>
      <w:bookmarkEnd w:id="447"/>
      <w:bookmarkEnd w:id="448"/>
      <w:bookmarkEnd w:id="449"/>
      <w:bookmarkEnd w:id="450"/>
      <w:bookmarkEnd w:id="451"/>
      <w:bookmarkEnd w:id="452"/>
      <w:bookmarkEnd w:id="453"/>
      <w:bookmarkEnd w:id="454"/>
      <w:bookmarkEnd w:id="455"/>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2.21.1 采购文件要求乙方提交履约保证金的，乙方应按合同专用条款约定的方式，以支票、汇票、本票或者金融机构、担保机构出具的保函等非现金形式，提交不超过合同价10%的履约保证金；</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2.21.2  履约保证金在合同专用条款约定期间内或者货物质量保证期内不予退还或者应完全有效，前述约定期间届满或者货物质量保证期届满之日起  个工作日内，甲方应将履约保证金退还乙方；</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456"/>
    <w:p>
      <w:pPr>
        <w:spacing w:line="560" w:lineRule="exact"/>
        <w:ind w:firstLine="422" w:firstLineChars="200"/>
        <w:outlineLvl w:val="0"/>
        <w:rPr>
          <w:rFonts w:hint="eastAsia" w:ascii="Times New Roman" w:hAnsi="Times New Roman" w:eastAsia="宋体" w:cs="Times New Roman"/>
          <w:b/>
          <w:bCs/>
          <w:kern w:val="2"/>
          <w:sz w:val="21"/>
          <w:szCs w:val="24"/>
          <w:lang w:val="en-US" w:eastAsia="zh-CN" w:bidi="ar-SA"/>
        </w:rPr>
      </w:pPr>
      <w:bookmarkStart w:id="457" w:name="_Toc30308"/>
      <w:bookmarkStart w:id="458" w:name="_Toc14044"/>
      <w:bookmarkStart w:id="459" w:name="_Toc24488"/>
      <w:bookmarkStart w:id="460" w:name="_Toc19890"/>
      <w:bookmarkStart w:id="461" w:name="_Toc17442"/>
      <w:bookmarkStart w:id="462" w:name="_Toc6885"/>
      <w:bookmarkStart w:id="463" w:name="_Toc27063"/>
      <w:bookmarkStart w:id="464" w:name="_Toc14001"/>
      <w:bookmarkStart w:id="465" w:name="_Toc14041"/>
      <w:bookmarkStart w:id="466" w:name="_Toc26837"/>
      <w:r>
        <w:rPr>
          <w:rFonts w:hint="eastAsia" w:ascii="Times New Roman" w:hAnsi="Times New Roman" w:eastAsia="宋体" w:cs="Times New Roman"/>
          <w:b/>
          <w:bCs/>
          <w:kern w:val="2"/>
          <w:sz w:val="21"/>
          <w:szCs w:val="24"/>
          <w:lang w:val="en-US" w:eastAsia="zh-CN" w:bidi="ar-SA"/>
        </w:rPr>
        <w:t>2.22 合同份数</w:t>
      </w:r>
      <w:bookmarkEnd w:id="457"/>
      <w:bookmarkEnd w:id="458"/>
      <w:bookmarkEnd w:id="459"/>
      <w:bookmarkEnd w:id="460"/>
      <w:bookmarkEnd w:id="461"/>
      <w:bookmarkEnd w:id="462"/>
      <w:bookmarkEnd w:id="463"/>
      <w:bookmarkEnd w:id="464"/>
      <w:bookmarkEnd w:id="465"/>
      <w:bookmarkEnd w:id="466"/>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合同份数按合同专用条款规定，每份均具有同等法律效力。</w:t>
      </w:r>
    </w:p>
    <w:p>
      <w:pPr>
        <w:pStyle w:val="166"/>
        <w:spacing w:line="560" w:lineRule="exact"/>
        <w:ind w:left="0" w:leftChars="0" w:firstLine="0" w:firstLineChars="0"/>
        <w:jc w:val="both"/>
        <w:rPr>
          <w:rFonts w:hint="eastAsia" w:ascii="宋体" w:hAnsi="宋体" w:eastAsia="宋体" w:cs="宋体"/>
          <w:b/>
          <w:color w:val="000000"/>
          <w:kern w:val="2"/>
          <w:sz w:val="24"/>
          <w:szCs w:val="24"/>
          <w:highlight w:val="none"/>
          <w:lang w:val="en-US" w:eastAsia="zh-CN" w:bidi="ar-SA"/>
        </w:rPr>
      </w:pPr>
    </w:p>
    <w:p>
      <w:pPr>
        <w:pStyle w:val="166"/>
        <w:spacing w:line="560" w:lineRule="exact"/>
        <w:ind w:firstLine="0"/>
        <w:jc w:val="center"/>
        <w:rPr>
          <w:rFonts w:hint="eastAsia" w:ascii="宋体" w:hAnsi="宋体" w:eastAsia="宋体" w:cs="宋体"/>
          <w:b/>
          <w:color w:val="000000"/>
          <w:kern w:val="2"/>
          <w:sz w:val="24"/>
          <w:szCs w:val="24"/>
          <w:highlight w:val="none"/>
          <w:lang w:val="en-US" w:eastAsia="zh-CN" w:bidi="ar-SA"/>
        </w:rPr>
      </w:pPr>
      <w:r>
        <w:rPr>
          <w:rFonts w:hint="eastAsia" w:ascii="宋体" w:hAnsi="宋体" w:eastAsia="宋体" w:cs="宋体"/>
          <w:b/>
          <w:color w:val="000000"/>
          <w:kern w:val="2"/>
          <w:sz w:val="24"/>
          <w:szCs w:val="24"/>
          <w:highlight w:val="none"/>
          <w:lang w:val="en-US" w:eastAsia="zh-CN" w:bidi="ar-SA"/>
        </w:rPr>
        <w:t>第三部分  合同专用条款</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18"/>
        <w:gridCol w:w="74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条款号</w:t>
            </w:r>
          </w:p>
        </w:tc>
        <w:tc>
          <w:tcPr>
            <w:tcW w:w="7416" w:type="dxa"/>
            <w:noWrap w:val="0"/>
            <w:vAlign w:val="center"/>
          </w:tcPr>
          <w:p>
            <w:pPr>
              <w:keepNext w:val="0"/>
              <w:keepLines w:val="0"/>
              <w:suppressLineNumbers w:val="0"/>
              <w:spacing w:before="0" w:beforeAutospacing="0" w:after="0" w:afterAutospacing="0" w:line="560" w:lineRule="exact"/>
              <w:ind w:left="0" w:right="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18" w:type="dxa"/>
            <w:tcBorders>
              <w:left w:val="single" w:color="auto" w:sz="4" w:space="0"/>
            </w:tcBorders>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c>
          <w:tcPr>
            <w:tcW w:w="7416" w:type="dxa"/>
            <w:noWrap w:val="0"/>
            <w:vAlign w:val="center"/>
          </w:tcPr>
          <w:p>
            <w:pPr>
              <w:keepNext w:val="0"/>
              <w:keepLines w:val="0"/>
              <w:suppressLineNumbers w:val="0"/>
              <w:spacing w:before="0" w:beforeAutospacing="0" w:after="0" w:afterAutospacing="0" w:line="560" w:lineRule="exact"/>
              <w:ind w:left="0" w:right="0"/>
              <w:rPr>
                <w:rFonts w:hint="eastAsia" w:ascii="Times New Roman" w:hAnsi="Times New Roman" w:eastAsia="宋体" w:cs="Times New Roman"/>
                <w:kern w:val="2"/>
                <w:sz w:val="21"/>
                <w:szCs w:val="24"/>
                <w:lang w:val="en-US" w:eastAsia="zh-CN" w:bidi="ar-SA"/>
              </w:rPr>
            </w:pPr>
          </w:p>
        </w:tc>
      </w:tr>
    </w:tbl>
    <w:p>
      <w:pPr>
        <w:spacing w:line="360" w:lineRule="auto"/>
        <w:ind w:firstLine="482" w:firstLineChars="200"/>
        <w:jc w:val="center"/>
        <w:outlineLvl w:val="0"/>
        <w:rPr>
          <w:rFonts w:ascii="宋体" w:hAnsi="宋体"/>
          <w:b/>
          <w:sz w:val="36"/>
          <w:szCs w:val="36"/>
        </w:rPr>
      </w:pPr>
      <w:r>
        <w:rPr>
          <w:rFonts w:hint="eastAsia" w:ascii="宋体" w:hAnsi="宋体" w:cs="宋体"/>
          <w:b/>
          <w:sz w:val="24"/>
          <w:szCs w:val="24"/>
          <w:highlight w:val="none"/>
        </w:rPr>
        <w:br w:type="page"/>
      </w:r>
      <w:bookmarkStart w:id="467" w:name="_Toc25342"/>
      <w:bookmarkStart w:id="468" w:name="_Toc19415"/>
      <w:bookmarkStart w:id="469" w:name="_Toc6125"/>
      <w:bookmarkStart w:id="470" w:name="_Toc11035"/>
      <w:bookmarkStart w:id="471" w:name="_Toc9510643"/>
      <w:r>
        <w:rPr>
          <w:rFonts w:hint="eastAsia" w:ascii="宋体" w:hAnsi="宋体" w:eastAsia="宋体" w:cs="Times New Roman"/>
          <w:b/>
          <w:kern w:val="2"/>
          <w:sz w:val="28"/>
          <w:szCs w:val="28"/>
          <w:lang w:val="en-US" w:eastAsia="zh-CN" w:bidi="ar-SA"/>
        </w:rPr>
        <w:t>第六章　投标文件格式</w:t>
      </w:r>
      <w:bookmarkEnd w:id="467"/>
      <w:bookmarkEnd w:id="468"/>
      <w:bookmarkEnd w:id="469"/>
      <w:bookmarkEnd w:id="470"/>
      <w:bookmarkEnd w:id="471"/>
    </w:p>
    <w:p>
      <w:pPr>
        <w:adjustRightInd w:val="0"/>
        <w:spacing w:line="360" w:lineRule="auto"/>
        <w:rPr>
          <w:rFonts w:ascii="宋体" w:hAnsi="宋体"/>
          <w:szCs w:val="24"/>
        </w:rPr>
      </w:pPr>
    </w:p>
    <w:p>
      <w:pPr>
        <w:spacing w:line="560" w:lineRule="exact"/>
        <w:ind w:firstLine="420" w:firstLineChars="200"/>
        <w:outlineLvl w:val="1"/>
        <w:rPr>
          <w:rFonts w:hint="eastAsia" w:ascii="Times New Roman" w:hAnsi="Times New Roman" w:eastAsia="宋体" w:cs="Times New Roman"/>
          <w:kern w:val="2"/>
          <w:sz w:val="21"/>
          <w:szCs w:val="24"/>
          <w:lang w:val="en-US" w:eastAsia="zh-CN" w:bidi="ar-SA"/>
        </w:rPr>
      </w:pPr>
      <w:bookmarkStart w:id="472" w:name="_Toc23594"/>
      <w:r>
        <w:rPr>
          <w:rFonts w:hint="eastAsia" w:ascii="Times New Roman" w:hAnsi="Times New Roman" w:eastAsia="宋体" w:cs="Times New Roman"/>
          <w:kern w:val="2"/>
          <w:sz w:val="21"/>
          <w:szCs w:val="24"/>
          <w:lang w:val="en-US" w:eastAsia="zh-CN" w:bidi="ar-SA"/>
        </w:rPr>
        <w:t>一、投标人提交投标文件须知：</w:t>
      </w:r>
      <w:bookmarkEnd w:id="472"/>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1、投标人应严格按照以下顺序填写和提交下述规定的全部格式文件以及其他有关资料，混乱的编排导致投标文件被误读或评标小组查找不到有效文件是投标人的风险。</w:t>
      </w:r>
    </w:p>
    <w:p>
      <w:pPr>
        <w:spacing w:line="560" w:lineRule="exact"/>
        <w:ind w:firstLine="420" w:firstLineChars="200"/>
        <w:outlineLvl w:val="2"/>
        <w:rPr>
          <w:rFonts w:hint="eastAsia" w:ascii="Times New Roman" w:hAnsi="Times New Roman" w:eastAsia="宋体" w:cs="Times New Roman"/>
          <w:kern w:val="2"/>
          <w:sz w:val="21"/>
          <w:szCs w:val="24"/>
          <w:lang w:val="en-US" w:eastAsia="zh-CN" w:bidi="ar-SA"/>
        </w:rPr>
      </w:pPr>
      <w:bookmarkStart w:id="473" w:name="_Toc23205"/>
      <w:r>
        <w:rPr>
          <w:rFonts w:hint="eastAsia" w:ascii="Times New Roman" w:hAnsi="Times New Roman" w:eastAsia="宋体" w:cs="Times New Roman"/>
          <w:kern w:val="2"/>
          <w:sz w:val="21"/>
          <w:szCs w:val="24"/>
          <w:lang w:val="en-US" w:eastAsia="zh-CN" w:bidi="ar-SA"/>
        </w:rPr>
        <w:t>2、所附表格中要求回答的全部问题和/或信息都必须正面回答。</w:t>
      </w:r>
      <w:bookmarkEnd w:id="473"/>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3、本声明书的签字人应保证全部声明和问题的回答是真实的和准确的。</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4、评标委员会将应用投标人提交的资料根据自己的判断和考虑决定投标人履行合同的合格性及能力。</w:t>
      </w:r>
    </w:p>
    <w:p>
      <w:pPr>
        <w:spacing w:line="560" w:lineRule="exact"/>
        <w:ind w:firstLine="420" w:firstLineChars="200"/>
        <w:outlineLvl w:val="2"/>
        <w:rPr>
          <w:rFonts w:hint="eastAsia" w:ascii="Times New Roman" w:hAnsi="Times New Roman" w:eastAsia="宋体" w:cs="Times New Roman"/>
          <w:kern w:val="2"/>
          <w:sz w:val="21"/>
          <w:szCs w:val="24"/>
          <w:lang w:val="en-US" w:eastAsia="zh-CN" w:bidi="ar-SA"/>
        </w:rPr>
      </w:pPr>
      <w:bookmarkStart w:id="474" w:name="_Toc8067"/>
      <w:r>
        <w:rPr>
          <w:rFonts w:hint="eastAsia" w:ascii="Times New Roman" w:hAnsi="Times New Roman" w:eastAsia="宋体" w:cs="Times New Roman"/>
          <w:kern w:val="2"/>
          <w:sz w:val="21"/>
          <w:szCs w:val="24"/>
          <w:lang w:val="en-US" w:eastAsia="zh-CN" w:bidi="ar-SA"/>
        </w:rPr>
        <w:t>5、投标人提交的材料将在一定期限内被保密保存，但不退还。</w:t>
      </w:r>
      <w:bookmarkEnd w:id="474"/>
    </w:p>
    <w:p>
      <w:pPr>
        <w:spacing w:line="560" w:lineRule="exact"/>
        <w:ind w:firstLine="420" w:firstLineChars="20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6、全部文件应按投标人须知中规定的语言和份数提交。投标文件组成漏项或未按规定的格式编制或投标文件正、副本份数不足，内容不全或内容字迹模糊辨认不清的情况，将有可能被评标小组认定为投标无效。</w:t>
      </w:r>
    </w:p>
    <w:p>
      <w:pPr>
        <w:adjustRightInd w:val="0"/>
        <w:snapToGrid w:val="0"/>
        <w:spacing w:before="50" w:after="50"/>
        <w:rPr>
          <w:rFonts w:ascii="仿宋_GB2312" w:hAnsi="宋体" w:eastAsia="仿宋_GB2312"/>
          <w:sz w:val="32"/>
        </w:rPr>
      </w:pPr>
    </w:p>
    <w:p>
      <w:pPr>
        <w:spacing w:line="360" w:lineRule="auto"/>
        <w:jc w:val="center"/>
        <w:outlineLvl w:val="9"/>
        <w:rPr>
          <w:rFonts w:ascii="仿宋_GB2312" w:hAnsi="宋体" w:eastAsia="仿宋_GB2312"/>
          <w:sz w:val="32"/>
        </w:rPr>
      </w:pPr>
      <w:r>
        <w:rPr>
          <w:rFonts w:ascii="仿宋_GB2312" w:hAnsi="宋体" w:eastAsia="仿宋_GB2312"/>
          <w:sz w:val="32"/>
        </w:rPr>
        <w:br w:type="page"/>
      </w:r>
      <w:bookmarkStart w:id="475" w:name="_Toc2253"/>
    </w:p>
    <w:p>
      <w:pPr>
        <w:spacing w:line="360" w:lineRule="auto"/>
        <w:jc w:val="center"/>
        <w:outlineLvl w:val="1"/>
        <w:rPr>
          <w:rFonts w:ascii="黑体" w:eastAsia="黑体"/>
          <w:sz w:val="48"/>
          <w:szCs w:val="48"/>
        </w:rPr>
      </w:pPr>
      <w:bookmarkStart w:id="476" w:name="_Toc17130"/>
      <w:bookmarkStart w:id="477" w:name="_Toc23960"/>
      <w:r>
        <w:rPr>
          <w:rFonts w:hint="eastAsia" w:ascii="黑体" w:eastAsia="黑体"/>
          <w:sz w:val="48"/>
          <w:szCs w:val="48"/>
        </w:rPr>
        <w:t>(项目</w:t>
      </w:r>
      <w:r>
        <w:rPr>
          <w:rFonts w:hint="eastAsia" w:ascii="黑体" w:eastAsia="黑体"/>
          <w:sz w:val="48"/>
          <w:szCs w:val="48"/>
          <w:lang w:eastAsia="zh-CN"/>
        </w:rPr>
        <w:t>、标段</w:t>
      </w:r>
      <w:r>
        <w:rPr>
          <w:rFonts w:hint="eastAsia" w:ascii="黑体" w:eastAsia="黑体"/>
          <w:sz w:val="48"/>
          <w:szCs w:val="48"/>
        </w:rPr>
        <w:t>名称)项目</w:t>
      </w:r>
      <w:bookmarkEnd w:id="475"/>
      <w:bookmarkEnd w:id="476"/>
      <w:bookmarkEnd w:id="477"/>
    </w:p>
    <w:p>
      <w:pPr>
        <w:spacing w:line="360" w:lineRule="auto"/>
        <w:jc w:val="center"/>
        <w:outlineLvl w:val="9"/>
        <w:rPr>
          <w:rFonts w:ascii="宋体" w:hAnsi="宋体"/>
          <w:sz w:val="32"/>
        </w:rPr>
      </w:pPr>
    </w:p>
    <w:p>
      <w:pPr>
        <w:spacing w:line="360" w:lineRule="auto"/>
        <w:jc w:val="center"/>
        <w:outlineLvl w:val="9"/>
        <w:rPr>
          <w:rFonts w:ascii="宋体" w:hAnsi="宋体"/>
          <w:sz w:val="32"/>
        </w:rPr>
      </w:pPr>
      <w:bookmarkStart w:id="478" w:name="_Toc24951"/>
      <w:r>
        <w:rPr>
          <w:rFonts w:hint="eastAsia" w:ascii="宋体" w:hAnsi="宋体"/>
          <w:sz w:val="32"/>
        </w:rPr>
        <w:t>项目编号：</w:t>
      </w:r>
      <w:bookmarkEnd w:id="478"/>
    </w:p>
    <w:p>
      <w:pPr>
        <w:spacing w:line="560" w:lineRule="exact"/>
        <w:ind w:firstLine="883" w:firstLineChars="200"/>
        <w:jc w:val="center"/>
        <w:rPr>
          <w:rFonts w:hint="eastAsia" w:ascii="Times New Roman" w:hAnsi="Times New Roman" w:eastAsia="宋体" w:cs="Times New Roman"/>
          <w:b/>
          <w:bCs/>
          <w:kern w:val="2"/>
          <w:sz w:val="44"/>
          <w:szCs w:val="52"/>
          <w:lang w:val="en-US" w:eastAsia="zh-CN" w:bidi="ar-SA"/>
        </w:rPr>
      </w:pPr>
    </w:p>
    <w:p>
      <w:pPr>
        <w:spacing w:line="360" w:lineRule="auto"/>
        <w:jc w:val="center"/>
        <w:outlineLvl w:val="9"/>
        <w:rPr>
          <w:rFonts w:hint="eastAsia" w:ascii="黑体" w:hAnsi="Times New Roman" w:eastAsia="黑体" w:cs="Times New Roman"/>
          <w:sz w:val="96"/>
          <w:szCs w:val="96"/>
          <w:lang w:val="en-US" w:eastAsia="zh-CN"/>
        </w:rPr>
      </w:pPr>
      <w:r>
        <w:rPr>
          <w:rFonts w:hint="eastAsia" w:ascii="黑体" w:hAnsi="Times New Roman" w:eastAsia="黑体" w:cs="Times New Roman"/>
          <w:sz w:val="96"/>
          <w:szCs w:val="96"/>
          <w:lang w:val="en-US" w:eastAsia="zh-CN"/>
        </w:rPr>
        <w:t>投</w:t>
      </w:r>
    </w:p>
    <w:p>
      <w:pPr>
        <w:spacing w:line="360" w:lineRule="auto"/>
        <w:jc w:val="center"/>
        <w:outlineLvl w:val="9"/>
        <w:rPr>
          <w:rFonts w:hint="eastAsia" w:ascii="黑体" w:hAnsi="Times New Roman" w:eastAsia="黑体" w:cs="Times New Roman"/>
          <w:sz w:val="96"/>
          <w:szCs w:val="96"/>
          <w:lang w:val="en-US" w:eastAsia="zh-CN"/>
        </w:rPr>
      </w:pPr>
      <w:r>
        <w:rPr>
          <w:rFonts w:hint="eastAsia" w:ascii="黑体" w:hAnsi="Times New Roman" w:eastAsia="黑体" w:cs="Times New Roman"/>
          <w:sz w:val="96"/>
          <w:szCs w:val="96"/>
          <w:lang w:val="en-US" w:eastAsia="zh-CN"/>
        </w:rPr>
        <w:t>标</w:t>
      </w:r>
    </w:p>
    <w:p>
      <w:pPr>
        <w:spacing w:line="360" w:lineRule="auto"/>
        <w:jc w:val="center"/>
        <w:outlineLvl w:val="9"/>
        <w:rPr>
          <w:rFonts w:hint="eastAsia" w:ascii="黑体" w:hAnsi="Times New Roman" w:eastAsia="黑体" w:cs="Times New Roman"/>
          <w:sz w:val="96"/>
          <w:szCs w:val="96"/>
          <w:lang w:val="en-US" w:eastAsia="zh-CN"/>
        </w:rPr>
      </w:pPr>
      <w:r>
        <w:rPr>
          <w:rFonts w:hint="eastAsia" w:ascii="黑体" w:hAnsi="Times New Roman" w:eastAsia="黑体" w:cs="Times New Roman"/>
          <w:sz w:val="96"/>
          <w:szCs w:val="96"/>
          <w:lang w:val="en-US" w:eastAsia="zh-CN"/>
        </w:rPr>
        <w:t>文</w:t>
      </w:r>
    </w:p>
    <w:p>
      <w:pPr>
        <w:spacing w:line="360" w:lineRule="auto"/>
        <w:jc w:val="center"/>
        <w:outlineLvl w:val="9"/>
        <w:rPr>
          <w:rFonts w:hint="eastAsia" w:ascii="黑体" w:hAnsi="Times New Roman" w:eastAsia="黑体" w:cs="Times New Roman"/>
          <w:sz w:val="96"/>
          <w:szCs w:val="96"/>
          <w:lang w:val="en-US" w:eastAsia="zh-CN"/>
        </w:rPr>
      </w:pPr>
      <w:r>
        <w:rPr>
          <w:rFonts w:hint="eastAsia" w:ascii="黑体" w:hAnsi="Times New Roman" w:eastAsia="黑体" w:cs="Times New Roman"/>
          <w:sz w:val="96"/>
          <w:szCs w:val="96"/>
          <w:lang w:val="en-US" w:eastAsia="zh-CN"/>
        </w:rPr>
        <w:t>件</w:t>
      </w:r>
    </w:p>
    <w:p>
      <w:pPr>
        <w:spacing w:line="560" w:lineRule="exact"/>
        <w:ind w:firstLine="560" w:firstLineChars="200"/>
        <w:rPr>
          <w:rFonts w:hint="eastAsia" w:ascii="Times New Roman" w:hAnsi="Times New Roman" w:eastAsia="宋体" w:cs="Times New Roman"/>
          <w:kern w:val="2"/>
          <w:sz w:val="28"/>
          <w:szCs w:val="36"/>
          <w:lang w:val="en-US" w:eastAsia="zh-CN" w:bidi="ar-SA"/>
        </w:rPr>
      </w:pPr>
    </w:p>
    <w:p>
      <w:pPr>
        <w:spacing w:line="560" w:lineRule="exact"/>
        <w:ind w:firstLine="560" w:firstLineChars="200"/>
        <w:rPr>
          <w:rFonts w:hint="eastAsia" w:ascii="Times New Roman" w:hAnsi="Times New Roman" w:eastAsia="宋体" w:cs="Times New Roman"/>
          <w:kern w:val="2"/>
          <w:sz w:val="28"/>
          <w:szCs w:val="36"/>
          <w:lang w:val="en-US" w:eastAsia="zh-CN" w:bidi="ar-SA"/>
        </w:rPr>
      </w:pPr>
    </w:p>
    <w:p>
      <w:pPr>
        <w:spacing w:line="560" w:lineRule="exact"/>
        <w:ind w:firstLine="560" w:firstLineChars="200"/>
        <w:rPr>
          <w:rFonts w:hint="eastAsia" w:ascii="Times New Roman" w:hAnsi="Times New Roman" w:eastAsia="宋体" w:cs="Times New Roman"/>
          <w:kern w:val="2"/>
          <w:sz w:val="28"/>
          <w:szCs w:val="36"/>
          <w:lang w:val="en-US" w:eastAsia="zh-CN" w:bidi="ar-SA"/>
        </w:rPr>
      </w:pPr>
      <w:r>
        <w:rPr>
          <w:rFonts w:hint="eastAsia" w:ascii="Times New Roman" w:hAnsi="Times New Roman" w:eastAsia="宋体" w:cs="Times New Roman"/>
          <w:kern w:val="2"/>
          <w:sz w:val="28"/>
          <w:szCs w:val="36"/>
          <w:lang w:val="en-US" w:eastAsia="zh-CN" w:bidi="ar-SA"/>
        </w:rPr>
        <w:t>投标单位名称：</w:t>
      </w:r>
      <w:r>
        <w:rPr>
          <w:rFonts w:hint="eastAsia" w:ascii="Times New Roman" w:hAnsi="Times New Roman" w:eastAsia="宋体" w:cs="Times New Roman"/>
          <w:kern w:val="2"/>
          <w:sz w:val="28"/>
          <w:szCs w:val="36"/>
          <w:u w:val="single"/>
          <w:lang w:val="en-US" w:eastAsia="zh-CN" w:bidi="ar-SA"/>
        </w:rPr>
        <w:t xml:space="preserve">                                  </w:t>
      </w:r>
      <w:r>
        <w:rPr>
          <w:rFonts w:hint="eastAsia" w:ascii="Times New Roman" w:hAnsi="Times New Roman" w:eastAsia="宋体" w:cs="Times New Roman"/>
          <w:kern w:val="2"/>
          <w:sz w:val="28"/>
          <w:szCs w:val="36"/>
          <w:lang w:val="en-US" w:eastAsia="zh-CN" w:bidi="ar-SA"/>
        </w:rPr>
        <w:t>（加盖单位公章）</w:t>
      </w:r>
    </w:p>
    <w:p>
      <w:pPr>
        <w:spacing w:line="560" w:lineRule="exact"/>
        <w:ind w:firstLine="560" w:firstLineChars="200"/>
        <w:rPr>
          <w:rFonts w:hint="default" w:ascii="Times New Roman" w:hAnsi="Times New Roman" w:eastAsia="宋体" w:cs="Times New Roman"/>
          <w:kern w:val="2"/>
          <w:sz w:val="28"/>
          <w:szCs w:val="36"/>
          <w:lang w:val="en-US" w:eastAsia="zh-CN" w:bidi="ar-SA"/>
        </w:rPr>
      </w:pPr>
      <w:r>
        <w:rPr>
          <w:rFonts w:hint="eastAsia" w:ascii="Times New Roman" w:hAnsi="Times New Roman" w:eastAsia="宋体" w:cs="Times New Roman"/>
          <w:kern w:val="2"/>
          <w:sz w:val="28"/>
          <w:szCs w:val="36"/>
          <w:lang w:val="en-US" w:eastAsia="zh-CN" w:bidi="ar-SA"/>
        </w:rPr>
        <w:t>投标单位地址：</w:t>
      </w:r>
      <w:r>
        <w:rPr>
          <w:rFonts w:hint="eastAsia" w:ascii="Times New Roman" w:hAnsi="Times New Roman" w:eastAsia="宋体" w:cs="Times New Roman"/>
          <w:kern w:val="2"/>
          <w:sz w:val="28"/>
          <w:szCs w:val="36"/>
          <w:u w:val="single"/>
          <w:lang w:val="en-US" w:eastAsia="zh-CN" w:bidi="ar-SA"/>
        </w:rPr>
        <w:t xml:space="preserve">                                  </w:t>
      </w:r>
    </w:p>
    <w:p>
      <w:pPr>
        <w:spacing w:line="560" w:lineRule="exact"/>
        <w:ind w:firstLine="560" w:firstLineChars="200"/>
        <w:rPr>
          <w:rFonts w:hint="default" w:ascii="Times New Roman" w:hAnsi="Times New Roman" w:eastAsia="宋体" w:cs="Times New Roman"/>
          <w:kern w:val="2"/>
          <w:sz w:val="28"/>
          <w:szCs w:val="36"/>
          <w:lang w:val="en-US" w:eastAsia="zh-CN" w:bidi="ar-SA"/>
        </w:rPr>
      </w:pPr>
      <w:r>
        <w:rPr>
          <w:rFonts w:hint="eastAsia" w:ascii="Times New Roman" w:hAnsi="Times New Roman" w:eastAsia="宋体" w:cs="Times New Roman"/>
          <w:kern w:val="2"/>
          <w:sz w:val="28"/>
          <w:szCs w:val="36"/>
          <w:lang w:val="en-US" w:eastAsia="zh-CN" w:bidi="ar-SA"/>
        </w:rPr>
        <w:t>法人或法人授权代表（签字或盖章）：</w:t>
      </w:r>
      <w:r>
        <w:rPr>
          <w:rFonts w:hint="eastAsia" w:ascii="Times New Roman" w:hAnsi="Times New Roman" w:eastAsia="宋体" w:cs="Times New Roman"/>
          <w:kern w:val="2"/>
          <w:sz w:val="28"/>
          <w:szCs w:val="36"/>
          <w:u w:val="single"/>
          <w:lang w:val="en-US" w:eastAsia="zh-CN" w:bidi="ar-SA"/>
        </w:rPr>
        <w:t xml:space="preserve">                        </w:t>
      </w:r>
    </w:p>
    <w:p>
      <w:pPr>
        <w:spacing w:line="560" w:lineRule="exact"/>
        <w:ind w:firstLine="560" w:firstLineChars="200"/>
        <w:rPr>
          <w:rFonts w:hint="default" w:ascii="Times New Roman" w:hAnsi="Times New Roman" w:eastAsia="宋体" w:cs="Times New Roman"/>
          <w:kern w:val="2"/>
          <w:sz w:val="28"/>
          <w:szCs w:val="36"/>
          <w:lang w:val="en-US" w:eastAsia="zh-CN" w:bidi="ar-SA"/>
        </w:rPr>
      </w:pPr>
      <w:r>
        <w:rPr>
          <w:rFonts w:hint="eastAsia" w:ascii="Times New Roman" w:hAnsi="Times New Roman" w:eastAsia="宋体" w:cs="Times New Roman"/>
          <w:kern w:val="2"/>
          <w:sz w:val="28"/>
          <w:szCs w:val="36"/>
          <w:lang w:val="en-US" w:eastAsia="zh-CN" w:bidi="ar-SA"/>
        </w:rPr>
        <w:t>投标单位联系</w:t>
      </w:r>
      <w:r>
        <w:rPr>
          <w:rFonts w:hint="eastAsia" w:cs="Times New Roman"/>
          <w:kern w:val="2"/>
          <w:sz w:val="28"/>
          <w:szCs w:val="36"/>
          <w:lang w:val="en-US" w:eastAsia="zh-CN" w:bidi="ar-SA"/>
        </w:rPr>
        <w:t>电话</w:t>
      </w:r>
      <w:r>
        <w:rPr>
          <w:rFonts w:hint="eastAsia" w:ascii="Times New Roman" w:hAnsi="Times New Roman" w:eastAsia="宋体" w:cs="Times New Roman"/>
          <w:kern w:val="2"/>
          <w:sz w:val="28"/>
          <w:szCs w:val="36"/>
          <w:lang w:val="en-US" w:eastAsia="zh-CN" w:bidi="ar-SA"/>
        </w:rPr>
        <w:t>：</w:t>
      </w:r>
      <w:r>
        <w:rPr>
          <w:rFonts w:hint="eastAsia" w:ascii="Times New Roman" w:hAnsi="Times New Roman" w:eastAsia="宋体" w:cs="Times New Roman"/>
          <w:kern w:val="2"/>
          <w:sz w:val="28"/>
          <w:szCs w:val="36"/>
          <w:u w:val="single"/>
          <w:lang w:val="en-US" w:eastAsia="zh-CN" w:bidi="ar-SA"/>
        </w:rPr>
        <w:t xml:space="preserve">                              </w:t>
      </w:r>
    </w:p>
    <w:p>
      <w:pPr>
        <w:spacing w:line="560" w:lineRule="exact"/>
        <w:ind w:firstLine="420" w:firstLineChars="200"/>
        <w:rPr>
          <w:rFonts w:hint="eastAsia" w:ascii="Times New Roman" w:hAnsi="Times New Roman" w:eastAsia="宋体" w:cs="Times New Roman"/>
          <w:kern w:val="2"/>
          <w:sz w:val="21"/>
          <w:szCs w:val="24"/>
          <w:lang w:val="en-US" w:eastAsia="zh-CN" w:bidi="ar-SA"/>
        </w:rPr>
      </w:pPr>
    </w:p>
    <w:p>
      <w:pPr>
        <w:spacing w:line="560" w:lineRule="exact"/>
        <w:ind w:firstLine="560" w:firstLineChars="200"/>
        <w:jc w:val="center"/>
        <w:rPr>
          <w:rFonts w:hint="eastAsia" w:ascii="Times New Roman" w:hAnsi="Times New Roman" w:eastAsia="宋体" w:cs="Times New Roman"/>
          <w:kern w:val="2"/>
          <w:sz w:val="28"/>
          <w:szCs w:val="36"/>
          <w:lang w:val="en-US" w:eastAsia="zh-CN" w:bidi="ar-SA"/>
        </w:rPr>
      </w:pPr>
      <w:bookmarkStart w:id="479" w:name="_Toc1683"/>
    </w:p>
    <w:p>
      <w:pPr>
        <w:spacing w:line="560" w:lineRule="exact"/>
        <w:ind w:firstLine="560" w:firstLineChars="200"/>
        <w:jc w:val="center"/>
        <w:rPr>
          <w:rFonts w:hint="eastAsia" w:ascii="Times New Roman" w:hAnsi="Times New Roman" w:eastAsia="宋体" w:cs="Times New Roman"/>
          <w:kern w:val="2"/>
          <w:sz w:val="28"/>
          <w:szCs w:val="36"/>
          <w:lang w:val="en-US" w:eastAsia="zh-CN" w:bidi="ar-SA"/>
        </w:rPr>
      </w:pPr>
      <w:r>
        <w:rPr>
          <w:rFonts w:hint="eastAsia" w:ascii="Times New Roman" w:hAnsi="Times New Roman" w:eastAsia="宋体" w:cs="Times New Roman"/>
          <w:kern w:val="2"/>
          <w:sz w:val="28"/>
          <w:szCs w:val="36"/>
          <w:u w:val="single"/>
          <w:lang w:val="en-US" w:eastAsia="zh-CN" w:bidi="ar-SA"/>
        </w:rPr>
        <w:t xml:space="preserve">    </w:t>
      </w:r>
      <w:r>
        <w:rPr>
          <w:rFonts w:hint="eastAsia" w:ascii="Times New Roman" w:hAnsi="Times New Roman" w:eastAsia="宋体" w:cs="Times New Roman"/>
          <w:kern w:val="2"/>
          <w:sz w:val="28"/>
          <w:szCs w:val="36"/>
          <w:lang w:val="en-US" w:eastAsia="zh-CN" w:bidi="ar-SA"/>
        </w:rPr>
        <w:t>年</w:t>
      </w:r>
      <w:r>
        <w:rPr>
          <w:rFonts w:hint="eastAsia" w:ascii="Times New Roman" w:hAnsi="Times New Roman" w:eastAsia="宋体" w:cs="Times New Roman"/>
          <w:kern w:val="2"/>
          <w:sz w:val="28"/>
          <w:szCs w:val="36"/>
          <w:u w:val="single"/>
          <w:lang w:val="en-US" w:eastAsia="zh-CN" w:bidi="ar-SA"/>
        </w:rPr>
        <w:t xml:space="preserve">   </w:t>
      </w:r>
      <w:r>
        <w:rPr>
          <w:rFonts w:hint="eastAsia" w:ascii="Times New Roman" w:hAnsi="Times New Roman" w:eastAsia="宋体" w:cs="Times New Roman"/>
          <w:kern w:val="2"/>
          <w:sz w:val="28"/>
          <w:szCs w:val="36"/>
          <w:lang w:val="en-US" w:eastAsia="zh-CN" w:bidi="ar-SA"/>
        </w:rPr>
        <w:t>月</w:t>
      </w:r>
      <w:r>
        <w:rPr>
          <w:rFonts w:hint="eastAsia" w:ascii="Times New Roman" w:hAnsi="Times New Roman" w:eastAsia="宋体" w:cs="Times New Roman"/>
          <w:kern w:val="2"/>
          <w:sz w:val="28"/>
          <w:szCs w:val="36"/>
          <w:u w:val="single"/>
          <w:lang w:val="en-US" w:eastAsia="zh-CN" w:bidi="ar-SA"/>
        </w:rPr>
        <w:t xml:space="preserve">   </w:t>
      </w:r>
      <w:r>
        <w:rPr>
          <w:rFonts w:hint="eastAsia" w:ascii="Times New Roman" w:hAnsi="Times New Roman" w:eastAsia="宋体" w:cs="Times New Roman"/>
          <w:kern w:val="2"/>
          <w:sz w:val="28"/>
          <w:szCs w:val="36"/>
          <w:lang w:val="en-US" w:eastAsia="zh-CN" w:bidi="ar-SA"/>
        </w:rPr>
        <w:t>日</w:t>
      </w:r>
      <w:bookmarkEnd w:id="479"/>
    </w:p>
    <w:p>
      <w:pPr>
        <w:adjustRightInd w:val="0"/>
        <w:snapToGrid w:val="0"/>
        <w:jc w:val="center"/>
        <w:outlineLvl w:val="9"/>
        <w:rPr>
          <w:rFonts w:ascii="宋体" w:hAnsi="宋体"/>
          <w:b/>
          <w:sz w:val="44"/>
          <w:szCs w:val="44"/>
        </w:rPr>
      </w:pPr>
    </w:p>
    <w:p>
      <w:pPr>
        <w:widowControl/>
        <w:spacing w:line="240" w:lineRule="auto"/>
        <w:jc w:val="center"/>
        <w:outlineLvl w:val="9"/>
        <w:rPr>
          <w:rFonts w:ascii="宋体" w:hAnsi="宋体"/>
          <w:b/>
          <w:sz w:val="24"/>
          <w:szCs w:val="24"/>
        </w:rPr>
      </w:pPr>
      <w:r>
        <w:rPr>
          <w:rFonts w:ascii="宋体" w:hAnsi="宋体"/>
          <w:b/>
          <w:sz w:val="44"/>
          <w:szCs w:val="44"/>
        </w:rPr>
        <w:br w:type="page"/>
      </w:r>
    </w:p>
    <w:p>
      <w:pPr>
        <w:jc w:val="center"/>
        <w:rPr>
          <w:rFonts w:hint="eastAsia" w:ascii="宋体" w:hAnsi="宋体" w:cs="宋体"/>
          <w:b/>
          <w:bCs/>
          <w:color w:val="000000"/>
          <w:sz w:val="32"/>
          <w:szCs w:val="44"/>
          <w:lang w:val="en-US" w:eastAsia="zh-CN"/>
        </w:rPr>
      </w:pPr>
      <w:r>
        <w:rPr>
          <w:rFonts w:hint="eastAsia" w:ascii="宋体" w:hAnsi="宋体" w:cs="宋体"/>
          <w:b/>
          <w:bCs/>
          <w:color w:val="000000"/>
          <w:sz w:val="32"/>
          <w:szCs w:val="44"/>
          <w:lang w:val="en-US" w:eastAsia="zh-CN"/>
        </w:rPr>
        <w:t>目录</w:t>
      </w:r>
    </w:p>
    <w:p>
      <w:pPr>
        <w:spacing w:line="300" w:lineRule="auto"/>
        <w:rPr>
          <w:rFonts w:hint="eastAsia" w:ascii="Times New Roman" w:hAnsi="Times New Roman" w:eastAsia="宋体" w:cs="Times New Roman"/>
          <w:b/>
          <w:bCs/>
        </w:rPr>
      </w:pPr>
      <w:r>
        <w:rPr>
          <w:rFonts w:hint="eastAsia" w:ascii="Times New Roman" w:hAnsi="Times New Roman" w:eastAsia="宋体" w:cs="Times New Roman"/>
          <w:b/>
          <w:bCs/>
        </w:rPr>
        <w:t>报价部分：</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1、投标函；</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2、开标一览表；</w:t>
      </w:r>
    </w:p>
    <w:p>
      <w:pPr>
        <w:spacing w:line="300" w:lineRule="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3、投标报价明细表</w:t>
      </w:r>
    </w:p>
    <w:p>
      <w:pPr>
        <w:spacing w:line="300" w:lineRule="auto"/>
        <w:rPr>
          <w:rFonts w:hint="eastAsia" w:ascii="Times New Roman" w:hAnsi="Times New Roman" w:eastAsia="宋体" w:cs="Times New Roman"/>
          <w:b/>
          <w:bCs/>
        </w:rPr>
      </w:pPr>
      <w:r>
        <w:rPr>
          <w:rFonts w:hint="eastAsia" w:ascii="Times New Roman" w:hAnsi="Times New Roman" w:eastAsia="宋体" w:cs="Times New Roman"/>
          <w:b/>
          <w:bCs/>
        </w:rPr>
        <w:t>商务部分：</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投标单位简介，并附投标人资质证件等；</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5、</w:t>
      </w:r>
      <w:r>
        <w:rPr>
          <w:rFonts w:hint="eastAsia" w:ascii="Times New Roman" w:hAnsi="Times New Roman" w:eastAsia="宋体" w:cs="Times New Roman"/>
        </w:rPr>
        <w:t>出具法人营业执照函（格式见附件）；</w:t>
      </w:r>
    </w:p>
    <w:p>
      <w:pPr>
        <w:spacing w:line="300" w:lineRule="auto"/>
        <w:outlineLvl w:val="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w:t>
      </w:r>
      <w:r>
        <w:rPr>
          <w:rFonts w:hint="eastAsia" w:cs="Times New Roman"/>
          <w:lang w:val="en-US" w:eastAsia="zh-CN"/>
        </w:rPr>
        <w:t>联合体协议书（如是）</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7、</w:t>
      </w:r>
      <w:r>
        <w:rPr>
          <w:rFonts w:hint="eastAsia" w:ascii="Times New Roman" w:hAnsi="Times New Roman" w:eastAsia="宋体" w:cs="Times New Roman"/>
        </w:rPr>
        <w:t>法定代表人证明书及身份证</w:t>
      </w:r>
      <w:r>
        <w:rPr>
          <w:rFonts w:hint="eastAsia" w:ascii="Times New Roman" w:hAnsi="Times New Roman" w:eastAsia="宋体" w:cs="Times New Roman"/>
          <w:lang w:val="en-US" w:eastAsia="zh-CN"/>
        </w:rPr>
        <w:t>复印</w:t>
      </w:r>
      <w:r>
        <w:rPr>
          <w:rFonts w:hint="eastAsia" w:ascii="Times New Roman" w:hAnsi="Times New Roman" w:eastAsia="宋体" w:cs="Times New Roman"/>
        </w:rPr>
        <w:t>件；</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8、</w:t>
      </w:r>
      <w:r>
        <w:rPr>
          <w:rFonts w:hint="eastAsia" w:ascii="Times New Roman" w:hAnsi="Times New Roman" w:eastAsia="宋体" w:cs="Times New Roman"/>
        </w:rPr>
        <w:t>法人代表授权委托书及身份证</w:t>
      </w:r>
      <w:r>
        <w:rPr>
          <w:rFonts w:hint="eastAsia" w:ascii="Times New Roman" w:hAnsi="Times New Roman" w:eastAsia="宋体" w:cs="Times New Roman"/>
          <w:lang w:val="en-US" w:eastAsia="zh-CN"/>
        </w:rPr>
        <w:t>复印件</w:t>
      </w:r>
      <w:r>
        <w:rPr>
          <w:rFonts w:hint="eastAsia" w:ascii="Times New Roman" w:hAnsi="Times New Roman" w:eastAsia="宋体" w:cs="Times New Roman"/>
        </w:rPr>
        <w:t>；</w:t>
      </w:r>
    </w:p>
    <w:p>
      <w:pPr>
        <w:spacing w:line="300" w:lineRule="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9、委托代理人身份证复印件及在公司所缴纳近 6个月的社保证明</w:t>
      </w:r>
      <w:r>
        <w:rPr>
          <w:rFonts w:hint="eastAsia" w:cs="Times New Roman"/>
          <w:lang w:val="en-US" w:eastAsia="zh-CN"/>
        </w:rPr>
        <w:t>扫描</w:t>
      </w:r>
      <w:r>
        <w:rPr>
          <w:rFonts w:hint="eastAsia" w:ascii="Times New Roman" w:hAnsi="Times New Roman" w:eastAsia="宋体" w:cs="Times New Roman"/>
          <w:lang w:val="en-US" w:eastAsia="zh-CN"/>
        </w:rPr>
        <w:t xml:space="preserve">件（社保缴纳个人明细）； </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10、凡拟参加本次招标项目的投标人在“信用中国（www.creditchina.gov.cn）”被列入失信被执行人、企业经营异常名录、重大税收违法案件当事人名单、政府采购严重违法失信名单（尚在处罚期内的）；在“中国政府采购网（www.ccgp.gov.cn）”被列入失信被执行人、重大税收违法案件当事人名单、政府采购严重违法失信行为记录名单的(尚在处罚期内的)、经营异常名录的，将拒绝其参与本次政府釆购活动。</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需在查询的复印件上加盖企业鲜红公章）</w:t>
      </w:r>
      <w:r>
        <w:rPr>
          <w:rFonts w:hint="eastAsia" w:ascii="Times New Roman" w:hAnsi="Times New Roman" w:eastAsia="宋体" w:cs="Times New Roman"/>
        </w:rPr>
        <w:t>；</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1</w:t>
      </w:r>
      <w:r>
        <w:rPr>
          <w:rFonts w:hint="eastAsia" w:ascii="Times New Roman" w:hAnsi="Times New Roman" w:eastAsia="宋体" w:cs="Times New Roman"/>
          <w:lang w:val="en-US" w:eastAsia="zh-CN"/>
        </w:rPr>
        <w:t>、投标单位的依法缴纳税收和社会保障资金的良好记录；具有良好的商业信誉和健全的财务会计制度（需提供202</w:t>
      </w:r>
      <w:r>
        <w:rPr>
          <w:rFonts w:hint="eastAsia" w:cs="Times New Roman"/>
          <w:lang w:val="en-US" w:eastAsia="zh-CN"/>
        </w:rPr>
        <w:t>1</w:t>
      </w:r>
      <w:r>
        <w:rPr>
          <w:rFonts w:hint="eastAsia" w:ascii="Times New Roman" w:hAnsi="Times New Roman" w:eastAsia="宋体" w:cs="Times New Roman"/>
          <w:lang w:val="en-US" w:eastAsia="zh-CN"/>
        </w:rPr>
        <w:t>年度</w:t>
      </w:r>
      <w:r>
        <w:rPr>
          <w:rFonts w:hint="eastAsia" w:cs="Times New Roman"/>
          <w:lang w:val="en-US" w:eastAsia="zh-CN"/>
        </w:rPr>
        <w:t>或2022年度</w:t>
      </w:r>
      <w:r>
        <w:rPr>
          <w:rFonts w:hint="eastAsia" w:ascii="Times New Roman" w:hAnsi="Times New Roman" w:eastAsia="宋体" w:cs="Times New Roman"/>
          <w:lang w:val="en-US" w:eastAsia="zh-CN"/>
        </w:rPr>
        <w:t>财务审计报告；202</w:t>
      </w:r>
      <w:r>
        <w:rPr>
          <w:rFonts w:hint="eastAsia" w:cs="Times New Roman"/>
          <w:lang w:val="en-US" w:eastAsia="zh-CN"/>
        </w:rPr>
        <w:t>3</w:t>
      </w:r>
      <w:r>
        <w:rPr>
          <w:rFonts w:hint="eastAsia" w:ascii="Times New Roman" w:hAnsi="Times New Roman" w:eastAsia="宋体" w:cs="Times New Roman"/>
          <w:lang w:val="en-US" w:eastAsia="zh-CN"/>
        </w:rPr>
        <w:t>年成立的公司不提供；）；</w:t>
      </w:r>
    </w:p>
    <w:p>
      <w:pPr>
        <w:spacing w:line="300" w:lineRule="auto"/>
        <w:outlineLvl w:val="2"/>
        <w:rPr>
          <w:rFonts w:hint="eastAsia" w:ascii="Times New Roman" w:hAnsi="Times New Roman" w:eastAsia="宋体" w:cs="Times New Roman"/>
          <w:lang w:val="en-US" w:eastAsia="zh-CN"/>
        </w:rPr>
      </w:pPr>
      <w:bookmarkStart w:id="480" w:name="_Toc16907"/>
      <w:r>
        <w:rPr>
          <w:rFonts w:hint="eastAsia" w:ascii="Times New Roman" w:hAnsi="Times New Roman" w:eastAsia="宋体" w:cs="Times New Roman"/>
          <w:lang w:val="en-US" w:eastAsia="zh-CN"/>
        </w:rPr>
        <w:t>1</w:t>
      </w:r>
      <w:r>
        <w:rPr>
          <w:rFonts w:hint="eastAsia" w:cs="Times New Roman"/>
          <w:lang w:val="en-US" w:eastAsia="zh-CN"/>
        </w:rPr>
        <w:t>2</w:t>
      </w:r>
      <w:r>
        <w:rPr>
          <w:rFonts w:hint="eastAsia" w:ascii="Times New Roman" w:hAnsi="Times New Roman" w:eastAsia="宋体" w:cs="Times New Roman"/>
          <w:lang w:val="en-US" w:eastAsia="zh-CN"/>
        </w:rPr>
        <w:t>、投标保证金打款凭证；</w:t>
      </w:r>
      <w:bookmarkEnd w:id="480"/>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3</w:t>
      </w:r>
      <w:r>
        <w:rPr>
          <w:rFonts w:hint="eastAsia" w:ascii="Times New Roman" w:hAnsi="Times New Roman" w:eastAsia="宋体" w:cs="Times New Roman"/>
          <w:lang w:val="en-US" w:eastAsia="zh-CN"/>
        </w:rPr>
        <w:t>、投标企业</w:t>
      </w:r>
      <w:r>
        <w:rPr>
          <w:rFonts w:hint="eastAsia" w:ascii="Times New Roman" w:hAnsi="Times New Roman" w:eastAsia="宋体" w:cs="Times New Roman"/>
        </w:rPr>
        <w:t>近</w:t>
      </w:r>
      <w:r>
        <w:rPr>
          <w:rFonts w:hint="eastAsia" w:ascii="Times New Roman" w:hAnsi="Times New Roman" w:eastAsia="宋体" w:cs="Times New Roman"/>
          <w:lang w:val="en-US" w:eastAsia="zh-CN"/>
        </w:rPr>
        <w:t>三</w:t>
      </w:r>
      <w:r>
        <w:rPr>
          <w:rFonts w:hint="eastAsia" w:ascii="Times New Roman" w:hAnsi="Times New Roman" w:eastAsia="宋体" w:cs="Times New Roman"/>
        </w:rPr>
        <w:t>年的业绩表及相关证明（如有，提供</w:t>
      </w:r>
      <w:r>
        <w:rPr>
          <w:rFonts w:hint="eastAsia" w:ascii="Times New Roman" w:hAnsi="Times New Roman" w:eastAsia="宋体" w:cs="Times New Roman"/>
          <w:lang w:val="en-US" w:eastAsia="zh-CN"/>
        </w:rPr>
        <w:t>经过行政主管部门备案的中标通知书及</w:t>
      </w:r>
      <w:r>
        <w:rPr>
          <w:rFonts w:hint="eastAsia" w:ascii="Times New Roman" w:hAnsi="Times New Roman" w:eastAsia="宋体" w:cs="Times New Roman"/>
        </w:rPr>
        <w:t>合同）（格式见附件）；</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4</w:t>
      </w:r>
      <w:r>
        <w:rPr>
          <w:rFonts w:hint="eastAsia" w:ascii="Times New Roman" w:hAnsi="Times New Roman" w:eastAsia="宋体" w:cs="Times New Roman"/>
          <w:lang w:val="en-US" w:eastAsia="zh-CN"/>
        </w:rPr>
        <w:t>、</w:t>
      </w:r>
      <w:r>
        <w:rPr>
          <w:rFonts w:hint="eastAsia" w:ascii="Times New Roman" w:hAnsi="Times New Roman" w:eastAsia="宋体" w:cs="Times New Roman"/>
        </w:rPr>
        <w:t xml:space="preserve">商务偏离表（格式见附件）；  </w:t>
      </w:r>
    </w:p>
    <w:p>
      <w:pPr>
        <w:spacing w:line="300" w:lineRule="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r>
        <w:rPr>
          <w:rFonts w:hint="eastAsia" w:cs="Times New Roman"/>
          <w:lang w:val="en-US" w:eastAsia="zh-CN"/>
        </w:rPr>
        <w:t>5</w:t>
      </w:r>
      <w:r>
        <w:rPr>
          <w:rFonts w:hint="eastAsia" w:ascii="Times New Roman" w:hAnsi="Times New Roman" w:eastAsia="宋体" w:cs="Times New Roman"/>
          <w:lang w:val="en-US" w:eastAsia="zh-CN"/>
        </w:rPr>
        <w:t>、</w:t>
      </w:r>
      <w:r>
        <w:rPr>
          <w:rFonts w:hint="eastAsia" w:ascii="Times New Roman" w:hAnsi="Times New Roman" w:eastAsia="宋体" w:cs="Times New Roman"/>
          <w:lang w:eastAsia="zh-CN"/>
        </w:rPr>
        <w:t>投标人</w:t>
      </w:r>
      <w:r>
        <w:rPr>
          <w:rFonts w:hint="eastAsia" w:ascii="Times New Roman" w:hAnsi="Times New Roman" w:eastAsia="宋体" w:cs="Times New Roman"/>
        </w:rPr>
        <w:t>反商业贿赂承诺书（格式见附件）；</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6</w:t>
      </w:r>
      <w:r>
        <w:rPr>
          <w:rFonts w:hint="eastAsia" w:ascii="Times New Roman" w:hAnsi="Times New Roman" w:eastAsia="宋体" w:cs="Times New Roman"/>
          <w:lang w:val="en-US" w:eastAsia="zh-CN"/>
        </w:rPr>
        <w:t>、无围标、串标等违法违规行为承诺书</w:t>
      </w:r>
      <w:r>
        <w:rPr>
          <w:rFonts w:hint="eastAsia" w:ascii="Times New Roman" w:hAnsi="Times New Roman" w:eastAsia="宋体" w:cs="Times New Roman"/>
        </w:rPr>
        <w:t>（格式见附件）；</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7</w:t>
      </w:r>
      <w:r>
        <w:rPr>
          <w:rFonts w:hint="eastAsia" w:ascii="Times New Roman" w:hAnsi="Times New Roman" w:eastAsia="宋体" w:cs="Times New Roman"/>
          <w:lang w:val="en-US" w:eastAsia="zh-CN"/>
        </w:rPr>
        <w:t>、</w:t>
      </w:r>
      <w:r>
        <w:rPr>
          <w:rFonts w:hint="eastAsia" w:cs="Times New Roman"/>
          <w:lang w:val="en-US" w:eastAsia="zh-CN"/>
        </w:rPr>
        <w:t>中小企业声明函</w:t>
      </w:r>
      <w:r>
        <w:rPr>
          <w:rFonts w:hint="eastAsia" w:ascii="Times New Roman" w:hAnsi="Times New Roman" w:eastAsia="宋体" w:cs="Times New Roman"/>
        </w:rPr>
        <w:t>；</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cs="Times New Roman"/>
          <w:lang w:val="en-US" w:eastAsia="zh-CN"/>
        </w:rPr>
        <w:t>8</w:t>
      </w:r>
      <w:r>
        <w:rPr>
          <w:rFonts w:hint="eastAsia" w:ascii="Times New Roman" w:hAnsi="Times New Roman" w:eastAsia="宋体" w:cs="Times New Roman"/>
          <w:lang w:val="en-US" w:eastAsia="zh-CN"/>
        </w:rPr>
        <w:t>、</w:t>
      </w:r>
      <w:r>
        <w:rPr>
          <w:rFonts w:hint="eastAsia" w:ascii="Times New Roman" w:hAnsi="Times New Roman" w:eastAsia="宋体" w:cs="Times New Roman"/>
        </w:rPr>
        <w:t>投标人认为有必要提供的声明及文件资料。</w:t>
      </w:r>
    </w:p>
    <w:p>
      <w:pPr>
        <w:spacing w:line="300" w:lineRule="auto"/>
        <w:rPr>
          <w:rFonts w:hint="eastAsia" w:ascii="Times New Roman" w:hAnsi="Times New Roman" w:eastAsia="宋体" w:cs="Times New Roman"/>
          <w:b/>
          <w:bCs/>
        </w:rPr>
      </w:pPr>
      <w:r>
        <w:rPr>
          <w:rFonts w:hint="eastAsia" w:ascii="Times New Roman" w:hAnsi="Times New Roman" w:eastAsia="宋体" w:cs="Times New Roman"/>
          <w:b/>
          <w:bCs/>
        </w:rPr>
        <w:t>技术部分：</w:t>
      </w:r>
    </w:p>
    <w:p>
      <w:pPr>
        <w:spacing w:line="300" w:lineRule="auto"/>
        <w:rPr>
          <w:rFonts w:hint="eastAsia" w:ascii="Times New Roman" w:hAnsi="Times New Roman" w:eastAsia="宋体" w:cs="Times New Roman"/>
        </w:rPr>
      </w:pPr>
      <w:r>
        <w:rPr>
          <w:rFonts w:hint="eastAsia" w:cs="Times New Roman"/>
          <w:lang w:val="en-US" w:eastAsia="zh-CN"/>
        </w:rPr>
        <w:t>19</w:t>
      </w:r>
      <w:r>
        <w:rPr>
          <w:rFonts w:hint="eastAsia" w:ascii="Times New Roman" w:hAnsi="Times New Roman" w:eastAsia="宋体" w:cs="Times New Roman"/>
          <w:lang w:val="en-US" w:eastAsia="zh-CN"/>
        </w:rPr>
        <w:t>、</w:t>
      </w:r>
      <w:r>
        <w:rPr>
          <w:rFonts w:hint="eastAsia" w:ascii="Times New Roman" w:hAnsi="Times New Roman" w:eastAsia="宋体" w:cs="Times New Roman"/>
        </w:rPr>
        <w:t>对本次</w:t>
      </w:r>
      <w:r>
        <w:rPr>
          <w:rFonts w:hint="eastAsia" w:ascii="Times New Roman" w:hAnsi="Times New Roman" w:eastAsia="宋体" w:cs="Times New Roman"/>
          <w:lang w:val="en-US" w:eastAsia="zh-CN"/>
        </w:rPr>
        <w:t>投标项目的技术方案</w:t>
      </w:r>
      <w:r>
        <w:rPr>
          <w:rFonts w:hint="eastAsia" w:ascii="Times New Roman" w:hAnsi="Times New Roman" w:eastAsia="宋体" w:cs="Times New Roman"/>
        </w:rPr>
        <w:t>(投标人视需要自行编写)；</w:t>
      </w:r>
    </w:p>
    <w:p>
      <w:pPr>
        <w:spacing w:line="300" w:lineRule="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eastAsia" w:cs="Times New Roman"/>
          <w:lang w:val="en-US" w:eastAsia="zh-CN"/>
        </w:rPr>
        <w:t>0</w:t>
      </w:r>
      <w:r>
        <w:rPr>
          <w:rFonts w:hint="eastAsia" w:ascii="Times New Roman" w:hAnsi="Times New Roman" w:eastAsia="宋体" w:cs="Times New Roman"/>
          <w:lang w:val="en-US" w:eastAsia="zh-CN"/>
        </w:rPr>
        <w:t>、服务承诺书</w:t>
      </w:r>
    </w:p>
    <w:p>
      <w:pPr>
        <w:spacing w:line="300" w:lineRule="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eastAsia" w:cs="Times New Roman"/>
          <w:lang w:val="en-US" w:eastAsia="zh-CN"/>
        </w:rPr>
        <w:t>1</w:t>
      </w:r>
      <w:r>
        <w:rPr>
          <w:rFonts w:hint="eastAsia" w:ascii="Times New Roman" w:hAnsi="Times New Roman" w:eastAsia="宋体" w:cs="Times New Roman"/>
          <w:lang w:val="en-US" w:eastAsia="zh-CN"/>
        </w:rPr>
        <w:t>、</w:t>
      </w:r>
      <w:r>
        <w:rPr>
          <w:rFonts w:hint="eastAsia" w:ascii="Times New Roman" w:hAnsi="Times New Roman" w:eastAsia="宋体" w:cs="Times New Roman"/>
          <w:lang w:eastAsia="zh-CN"/>
        </w:rPr>
        <w:t>项目负责人简历表</w:t>
      </w:r>
      <w:r>
        <w:rPr>
          <w:rFonts w:hint="eastAsia" w:ascii="Times New Roman" w:hAnsi="Times New Roman" w:eastAsia="宋体" w:cs="Times New Roman"/>
          <w:lang w:val="en-US" w:eastAsia="zh-CN"/>
        </w:rPr>
        <w:t>及相关证书</w:t>
      </w:r>
    </w:p>
    <w:p>
      <w:pPr>
        <w:spacing w:line="300" w:lineRule="auto"/>
        <w:rPr>
          <w:rFonts w:hint="eastAsia" w:ascii="Times New Roman" w:hAnsi="Times New Roman" w:eastAsia="宋体" w:cs="Times New Roman"/>
        </w:rPr>
      </w:pPr>
      <w:r>
        <w:rPr>
          <w:rFonts w:hint="eastAsia" w:ascii="Times New Roman" w:hAnsi="Times New Roman" w:eastAsia="宋体" w:cs="Times New Roman"/>
          <w:lang w:val="en-US" w:eastAsia="zh-CN"/>
        </w:rPr>
        <w:t>2</w:t>
      </w:r>
      <w:r>
        <w:rPr>
          <w:rFonts w:hint="eastAsia" w:cs="Times New Roman"/>
          <w:lang w:val="en-US" w:eastAsia="zh-CN"/>
        </w:rPr>
        <w:t>2</w:t>
      </w:r>
      <w:r>
        <w:rPr>
          <w:rFonts w:hint="eastAsia" w:ascii="Times New Roman" w:hAnsi="Times New Roman" w:eastAsia="宋体" w:cs="Times New Roman"/>
          <w:lang w:val="en-US" w:eastAsia="zh-CN"/>
        </w:rPr>
        <w:t>、</w:t>
      </w:r>
      <w:r>
        <w:rPr>
          <w:rFonts w:hint="eastAsia" w:ascii="Times New Roman" w:hAnsi="Times New Roman" w:eastAsia="宋体" w:cs="Times New Roman"/>
          <w:lang w:eastAsia="zh-CN"/>
        </w:rPr>
        <w:t>人员配置</w:t>
      </w:r>
      <w:r>
        <w:rPr>
          <w:rFonts w:hint="eastAsia" w:ascii="Times New Roman" w:hAnsi="Times New Roman" w:eastAsia="宋体" w:cs="Times New Roman"/>
        </w:rPr>
        <w:t xml:space="preserve"> </w:t>
      </w:r>
    </w:p>
    <w:p>
      <w:pPr>
        <w:spacing w:line="300" w:lineRule="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2</w:t>
      </w:r>
      <w:r>
        <w:rPr>
          <w:rFonts w:hint="eastAsia" w:cs="Times New Roman"/>
          <w:lang w:val="en-US" w:eastAsia="zh-CN"/>
        </w:rPr>
        <w:t>3</w:t>
      </w:r>
      <w:r>
        <w:rPr>
          <w:rFonts w:hint="eastAsia" w:ascii="Times New Roman" w:hAnsi="Times New Roman" w:eastAsia="宋体" w:cs="Times New Roman"/>
          <w:lang w:val="en-US" w:eastAsia="zh-CN"/>
        </w:rPr>
        <w:t>、质疑函格式</w:t>
      </w:r>
    </w:p>
    <w:p>
      <w:pPr>
        <w:spacing w:line="300" w:lineRule="auto"/>
        <w:rPr>
          <w:rFonts w:hint="default"/>
          <w:lang w:val="en-US" w:eastAsia="zh-CN"/>
        </w:rPr>
      </w:pPr>
      <w:r>
        <w:rPr>
          <w:rFonts w:hint="eastAsia" w:ascii="Times New Roman" w:hAnsi="Times New Roman" w:eastAsia="宋体" w:cs="Times New Roman"/>
          <w:lang w:val="en-US" w:eastAsia="zh-CN"/>
        </w:rPr>
        <w:t>2</w:t>
      </w:r>
      <w:r>
        <w:rPr>
          <w:rFonts w:hint="eastAsia" w:cs="Times New Roman"/>
          <w:lang w:val="en-US" w:eastAsia="zh-CN"/>
        </w:rPr>
        <w:t>4</w:t>
      </w:r>
      <w:r>
        <w:rPr>
          <w:rFonts w:hint="eastAsia" w:ascii="Times New Roman" w:hAnsi="Times New Roman" w:eastAsia="宋体" w:cs="Times New Roman"/>
          <w:lang w:val="en-US" w:eastAsia="zh-CN"/>
        </w:rPr>
        <w:t>、</w:t>
      </w:r>
      <w:r>
        <w:rPr>
          <w:rFonts w:hint="eastAsia" w:ascii="Times New Roman" w:hAnsi="Times New Roman" w:eastAsia="宋体" w:cs="Times New Roman"/>
          <w:lang w:eastAsia="zh-CN"/>
        </w:rPr>
        <w:t>其他有利于投标人的资料（如有）</w:t>
      </w:r>
    </w:p>
    <w:p>
      <w:pPr>
        <w:spacing w:line="30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注：1、投标文件必须制作有目录和页码</w:t>
      </w:r>
    </w:p>
    <w:p>
      <w:pPr>
        <w:spacing w:line="300" w:lineRule="auto"/>
        <w:outlineLvl w:val="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bookmarkStart w:id="481" w:name="_Toc26933"/>
      <w:r>
        <w:rPr>
          <w:rFonts w:hint="eastAsia" w:ascii="Times New Roman" w:hAnsi="Times New Roman" w:eastAsia="宋体" w:cs="Times New Roman"/>
          <w:lang w:val="en-US" w:eastAsia="zh-CN"/>
        </w:rPr>
        <w:t>2、只接受A4纸张大小的投标文件</w:t>
      </w:r>
      <w:bookmarkEnd w:id="481"/>
    </w:p>
    <w:p>
      <w:pPr>
        <w:spacing w:line="300" w:lineRule="auto"/>
        <w:rPr>
          <w:rFonts w:hint="eastAsia" w:ascii="宋体" w:hAnsi="宋体" w:eastAsia="宋体" w:cs="宋体"/>
          <w:color w:val="000000"/>
          <w:sz w:val="24"/>
          <w:szCs w:val="24"/>
          <w:lang w:eastAsia="zh-CN"/>
        </w:rPr>
        <w:sectPr>
          <w:headerReference r:id="rId15" w:type="default"/>
          <w:pgSz w:w="11906" w:h="16838"/>
          <w:pgMar w:top="1446" w:right="1219" w:bottom="1446" w:left="1219" w:header="283" w:footer="567" w:gutter="0"/>
          <w:pgNumType w:fmt="decimal"/>
          <w:cols w:space="720" w:num="1"/>
          <w:docGrid w:type="lines" w:linePitch="312" w:charSpace="0"/>
        </w:sectPr>
      </w:pPr>
      <w:r>
        <w:rPr>
          <w:rFonts w:hint="eastAsia" w:ascii="Times New Roman" w:hAnsi="Times New Roman" w:eastAsia="宋体" w:cs="Times New Roman"/>
          <w:lang w:val="en-US" w:eastAsia="zh-CN"/>
        </w:rPr>
        <w:t xml:space="preserve">投标文件严格按要求制作   </w:t>
      </w:r>
    </w:p>
    <w:p>
      <w:pPr>
        <w:numPr>
          <w:ilvl w:val="0"/>
          <w:numId w:val="0"/>
        </w:numPr>
        <w:spacing w:line="440" w:lineRule="exact"/>
        <w:jc w:val="both"/>
        <w:rPr>
          <w:rFonts w:hint="eastAsia" w:ascii="宋体" w:hAnsi="宋体" w:cs="宋体"/>
          <w:b/>
          <w:color w:val="000000"/>
          <w:sz w:val="28"/>
          <w:szCs w:val="24"/>
          <w:lang w:val="en-US" w:eastAsia="zh-CN"/>
        </w:rPr>
      </w:pPr>
    </w:p>
    <w:p>
      <w:pPr>
        <w:numPr>
          <w:ilvl w:val="0"/>
          <w:numId w:val="0"/>
        </w:numPr>
        <w:spacing w:line="440" w:lineRule="exact"/>
        <w:jc w:val="both"/>
        <w:rPr>
          <w:rFonts w:hint="eastAsia" w:ascii="宋体" w:hAnsi="宋体" w:cs="宋体"/>
          <w:b/>
          <w:color w:val="000000"/>
          <w:sz w:val="28"/>
          <w:szCs w:val="24"/>
          <w:lang w:val="en-US" w:eastAsia="zh-CN"/>
        </w:rPr>
      </w:pPr>
      <w:r>
        <w:rPr>
          <w:rFonts w:hint="eastAsia" w:ascii="宋体" w:hAnsi="宋体" w:cs="宋体"/>
          <w:b/>
          <w:color w:val="000000"/>
          <w:sz w:val="28"/>
          <w:szCs w:val="24"/>
          <w:lang w:val="en-US" w:eastAsia="zh-CN"/>
        </w:rPr>
        <w:t>附件一</w:t>
      </w:r>
    </w:p>
    <w:p>
      <w:pPr>
        <w:numPr>
          <w:ilvl w:val="0"/>
          <w:numId w:val="0"/>
        </w:numPr>
        <w:spacing w:line="440" w:lineRule="exact"/>
        <w:jc w:val="center"/>
        <w:rPr>
          <w:rFonts w:hint="eastAsia" w:ascii="宋体" w:hAnsi="宋体" w:eastAsia="宋体" w:cs="宋体"/>
          <w:b/>
          <w:color w:val="000000"/>
          <w:sz w:val="32"/>
          <w:szCs w:val="28"/>
          <w:lang w:eastAsia="zh-CN"/>
        </w:rPr>
      </w:pPr>
      <w:r>
        <w:rPr>
          <w:rFonts w:hint="eastAsia" w:ascii="宋体" w:hAnsi="宋体" w:cs="宋体"/>
          <w:b/>
          <w:color w:val="000000"/>
          <w:sz w:val="32"/>
          <w:szCs w:val="28"/>
        </w:rPr>
        <w:t>投标</w:t>
      </w:r>
      <w:r>
        <w:rPr>
          <w:rFonts w:hint="eastAsia" w:ascii="宋体" w:hAnsi="宋体" w:cs="宋体"/>
          <w:b/>
          <w:color w:val="000000"/>
          <w:sz w:val="32"/>
          <w:szCs w:val="28"/>
          <w:lang w:eastAsia="zh-CN"/>
        </w:rPr>
        <w:t>函</w:t>
      </w:r>
    </w:p>
    <w:p>
      <w:pPr>
        <w:pStyle w:val="169"/>
        <w:numPr>
          <w:ilvl w:val="0"/>
          <w:numId w:val="0"/>
        </w:numPr>
        <w:rPr>
          <w:rFonts w:hint="eastAsia"/>
        </w:rPr>
      </w:pPr>
    </w:p>
    <w:p>
      <w:pPr>
        <w:adjustRightInd w:val="0"/>
        <w:snapToGrid w:val="0"/>
        <w:spacing w:line="360" w:lineRule="auto"/>
        <w:rPr>
          <w:rFonts w:hint="eastAsia" w:ascii="宋体" w:hAnsi="宋体" w:cs="宋体"/>
          <w:color w:val="000000"/>
          <w:sz w:val="21"/>
          <w:szCs w:val="22"/>
        </w:rPr>
      </w:pPr>
      <w:r>
        <w:rPr>
          <w:rFonts w:hint="eastAsia" w:ascii="宋体" w:hAnsi="宋体" w:cs="宋体"/>
          <w:color w:val="000000"/>
          <w:sz w:val="21"/>
          <w:szCs w:val="22"/>
        </w:rPr>
        <w:t>招标人：</w:t>
      </w:r>
      <w:r>
        <w:rPr>
          <w:rFonts w:hint="eastAsia" w:ascii="宋体" w:hAnsi="宋体" w:cs="宋体"/>
          <w:color w:val="000000"/>
          <w:sz w:val="21"/>
          <w:szCs w:val="22"/>
          <w:u w:val="single"/>
        </w:rPr>
        <w:t xml:space="preserve">             </w:t>
      </w:r>
      <w:r>
        <w:rPr>
          <w:rFonts w:hint="eastAsia" w:ascii="宋体" w:hAnsi="宋体" w:cs="宋体"/>
          <w:color w:val="000000"/>
          <w:sz w:val="21"/>
          <w:szCs w:val="22"/>
        </w:rPr>
        <w:t>：</w:t>
      </w:r>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 xml:space="preserve">  我们收到你们的</w:t>
      </w:r>
      <w:r>
        <w:rPr>
          <w:rFonts w:hint="eastAsia" w:ascii="宋体" w:hAnsi="宋体" w:cs="宋体"/>
          <w:color w:val="000000"/>
          <w:sz w:val="21"/>
          <w:szCs w:val="22"/>
          <w:u w:val="single"/>
        </w:rPr>
        <w:t xml:space="preserve">     （项目名称）     （项目编号：  号）</w:t>
      </w:r>
      <w:r>
        <w:rPr>
          <w:rFonts w:hint="eastAsia" w:ascii="宋体" w:hAnsi="宋体" w:cs="宋体"/>
          <w:color w:val="000000"/>
          <w:sz w:val="21"/>
          <w:szCs w:val="22"/>
          <w:lang w:eastAsia="zh-CN"/>
        </w:rPr>
        <w:t>招标</w:t>
      </w:r>
      <w:r>
        <w:rPr>
          <w:rFonts w:hint="eastAsia" w:ascii="宋体" w:hAnsi="宋体" w:cs="宋体"/>
          <w:color w:val="000000"/>
          <w:sz w:val="21"/>
          <w:szCs w:val="22"/>
        </w:rPr>
        <w:t>文件，经认真研究，我们决定参加本次</w:t>
      </w:r>
      <w:r>
        <w:rPr>
          <w:rFonts w:hint="eastAsia" w:ascii="宋体" w:hAnsi="宋体" w:cs="宋体"/>
          <w:color w:val="000000"/>
          <w:sz w:val="21"/>
          <w:szCs w:val="22"/>
          <w:lang w:eastAsia="zh-CN"/>
        </w:rPr>
        <w:t>招标</w:t>
      </w:r>
      <w:r>
        <w:rPr>
          <w:rFonts w:hint="eastAsia" w:ascii="宋体" w:hAnsi="宋体" w:cs="宋体"/>
          <w:color w:val="000000"/>
          <w:sz w:val="21"/>
          <w:szCs w:val="22"/>
        </w:rPr>
        <w:t>活动。</w:t>
      </w:r>
    </w:p>
    <w:p>
      <w:pPr>
        <w:numPr>
          <w:ilvl w:val="0"/>
          <w:numId w:val="5"/>
        </w:numPr>
        <w:adjustRightInd w:val="0"/>
        <w:snapToGrid w:val="0"/>
        <w:spacing w:line="360" w:lineRule="auto"/>
        <w:ind w:firstLine="420" w:firstLineChars="200"/>
        <w:outlineLvl w:val="2"/>
        <w:rPr>
          <w:rFonts w:hint="eastAsia" w:ascii="宋体" w:hAnsi="宋体" w:cs="宋体"/>
          <w:color w:val="000000"/>
          <w:sz w:val="21"/>
          <w:szCs w:val="22"/>
        </w:rPr>
      </w:pPr>
      <w:bookmarkStart w:id="482" w:name="_Toc15514"/>
      <w:r>
        <w:rPr>
          <w:rFonts w:hint="eastAsia" w:ascii="宋体" w:hAnsi="宋体" w:cs="宋体"/>
          <w:color w:val="000000"/>
          <w:sz w:val="21"/>
          <w:szCs w:val="22"/>
        </w:rPr>
        <w:t>按照</w:t>
      </w:r>
      <w:r>
        <w:rPr>
          <w:rFonts w:hint="eastAsia" w:ascii="宋体" w:hAnsi="宋体" w:cs="宋体"/>
          <w:color w:val="000000"/>
          <w:sz w:val="21"/>
          <w:szCs w:val="22"/>
          <w:lang w:eastAsia="zh-CN"/>
        </w:rPr>
        <w:t>招标文件</w:t>
      </w:r>
      <w:r>
        <w:rPr>
          <w:rFonts w:hint="eastAsia" w:ascii="宋体" w:hAnsi="宋体" w:cs="宋体"/>
          <w:color w:val="000000"/>
          <w:sz w:val="21"/>
          <w:szCs w:val="22"/>
        </w:rPr>
        <w:t>中的一切要求，提供招标的相关服务。</w:t>
      </w:r>
      <w:bookmarkEnd w:id="482"/>
    </w:p>
    <w:p>
      <w:pPr>
        <w:numPr>
          <w:ilvl w:val="0"/>
          <w:numId w:val="0"/>
        </w:numPr>
        <w:adjustRightInd w:val="0"/>
        <w:snapToGrid w:val="0"/>
        <w:spacing w:line="360" w:lineRule="auto"/>
        <w:rPr>
          <w:rFonts w:hint="eastAsia" w:ascii="宋体" w:hAnsi="宋体" w:cs="宋体"/>
          <w:b/>
          <w:bCs/>
          <w:sz w:val="21"/>
          <w:szCs w:val="22"/>
        </w:rPr>
      </w:pPr>
      <w:r>
        <w:rPr>
          <w:rFonts w:hint="eastAsia" w:ascii="宋体" w:hAnsi="宋体" w:cs="宋体"/>
          <w:b/>
          <w:bCs/>
          <w:color w:val="000000"/>
          <w:sz w:val="21"/>
          <w:szCs w:val="22"/>
          <w:lang w:val="en-US" w:eastAsia="zh-CN"/>
        </w:rPr>
        <w:t>小写：</w:t>
      </w:r>
      <w:r>
        <w:rPr>
          <w:rFonts w:hint="eastAsia" w:ascii="宋体" w:hAnsi="宋体" w:cs="宋体"/>
          <w:b/>
          <w:bCs/>
          <w:sz w:val="21"/>
          <w:szCs w:val="22"/>
          <w:u w:val="single"/>
        </w:rPr>
        <w:t xml:space="preserve">        </w:t>
      </w:r>
      <w:r>
        <w:rPr>
          <w:rFonts w:hint="eastAsia" w:ascii="宋体" w:hAnsi="宋体" w:cs="宋体"/>
          <w:b/>
          <w:bCs/>
          <w:sz w:val="21"/>
          <w:szCs w:val="22"/>
          <w:u w:val="single"/>
          <w:lang w:val="en-US" w:eastAsia="zh-CN"/>
        </w:rPr>
        <w:t xml:space="preserve">         </w:t>
      </w:r>
      <w:r>
        <w:rPr>
          <w:rFonts w:hint="eastAsia" w:ascii="宋体" w:hAnsi="宋体" w:cs="宋体"/>
          <w:b/>
          <w:bCs/>
          <w:sz w:val="21"/>
          <w:szCs w:val="22"/>
          <w:u w:val="single"/>
        </w:rPr>
        <w:t xml:space="preserve">    </w:t>
      </w:r>
      <w:r>
        <w:rPr>
          <w:rFonts w:hint="eastAsia" w:ascii="宋体" w:hAnsi="宋体" w:cs="宋体"/>
          <w:b/>
          <w:bCs/>
          <w:sz w:val="21"/>
          <w:szCs w:val="22"/>
        </w:rPr>
        <w:t>元</w:t>
      </w:r>
    </w:p>
    <w:p>
      <w:pPr>
        <w:adjustRightInd w:val="0"/>
        <w:snapToGrid w:val="0"/>
        <w:spacing w:line="360" w:lineRule="auto"/>
        <w:rPr>
          <w:rFonts w:hint="eastAsia" w:ascii="宋体" w:hAnsi="宋体" w:cs="宋体"/>
          <w:b/>
          <w:bCs/>
          <w:sz w:val="21"/>
          <w:szCs w:val="22"/>
        </w:rPr>
      </w:pPr>
      <w:r>
        <w:rPr>
          <w:rFonts w:hint="eastAsia" w:ascii="宋体" w:hAnsi="宋体" w:cs="宋体"/>
          <w:b/>
          <w:bCs/>
          <w:sz w:val="21"/>
          <w:szCs w:val="22"/>
        </w:rPr>
        <w:t>大写：</w:t>
      </w:r>
      <w:r>
        <w:rPr>
          <w:rFonts w:hint="eastAsia" w:ascii="宋体" w:hAnsi="宋体" w:cs="宋体"/>
          <w:b/>
          <w:bCs/>
          <w:sz w:val="21"/>
          <w:szCs w:val="22"/>
          <w:u w:val="single"/>
        </w:rPr>
        <w:t xml:space="preserve">                </w:t>
      </w:r>
      <w:r>
        <w:rPr>
          <w:rFonts w:hint="eastAsia" w:ascii="宋体" w:hAnsi="宋体" w:cs="宋体"/>
          <w:b/>
          <w:bCs/>
          <w:sz w:val="21"/>
          <w:szCs w:val="22"/>
          <w:u w:val="single"/>
          <w:lang w:val="en-US" w:eastAsia="zh-CN"/>
        </w:rPr>
        <w:t xml:space="preserve">  </w:t>
      </w:r>
      <w:r>
        <w:rPr>
          <w:rFonts w:hint="eastAsia" w:ascii="宋体" w:hAnsi="宋体" w:cs="宋体"/>
          <w:b/>
          <w:bCs/>
          <w:sz w:val="21"/>
          <w:szCs w:val="22"/>
          <w:u w:val="single"/>
        </w:rPr>
        <w:t xml:space="preserve">   </w:t>
      </w:r>
      <w:r>
        <w:rPr>
          <w:rFonts w:hint="eastAsia" w:ascii="宋体" w:hAnsi="宋体" w:cs="宋体"/>
          <w:b/>
          <w:bCs/>
          <w:sz w:val="21"/>
          <w:szCs w:val="22"/>
        </w:rPr>
        <w:t xml:space="preserve"> 。</w:t>
      </w:r>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2、如果我们的投标文件被接受，我们将履行</w:t>
      </w:r>
      <w:r>
        <w:rPr>
          <w:rFonts w:hint="eastAsia" w:ascii="宋体" w:hAnsi="宋体" w:cs="宋体"/>
          <w:color w:val="000000"/>
          <w:sz w:val="21"/>
          <w:szCs w:val="22"/>
          <w:lang w:eastAsia="zh-CN"/>
        </w:rPr>
        <w:t>招标文件</w:t>
      </w:r>
      <w:r>
        <w:rPr>
          <w:rFonts w:hint="eastAsia" w:ascii="宋体" w:hAnsi="宋体" w:cs="宋体"/>
          <w:color w:val="000000"/>
          <w:sz w:val="21"/>
          <w:szCs w:val="22"/>
        </w:rPr>
        <w:t>中规定的每一项义务和要求，按期、按质、按量完成</w:t>
      </w:r>
      <w:r>
        <w:rPr>
          <w:rFonts w:hint="eastAsia" w:ascii="宋体" w:hAnsi="宋体" w:cs="宋体"/>
          <w:color w:val="000000"/>
          <w:sz w:val="21"/>
          <w:szCs w:val="22"/>
          <w:lang w:val="en-US" w:eastAsia="zh-CN"/>
        </w:rPr>
        <w:t>本次服务</w:t>
      </w:r>
      <w:r>
        <w:rPr>
          <w:rFonts w:hint="eastAsia" w:ascii="宋体" w:hAnsi="宋体" w:cs="宋体"/>
          <w:color w:val="000000"/>
          <w:sz w:val="21"/>
          <w:szCs w:val="22"/>
        </w:rPr>
        <w:t>。</w:t>
      </w:r>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3、我们同意按</w:t>
      </w:r>
      <w:r>
        <w:rPr>
          <w:rFonts w:hint="eastAsia" w:ascii="宋体" w:hAnsi="宋体" w:cs="宋体"/>
          <w:color w:val="000000"/>
          <w:sz w:val="21"/>
          <w:szCs w:val="22"/>
          <w:lang w:eastAsia="zh-CN"/>
        </w:rPr>
        <w:t>招标</w:t>
      </w:r>
      <w:r>
        <w:rPr>
          <w:rFonts w:hint="eastAsia" w:ascii="宋体" w:hAnsi="宋体" w:cs="宋体"/>
          <w:color w:val="000000"/>
          <w:sz w:val="21"/>
          <w:szCs w:val="22"/>
        </w:rPr>
        <w:t>文件的规定，本投标文件的有效期为开标后</w:t>
      </w:r>
      <w:r>
        <w:rPr>
          <w:rFonts w:hint="eastAsia" w:ascii="宋体" w:hAnsi="宋体" w:cs="宋体"/>
          <w:color w:val="000000"/>
          <w:sz w:val="21"/>
          <w:szCs w:val="22"/>
          <w:u w:val="single"/>
          <w:lang w:val="en-US" w:eastAsia="zh-CN"/>
        </w:rPr>
        <w:t xml:space="preserve">      </w:t>
      </w:r>
      <w:r>
        <w:rPr>
          <w:rFonts w:hint="eastAsia" w:ascii="宋体" w:hAnsi="宋体" w:cs="宋体"/>
          <w:color w:val="000000"/>
          <w:sz w:val="21"/>
          <w:szCs w:val="22"/>
        </w:rPr>
        <w:t>天。</w:t>
      </w:r>
    </w:p>
    <w:p>
      <w:pPr>
        <w:adjustRightInd w:val="0"/>
        <w:snapToGrid w:val="0"/>
        <w:spacing w:line="360" w:lineRule="auto"/>
        <w:ind w:firstLine="420" w:firstLineChars="200"/>
        <w:outlineLvl w:val="2"/>
        <w:rPr>
          <w:rFonts w:hint="eastAsia" w:ascii="宋体" w:hAnsi="宋体" w:cs="宋体"/>
          <w:color w:val="000000"/>
          <w:sz w:val="21"/>
          <w:szCs w:val="22"/>
        </w:rPr>
      </w:pPr>
      <w:bookmarkStart w:id="483" w:name="_Toc29996"/>
      <w:r>
        <w:rPr>
          <w:rFonts w:hint="eastAsia" w:ascii="宋体" w:hAnsi="宋体" w:cs="宋体"/>
          <w:color w:val="000000"/>
          <w:sz w:val="21"/>
          <w:szCs w:val="22"/>
        </w:rPr>
        <w:t>4、我们愿意提供招标人在</w:t>
      </w:r>
      <w:r>
        <w:rPr>
          <w:rFonts w:hint="eastAsia" w:ascii="宋体" w:hAnsi="宋体" w:cs="宋体"/>
          <w:color w:val="000000"/>
          <w:sz w:val="21"/>
          <w:szCs w:val="22"/>
          <w:lang w:eastAsia="zh-CN"/>
        </w:rPr>
        <w:t>招标</w:t>
      </w:r>
      <w:r>
        <w:rPr>
          <w:rFonts w:hint="eastAsia" w:ascii="宋体" w:hAnsi="宋体" w:cs="宋体"/>
          <w:color w:val="000000"/>
          <w:sz w:val="21"/>
          <w:szCs w:val="22"/>
        </w:rPr>
        <w:t>文件中要求的所有资料。</w:t>
      </w:r>
      <w:bookmarkEnd w:id="483"/>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5、我们认为你们有选择或拒绝任何投标者中标的权力。我们理解，最低报价不是中标的唯一条件。</w:t>
      </w:r>
    </w:p>
    <w:p>
      <w:pPr>
        <w:adjustRightInd w:val="0"/>
        <w:snapToGrid w:val="0"/>
        <w:spacing w:line="360" w:lineRule="auto"/>
        <w:ind w:firstLine="420" w:firstLineChars="200"/>
        <w:outlineLvl w:val="2"/>
        <w:rPr>
          <w:rFonts w:hint="eastAsia" w:ascii="宋体" w:hAnsi="宋体" w:cs="宋体"/>
          <w:color w:val="000000"/>
          <w:sz w:val="21"/>
          <w:szCs w:val="22"/>
        </w:rPr>
      </w:pPr>
      <w:bookmarkStart w:id="484" w:name="_Toc19169"/>
      <w:r>
        <w:rPr>
          <w:rFonts w:hint="eastAsia" w:ascii="宋体" w:hAnsi="宋体" w:cs="宋体"/>
          <w:color w:val="000000"/>
          <w:sz w:val="21"/>
          <w:szCs w:val="22"/>
        </w:rPr>
        <w:t>6、我们愿按合同法履行自己的全部责任。</w:t>
      </w:r>
      <w:bookmarkEnd w:id="484"/>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7、我们愿意遵守国家有关规定和</w:t>
      </w:r>
      <w:r>
        <w:rPr>
          <w:rFonts w:hint="eastAsia" w:ascii="宋体" w:hAnsi="宋体" w:cs="宋体"/>
          <w:color w:val="000000"/>
          <w:sz w:val="21"/>
          <w:szCs w:val="22"/>
          <w:lang w:eastAsia="zh-CN"/>
        </w:rPr>
        <w:t>招标</w:t>
      </w:r>
      <w:r>
        <w:rPr>
          <w:rFonts w:hint="eastAsia" w:ascii="宋体" w:hAnsi="宋体" w:cs="宋体"/>
          <w:color w:val="000000"/>
          <w:sz w:val="21"/>
          <w:szCs w:val="22"/>
        </w:rPr>
        <w:t>文件中规定的收费标准，承付中标服务费。</w:t>
      </w:r>
    </w:p>
    <w:p>
      <w:pPr>
        <w:adjustRightInd w:val="0"/>
        <w:snapToGrid w:val="0"/>
        <w:spacing w:line="360" w:lineRule="auto"/>
        <w:ind w:firstLine="420" w:firstLineChars="200"/>
        <w:outlineLvl w:val="2"/>
        <w:rPr>
          <w:rFonts w:hint="eastAsia" w:ascii="宋体" w:hAnsi="宋体" w:cs="宋体"/>
          <w:color w:val="000000"/>
          <w:sz w:val="21"/>
          <w:szCs w:val="22"/>
        </w:rPr>
      </w:pPr>
      <w:bookmarkStart w:id="485" w:name="_Toc17525"/>
      <w:r>
        <w:rPr>
          <w:rFonts w:hint="eastAsia" w:ascii="宋体" w:hAnsi="宋体" w:cs="宋体"/>
          <w:color w:val="000000"/>
          <w:sz w:val="21"/>
          <w:szCs w:val="22"/>
        </w:rPr>
        <w:t>8、该项投标在开标后的全过程中保持有效，不作任何更改和变动。</w:t>
      </w:r>
      <w:bookmarkEnd w:id="485"/>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9、我们同意按</w:t>
      </w:r>
      <w:r>
        <w:rPr>
          <w:rFonts w:hint="eastAsia" w:ascii="宋体" w:hAnsi="宋体" w:cs="宋体"/>
          <w:color w:val="000000"/>
          <w:sz w:val="21"/>
          <w:szCs w:val="22"/>
          <w:lang w:eastAsia="zh-CN"/>
        </w:rPr>
        <w:t>招标</w:t>
      </w:r>
      <w:r>
        <w:rPr>
          <w:rFonts w:hint="eastAsia" w:ascii="宋体" w:hAnsi="宋体" w:cs="宋体"/>
          <w:color w:val="000000"/>
          <w:sz w:val="21"/>
          <w:szCs w:val="22"/>
        </w:rPr>
        <w:t>文件规定，交纳</w:t>
      </w:r>
      <w:r>
        <w:rPr>
          <w:rFonts w:hint="eastAsia" w:ascii="宋体" w:hAnsi="宋体" w:cs="宋体"/>
          <w:color w:val="000000"/>
          <w:sz w:val="21"/>
          <w:szCs w:val="22"/>
          <w:u w:val="single"/>
        </w:rPr>
        <w:t xml:space="preserve">            </w:t>
      </w:r>
      <w:r>
        <w:rPr>
          <w:rFonts w:hint="eastAsia" w:ascii="宋体" w:hAnsi="宋体" w:cs="宋体"/>
          <w:color w:val="000000"/>
          <w:sz w:val="21"/>
          <w:szCs w:val="22"/>
        </w:rPr>
        <w:t>元的投标保证金。</w:t>
      </w:r>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10、其它说明。</w:t>
      </w:r>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11、所有有关本标书的函电，请按下列地址联系：</w:t>
      </w:r>
    </w:p>
    <w:p>
      <w:pPr>
        <w:adjustRightInd w:val="0"/>
        <w:snapToGrid w:val="0"/>
        <w:spacing w:line="360" w:lineRule="auto"/>
        <w:ind w:firstLine="420" w:firstLineChars="200"/>
        <w:rPr>
          <w:rFonts w:hint="eastAsia" w:ascii="宋体" w:hAnsi="宋体" w:cs="宋体"/>
          <w:color w:val="000000"/>
          <w:sz w:val="21"/>
          <w:szCs w:val="22"/>
          <w:u w:val="single"/>
        </w:rPr>
      </w:pPr>
      <w:r>
        <w:rPr>
          <w:rFonts w:hint="eastAsia" w:ascii="宋体" w:hAnsi="宋体" w:cs="宋体"/>
          <w:color w:val="000000"/>
          <w:sz w:val="21"/>
          <w:szCs w:val="22"/>
        </w:rPr>
        <w:t>投标单位：</w:t>
      </w:r>
      <w:r>
        <w:rPr>
          <w:rFonts w:hint="eastAsia" w:ascii="宋体" w:hAnsi="宋体" w:cs="宋体"/>
          <w:color w:val="000000"/>
          <w:sz w:val="21"/>
          <w:szCs w:val="22"/>
          <w:u w:val="none"/>
        </w:rPr>
        <w:t>（</w:t>
      </w:r>
      <w:r>
        <w:rPr>
          <w:rFonts w:hint="eastAsia" w:ascii="宋体" w:hAnsi="宋体" w:cs="宋体"/>
          <w:color w:val="000000"/>
          <w:sz w:val="21"/>
          <w:szCs w:val="22"/>
          <w:u w:val="none"/>
          <w:lang w:eastAsia="zh-CN"/>
        </w:rPr>
        <w:t>盖章</w:t>
      </w:r>
      <w:r>
        <w:rPr>
          <w:rFonts w:hint="eastAsia" w:ascii="宋体" w:hAnsi="宋体" w:cs="宋体"/>
          <w:color w:val="000000"/>
          <w:sz w:val="21"/>
          <w:szCs w:val="22"/>
          <w:u w:val="none"/>
        </w:rPr>
        <w:t>）</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 xml:space="preserve"> </w:t>
      </w:r>
    </w:p>
    <w:p>
      <w:pPr>
        <w:adjustRightInd w:val="0"/>
        <w:snapToGrid w:val="0"/>
        <w:spacing w:line="360" w:lineRule="auto"/>
        <w:ind w:firstLine="420" w:firstLineChars="200"/>
        <w:rPr>
          <w:rFonts w:hint="eastAsia" w:ascii="宋体" w:hAnsi="宋体" w:cs="宋体"/>
          <w:color w:val="000000"/>
          <w:sz w:val="21"/>
          <w:szCs w:val="22"/>
          <w:u w:val="single"/>
        </w:rPr>
      </w:pPr>
      <w:r>
        <w:rPr>
          <w:rFonts w:hint="eastAsia" w:ascii="宋体" w:hAnsi="宋体" w:cs="宋体"/>
          <w:color w:val="000000"/>
          <w:sz w:val="21"/>
          <w:szCs w:val="22"/>
        </w:rPr>
        <w:t>法定代表人（签字</w:t>
      </w:r>
      <w:r>
        <w:rPr>
          <w:rFonts w:hint="eastAsia" w:ascii="宋体" w:hAnsi="宋体" w:cs="宋体"/>
          <w:color w:val="000000"/>
          <w:sz w:val="21"/>
          <w:szCs w:val="22"/>
          <w:lang w:val="en-US" w:eastAsia="zh-CN"/>
        </w:rPr>
        <w:t>或</w:t>
      </w:r>
      <w:r>
        <w:rPr>
          <w:rFonts w:hint="eastAsia" w:ascii="宋体" w:hAnsi="宋体" w:cs="宋体"/>
          <w:color w:val="000000"/>
          <w:sz w:val="21"/>
          <w:szCs w:val="22"/>
        </w:rPr>
        <w:t>盖章）：</w:t>
      </w:r>
      <w:r>
        <w:rPr>
          <w:rFonts w:hint="eastAsia" w:ascii="宋体" w:hAnsi="宋体" w:eastAsia="宋体" w:cs="宋体"/>
          <w:color w:val="000000"/>
          <w:sz w:val="21"/>
          <w:szCs w:val="22"/>
          <w:u w:val="single"/>
          <w:lang w:val="en-US" w:eastAsia="zh-CN"/>
        </w:rPr>
        <w:t xml:space="preserve">                                 </w:t>
      </w:r>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地址：</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 xml:space="preserve"> </w:t>
      </w:r>
    </w:p>
    <w:p>
      <w:pPr>
        <w:adjustRightInd w:val="0"/>
        <w:snapToGrid w:val="0"/>
        <w:spacing w:line="360" w:lineRule="auto"/>
        <w:ind w:firstLine="420" w:firstLineChars="200"/>
        <w:rPr>
          <w:rFonts w:hint="eastAsia"/>
          <w:b/>
          <w:bCs/>
          <w:sz w:val="18"/>
          <w:szCs w:val="21"/>
        </w:rPr>
      </w:pPr>
      <w:r>
        <w:rPr>
          <w:rFonts w:hint="eastAsia" w:ascii="宋体" w:hAnsi="宋体" w:cs="宋体"/>
          <w:color w:val="000000"/>
          <w:sz w:val="21"/>
          <w:szCs w:val="22"/>
        </w:rPr>
        <w:t>联系人：</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 xml:space="preserve"> </w:t>
      </w:r>
    </w:p>
    <w:p>
      <w:pPr>
        <w:adjustRightInd w:val="0"/>
        <w:snapToGrid w:val="0"/>
        <w:spacing w:line="360" w:lineRule="auto"/>
        <w:ind w:firstLine="420" w:firstLineChars="200"/>
        <w:rPr>
          <w:rFonts w:hint="eastAsia" w:ascii="宋体" w:hAnsi="宋体" w:cs="宋体"/>
          <w:b/>
          <w:bCs/>
          <w:color w:val="000000"/>
          <w:sz w:val="21"/>
          <w:szCs w:val="22"/>
        </w:rPr>
      </w:pPr>
      <w:r>
        <w:rPr>
          <w:rFonts w:hint="eastAsia" w:ascii="宋体" w:hAnsi="宋体" w:cs="宋体"/>
          <w:color w:val="000000"/>
          <w:sz w:val="21"/>
          <w:szCs w:val="22"/>
        </w:rPr>
        <w:t>电话：</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 xml:space="preserve"> </w:t>
      </w:r>
    </w:p>
    <w:p>
      <w:pPr>
        <w:adjustRightInd w:val="0"/>
        <w:snapToGrid w:val="0"/>
        <w:spacing w:line="360" w:lineRule="auto"/>
        <w:ind w:firstLine="420" w:firstLineChars="200"/>
        <w:rPr>
          <w:rFonts w:hint="eastAsia" w:ascii="宋体" w:hAnsi="宋体" w:cs="宋体"/>
          <w:color w:val="000000"/>
          <w:sz w:val="21"/>
          <w:szCs w:val="22"/>
        </w:rPr>
      </w:pPr>
      <w:r>
        <w:rPr>
          <w:rFonts w:hint="eastAsia" w:ascii="宋体" w:hAnsi="宋体" w:cs="宋体"/>
          <w:color w:val="000000"/>
          <w:sz w:val="21"/>
          <w:szCs w:val="22"/>
        </w:rPr>
        <w:t>传真：</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 xml:space="preserve"> </w:t>
      </w:r>
    </w:p>
    <w:p>
      <w:pPr>
        <w:adjustRightInd w:val="0"/>
        <w:snapToGrid w:val="0"/>
        <w:spacing w:line="360" w:lineRule="auto"/>
        <w:ind w:firstLine="420" w:firstLineChars="200"/>
        <w:rPr>
          <w:rFonts w:hint="eastAsia" w:ascii="宋体" w:hAnsi="宋体" w:cs="宋体"/>
          <w:color w:val="000000"/>
          <w:sz w:val="21"/>
          <w:szCs w:val="22"/>
          <w:lang w:val="en-US" w:eastAsia="zh-CN"/>
        </w:rPr>
      </w:pPr>
      <w:r>
        <w:rPr>
          <w:rFonts w:hint="eastAsia" w:ascii="宋体" w:hAnsi="宋体" w:cs="宋体"/>
          <w:color w:val="000000"/>
          <w:sz w:val="21"/>
          <w:szCs w:val="22"/>
        </w:rPr>
        <w:t>邮政编码：</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 xml:space="preserve"> </w:t>
      </w:r>
    </w:p>
    <w:p>
      <w:pPr>
        <w:adjustRightInd w:val="0"/>
        <w:snapToGrid w:val="0"/>
        <w:spacing w:line="360" w:lineRule="auto"/>
        <w:jc w:val="right"/>
        <w:rPr>
          <w:rFonts w:hint="eastAsia" w:ascii="宋体" w:hAnsi="宋体" w:cs="宋体"/>
          <w:color w:val="000000"/>
          <w:sz w:val="21"/>
          <w:szCs w:val="22"/>
        </w:rPr>
      </w:pPr>
      <w:r>
        <w:rPr>
          <w:rFonts w:hint="eastAsia" w:ascii="宋体" w:hAnsi="宋体" w:cs="宋体"/>
          <w:color w:val="000000"/>
          <w:sz w:val="21"/>
          <w:szCs w:val="22"/>
          <w:lang w:val="en-US" w:eastAsia="zh-CN"/>
        </w:rPr>
        <w:t>日期：</w:t>
      </w:r>
      <w:r>
        <w:rPr>
          <w:rFonts w:hint="eastAsia" w:ascii="宋体" w:hAnsi="宋体" w:eastAsia="宋体" w:cs="宋体"/>
          <w:color w:val="000000"/>
          <w:sz w:val="21"/>
          <w:szCs w:val="22"/>
        </w:rPr>
        <w:t xml:space="preserve"> </w:t>
      </w:r>
      <w:r>
        <w:rPr>
          <w:rFonts w:hint="eastAsia" w:ascii="宋体" w:hAnsi="宋体" w:eastAsia="宋体" w:cs="宋体"/>
          <w:color w:val="000000"/>
          <w:sz w:val="21"/>
          <w:szCs w:val="22"/>
          <w:u w:val="single"/>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年</w:t>
      </w:r>
      <w:r>
        <w:rPr>
          <w:rFonts w:hint="eastAsia" w:ascii="宋体" w:hAnsi="宋体" w:eastAsia="宋体" w:cs="宋体"/>
          <w:color w:val="000000"/>
          <w:sz w:val="21"/>
          <w:szCs w:val="22"/>
          <w:u w:val="single"/>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月</w:t>
      </w:r>
      <w:r>
        <w:rPr>
          <w:rFonts w:hint="eastAsia" w:ascii="宋体" w:hAnsi="宋体" w:eastAsia="宋体" w:cs="宋体"/>
          <w:color w:val="000000"/>
          <w:sz w:val="21"/>
          <w:szCs w:val="22"/>
          <w:u w:val="single"/>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日</w:t>
      </w:r>
    </w:p>
    <w:p>
      <w:pPr>
        <w:pStyle w:val="19"/>
        <w:overflowPunct w:val="0"/>
        <w:snapToGrid w:val="0"/>
        <w:spacing w:line="360" w:lineRule="auto"/>
        <w:ind w:firstLine="0"/>
        <w:rPr>
          <w:rFonts w:hint="eastAsia" w:ascii="宋体" w:hAnsi="宋体" w:eastAsia="宋体" w:cs="宋体"/>
          <w:color w:val="000000"/>
          <w:sz w:val="21"/>
          <w:szCs w:val="21"/>
          <w:lang w:eastAsia="zh-CN"/>
        </w:rPr>
        <w:sectPr>
          <w:pgSz w:w="11906" w:h="16838"/>
          <w:pgMar w:top="1446" w:right="1219" w:bottom="1446" w:left="1219" w:header="283" w:footer="567" w:gutter="0"/>
          <w:pgNumType w:fmt="decimal"/>
          <w:cols w:space="720" w:num="1"/>
          <w:docGrid w:type="lines" w:linePitch="312" w:charSpace="0"/>
        </w:sectPr>
      </w:pPr>
    </w:p>
    <w:p>
      <w:pPr>
        <w:numPr>
          <w:ilvl w:val="0"/>
          <w:numId w:val="0"/>
        </w:numPr>
        <w:spacing w:line="440" w:lineRule="exact"/>
        <w:jc w:val="both"/>
        <w:rPr>
          <w:rFonts w:hint="eastAsia" w:ascii="宋体" w:hAnsi="宋体" w:cs="宋体"/>
          <w:b/>
          <w:color w:val="000000"/>
          <w:sz w:val="28"/>
          <w:szCs w:val="24"/>
          <w:lang w:val="en-US" w:eastAsia="zh-CN"/>
        </w:rPr>
      </w:pPr>
      <w:r>
        <w:rPr>
          <w:rFonts w:hint="eastAsia" w:ascii="宋体" w:hAnsi="宋体" w:cs="宋体"/>
          <w:b/>
          <w:color w:val="000000"/>
          <w:sz w:val="28"/>
          <w:szCs w:val="24"/>
          <w:lang w:val="en-US" w:eastAsia="zh-CN"/>
        </w:rPr>
        <w:t>附件二</w:t>
      </w:r>
    </w:p>
    <w:p>
      <w:pPr>
        <w:numPr>
          <w:ilvl w:val="0"/>
          <w:numId w:val="0"/>
        </w:numPr>
        <w:spacing w:line="440" w:lineRule="exact"/>
        <w:jc w:val="center"/>
        <w:rPr>
          <w:rFonts w:hint="eastAsia" w:ascii="宋体" w:hAnsi="宋体" w:cs="宋体"/>
          <w:b/>
          <w:color w:val="000000"/>
          <w:sz w:val="32"/>
          <w:szCs w:val="28"/>
        </w:rPr>
      </w:pPr>
      <w:r>
        <w:rPr>
          <w:rFonts w:hint="eastAsia" w:ascii="宋体" w:hAnsi="宋体" w:cs="宋体"/>
          <w:b/>
          <w:color w:val="000000"/>
          <w:sz w:val="32"/>
          <w:szCs w:val="28"/>
        </w:rPr>
        <w:t>开标一览表</w:t>
      </w:r>
    </w:p>
    <w:p>
      <w:pPr>
        <w:pStyle w:val="78"/>
        <w:rPr>
          <w:rFonts w:hint="eastAsia"/>
        </w:rPr>
      </w:pPr>
    </w:p>
    <w:p>
      <w:pPr>
        <w:pStyle w:val="78"/>
        <w:rPr>
          <w:rFonts w:hint="eastAsia"/>
        </w:rPr>
      </w:pPr>
    </w:p>
    <w:p>
      <w:pPr>
        <w:spacing w:line="370" w:lineRule="auto"/>
        <w:rPr>
          <w:rFonts w:hint="default" w:ascii="宋体" w:eastAsia="宋体"/>
          <w:sz w:val="21"/>
          <w:u w:val="single"/>
          <w:lang w:val="en-US" w:eastAsia="zh-CN"/>
        </w:rPr>
      </w:pPr>
      <w:r>
        <w:rPr>
          <w:rFonts w:hint="eastAsia" w:ascii="宋体"/>
          <w:sz w:val="21"/>
          <w:lang w:val="en-US" w:eastAsia="zh-CN"/>
        </w:rPr>
        <w:t>项目名称：</w:t>
      </w:r>
      <w:r>
        <w:rPr>
          <w:rFonts w:hint="eastAsia" w:ascii="宋体"/>
          <w:sz w:val="21"/>
          <w:u w:val="single"/>
          <w:lang w:val="en-US" w:eastAsia="zh-CN"/>
        </w:rPr>
        <w:t xml:space="preserve">                                               </w:t>
      </w:r>
    </w:p>
    <w:p>
      <w:pPr>
        <w:spacing w:before="227" w:line="185" w:lineRule="auto"/>
        <w:ind w:firstLine="617"/>
        <w:rPr>
          <w:rFonts w:ascii="宋体" w:hAnsi="宋体" w:eastAsia="宋体" w:cs="宋体"/>
          <w:spacing w:val="1"/>
          <w:sz w:val="24"/>
          <w:szCs w:val="24"/>
          <w:u w:val="single" w:color="auto"/>
        </w:rPr>
      </w:pPr>
      <w:r>
        <w:rPr>
          <w:rFonts w:hint="eastAsia" w:ascii="宋体" w:hAnsi="宋体" w:eastAsia="宋体" w:cs="宋体"/>
          <w:color w:val="000000"/>
          <w:sz w:val="21"/>
          <w:szCs w:val="22"/>
        </w:rPr>
        <w:t>项目编号：</w:t>
      </w:r>
      <w:r>
        <w:rPr>
          <w:rFonts w:ascii="宋体" w:hAnsi="宋体" w:eastAsia="宋体" w:cs="宋体"/>
          <w:spacing w:val="1"/>
          <w:sz w:val="24"/>
          <w:szCs w:val="24"/>
          <w:u w:val="single" w:color="auto"/>
        </w:rPr>
        <w:t xml:space="preserve">                                          </w:t>
      </w:r>
    </w:p>
    <w:p>
      <w:pPr>
        <w:spacing w:line="100" w:lineRule="exact"/>
      </w:pPr>
    </w:p>
    <w:tbl>
      <w:tblPr>
        <w:tblStyle w:val="69"/>
        <w:tblW w:w="1035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7"/>
        <w:gridCol w:w="888"/>
        <w:gridCol w:w="1553"/>
        <w:gridCol w:w="1750"/>
        <w:gridCol w:w="1118"/>
        <w:gridCol w:w="1146"/>
        <w:gridCol w:w="1700"/>
        <w:gridCol w:w="914"/>
        <w:gridCol w:w="6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4" w:hRule="atLeast"/>
          <w:jc w:val="center"/>
        </w:trPr>
        <w:tc>
          <w:tcPr>
            <w:tcW w:w="597"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color w:val="auto"/>
                <w:szCs w:val="21"/>
                <w:highlight w:val="none"/>
              </w:rPr>
            </w:pPr>
            <w:r>
              <w:rPr>
                <w:rFonts w:hint="eastAsia" w:ascii="宋体" w:hAnsi="宋体"/>
                <w:b/>
                <w:color w:val="auto"/>
                <w:szCs w:val="21"/>
                <w:highlight w:val="none"/>
              </w:rPr>
              <w:t>序号</w:t>
            </w:r>
          </w:p>
        </w:tc>
        <w:tc>
          <w:tcPr>
            <w:tcW w:w="888" w:type="dxa"/>
            <w:tcBorders>
              <w:top w:val="single" w:color="auto" w:sz="4" w:space="0"/>
              <w:left w:val="single" w:color="auto" w:sz="4" w:space="0"/>
              <w:right w:val="single" w:color="auto" w:sz="4" w:space="0"/>
            </w:tcBorders>
            <w:noWrap w:val="0"/>
            <w:vAlign w:val="center"/>
          </w:tcPr>
          <w:p>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供应商名称</w:t>
            </w:r>
          </w:p>
        </w:tc>
        <w:tc>
          <w:tcPr>
            <w:tcW w:w="1553" w:type="dxa"/>
            <w:tcBorders>
              <w:top w:val="single" w:color="auto" w:sz="4" w:space="0"/>
              <w:left w:val="single" w:color="auto" w:sz="4" w:space="0"/>
              <w:right w:val="single" w:color="auto" w:sz="4" w:space="0"/>
            </w:tcBorders>
            <w:noWrap w:val="0"/>
            <w:vAlign w:val="center"/>
          </w:tcPr>
          <w:p>
            <w:pPr>
              <w:snapToGrid w:val="0"/>
              <w:spacing w:line="400" w:lineRule="exact"/>
              <w:ind w:firstLine="210" w:firstLineChars="10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品类</w:t>
            </w:r>
          </w:p>
        </w:tc>
        <w:tc>
          <w:tcPr>
            <w:tcW w:w="1750" w:type="dxa"/>
            <w:tcBorders>
              <w:top w:val="single" w:color="auto" w:sz="4" w:space="0"/>
              <w:left w:val="single" w:color="auto" w:sz="4" w:space="0"/>
              <w:right w:val="single" w:color="auto" w:sz="4" w:space="0"/>
            </w:tcBorders>
            <w:noWrap w:val="0"/>
            <w:vAlign w:val="center"/>
          </w:tcPr>
          <w:p>
            <w:pPr>
              <w:snapToGrid w:val="0"/>
              <w:spacing w:line="400" w:lineRule="exact"/>
              <w:jc w:val="center"/>
              <w:rPr>
                <w:rFonts w:ascii="宋体" w:hAnsi="宋体"/>
                <w:color w:val="auto"/>
                <w:szCs w:val="21"/>
                <w:highlight w:val="none"/>
              </w:rPr>
            </w:pPr>
            <w:r>
              <w:rPr>
                <w:rFonts w:hint="eastAsia" w:ascii="宋体" w:hAnsi="宋体"/>
                <w:color w:val="auto"/>
                <w:szCs w:val="21"/>
                <w:highlight w:val="none"/>
                <w:lang w:val="en-US" w:eastAsia="zh-CN"/>
              </w:rPr>
              <w:t>单价（元）</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单位</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总价（元）</w:t>
            </w:r>
          </w:p>
        </w:tc>
        <w:tc>
          <w:tcPr>
            <w:tcW w:w="914" w:type="dxa"/>
            <w:tcBorders>
              <w:top w:val="single" w:color="auto" w:sz="4" w:space="0"/>
              <w:left w:val="single" w:color="auto" w:sz="4" w:space="0"/>
              <w:right w:val="single" w:color="auto" w:sz="4" w:space="0"/>
            </w:tcBorders>
            <w:noWrap w:val="0"/>
            <w:vAlign w:val="center"/>
          </w:tcPr>
          <w:p>
            <w:pPr>
              <w:snapToGrid w:val="0"/>
              <w:spacing w:line="400" w:lineRule="exact"/>
              <w:jc w:val="center"/>
              <w:rPr>
                <w:rFonts w:ascii="宋体" w:hAnsi="宋体"/>
                <w:color w:val="auto"/>
                <w:szCs w:val="21"/>
                <w:highlight w:val="none"/>
              </w:rPr>
            </w:pPr>
            <w:r>
              <w:rPr>
                <w:rFonts w:hint="eastAsia" w:ascii="宋体" w:hAnsi="宋体"/>
                <w:color w:val="auto"/>
                <w:szCs w:val="21"/>
                <w:highlight w:val="none"/>
                <w:lang w:val="en-US" w:eastAsia="zh-CN"/>
              </w:rPr>
              <w:t>供货期</w:t>
            </w:r>
          </w:p>
        </w:tc>
        <w:tc>
          <w:tcPr>
            <w:tcW w:w="687" w:type="dxa"/>
            <w:tcBorders>
              <w:top w:val="single" w:color="auto" w:sz="4" w:space="0"/>
              <w:left w:val="single" w:color="auto" w:sz="4" w:space="0"/>
              <w:right w:val="single" w:color="auto" w:sz="4" w:space="0"/>
            </w:tcBorders>
            <w:noWrap w:val="0"/>
            <w:vAlign w:val="center"/>
          </w:tcPr>
          <w:p>
            <w:pPr>
              <w:snapToGrid w:val="0"/>
              <w:spacing w:line="400" w:lineRule="exact"/>
              <w:jc w:val="center"/>
              <w:rPr>
                <w:rFonts w:ascii="宋体" w:hAnsi="宋体"/>
                <w:color w:val="auto"/>
                <w:szCs w:val="21"/>
                <w:highlight w:val="none"/>
              </w:rPr>
            </w:pPr>
            <w:r>
              <w:rPr>
                <w:rFonts w:hint="eastAsia" w:ascii="宋体" w:hAnsi="宋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597" w:type="dxa"/>
            <w:tcBorders>
              <w:top w:val="single" w:color="auto" w:sz="4" w:space="0"/>
              <w:left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ascii="宋体" w:hAnsi="宋体"/>
                <w:color w:val="auto"/>
                <w:szCs w:val="21"/>
                <w:highlight w:val="none"/>
              </w:rPr>
            </w:pPr>
            <w:r>
              <w:rPr>
                <w:rFonts w:hint="eastAsia" w:ascii="宋体" w:hAnsi="宋体" w:eastAsia="宋体" w:cs="宋体"/>
                <w:i w:val="0"/>
                <w:iCs w:val="0"/>
                <w:color w:val="000000"/>
                <w:kern w:val="0"/>
                <w:sz w:val="18"/>
                <w:szCs w:val="18"/>
                <w:u w:val="none"/>
                <w:lang w:val="en-US" w:eastAsia="zh-CN" w:bidi="ar"/>
              </w:rPr>
              <w:t>1</w:t>
            </w:r>
          </w:p>
        </w:tc>
        <w:tc>
          <w:tcPr>
            <w:tcW w:w="888" w:type="dxa"/>
            <w:vMerge w:val="restart"/>
            <w:tcBorders>
              <w:top w:val="single" w:color="auto" w:sz="4" w:space="0"/>
              <w:left w:val="single" w:color="auto" w:sz="4" w:space="0"/>
              <w:right w:val="single" w:color="auto" w:sz="4" w:space="0"/>
            </w:tcBorders>
            <w:noWrap w:val="0"/>
            <w:vAlign w:val="center"/>
          </w:tcPr>
          <w:p>
            <w:pPr>
              <w:snapToGrid w:val="0"/>
              <w:spacing w:line="400" w:lineRule="exact"/>
              <w:ind w:firstLine="210" w:firstLineChars="100"/>
              <w:jc w:val="center"/>
              <w:rPr>
                <w:rFonts w:hint="eastAsia" w:ascii="宋体" w:hAnsi="宋体" w:eastAsia="宋体"/>
                <w:color w:val="auto"/>
                <w:szCs w:val="21"/>
                <w:highlight w:val="none"/>
                <w:lang w:val="en-US" w:eastAsia="zh-CN"/>
              </w:rPr>
            </w:pPr>
          </w:p>
        </w:tc>
        <w:tc>
          <w:tcPr>
            <w:tcW w:w="1553"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right w:val="single" w:color="auto" w:sz="4" w:space="0"/>
            </w:tcBorders>
            <w:noWrap w:val="0"/>
            <w:vAlign w:val="center"/>
          </w:tcPr>
          <w:p>
            <w:pPr>
              <w:snapToGrid w:val="0"/>
              <w:spacing w:line="400" w:lineRule="exact"/>
              <w:rPr>
                <w:rFonts w:hint="default" w:ascii="宋体" w:hAnsi="宋体" w:eastAsia="宋体"/>
                <w:color w:val="auto"/>
                <w:szCs w:val="21"/>
                <w:highlight w:val="none"/>
                <w:lang w:val="en-US" w:eastAsia="zh-CN"/>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default" w:ascii="宋体" w:hAnsi="宋体" w:eastAsia="宋体"/>
                <w:color w:val="auto"/>
                <w:szCs w:val="21"/>
                <w:highlight w:val="none"/>
                <w:lang w:val="en-US" w:eastAsia="zh-CN"/>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olor w:val="auto"/>
                <w:szCs w:val="21"/>
                <w:highlight w:val="none"/>
              </w:rPr>
            </w:pPr>
          </w:p>
        </w:tc>
        <w:tc>
          <w:tcPr>
            <w:tcW w:w="914" w:type="dxa"/>
            <w:vMerge w:val="restart"/>
            <w:tcBorders>
              <w:top w:val="single" w:color="auto" w:sz="4" w:space="0"/>
              <w:left w:val="single" w:color="auto" w:sz="4" w:space="0"/>
              <w:right w:val="single" w:color="auto" w:sz="4" w:space="0"/>
            </w:tcBorders>
            <w:noWrap w:val="0"/>
            <w:vAlign w:val="center"/>
          </w:tcPr>
          <w:p>
            <w:pPr>
              <w:snapToGrid w:val="0"/>
              <w:spacing w:line="400" w:lineRule="exact"/>
              <w:jc w:val="center"/>
              <w:rPr>
                <w:rFonts w:ascii="宋体" w:hAnsi="宋体"/>
                <w:color w:val="auto"/>
                <w:szCs w:val="21"/>
                <w:highlight w:val="none"/>
              </w:rPr>
            </w:pPr>
          </w:p>
        </w:tc>
        <w:tc>
          <w:tcPr>
            <w:tcW w:w="687" w:type="dxa"/>
            <w:tcBorders>
              <w:top w:val="single" w:color="auto" w:sz="4" w:space="0"/>
              <w:left w:val="single" w:color="auto" w:sz="4" w:space="0"/>
              <w:right w:val="single" w:color="auto" w:sz="4" w:space="0"/>
            </w:tcBorders>
            <w:noWrap w:val="0"/>
            <w:vAlign w:val="center"/>
          </w:tcPr>
          <w:p>
            <w:pPr>
              <w:snapToGrid w:val="0"/>
              <w:spacing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597" w:type="dxa"/>
            <w:tcBorders>
              <w:top w:val="single" w:color="auto" w:sz="4" w:space="0"/>
              <w:left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ascii="宋体" w:hAnsi="宋体"/>
                <w:color w:val="auto"/>
                <w:szCs w:val="21"/>
                <w:highlight w:val="none"/>
              </w:rPr>
            </w:pPr>
            <w:r>
              <w:rPr>
                <w:rFonts w:hint="eastAsia" w:ascii="宋体" w:hAnsi="宋体" w:eastAsia="宋体" w:cs="宋体"/>
                <w:i w:val="0"/>
                <w:iCs w:val="0"/>
                <w:color w:val="000000"/>
                <w:kern w:val="0"/>
                <w:sz w:val="18"/>
                <w:szCs w:val="18"/>
                <w:u w:val="none"/>
                <w:lang w:val="en-US" w:eastAsia="zh-CN" w:bidi="ar"/>
              </w:rPr>
              <w:t>2</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Times New Roman"/>
                <w:color w:val="auto"/>
                <w:kern w:val="2"/>
                <w:sz w:val="21"/>
                <w:szCs w:val="21"/>
                <w:highlight w:val="none"/>
                <w:u w:val="singl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914" w:type="dxa"/>
            <w:vMerge w:val="continue"/>
            <w:tcBorders>
              <w:left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687"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ascii="宋体" w:hAnsi="宋体"/>
                <w:color w:val="auto"/>
                <w:szCs w:val="21"/>
                <w:highlight w:val="none"/>
              </w:rPr>
            </w:pPr>
            <w:r>
              <w:rPr>
                <w:rFonts w:hint="eastAsia" w:ascii="宋体" w:hAnsi="宋体" w:eastAsia="宋体" w:cs="宋体"/>
                <w:i w:val="0"/>
                <w:iCs w:val="0"/>
                <w:color w:val="000000"/>
                <w:kern w:val="0"/>
                <w:sz w:val="18"/>
                <w:szCs w:val="18"/>
                <w:u w:val="none"/>
                <w:lang w:val="en-US" w:eastAsia="zh-CN" w:bidi="ar"/>
              </w:rPr>
              <w:t>3</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color w:val="auto"/>
                <w:szCs w:val="21"/>
                <w:highlight w:val="none"/>
                <w:u w:val="singl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ind w:left="2559"/>
              <w:rPr>
                <w:rFonts w:ascii="宋体" w:hAnsi="宋体"/>
                <w:color w:val="auto"/>
                <w:szCs w:val="21"/>
                <w:highlight w:val="none"/>
                <w:u w:val="singl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ind w:left="2559"/>
              <w:rPr>
                <w:rFonts w:ascii="宋体" w:hAnsi="宋体"/>
                <w:color w:val="auto"/>
                <w:szCs w:val="21"/>
                <w:highlight w:val="none"/>
                <w:u w:val="singl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u w:val="single"/>
              </w:rPr>
            </w:pPr>
          </w:p>
        </w:tc>
        <w:tc>
          <w:tcPr>
            <w:tcW w:w="17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u w:val="single"/>
              </w:rPr>
            </w:pPr>
          </w:p>
        </w:tc>
        <w:tc>
          <w:tcPr>
            <w:tcW w:w="914" w:type="dxa"/>
            <w:vMerge w:val="continue"/>
            <w:tcBorders>
              <w:left w:val="single" w:color="auto" w:sz="4" w:space="0"/>
              <w:right w:val="single" w:color="auto" w:sz="4" w:space="0"/>
            </w:tcBorders>
            <w:noWrap w:val="0"/>
            <w:vAlign w:val="center"/>
          </w:tcPr>
          <w:p>
            <w:pPr>
              <w:snapToGrid w:val="0"/>
              <w:spacing w:line="400" w:lineRule="exact"/>
              <w:rPr>
                <w:rFonts w:ascii="宋体" w:hAnsi="宋体"/>
                <w:color w:val="auto"/>
                <w:szCs w:val="21"/>
                <w:highlight w:val="none"/>
                <w:u w:val="single"/>
              </w:rPr>
            </w:pPr>
          </w:p>
        </w:tc>
        <w:tc>
          <w:tcPr>
            <w:tcW w:w="687"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ascii="宋体" w:hAnsi="宋体"/>
                <w:color w:val="auto"/>
                <w:szCs w:val="21"/>
                <w:highlight w:val="none"/>
              </w:rPr>
            </w:pPr>
            <w:r>
              <w:rPr>
                <w:rFonts w:hint="eastAsia" w:ascii="宋体" w:hAnsi="宋体" w:eastAsia="宋体" w:cs="宋体"/>
                <w:i w:val="0"/>
                <w:iCs w:val="0"/>
                <w:color w:val="000000"/>
                <w:kern w:val="0"/>
                <w:sz w:val="18"/>
                <w:szCs w:val="18"/>
                <w:u w:val="none"/>
                <w:lang w:val="en-US" w:eastAsia="zh-CN" w:bidi="ar"/>
              </w:rPr>
              <w:t>4</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914" w:type="dxa"/>
            <w:vMerge w:val="continue"/>
            <w:tcBorders>
              <w:left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687"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hint="eastAsia" w:ascii="宋体" w:hAnsi="宋体"/>
                <w:color w:val="auto"/>
                <w:szCs w:val="21"/>
                <w:highlight w:val="none"/>
              </w:rPr>
            </w:pPr>
            <w:r>
              <w:rPr>
                <w:rFonts w:hint="eastAsia" w:ascii="宋体" w:hAnsi="宋体" w:eastAsia="宋体" w:cs="宋体"/>
                <w:i w:val="0"/>
                <w:iCs w:val="0"/>
                <w:color w:val="000000"/>
                <w:kern w:val="0"/>
                <w:sz w:val="18"/>
                <w:szCs w:val="18"/>
                <w:u w:val="none"/>
                <w:lang w:val="en-US" w:eastAsia="zh-CN" w:bidi="ar"/>
              </w:rPr>
              <w:t>5</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914" w:type="dxa"/>
            <w:vMerge w:val="continue"/>
            <w:tcBorders>
              <w:left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687"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hint="eastAsia" w:ascii="宋体" w:hAnsi="宋体"/>
                <w:color w:val="auto"/>
                <w:szCs w:val="21"/>
                <w:highlight w:val="none"/>
              </w:rPr>
            </w:pPr>
            <w:r>
              <w:rPr>
                <w:rFonts w:hint="eastAsia" w:ascii="宋体" w:hAnsi="宋体" w:eastAsia="宋体" w:cs="宋体"/>
                <w:i w:val="0"/>
                <w:iCs w:val="0"/>
                <w:color w:val="000000"/>
                <w:kern w:val="0"/>
                <w:sz w:val="18"/>
                <w:szCs w:val="18"/>
                <w:u w:val="none"/>
                <w:lang w:val="en-US" w:eastAsia="zh-CN" w:bidi="ar"/>
              </w:rPr>
              <w:t>6</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914" w:type="dxa"/>
            <w:vMerge w:val="continue"/>
            <w:tcBorders>
              <w:left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687"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hint="eastAsia" w:ascii="宋体" w:hAnsi="宋体"/>
                <w:color w:val="auto"/>
                <w:szCs w:val="21"/>
                <w:highlight w:val="none"/>
              </w:rPr>
            </w:pPr>
            <w:r>
              <w:rPr>
                <w:rFonts w:hint="eastAsia" w:ascii="宋体" w:hAnsi="宋体" w:eastAsia="宋体" w:cs="宋体"/>
                <w:i w:val="0"/>
                <w:iCs w:val="0"/>
                <w:color w:val="000000"/>
                <w:kern w:val="0"/>
                <w:sz w:val="18"/>
                <w:szCs w:val="18"/>
                <w:u w:val="none"/>
                <w:lang w:val="en-US" w:eastAsia="zh-CN" w:bidi="ar"/>
              </w:rPr>
              <w:t>7</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914" w:type="dxa"/>
            <w:vMerge w:val="continue"/>
            <w:tcBorders>
              <w:left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687"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hint="eastAsia" w:ascii="宋体" w:hAnsi="宋体"/>
                <w:color w:val="auto"/>
                <w:szCs w:val="21"/>
                <w:highlight w:val="none"/>
              </w:rPr>
            </w:pPr>
            <w:r>
              <w:rPr>
                <w:rFonts w:hint="eastAsia" w:ascii="宋体" w:hAnsi="宋体" w:eastAsia="宋体" w:cs="宋体"/>
                <w:i w:val="0"/>
                <w:iCs w:val="0"/>
                <w:color w:val="000000"/>
                <w:kern w:val="0"/>
                <w:sz w:val="18"/>
                <w:szCs w:val="18"/>
                <w:u w:val="none"/>
                <w:lang w:val="en-US" w:eastAsia="zh-CN" w:bidi="ar"/>
              </w:rPr>
              <w:t>8</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914" w:type="dxa"/>
            <w:vMerge w:val="continue"/>
            <w:tcBorders>
              <w:left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687"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hint="eastAsia" w:ascii="宋体" w:hAnsi="宋体"/>
                <w:color w:val="auto"/>
                <w:szCs w:val="21"/>
                <w:highlight w:val="none"/>
              </w:rPr>
            </w:pPr>
            <w:r>
              <w:rPr>
                <w:rFonts w:hint="eastAsia" w:ascii="宋体" w:hAnsi="宋体" w:eastAsia="宋体" w:cs="宋体"/>
                <w:i w:val="0"/>
                <w:iCs w:val="0"/>
                <w:color w:val="000000"/>
                <w:kern w:val="0"/>
                <w:sz w:val="18"/>
                <w:szCs w:val="18"/>
                <w:u w:val="none"/>
                <w:lang w:val="en-US" w:eastAsia="zh-CN" w:bidi="ar"/>
              </w:rPr>
              <w:t>9</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914" w:type="dxa"/>
            <w:vMerge w:val="continue"/>
            <w:tcBorders>
              <w:left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687"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hint="default" w:ascii="宋体" w:hAnsi="宋体"/>
                <w:color w:val="auto"/>
                <w:szCs w:val="21"/>
                <w:highlight w:val="none"/>
                <w:lang w:val="en-US"/>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0</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914" w:type="dxa"/>
            <w:vMerge w:val="continue"/>
            <w:tcBorders>
              <w:left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687"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90" w:leftChars="0" w:right="62" w:rightChars="0" w:hanging="90" w:hangingChars="50"/>
              <w:jc w:val="center"/>
              <w:textAlignment w:val="center"/>
              <w:rPr>
                <w:rFonts w:hint="default" w:ascii="宋体" w:hAnsi="宋体"/>
                <w:color w:val="auto"/>
                <w:szCs w:val="21"/>
                <w:highlight w:val="none"/>
                <w:lang w:val="en-US"/>
              </w:rPr>
            </w:pPr>
            <w:r>
              <w:rPr>
                <w:rFonts w:hint="eastAsia" w:ascii="宋体" w:hAnsi="宋体" w:cs="宋体"/>
                <w:i w:val="0"/>
                <w:iCs w:val="0"/>
                <w:color w:val="000000"/>
                <w:kern w:val="0"/>
                <w:sz w:val="18"/>
                <w:szCs w:val="18"/>
                <w:u w:val="none"/>
                <w:lang w:val="en-US" w:eastAsia="zh-CN" w:bidi="ar"/>
              </w:rPr>
              <w:t>11</w:t>
            </w:r>
          </w:p>
        </w:tc>
        <w:tc>
          <w:tcPr>
            <w:tcW w:w="888" w:type="dxa"/>
            <w:vMerge w:val="continue"/>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ascii="宋体" w:hAnsi="宋体" w:eastAsia="宋体" w:cs="Times New Roman"/>
                <w:color w:val="auto"/>
                <w:kern w:val="2"/>
                <w:sz w:val="21"/>
                <w:szCs w:val="21"/>
                <w:highlight w:val="none"/>
                <w:lang w:val="en-US" w:eastAsia="zh-CN" w:bidi="ar-SA"/>
              </w:rPr>
            </w:pPr>
          </w:p>
        </w:tc>
        <w:tc>
          <w:tcPr>
            <w:tcW w:w="1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914" w:type="dxa"/>
            <w:vMerge w:val="continue"/>
            <w:tcBorders>
              <w:left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c>
          <w:tcPr>
            <w:tcW w:w="687"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1"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15</w:t>
            </w:r>
          </w:p>
        </w:tc>
        <w:tc>
          <w:tcPr>
            <w:tcW w:w="244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宋体" w:hAnsi="宋体"/>
                <w:color w:val="auto"/>
                <w:szCs w:val="21"/>
                <w:highlight w:val="none"/>
                <w:lang w:val="en-US" w:eastAsia="zh-CN"/>
              </w:rPr>
              <w:t>投标总价</w:t>
            </w:r>
          </w:p>
        </w:tc>
        <w:tc>
          <w:tcPr>
            <w:tcW w:w="7315" w:type="dxa"/>
            <w:gridSpan w:val="6"/>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color w:val="auto"/>
                <w:lang w:val="en-US" w:eastAsia="zh-CN"/>
              </w:rPr>
            </w:pPr>
            <w:r>
              <w:rPr>
                <w:rFonts w:hint="eastAsia"/>
                <w:color w:val="auto"/>
                <w:lang w:val="en-US" w:eastAsia="zh-CN"/>
              </w:rPr>
              <w:t>大写：</w:t>
            </w:r>
          </w:p>
          <w:p>
            <w:pPr>
              <w:pStyle w:val="78"/>
              <w:rPr>
                <w:rFonts w:hint="eastAsia"/>
                <w:color w:val="auto"/>
                <w:lang w:val="en-US" w:eastAsia="zh-CN"/>
              </w:rPr>
            </w:pPr>
          </w:p>
          <w:p>
            <w:pPr>
              <w:snapToGrid w:val="0"/>
              <w:spacing w:line="400" w:lineRule="exact"/>
              <w:rPr>
                <w:rFonts w:ascii="宋体" w:hAnsi="宋体"/>
                <w:color w:val="auto"/>
                <w:szCs w:val="21"/>
                <w:highlight w:val="none"/>
              </w:rPr>
            </w:pPr>
            <w:r>
              <w:rPr>
                <w:rFonts w:hint="eastAsia" w:ascii="宋体" w:hAnsi="宋体"/>
                <w:color w:val="auto"/>
                <w:szCs w:val="21"/>
                <w:highlight w:val="none"/>
                <w:lang w:val="en-US" w:eastAsia="zh-CN"/>
              </w:rPr>
              <w:t>小写：         （元）</w:t>
            </w:r>
          </w:p>
        </w:tc>
      </w:tr>
    </w:tbl>
    <w:p>
      <w:pPr>
        <w:adjustRightInd w:val="0"/>
        <w:snapToGrid w:val="0"/>
        <w:spacing w:line="360" w:lineRule="auto"/>
        <w:ind w:firstLine="420" w:firstLineChars="200"/>
        <w:rPr>
          <w:rFonts w:hint="eastAsia" w:ascii="宋体" w:hAnsi="宋体" w:eastAsia="宋体" w:cs="宋体"/>
          <w:color w:val="000000"/>
          <w:sz w:val="21"/>
          <w:szCs w:val="22"/>
        </w:rPr>
      </w:pPr>
    </w:p>
    <w:p>
      <w:pPr>
        <w:adjustRightInd w:val="0"/>
        <w:snapToGrid w:val="0"/>
        <w:spacing w:line="360" w:lineRule="auto"/>
        <w:ind w:firstLine="420" w:firstLineChars="200"/>
        <w:rPr>
          <w:rFonts w:hint="eastAsia" w:ascii="宋体" w:hAnsi="宋体" w:eastAsia="宋体" w:cs="宋体"/>
          <w:color w:val="000000"/>
          <w:sz w:val="21"/>
          <w:szCs w:val="22"/>
        </w:rPr>
      </w:pPr>
    </w:p>
    <w:p>
      <w:pPr>
        <w:adjustRightInd w:val="0"/>
        <w:snapToGrid w:val="0"/>
        <w:spacing w:line="360" w:lineRule="auto"/>
        <w:ind w:firstLine="420" w:firstLineChars="200"/>
        <w:rPr>
          <w:rFonts w:hint="eastAsia" w:ascii="宋体" w:hAnsi="宋体" w:eastAsia="宋体" w:cs="宋体"/>
          <w:color w:val="000000"/>
          <w:sz w:val="21"/>
          <w:szCs w:val="22"/>
        </w:rPr>
      </w:pPr>
      <w:r>
        <w:rPr>
          <w:rFonts w:hint="eastAsia" w:ascii="宋体" w:hAnsi="宋体" w:eastAsia="宋体" w:cs="宋体"/>
          <w:color w:val="000000"/>
          <w:sz w:val="21"/>
          <w:szCs w:val="22"/>
        </w:rPr>
        <w:t>投标人名称（</w:t>
      </w:r>
      <w:r>
        <w:rPr>
          <w:rFonts w:hint="eastAsia" w:ascii="宋体" w:hAnsi="宋体" w:eastAsia="宋体" w:cs="宋体"/>
          <w:color w:val="000000"/>
          <w:sz w:val="21"/>
          <w:szCs w:val="22"/>
          <w:lang w:eastAsia="zh-CN"/>
        </w:rPr>
        <w:t>盖章</w:t>
      </w:r>
      <w:r>
        <w:rPr>
          <w:rFonts w:hint="eastAsia" w:ascii="宋体" w:hAnsi="宋体" w:eastAsia="宋体" w:cs="宋体"/>
          <w:color w:val="000000"/>
          <w:sz w:val="21"/>
          <w:szCs w:val="22"/>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 xml:space="preserve">                        </w:t>
      </w:r>
    </w:p>
    <w:p>
      <w:pPr>
        <w:adjustRightInd w:val="0"/>
        <w:snapToGrid w:val="0"/>
        <w:spacing w:line="360" w:lineRule="auto"/>
        <w:ind w:firstLine="420" w:firstLineChars="200"/>
        <w:rPr>
          <w:rFonts w:hint="eastAsia" w:ascii="宋体" w:hAnsi="宋体" w:eastAsia="宋体" w:cs="宋体"/>
          <w:color w:val="000000"/>
          <w:sz w:val="21"/>
          <w:szCs w:val="22"/>
        </w:rPr>
      </w:pPr>
      <w:r>
        <w:rPr>
          <w:rFonts w:hint="eastAsia" w:ascii="宋体" w:hAnsi="宋体" w:eastAsia="宋体" w:cs="宋体"/>
          <w:color w:val="000000"/>
          <w:sz w:val="21"/>
          <w:szCs w:val="22"/>
        </w:rPr>
        <w:t>法定代表人（</w:t>
      </w:r>
      <w:r>
        <w:rPr>
          <w:rFonts w:hint="eastAsia" w:ascii="宋体" w:hAnsi="宋体" w:eastAsia="宋体" w:cs="宋体"/>
          <w:color w:val="000000"/>
          <w:sz w:val="21"/>
          <w:szCs w:val="22"/>
          <w:lang w:eastAsia="zh-CN"/>
        </w:rPr>
        <w:t>签字或盖章</w:t>
      </w:r>
      <w:r>
        <w:rPr>
          <w:rFonts w:hint="eastAsia" w:ascii="宋体" w:hAnsi="宋体" w:eastAsia="宋体" w:cs="宋体"/>
          <w:color w:val="000000"/>
          <w:sz w:val="21"/>
          <w:szCs w:val="22"/>
        </w:rPr>
        <w:t>）：</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 xml:space="preserve">                    </w:t>
      </w:r>
    </w:p>
    <w:p>
      <w:pPr>
        <w:adjustRightInd w:val="0"/>
        <w:snapToGrid w:val="0"/>
        <w:spacing w:line="360" w:lineRule="auto"/>
        <w:ind w:firstLine="420" w:firstLineChars="200"/>
        <w:rPr>
          <w:rFonts w:hint="eastAsia" w:ascii="宋体" w:hAnsi="宋体" w:eastAsia="宋体" w:cs="宋体"/>
          <w:color w:val="000000"/>
          <w:sz w:val="21"/>
          <w:szCs w:val="22"/>
        </w:rPr>
      </w:pPr>
      <w:r>
        <w:rPr>
          <w:rFonts w:hint="eastAsia" w:ascii="宋体" w:hAnsi="宋体" w:eastAsia="宋体" w:cs="宋体"/>
          <w:color w:val="000000"/>
          <w:sz w:val="21"/>
          <w:szCs w:val="22"/>
        </w:rPr>
        <w:t xml:space="preserve">日期：   </w:t>
      </w:r>
      <w:r>
        <w:rPr>
          <w:rFonts w:hint="eastAsia" w:ascii="宋体" w:hAnsi="宋体" w:eastAsia="宋体" w:cs="宋体"/>
          <w:color w:val="000000"/>
          <w:sz w:val="21"/>
          <w:szCs w:val="22"/>
          <w:u w:val="single"/>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年</w:t>
      </w:r>
      <w:r>
        <w:rPr>
          <w:rFonts w:hint="eastAsia" w:ascii="宋体" w:hAnsi="宋体" w:eastAsia="宋体" w:cs="宋体"/>
          <w:color w:val="000000"/>
          <w:sz w:val="21"/>
          <w:szCs w:val="22"/>
          <w:u w:val="single"/>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月</w:t>
      </w:r>
      <w:r>
        <w:rPr>
          <w:rFonts w:hint="eastAsia" w:ascii="宋体" w:hAnsi="宋体" w:eastAsia="宋体" w:cs="宋体"/>
          <w:color w:val="000000"/>
          <w:sz w:val="21"/>
          <w:szCs w:val="22"/>
          <w:u w:val="single"/>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日</w:t>
      </w:r>
    </w:p>
    <w:p>
      <w:pPr>
        <w:adjustRightInd w:val="0"/>
        <w:snapToGrid w:val="0"/>
        <w:spacing w:line="360" w:lineRule="auto"/>
        <w:ind w:firstLine="420" w:firstLineChars="200"/>
        <w:rPr>
          <w:rFonts w:hint="eastAsia" w:ascii="宋体" w:hAnsi="宋体" w:eastAsia="宋体" w:cs="宋体"/>
          <w:color w:val="000000"/>
          <w:sz w:val="21"/>
          <w:szCs w:val="22"/>
        </w:rPr>
      </w:pPr>
    </w:p>
    <w:p>
      <w:pPr>
        <w:adjustRightInd w:val="0"/>
        <w:snapToGrid w:val="0"/>
        <w:spacing w:line="360" w:lineRule="auto"/>
        <w:ind w:firstLine="420" w:firstLineChars="200"/>
        <w:rPr>
          <w:rFonts w:hint="eastAsia" w:ascii="宋体" w:hAnsi="宋体" w:eastAsia="宋体" w:cs="宋体"/>
          <w:color w:val="000000"/>
          <w:sz w:val="21"/>
          <w:szCs w:val="22"/>
        </w:rPr>
      </w:pPr>
    </w:p>
    <w:p>
      <w:pPr>
        <w:adjustRightInd w:val="0"/>
        <w:snapToGrid w:val="0"/>
        <w:spacing w:line="360" w:lineRule="auto"/>
        <w:ind w:firstLine="420" w:firstLineChars="200"/>
        <w:rPr>
          <w:rFonts w:hint="eastAsia" w:ascii="宋体" w:hAnsi="宋体" w:eastAsia="宋体" w:cs="宋体"/>
          <w:color w:val="000000"/>
          <w:sz w:val="21"/>
          <w:szCs w:val="22"/>
          <w:lang w:val="en-US" w:eastAsia="zh-CN"/>
        </w:rPr>
      </w:pPr>
      <w:r>
        <w:rPr>
          <w:rFonts w:hint="eastAsia" w:ascii="宋体" w:hAnsi="宋体" w:eastAsia="宋体" w:cs="宋体"/>
          <w:color w:val="000000"/>
          <w:sz w:val="21"/>
          <w:szCs w:val="22"/>
        </w:rPr>
        <w:t xml:space="preserve">注： </w:t>
      </w:r>
      <w:r>
        <w:rPr>
          <w:rFonts w:hint="eastAsia" w:ascii="宋体" w:hAnsi="宋体" w:eastAsia="宋体" w:cs="宋体"/>
          <w:color w:val="000000"/>
          <w:sz w:val="21"/>
          <w:szCs w:val="22"/>
          <w:lang w:val="en-US" w:eastAsia="zh-CN"/>
        </w:rPr>
        <w:t>1、单项报价不得超过各品类单项最高限价，</w:t>
      </w:r>
      <w:r>
        <w:rPr>
          <w:rFonts w:hint="eastAsia" w:ascii="宋体" w:hAnsi="宋体" w:cs="宋体"/>
          <w:color w:val="000000"/>
          <w:sz w:val="21"/>
          <w:szCs w:val="22"/>
          <w:lang w:val="en-US" w:eastAsia="zh-CN"/>
        </w:rPr>
        <w:t>总价不得超过本项目</w:t>
      </w:r>
      <w:r>
        <w:rPr>
          <w:rFonts w:hint="eastAsia" w:ascii="宋体" w:hAnsi="宋体" w:eastAsia="宋体" w:cs="宋体"/>
          <w:color w:val="000000"/>
          <w:sz w:val="21"/>
          <w:szCs w:val="22"/>
          <w:lang w:val="en-US" w:eastAsia="zh-CN"/>
        </w:rPr>
        <w:t>最高限价，否则做无效报价处理。</w:t>
      </w:r>
    </w:p>
    <w:p>
      <w:pPr>
        <w:adjustRightInd w:val="0"/>
        <w:snapToGrid w:val="0"/>
        <w:spacing w:line="360" w:lineRule="auto"/>
        <w:ind w:firstLine="420" w:firstLineChars="200"/>
        <w:rPr>
          <w:rFonts w:hint="eastAsia" w:ascii="宋体" w:hAnsi="宋体" w:eastAsia="宋体" w:cs="宋体"/>
          <w:color w:val="000000"/>
          <w:sz w:val="21"/>
          <w:szCs w:val="22"/>
        </w:rPr>
      </w:pPr>
      <w:r>
        <w:rPr>
          <w:rFonts w:hint="eastAsia" w:ascii="宋体" w:hAnsi="宋体" w:eastAsia="宋体" w:cs="宋体"/>
          <w:color w:val="000000"/>
          <w:sz w:val="21"/>
          <w:szCs w:val="22"/>
          <w:lang w:val="en-US" w:eastAsia="zh-CN"/>
        </w:rPr>
        <w:t>2</w:t>
      </w:r>
      <w:r>
        <w:rPr>
          <w:rFonts w:hint="eastAsia" w:ascii="宋体" w:hAnsi="宋体" w:eastAsia="宋体" w:cs="宋体"/>
          <w:color w:val="000000"/>
          <w:sz w:val="21"/>
          <w:szCs w:val="22"/>
        </w:rPr>
        <w:t>、报价一经涂改，应在涂改处加盖单位公章或者由法定代表人或授权委托人签字或盖章，否则其响应作无效处理。</w:t>
      </w:r>
    </w:p>
    <w:p>
      <w:pPr>
        <w:adjustRightInd w:val="0"/>
        <w:snapToGrid w:val="0"/>
        <w:spacing w:line="360" w:lineRule="auto"/>
        <w:ind w:firstLine="420" w:firstLineChars="200"/>
        <w:rPr>
          <w:rFonts w:hint="eastAsia" w:ascii="宋体" w:hAnsi="宋体" w:eastAsia="宋体" w:cs="宋体"/>
          <w:color w:val="000000"/>
          <w:sz w:val="21"/>
          <w:szCs w:val="22"/>
        </w:rPr>
      </w:pPr>
      <w:r>
        <w:rPr>
          <w:rFonts w:hint="eastAsia" w:ascii="宋体" w:hAnsi="宋体" w:cs="宋体"/>
          <w:color w:val="000000"/>
          <w:sz w:val="21"/>
          <w:szCs w:val="22"/>
          <w:lang w:val="en-US" w:eastAsia="zh-CN"/>
        </w:rPr>
        <w:t>3</w:t>
      </w:r>
      <w:r>
        <w:rPr>
          <w:rFonts w:hint="eastAsia" w:ascii="宋体" w:hAnsi="宋体" w:eastAsia="宋体" w:cs="宋体"/>
          <w:color w:val="000000"/>
          <w:sz w:val="21"/>
          <w:szCs w:val="22"/>
        </w:rPr>
        <w:t>、任何有选择或有条件的投标总价或表中某一包填写多个报价，均将导致 投标被拒绝；</w:t>
      </w:r>
    </w:p>
    <w:p>
      <w:pPr>
        <w:adjustRightInd w:val="0"/>
        <w:snapToGrid w:val="0"/>
        <w:spacing w:line="360" w:lineRule="auto"/>
        <w:ind w:firstLine="420" w:firstLineChars="200"/>
        <w:rPr>
          <w:rFonts w:hint="eastAsia" w:ascii="宋体" w:hAnsi="宋体" w:eastAsia="宋体" w:cs="宋体"/>
          <w:color w:val="000000"/>
          <w:sz w:val="21"/>
          <w:szCs w:val="22"/>
        </w:rPr>
      </w:pPr>
      <w:r>
        <w:rPr>
          <w:rFonts w:hint="eastAsia" w:ascii="宋体" w:hAnsi="宋体" w:cs="宋体"/>
          <w:color w:val="000000"/>
          <w:sz w:val="21"/>
          <w:szCs w:val="22"/>
          <w:lang w:val="en-US" w:eastAsia="zh-CN"/>
        </w:rPr>
        <w:t>4</w:t>
      </w:r>
      <w:r>
        <w:rPr>
          <w:rFonts w:hint="eastAsia" w:ascii="宋体" w:hAnsi="宋体" w:eastAsia="宋体" w:cs="宋体"/>
          <w:color w:val="000000"/>
          <w:sz w:val="21"/>
          <w:szCs w:val="22"/>
        </w:rPr>
        <w:t>、投标报价包含完成服务成果的一切费用、售后维护费用、税费等</w:t>
      </w:r>
    </w:p>
    <w:p>
      <w:pPr>
        <w:adjustRightInd w:val="0"/>
        <w:snapToGrid w:val="0"/>
        <w:spacing w:line="360" w:lineRule="auto"/>
        <w:ind w:firstLine="420" w:firstLineChars="200"/>
      </w:pPr>
      <w:r>
        <w:rPr>
          <w:rFonts w:hint="eastAsia" w:ascii="宋体" w:hAnsi="宋体" w:cs="宋体"/>
          <w:color w:val="000000"/>
          <w:sz w:val="21"/>
          <w:szCs w:val="22"/>
          <w:lang w:val="en-US" w:eastAsia="zh-CN"/>
        </w:rPr>
        <w:t>5</w:t>
      </w:r>
      <w:r>
        <w:rPr>
          <w:rFonts w:hint="eastAsia" w:ascii="宋体" w:hAnsi="宋体" w:eastAsia="宋体" w:cs="宋体"/>
          <w:color w:val="000000"/>
          <w:sz w:val="21"/>
          <w:szCs w:val="22"/>
        </w:rPr>
        <w:t>、报价为含税金额，税票为增值税专用发票。</w:t>
      </w:r>
    </w:p>
    <w:p>
      <w:pPr>
        <w:spacing w:line="360" w:lineRule="auto"/>
        <w:ind w:left="210" w:leftChars="100" w:firstLine="315" w:firstLineChars="150"/>
        <w:rPr>
          <w:rFonts w:hint="eastAsia" w:ascii="宋体" w:hAnsi="宋体"/>
          <w:color w:val="auto"/>
          <w:sz w:val="24"/>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、大写标注：壹、贰、叁、肆、伍、陆、柒、捌、玖、拾、佰、仟、万、亿。</w:t>
      </w:r>
    </w:p>
    <w:p>
      <w:pPr>
        <w:pStyle w:val="78"/>
        <w:rPr>
          <w:rFonts w:hint="eastAsia" w:eastAsia="宋体"/>
          <w:lang w:eastAsia="zh-CN"/>
        </w:rPr>
        <w:sectPr>
          <w:footerReference r:id="rId16" w:type="default"/>
          <w:pgSz w:w="11907" w:h="16839"/>
          <w:pgMar w:top="1431" w:right="1430" w:bottom="1156" w:left="1433" w:header="0" w:footer="1032" w:gutter="0"/>
          <w:pgNumType w:fmt="decimal"/>
          <w:cols w:space="720" w:num="1"/>
        </w:sectPr>
      </w:pPr>
    </w:p>
    <w:p>
      <w:pPr>
        <w:numPr>
          <w:ilvl w:val="0"/>
          <w:numId w:val="0"/>
        </w:numPr>
        <w:spacing w:line="440" w:lineRule="exact"/>
        <w:jc w:val="left"/>
        <w:rPr>
          <w:rFonts w:hint="eastAsia" w:ascii="宋体" w:hAnsi="宋体" w:eastAsia="宋体" w:cs="宋体"/>
          <w:b/>
          <w:color w:val="000000"/>
          <w:sz w:val="28"/>
          <w:szCs w:val="24"/>
          <w:lang w:val="en-US" w:eastAsia="zh-CN"/>
        </w:rPr>
      </w:pPr>
      <w:r>
        <w:rPr>
          <w:rFonts w:hint="eastAsia" w:ascii="宋体" w:hAnsi="宋体" w:eastAsia="宋体" w:cs="宋体"/>
          <w:b/>
          <w:color w:val="000000"/>
          <w:sz w:val="28"/>
          <w:szCs w:val="24"/>
          <w:lang w:val="en-US" w:eastAsia="zh-CN"/>
        </w:rPr>
        <w:t>附件三</w:t>
      </w:r>
    </w:p>
    <w:p>
      <w:pPr>
        <w:numPr>
          <w:ilvl w:val="0"/>
          <w:numId w:val="0"/>
        </w:numPr>
        <w:spacing w:line="440" w:lineRule="exact"/>
        <w:jc w:val="center"/>
        <w:rPr>
          <w:rFonts w:hint="eastAsia" w:ascii="宋体" w:hAnsi="宋体" w:cs="宋体"/>
          <w:b/>
          <w:color w:val="000000"/>
          <w:sz w:val="32"/>
          <w:szCs w:val="28"/>
          <w:lang w:val="en-US" w:eastAsia="zh-CN"/>
        </w:rPr>
      </w:pPr>
      <w:r>
        <w:rPr>
          <w:rFonts w:hint="eastAsia" w:ascii="宋体" w:hAnsi="宋体" w:cs="宋体"/>
          <w:b/>
          <w:color w:val="000000"/>
          <w:sz w:val="32"/>
          <w:szCs w:val="28"/>
          <w:lang w:val="en-US" w:eastAsia="zh-CN"/>
        </w:rPr>
        <w:t>投标报价明细表</w:t>
      </w:r>
    </w:p>
    <w:p>
      <w:pPr>
        <w:spacing w:line="370" w:lineRule="auto"/>
        <w:jc w:val="center"/>
        <w:rPr>
          <w:rFonts w:hint="eastAsia" w:ascii="宋体"/>
          <w:sz w:val="21"/>
          <w:lang w:val="en-US" w:eastAsia="zh-CN"/>
        </w:rPr>
      </w:pPr>
    </w:p>
    <w:p>
      <w:pPr>
        <w:spacing w:line="370" w:lineRule="auto"/>
        <w:jc w:val="left"/>
        <w:rPr>
          <w:rFonts w:hint="default" w:ascii="宋体" w:hAnsi="宋体" w:eastAsia="宋体" w:cs="宋体"/>
          <w:spacing w:val="-2"/>
          <w:sz w:val="21"/>
          <w:szCs w:val="21"/>
          <w:u w:val="single"/>
          <w:lang w:val="en-US"/>
        </w:rPr>
      </w:pPr>
      <w:r>
        <w:rPr>
          <w:rFonts w:hint="eastAsia" w:ascii="宋体"/>
          <w:sz w:val="21"/>
          <w:lang w:val="en-US" w:eastAsia="zh-CN"/>
        </w:rPr>
        <w:t>项目名称：</w:t>
      </w:r>
      <w:r>
        <w:rPr>
          <w:rFonts w:hint="eastAsia" w:ascii="宋体"/>
          <w:sz w:val="21"/>
          <w:u w:val="single"/>
          <w:lang w:val="en-US" w:eastAsia="zh-CN"/>
        </w:rPr>
        <w:t xml:space="preserve">                          </w:t>
      </w:r>
    </w:p>
    <w:p>
      <w:pPr>
        <w:spacing w:before="150" w:line="185" w:lineRule="auto"/>
        <w:ind w:firstLine="605"/>
        <w:jc w:val="left"/>
        <w:rPr>
          <w:rFonts w:ascii="宋体" w:hAnsi="宋体" w:eastAsia="宋体" w:cs="宋体"/>
          <w:spacing w:val="2"/>
          <w:sz w:val="24"/>
          <w:szCs w:val="24"/>
          <w:u w:val="single" w:color="auto"/>
        </w:rPr>
      </w:pPr>
      <w:r>
        <w:rPr>
          <w:rFonts w:ascii="宋体" w:hAnsi="宋体" w:eastAsia="宋体" w:cs="宋体"/>
          <w:spacing w:val="-2"/>
          <w:sz w:val="21"/>
          <w:szCs w:val="21"/>
        </w:rPr>
        <w:t>项目编号：</w:t>
      </w:r>
      <w:r>
        <w:rPr>
          <w:rFonts w:hint="eastAsia" w:ascii="宋体"/>
          <w:sz w:val="21"/>
          <w:u w:val="single"/>
          <w:lang w:val="en-US" w:eastAsia="zh-CN"/>
        </w:rPr>
        <w:t xml:space="preserve">                          </w:t>
      </w:r>
    </w:p>
    <w:p>
      <w:pPr>
        <w:spacing w:line="234" w:lineRule="exact"/>
        <w:jc w:val="left"/>
      </w:pPr>
    </w:p>
    <w:tbl>
      <w:tblPr>
        <w:tblStyle w:val="170"/>
        <w:tblW w:w="938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972"/>
        <w:gridCol w:w="1755"/>
        <w:gridCol w:w="886"/>
        <w:gridCol w:w="886"/>
        <w:gridCol w:w="928"/>
        <w:gridCol w:w="1051"/>
        <w:gridCol w:w="1069"/>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jc w:val="center"/>
        </w:trPr>
        <w:tc>
          <w:tcPr>
            <w:tcW w:w="770" w:type="dxa"/>
            <w:noWrap w:val="0"/>
            <w:vAlign w:val="center"/>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序号</w:t>
            </w:r>
          </w:p>
        </w:tc>
        <w:tc>
          <w:tcPr>
            <w:tcW w:w="972" w:type="dxa"/>
            <w:noWrap w:val="0"/>
            <w:vAlign w:val="center"/>
          </w:tcPr>
          <w:p>
            <w:pPr>
              <w:snapToGrid w:val="0"/>
              <w:spacing w:line="400" w:lineRule="exact"/>
              <w:ind w:left="105" w:leftChars="0" w:right="62" w:rightChars="0" w:hanging="105" w:hangingChars="5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品类</w:t>
            </w:r>
          </w:p>
        </w:tc>
        <w:tc>
          <w:tcPr>
            <w:tcW w:w="1755" w:type="dxa"/>
            <w:noWrap w:val="0"/>
            <w:vAlign w:val="center"/>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规格要求</w:t>
            </w:r>
          </w:p>
        </w:tc>
        <w:tc>
          <w:tcPr>
            <w:tcW w:w="886" w:type="dxa"/>
            <w:noWrap w:val="0"/>
            <w:vAlign w:val="center"/>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数量</w:t>
            </w:r>
          </w:p>
        </w:tc>
        <w:tc>
          <w:tcPr>
            <w:tcW w:w="886" w:type="dxa"/>
            <w:noWrap w:val="0"/>
            <w:vAlign w:val="center"/>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单位</w:t>
            </w:r>
          </w:p>
        </w:tc>
        <w:tc>
          <w:tcPr>
            <w:tcW w:w="928" w:type="dxa"/>
            <w:noWrap w:val="0"/>
            <w:vAlign w:val="center"/>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单价（元）</w:t>
            </w:r>
          </w:p>
        </w:tc>
        <w:tc>
          <w:tcPr>
            <w:tcW w:w="1051" w:type="dxa"/>
            <w:noWrap w:val="0"/>
            <w:vAlign w:val="center"/>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总价（元）</w:t>
            </w:r>
          </w:p>
        </w:tc>
        <w:tc>
          <w:tcPr>
            <w:tcW w:w="1069" w:type="dxa"/>
            <w:noWrap w:val="0"/>
            <w:vAlign w:val="center"/>
          </w:tcPr>
          <w:p>
            <w:pPr>
              <w:snapToGrid w:val="0"/>
              <w:spacing w:line="400" w:lineRule="exact"/>
              <w:ind w:left="105" w:leftChars="0" w:right="62" w:rightChars="0" w:hanging="105" w:hangingChars="5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生产厂家</w:t>
            </w:r>
          </w:p>
        </w:tc>
        <w:tc>
          <w:tcPr>
            <w:tcW w:w="1069" w:type="dxa"/>
            <w:noWrap w:val="0"/>
            <w:vAlign w:val="center"/>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770"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72"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755"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28"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51"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770"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72"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755"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28"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51"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jc w:val="center"/>
        </w:trPr>
        <w:tc>
          <w:tcPr>
            <w:tcW w:w="770"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72"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755"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28"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51"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770"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72"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755"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28"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51"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770"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72"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755"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886"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928"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51"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c>
          <w:tcPr>
            <w:tcW w:w="1069" w:type="dxa"/>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jc w:val="center"/>
        </w:trPr>
        <w:tc>
          <w:tcPr>
            <w:tcW w:w="1742" w:type="dxa"/>
            <w:gridSpan w:val="2"/>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投标总价</w:t>
            </w:r>
          </w:p>
        </w:tc>
        <w:tc>
          <w:tcPr>
            <w:tcW w:w="7644" w:type="dxa"/>
            <w:gridSpan w:val="7"/>
            <w:noWrap w:val="0"/>
            <w:vAlign w:val="top"/>
          </w:tcPr>
          <w:p>
            <w:pPr>
              <w:snapToGrid w:val="0"/>
              <w:spacing w:line="400" w:lineRule="exact"/>
              <w:ind w:left="105" w:leftChars="0" w:right="62" w:rightChars="0" w:hanging="105" w:hangingChars="50"/>
              <w:jc w:val="center"/>
              <w:rPr>
                <w:rFonts w:hint="eastAsia" w:ascii="宋体" w:hAnsi="宋体"/>
                <w:color w:val="auto"/>
                <w:szCs w:val="21"/>
                <w:highlight w:val="none"/>
                <w:lang w:val="en-US" w:eastAsia="zh-CN"/>
              </w:rPr>
            </w:pPr>
          </w:p>
          <w:p>
            <w:pPr>
              <w:snapToGrid w:val="0"/>
              <w:spacing w:line="400" w:lineRule="exact"/>
              <w:ind w:left="105" w:leftChars="0" w:right="62" w:rightChars="0" w:hanging="105" w:hangingChars="5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（大写）</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pPr>
              <w:snapToGrid w:val="0"/>
              <w:spacing w:line="400" w:lineRule="exact"/>
              <w:ind w:left="105" w:leftChars="0" w:right="62" w:rightChars="0" w:hanging="105" w:hangingChars="50"/>
              <w:jc w:val="left"/>
              <w:rPr>
                <w:rFonts w:hint="eastAsia" w:ascii="宋体" w:hAnsi="宋体"/>
                <w:color w:val="auto"/>
                <w:szCs w:val="21"/>
                <w:highlight w:val="none"/>
                <w:lang w:val="en-US" w:eastAsia="zh-CN"/>
              </w:rPr>
            </w:pPr>
          </w:p>
          <w:p>
            <w:pPr>
              <w:snapToGrid w:val="0"/>
              <w:spacing w:line="400" w:lineRule="exact"/>
              <w:ind w:left="105" w:leftChars="0" w:right="62" w:rightChars="0" w:hanging="105" w:hangingChars="50"/>
              <w:jc w:val="left"/>
              <w:rPr>
                <w:rFonts w:hint="eastAsia" w:ascii="宋体" w:hAnsi="宋体"/>
                <w:color w:val="auto"/>
                <w:szCs w:val="21"/>
                <w:highlight w:val="none"/>
                <w:lang w:val="en-US" w:eastAsia="zh-CN"/>
              </w:rPr>
            </w:pPr>
          </w:p>
          <w:p>
            <w:pPr>
              <w:snapToGrid w:val="0"/>
              <w:spacing w:line="400" w:lineRule="exact"/>
              <w:ind w:left="105" w:leftChars="0" w:right="62" w:rightChars="0" w:hanging="105" w:hangingChars="5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（小写）</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元</w:t>
            </w:r>
          </w:p>
          <w:p>
            <w:pPr>
              <w:snapToGrid w:val="0"/>
              <w:spacing w:line="400" w:lineRule="exact"/>
              <w:ind w:left="105" w:leftChars="0" w:right="62" w:rightChars="0" w:hanging="105" w:hangingChars="50"/>
              <w:jc w:val="left"/>
              <w:rPr>
                <w:rFonts w:hint="eastAsia" w:ascii="宋体" w:hAnsi="宋体"/>
                <w:color w:val="auto"/>
                <w:szCs w:val="21"/>
                <w:highlight w:val="none"/>
                <w:lang w:val="en-US" w:eastAsia="zh-CN"/>
              </w:rPr>
            </w:pPr>
          </w:p>
          <w:p>
            <w:pPr>
              <w:snapToGrid w:val="0"/>
              <w:spacing w:line="400" w:lineRule="exact"/>
              <w:ind w:left="105" w:leftChars="0" w:right="62" w:rightChars="0" w:hanging="105" w:hangingChars="50"/>
              <w:jc w:val="righ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jc w:val="center"/>
        </w:trPr>
        <w:tc>
          <w:tcPr>
            <w:tcW w:w="9386" w:type="dxa"/>
            <w:gridSpan w:val="9"/>
            <w:noWrap w:val="0"/>
            <w:vAlign w:val="top"/>
          </w:tcPr>
          <w:p>
            <w:pPr>
              <w:snapToGrid w:val="0"/>
              <w:spacing w:line="400" w:lineRule="exact"/>
              <w:ind w:left="105" w:leftChars="0" w:right="62" w:rightChars="0" w:hanging="105" w:hangingChars="5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备注：</w:t>
            </w:r>
          </w:p>
        </w:tc>
      </w:tr>
    </w:tbl>
    <w:p>
      <w:pPr>
        <w:spacing w:line="245" w:lineRule="auto"/>
        <w:jc w:val="left"/>
        <w:rPr>
          <w:rFonts w:ascii="宋体"/>
          <w:sz w:val="21"/>
        </w:rPr>
      </w:pPr>
    </w:p>
    <w:p>
      <w:pPr>
        <w:spacing w:line="245" w:lineRule="auto"/>
        <w:jc w:val="left"/>
        <w:rPr>
          <w:rFonts w:ascii="宋体"/>
          <w:sz w:val="21"/>
        </w:rPr>
      </w:pPr>
    </w:p>
    <w:p>
      <w:pPr>
        <w:spacing w:before="78" w:line="468" w:lineRule="exact"/>
        <w:ind w:left="195" w:leftChars="93" w:firstLine="276" w:firstLineChars="150"/>
        <w:jc w:val="left"/>
        <w:rPr>
          <w:rFonts w:ascii="宋体" w:hAnsi="宋体" w:eastAsia="宋体" w:cs="宋体"/>
          <w:sz w:val="21"/>
          <w:szCs w:val="21"/>
        </w:rPr>
      </w:pPr>
      <w:r>
        <w:rPr>
          <w:rFonts w:ascii="宋体" w:hAnsi="宋体" w:eastAsia="宋体" w:cs="宋体"/>
          <w:spacing w:val="-13"/>
          <w:position w:val="16"/>
          <w:sz w:val="21"/>
          <w:szCs w:val="21"/>
        </w:rPr>
        <w:t>投标人名称（</w:t>
      </w:r>
      <w:r>
        <w:rPr>
          <w:rFonts w:hint="eastAsia" w:ascii="宋体" w:hAnsi="宋体" w:eastAsia="宋体" w:cs="宋体"/>
          <w:spacing w:val="-13"/>
          <w:position w:val="16"/>
          <w:sz w:val="21"/>
          <w:szCs w:val="21"/>
          <w:lang w:eastAsia="zh-CN"/>
        </w:rPr>
        <w:t>盖章</w:t>
      </w:r>
      <w:r>
        <w:rPr>
          <w:rFonts w:ascii="宋体" w:hAnsi="宋体" w:eastAsia="宋体" w:cs="宋体"/>
          <w:spacing w:val="-84"/>
          <w:position w:val="16"/>
          <w:sz w:val="21"/>
          <w:szCs w:val="21"/>
        </w:rPr>
        <w:t>）：</w:t>
      </w:r>
    </w:p>
    <w:p>
      <w:pPr>
        <w:spacing w:before="1" w:line="204" w:lineRule="auto"/>
        <w:ind w:left="195" w:leftChars="93" w:firstLine="276" w:firstLineChars="150"/>
        <w:jc w:val="left"/>
        <w:rPr>
          <w:rFonts w:ascii="宋体" w:hAnsi="宋体" w:eastAsia="宋体" w:cs="宋体"/>
          <w:sz w:val="21"/>
          <w:szCs w:val="21"/>
        </w:rPr>
      </w:pPr>
      <w:r>
        <w:rPr>
          <w:rFonts w:ascii="宋体" w:hAnsi="宋体" w:eastAsia="宋体" w:cs="宋体"/>
          <w:spacing w:val="-13"/>
          <w:sz w:val="21"/>
          <w:szCs w:val="21"/>
        </w:rPr>
        <w:t>法定代表人（</w:t>
      </w:r>
      <w:r>
        <w:rPr>
          <w:rFonts w:hint="eastAsia" w:ascii="宋体" w:hAnsi="宋体" w:eastAsia="宋体" w:cs="宋体"/>
          <w:spacing w:val="-13"/>
          <w:sz w:val="21"/>
          <w:szCs w:val="21"/>
          <w:lang w:eastAsia="zh-CN"/>
        </w:rPr>
        <w:t>签字或盖章</w:t>
      </w:r>
      <w:r>
        <w:rPr>
          <w:rFonts w:ascii="宋体" w:hAnsi="宋体" w:eastAsia="宋体" w:cs="宋体"/>
          <w:spacing w:val="-84"/>
          <w:sz w:val="21"/>
          <w:szCs w:val="21"/>
        </w:rPr>
        <w:t>）：</w:t>
      </w:r>
    </w:p>
    <w:p>
      <w:pPr>
        <w:adjustRightInd w:val="0"/>
        <w:snapToGrid w:val="0"/>
        <w:spacing w:line="360" w:lineRule="auto"/>
        <w:ind w:left="210" w:leftChars="100" w:firstLine="315" w:firstLineChars="150"/>
        <w:jc w:val="left"/>
        <w:rPr>
          <w:rFonts w:hint="eastAsia" w:ascii="宋体" w:hAnsi="宋体" w:eastAsia="宋体" w:cs="宋体"/>
          <w:color w:val="000000"/>
          <w:sz w:val="21"/>
          <w:szCs w:val="22"/>
        </w:rPr>
      </w:pPr>
      <w:r>
        <w:rPr>
          <w:rFonts w:hint="eastAsia" w:ascii="宋体" w:hAnsi="宋体" w:eastAsia="宋体" w:cs="宋体"/>
          <w:color w:val="000000"/>
          <w:sz w:val="21"/>
          <w:szCs w:val="22"/>
        </w:rPr>
        <w:t xml:space="preserve">日期：   </w:t>
      </w:r>
      <w:r>
        <w:rPr>
          <w:rFonts w:hint="eastAsia" w:ascii="宋体" w:hAnsi="宋体" w:eastAsia="宋体" w:cs="宋体"/>
          <w:color w:val="000000"/>
          <w:sz w:val="21"/>
          <w:szCs w:val="22"/>
          <w:u w:val="single"/>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年</w:t>
      </w:r>
      <w:r>
        <w:rPr>
          <w:rFonts w:hint="eastAsia" w:ascii="宋体" w:hAnsi="宋体" w:eastAsia="宋体" w:cs="宋体"/>
          <w:color w:val="000000"/>
          <w:sz w:val="21"/>
          <w:szCs w:val="22"/>
          <w:u w:val="single"/>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月</w:t>
      </w:r>
      <w:r>
        <w:rPr>
          <w:rFonts w:hint="eastAsia" w:ascii="宋体" w:hAnsi="宋体" w:eastAsia="宋体" w:cs="宋体"/>
          <w:color w:val="000000"/>
          <w:sz w:val="21"/>
          <w:szCs w:val="22"/>
          <w:u w:val="single"/>
        </w:rPr>
        <w:t xml:space="preserve">  </w:t>
      </w:r>
      <w:r>
        <w:rPr>
          <w:rFonts w:hint="eastAsia" w:ascii="宋体" w:hAnsi="宋体" w:eastAsia="宋体" w:cs="宋体"/>
          <w:color w:val="000000"/>
          <w:sz w:val="21"/>
          <w:szCs w:val="22"/>
          <w:u w:val="single"/>
          <w:lang w:val="en-US" w:eastAsia="zh-CN"/>
        </w:rPr>
        <w:t xml:space="preserve">   </w:t>
      </w:r>
      <w:r>
        <w:rPr>
          <w:rFonts w:hint="eastAsia" w:ascii="宋体" w:hAnsi="宋体" w:eastAsia="宋体" w:cs="宋体"/>
          <w:color w:val="000000"/>
          <w:sz w:val="21"/>
          <w:szCs w:val="22"/>
        </w:rPr>
        <w:t>日</w:t>
      </w:r>
    </w:p>
    <w:p>
      <w:pPr>
        <w:spacing w:before="79" w:line="185" w:lineRule="auto"/>
        <w:ind w:left="1075" w:leftChars="114" w:hanging="836" w:hangingChars="440"/>
        <w:jc w:val="left"/>
        <w:rPr>
          <w:rFonts w:ascii="宋体" w:hAnsi="宋体" w:eastAsia="宋体" w:cs="宋体"/>
          <w:sz w:val="21"/>
          <w:szCs w:val="21"/>
        </w:rPr>
      </w:pPr>
      <w:r>
        <w:rPr>
          <w:rFonts w:ascii="宋体" w:hAnsi="宋体" w:eastAsia="宋体" w:cs="宋体"/>
          <w:spacing w:val="-10"/>
          <w:sz w:val="21"/>
          <w:szCs w:val="21"/>
        </w:rPr>
        <w:t>注：</w:t>
      </w:r>
      <w:r>
        <w:rPr>
          <w:rFonts w:hint="eastAsia" w:ascii="宋体" w:hAnsi="宋体" w:cs="宋体"/>
          <w:spacing w:val="-10"/>
          <w:sz w:val="21"/>
          <w:szCs w:val="21"/>
          <w:lang w:val="en-US" w:eastAsia="zh-CN"/>
        </w:rPr>
        <w:t xml:space="preserve"> </w:t>
      </w:r>
      <w:r>
        <w:rPr>
          <w:rFonts w:ascii="Times New Roman" w:hAnsi="Times New Roman" w:eastAsia="Times New Roman" w:cs="Times New Roman"/>
          <w:spacing w:val="-10"/>
          <w:sz w:val="21"/>
          <w:szCs w:val="21"/>
        </w:rPr>
        <w:t>1</w:t>
      </w:r>
      <w:r>
        <w:rPr>
          <w:rFonts w:ascii="Times New Roman" w:hAnsi="Times New Roman" w:eastAsia="Times New Roman" w:cs="Times New Roman"/>
          <w:spacing w:val="-34"/>
          <w:sz w:val="21"/>
          <w:szCs w:val="21"/>
        </w:rPr>
        <w:t xml:space="preserve"> </w:t>
      </w:r>
      <w:r>
        <w:rPr>
          <w:rFonts w:ascii="宋体" w:hAnsi="宋体" w:eastAsia="宋体" w:cs="宋体"/>
          <w:spacing w:val="-10"/>
          <w:sz w:val="21"/>
          <w:szCs w:val="21"/>
        </w:rPr>
        <w:t>、投标人必须填写报价明细表</w:t>
      </w:r>
      <w:r>
        <w:rPr>
          <w:rFonts w:hint="eastAsia" w:ascii="宋体" w:hAnsi="宋体" w:cs="宋体"/>
          <w:spacing w:val="-10"/>
          <w:sz w:val="21"/>
          <w:szCs w:val="21"/>
          <w:lang w:eastAsia="zh-CN"/>
        </w:rPr>
        <w:t>且</w:t>
      </w:r>
      <w:r>
        <w:rPr>
          <w:rFonts w:hint="eastAsia" w:ascii="宋体" w:hAnsi="宋体" w:cs="宋体"/>
          <w:spacing w:val="-10"/>
          <w:sz w:val="21"/>
          <w:szCs w:val="21"/>
          <w:lang w:val="en-US" w:eastAsia="zh-CN"/>
        </w:rPr>
        <w:t>明细表中需包含服务需求表中所有内容，</w:t>
      </w:r>
      <w:r>
        <w:rPr>
          <w:rFonts w:ascii="宋体" w:hAnsi="宋体" w:eastAsia="宋体" w:cs="宋体"/>
          <w:spacing w:val="-10"/>
          <w:sz w:val="21"/>
          <w:szCs w:val="21"/>
        </w:rPr>
        <w:t>否则将导致投标被拒绝。</w:t>
      </w:r>
    </w:p>
    <w:p>
      <w:pPr>
        <w:spacing w:before="228" w:line="185" w:lineRule="auto"/>
        <w:ind w:firstLine="564" w:firstLineChars="300"/>
        <w:jc w:val="left"/>
        <w:rPr>
          <w:rFonts w:ascii="宋体" w:hAnsi="宋体" w:eastAsia="宋体" w:cs="宋体"/>
          <w:sz w:val="21"/>
          <w:szCs w:val="21"/>
        </w:rPr>
      </w:pPr>
      <w:r>
        <w:rPr>
          <w:rFonts w:ascii="Times New Roman" w:hAnsi="Times New Roman" w:eastAsia="Times New Roman" w:cs="Times New Roman"/>
          <w:spacing w:val="-11"/>
          <w:sz w:val="21"/>
          <w:szCs w:val="21"/>
        </w:rPr>
        <w:t>2</w:t>
      </w:r>
      <w:r>
        <w:rPr>
          <w:rFonts w:ascii="宋体" w:hAnsi="宋体" w:eastAsia="宋体" w:cs="宋体"/>
          <w:spacing w:val="-11"/>
          <w:sz w:val="21"/>
          <w:szCs w:val="21"/>
        </w:rPr>
        <w:t>、报价分析表中的“投标总价”应等于“开标一览表”中的“投标总价”。</w:t>
      </w:r>
    </w:p>
    <w:p>
      <w:pPr>
        <w:spacing w:before="227" w:line="185" w:lineRule="auto"/>
        <w:ind w:firstLine="612" w:firstLineChars="300"/>
        <w:jc w:val="left"/>
        <w:outlineLvl w:val="2"/>
        <w:rPr>
          <w:rFonts w:hint="eastAsia"/>
          <w:sz w:val="21"/>
          <w:szCs w:val="21"/>
          <w:lang w:eastAsia="zh-CN"/>
        </w:rPr>
        <w:sectPr>
          <w:footerReference r:id="rId17" w:type="default"/>
          <w:pgSz w:w="11906" w:h="16838"/>
          <w:pgMar w:top="1446" w:right="1219" w:bottom="1446" w:left="1219" w:header="283" w:footer="567" w:gutter="0"/>
          <w:pgNumType w:fmt="decimal"/>
          <w:cols w:space="720" w:num="1"/>
          <w:docGrid w:type="lines" w:linePitch="312" w:charSpace="0"/>
        </w:sectPr>
      </w:pPr>
      <w:bookmarkStart w:id="486" w:name="_Toc15566"/>
      <w:r>
        <w:rPr>
          <w:rFonts w:ascii="Times New Roman" w:hAnsi="Times New Roman" w:eastAsia="Times New Roman" w:cs="Times New Roman"/>
          <w:spacing w:val="-3"/>
          <w:sz w:val="21"/>
          <w:szCs w:val="21"/>
        </w:rPr>
        <w:t>3</w:t>
      </w:r>
      <w:r>
        <w:rPr>
          <w:rFonts w:ascii="宋体" w:hAnsi="宋体" w:eastAsia="宋体" w:cs="宋体"/>
          <w:spacing w:val="-3"/>
          <w:sz w:val="21"/>
          <w:szCs w:val="21"/>
        </w:rPr>
        <w:t>、报价项目填报不下的，可自行扩</w:t>
      </w:r>
      <w:r>
        <w:rPr>
          <w:rFonts w:hint="eastAsia" w:ascii="宋体" w:hAnsi="宋体" w:cs="宋体"/>
          <w:spacing w:val="-3"/>
          <w:sz w:val="21"/>
          <w:szCs w:val="21"/>
          <w:lang w:val="en-US" w:eastAsia="zh-CN"/>
        </w:rPr>
        <w:t>展</w:t>
      </w:r>
      <w:bookmarkEnd w:id="486"/>
    </w:p>
    <w:p>
      <w:pPr>
        <w:numPr>
          <w:ilvl w:val="0"/>
          <w:numId w:val="0"/>
        </w:numPr>
        <w:spacing w:line="440" w:lineRule="exact"/>
        <w:jc w:val="both"/>
        <w:outlineLvl w:val="1"/>
        <w:rPr>
          <w:rFonts w:hint="eastAsia" w:ascii="宋体" w:hAnsi="宋体" w:eastAsia="宋体" w:cs="宋体"/>
          <w:b/>
          <w:color w:val="000000"/>
          <w:sz w:val="28"/>
          <w:szCs w:val="24"/>
          <w:lang w:val="en-US" w:eastAsia="zh-CN"/>
        </w:rPr>
      </w:pPr>
      <w:bookmarkStart w:id="487" w:name="_Toc23314"/>
      <w:bookmarkStart w:id="488" w:name="_Toc8739"/>
      <w:r>
        <w:rPr>
          <w:rFonts w:hint="eastAsia" w:ascii="宋体" w:hAnsi="宋体" w:eastAsia="宋体" w:cs="宋体"/>
          <w:b/>
          <w:color w:val="000000"/>
          <w:sz w:val="28"/>
          <w:szCs w:val="24"/>
          <w:lang w:val="en-US" w:eastAsia="zh-CN"/>
        </w:rPr>
        <w:t>附件</w:t>
      </w:r>
      <w:bookmarkEnd w:id="487"/>
      <w:bookmarkEnd w:id="488"/>
      <w:r>
        <w:rPr>
          <w:rFonts w:hint="eastAsia" w:ascii="宋体" w:hAnsi="宋体" w:cs="宋体"/>
          <w:b/>
          <w:color w:val="000000"/>
          <w:sz w:val="28"/>
          <w:szCs w:val="24"/>
          <w:lang w:val="en-US" w:eastAsia="zh-CN"/>
        </w:rPr>
        <w:t>四</w:t>
      </w:r>
    </w:p>
    <w:p>
      <w:pPr>
        <w:jc w:val="center"/>
        <w:rPr>
          <w:rFonts w:hint="eastAsia" w:ascii="宋体" w:hAnsi="宋体" w:cs="宋体"/>
          <w:b/>
          <w:color w:val="000000"/>
          <w:sz w:val="32"/>
          <w:szCs w:val="28"/>
        </w:rPr>
      </w:pPr>
      <w:r>
        <w:rPr>
          <w:rFonts w:hint="eastAsia" w:ascii="宋体" w:hAnsi="宋体" w:cs="宋体"/>
          <w:b/>
          <w:color w:val="000000"/>
          <w:sz w:val="32"/>
          <w:szCs w:val="28"/>
        </w:rPr>
        <w:t>投标单位简介</w:t>
      </w:r>
    </w:p>
    <w:p>
      <w:pPr>
        <w:rPr>
          <w:rFonts w:hint="eastAsia" w:ascii="宋体" w:hAnsi="宋体" w:cs="宋体"/>
          <w:b/>
          <w:color w:val="000000"/>
          <w:sz w:val="28"/>
          <w:szCs w:val="28"/>
        </w:rPr>
      </w:pPr>
      <w:r>
        <w:rPr>
          <w:rFonts w:hint="eastAsia" w:ascii="宋体" w:hAnsi="宋体" w:cs="宋体"/>
          <w:b/>
          <w:color w:val="000000"/>
          <w:sz w:val="28"/>
          <w:szCs w:val="28"/>
        </w:rPr>
        <w:t xml:space="preserve">    </w:t>
      </w:r>
    </w:p>
    <w:p>
      <w:pPr>
        <w:ind w:firstLine="482" w:firstLineChars="200"/>
        <w:jc w:val="center"/>
        <w:rPr>
          <w:rFonts w:hint="eastAsia" w:ascii="宋体" w:hAnsi="宋体" w:cs="宋体"/>
          <w:b/>
          <w:color w:val="000000"/>
          <w:sz w:val="24"/>
          <w:szCs w:val="24"/>
        </w:rPr>
      </w:pPr>
      <w:r>
        <w:rPr>
          <w:rFonts w:hint="eastAsia" w:ascii="宋体" w:hAnsi="宋体" w:cs="宋体"/>
          <w:b/>
          <w:color w:val="000000"/>
          <w:sz w:val="24"/>
          <w:szCs w:val="24"/>
        </w:rPr>
        <w:t>投标人自行编制</w:t>
      </w:r>
    </w:p>
    <w:p>
      <w:pPr>
        <w:ind w:firstLine="482" w:firstLineChars="200"/>
        <w:rPr>
          <w:rFonts w:hint="eastAsia" w:ascii="宋体" w:hAnsi="宋体" w:cs="宋体"/>
          <w:b/>
          <w:color w:val="000000"/>
          <w:sz w:val="24"/>
          <w:szCs w:val="24"/>
        </w:rPr>
      </w:pPr>
    </w:p>
    <w:p>
      <w:pPr>
        <w:ind w:firstLine="482" w:firstLineChars="200"/>
        <w:rPr>
          <w:rFonts w:hint="eastAsia" w:ascii="宋体" w:hAnsi="宋体" w:cs="宋体"/>
          <w:b/>
          <w:color w:val="000000"/>
          <w:sz w:val="24"/>
          <w:szCs w:val="24"/>
        </w:rPr>
      </w:pPr>
      <w:r>
        <w:rPr>
          <w:rFonts w:hint="eastAsia" w:ascii="宋体" w:hAnsi="宋体" w:cs="宋体"/>
          <w:b/>
          <w:color w:val="000000"/>
          <w:sz w:val="24"/>
          <w:szCs w:val="24"/>
        </w:rPr>
        <w:t>后附：投标人单位相关资质证件</w:t>
      </w: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pStyle w:val="35"/>
        <w:spacing w:line="240" w:lineRule="auto"/>
        <w:ind w:left="0" w:leftChars="0" w:firstLine="0" w:firstLineChars="0"/>
        <w:jc w:val="both"/>
        <w:rPr>
          <w:rFonts w:hint="eastAsia" w:ascii="宋体" w:hAnsi="宋体" w:cs="宋体"/>
          <w:b/>
          <w:color w:val="000000"/>
          <w:sz w:val="32"/>
          <w:szCs w:val="28"/>
          <w:lang w:val="en-US" w:eastAsia="zh-CN"/>
        </w:rPr>
      </w:pPr>
      <w:r>
        <w:rPr>
          <w:rFonts w:hint="eastAsia" w:ascii="宋体" w:hAnsi="宋体" w:cs="宋体"/>
          <w:b/>
          <w:color w:val="000000"/>
          <w:sz w:val="28"/>
          <w:szCs w:val="24"/>
          <w:lang w:val="en-US" w:eastAsia="zh-CN"/>
        </w:rPr>
        <w:t>附件五</w:t>
      </w:r>
    </w:p>
    <w:p>
      <w:pPr>
        <w:pStyle w:val="35"/>
        <w:spacing w:line="240" w:lineRule="auto"/>
        <w:ind w:left="0" w:leftChars="0" w:firstLine="0" w:firstLineChars="0"/>
        <w:jc w:val="center"/>
        <w:rPr>
          <w:rFonts w:hint="eastAsia" w:ascii="宋体" w:hAnsi="宋体" w:eastAsia="宋体" w:cs="宋体"/>
          <w:b/>
          <w:color w:val="000000"/>
          <w:sz w:val="32"/>
          <w:szCs w:val="28"/>
          <w:lang w:eastAsia="zh-CN"/>
        </w:rPr>
      </w:pPr>
      <w:r>
        <w:rPr>
          <w:rFonts w:hint="eastAsia" w:ascii="宋体" w:hAnsi="宋体" w:cs="宋体"/>
          <w:b/>
          <w:color w:val="000000"/>
          <w:sz w:val="32"/>
          <w:szCs w:val="28"/>
        </w:rPr>
        <w:t>出具法人营业执照函</w:t>
      </w:r>
    </w:p>
    <w:p>
      <w:pPr>
        <w:rPr>
          <w:rFonts w:hint="eastAsia" w:ascii="宋体" w:hAnsi="宋体" w:cs="宋体"/>
          <w:color w:val="000000"/>
          <w:sz w:val="28"/>
          <w:szCs w:val="28"/>
        </w:rPr>
      </w:pPr>
    </w:p>
    <w:p>
      <w:pPr>
        <w:rPr>
          <w:rFonts w:hint="eastAsia" w:ascii="宋体" w:hAnsi="宋体" w:cs="宋体"/>
          <w:color w:val="000000"/>
          <w:sz w:val="21"/>
          <w:szCs w:val="21"/>
        </w:rPr>
      </w:pPr>
      <w:r>
        <w:rPr>
          <w:rFonts w:hint="eastAsia" w:ascii="宋体" w:hAnsi="宋体" w:cs="宋体"/>
          <w:color w:val="000000"/>
          <w:sz w:val="21"/>
          <w:szCs w:val="21"/>
        </w:rPr>
        <w:t>招标人：</w:t>
      </w:r>
      <w:r>
        <w:rPr>
          <w:rFonts w:hint="eastAsia" w:ascii="宋体" w:hAnsi="宋体" w:cs="宋体"/>
          <w:color w:val="000000"/>
          <w:sz w:val="21"/>
          <w:szCs w:val="21"/>
          <w:u w:val="single"/>
        </w:rPr>
        <w:t xml:space="preserve">            </w:t>
      </w:r>
      <w:r>
        <w:rPr>
          <w:rFonts w:hint="eastAsia" w:ascii="宋体" w:hAnsi="宋体" w:cs="宋体"/>
          <w:color w:val="000000"/>
          <w:sz w:val="21"/>
          <w:szCs w:val="21"/>
        </w:rPr>
        <w:t>：</w:t>
      </w:r>
    </w:p>
    <w:p>
      <w:pPr>
        <w:rPr>
          <w:rFonts w:hint="eastAsia" w:ascii="宋体" w:hAnsi="宋体" w:cs="宋体"/>
          <w:color w:val="000000"/>
          <w:sz w:val="21"/>
          <w:szCs w:val="21"/>
        </w:rPr>
      </w:pPr>
    </w:p>
    <w:p>
      <w:pPr>
        <w:rPr>
          <w:rFonts w:hint="eastAsia" w:ascii="宋体" w:hAnsi="宋体" w:cs="宋体"/>
          <w:color w:val="000000"/>
          <w:sz w:val="21"/>
          <w:szCs w:val="21"/>
        </w:rPr>
      </w:pPr>
      <w:r>
        <w:rPr>
          <w:rFonts w:hint="eastAsia" w:ascii="宋体" w:hAnsi="宋体" w:cs="宋体"/>
          <w:color w:val="000000"/>
          <w:sz w:val="21"/>
          <w:szCs w:val="21"/>
        </w:rPr>
        <w:t xml:space="preserve">    现附上由</w:t>
      </w:r>
      <w:r>
        <w:rPr>
          <w:rFonts w:hint="eastAsia" w:ascii="宋体" w:hAnsi="宋体" w:cs="宋体"/>
          <w:color w:val="000000"/>
          <w:sz w:val="21"/>
          <w:szCs w:val="21"/>
          <w:u w:val="single"/>
        </w:rPr>
        <w:t xml:space="preserve">                          </w:t>
      </w:r>
      <w:r>
        <w:rPr>
          <w:rFonts w:hint="eastAsia" w:ascii="宋体" w:hAnsi="宋体" w:cs="宋体"/>
          <w:color w:val="000000"/>
          <w:sz w:val="21"/>
          <w:szCs w:val="21"/>
        </w:rPr>
        <w:t>（签发机关名称）签发的我方法人营业执照复印件，该执照已经年检，真实有效。</w:t>
      </w:r>
    </w:p>
    <w:p>
      <w:pPr>
        <w:ind w:firstLine="852"/>
        <w:rPr>
          <w:rFonts w:hint="eastAsia" w:ascii="宋体" w:hAnsi="宋体" w:cs="宋体"/>
          <w:color w:val="000000"/>
          <w:sz w:val="21"/>
          <w:szCs w:val="21"/>
        </w:rPr>
      </w:pPr>
    </w:p>
    <w:p>
      <w:pPr>
        <w:ind w:firstLine="852"/>
        <w:rPr>
          <w:rFonts w:hint="eastAsia" w:ascii="宋体" w:hAnsi="宋体" w:cs="宋体"/>
          <w:color w:val="000000"/>
          <w:sz w:val="21"/>
          <w:szCs w:val="21"/>
        </w:rPr>
      </w:pPr>
    </w:p>
    <w:p>
      <w:pPr>
        <w:ind w:firstLine="852"/>
        <w:rPr>
          <w:rFonts w:hint="eastAsia" w:ascii="宋体" w:hAnsi="宋体" w:cs="宋体"/>
          <w:color w:val="000000"/>
          <w:sz w:val="21"/>
          <w:szCs w:val="21"/>
        </w:rPr>
      </w:pPr>
    </w:p>
    <w:p>
      <w:pPr>
        <w:rPr>
          <w:rFonts w:hint="default" w:ascii="宋体" w:hAnsi="宋体" w:eastAsia="宋体" w:cs="宋体"/>
          <w:color w:val="000000"/>
          <w:sz w:val="21"/>
          <w:szCs w:val="21"/>
          <w:lang w:val="en-US" w:eastAsia="zh-CN"/>
        </w:rPr>
      </w:pPr>
      <w:r>
        <w:rPr>
          <w:rFonts w:hint="eastAsia" w:ascii="宋体" w:hAnsi="宋体" w:cs="宋体"/>
          <w:color w:val="000000"/>
          <w:sz w:val="21"/>
          <w:szCs w:val="21"/>
        </w:rPr>
        <w:t>投标单位名称</w:t>
      </w:r>
      <w:r>
        <w:rPr>
          <w:rFonts w:hint="eastAsia" w:ascii="宋体" w:hAnsi="宋体" w:cs="宋体"/>
          <w:color w:val="000000"/>
          <w:sz w:val="21"/>
          <w:szCs w:val="21"/>
          <w:lang w:eastAsia="zh-CN"/>
        </w:rPr>
        <w:t>：</w:t>
      </w:r>
      <w:r>
        <w:rPr>
          <w:rFonts w:hint="eastAsia" w:ascii="宋体" w:hAnsi="宋体" w:cs="宋体"/>
          <w:color w:val="000000"/>
          <w:sz w:val="21"/>
          <w:szCs w:val="21"/>
        </w:rPr>
        <w:t>（</w:t>
      </w:r>
      <w:r>
        <w:rPr>
          <w:rFonts w:hint="eastAsia" w:ascii="宋体" w:hAnsi="宋体" w:cs="宋体"/>
          <w:color w:val="000000"/>
          <w:sz w:val="21"/>
          <w:szCs w:val="21"/>
          <w:lang w:eastAsia="zh-CN"/>
        </w:rPr>
        <w:t>盖章</w:t>
      </w:r>
      <w:r>
        <w:rPr>
          <w:rFonts w:hint="eastAsia" w:ascii="宋体" w:hAnsi="宋体" w:cs="宋体"/>
          <w:color w:val="000000"/>
          <w:sz w:val="21"/>
          <w:szCs w:val="21"/>
        </w:rPr>
        <w:t>）</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rPr>
          <w:rFonts w:hint="eastAsia" w:ascii="宋体" w:hAnsi="宋体" w:cs="宋体"/>
          <w:color w:val="000000"/>
          <w:sz w:val="21"/>
          <w:szCs w:val="21"/>
        </w:rPr>
      </w:pPr>
    </w:p>
    <w:p>
      <w:pPr>
        <w:rPr>
          <w:rFonts w:hint="eastAsia" w:ascii="宋体" w:hAnsi="宋体" w:cs="宋体"/>
          <w:color w:val="000000"/>
          <w:sz w:val="21"/>
          <w:szCs w:val="21"/>
        </w:rPr>
      </w:pPr>
    </w:p>
    <w:p>
      <w:pPr>
        <w:rPr>
          <w:rFonts w:hint="eastAsia" w:ascii="宋体" w:hAnsi="宋体" w:cs="宋体"/>
          <w:color w:val="000000"/>
          <w:sz w:val="21"/>
          <w:szCs w:val="21"/>
        </w:rPr>
      </w:pPr>
      <w:r>
        <w:rPr>
          <w:rFonts w:hint="eastAsia" w:ascii="宋体" w:hAnsi="宋体" w:eastAsia="宋体" w:cs="宋体"/>
          <w:color w:val="000000"/>
          <w:sz w:val="21"/>
          <w:szCs w:val="21"/>
        </w:rPr>
        <w:t>法定代表人</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签字或</w:t>
      </w:r>
      <w:r>
        <w:rPr>
          <w:rFonts w:hint="eastAsia" w:ascii="宋体" w:hAnsi="宋体" w:eastAsia="宋体" w:cs="宋体"/>
          <w:color w:val="000000"/>
          <w:sz w:val="21"/>
          <w:szCs w:val="21"/>
        </w:rPr>
        <w:t>盖章）</w:t>
      </w:r>
      <w:r>
        <w:rPr>
          <w:rFonts w:hint="eastAsia" w:ascii="宋体" w:hAnsi="宋体" w:cs="宋体"/>
          <w:color w:val="000000"/>
          <w:sz w:val="21"/>
          <w:szCs w:val="21"/>
          <w:u w:val="single"/>
        </w:rPr>
        <w:t xml:space="preserve">                </w:t>
      </w:r>
    </w:p>
    <w:p>
      <w:pPr>
        <w:rPr>
          <w:rFonts w:hint="eastAsia" w:ascii="宋体" w:hAnsi="宋体" w:cs="宋体"/>
          <w:color w:val="000000"/>
          <w:sz w:val="21"/>
          <w:szCs w:val="21"/>
        </w:rPr>
      </w:pPr>
    </w:p>
    <w:p>
      <w:pPr>
        <w:rPr>
          <w:rFonts w:hint="eastAsia" w:ascii="宋体" w:hAnsi="宋体" w:cs="宋体"/>
          <w:color w:val="000000"/>
          <w:sz w:val="21"/>
          <w:szCs w:val="21"/>
        </w:rPr>
      </w:pPr>
    </w:p>
    <w:p>
      <w:pPr>
        <w:ind w:firstLine="2879" w:firstLineChars="1371"/>
        <w:jc w:val="right"/>
        <w:rPr>
          <w:rFonts w:ascii="宋体" w:hAnsi="宋体" w:eastAsia="宋体" w:cs="宋体"/>
        </w:rPr>
      </w:pPr>
      <w:r>
        <w:rPr>
          <w:rFonts w:hint="eastAsia" w:ascii="宋体" w:hAnsi="宋体" w:cs="宋体"/>
          <w:color w:val="000000"/>
          <w:sz w:val="21"/>
          <w:szCs w:val="21"/>
        </w:rPr>
        <w:t>日期：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jc w:val="right"/>
        <w:rPr>
          <w:rFonts w:hint="eastAsia" w:ascii="宋体" w:hAnsi="宋体" w:cs="宋体"/>
          <w:color w:val="000000"/>
          <w:sz w:val="21"/>
          <w:szCs w:val="21"/>
        </w:rPr>
      </w:pPr>
    </w:p>
    <w:p>
      <w:pPr>
        <w:rPr>
          <w:rFonts w:hint="eastAsia" w:ascii="宋体" w:hAnsi="宋体" w:cs="宋体"/>
          <w:color w:val="000000"/>
          <w:sz w:val="21"/>
          <w:szCs w:val="21"/>
        </w:rPr>
      </w:pPr>
    </w:p>
    <w:p>
      <w:pPr>
        <w:jc w:val="left"/>
        <w:rPr>
          <w:rFonts w:hint="eastAsia" w:ascii="宋体" w:hAnsi="宋体" w:cs="宋体"/>
          <w:b/>
          <w:color w:val="000000"/>
          <w:sz w:val="21"/>
          <w:szCs w:val="21"/>
        </w:rPr>
      </w:pPr>
      <w:r>
        <w:rPr>
          <w:rFonts w:hint="eastAsia" w:ascii="宋体" w:hAnsi="宋体" w:cs="宋体"/>
          <w:b/>
          <w:color w:val="000000"/>
          <w:sz w:val="21"/>
          <w:szCs w:val="21"/>
        </w:rPr>
        <w:t>后附：投标单位三合一营业执照复印件</w:t>
      </w:r>
    </w:p>
    <w:p>
      <w:pPr>
        <w:pStyle w:val="19"/>
        <w:overflowPunct w:val="0"/>
        <w:snapToGrid w:val="0"/>
        <w:spacing w:line="360" w:lineRule="auto"/>
        <w:ind w:firstLine="0"/>
        <w:rPr>
          <w:rFonts w:hint="eastAsia" w:ascii="宋体" w:hAnsi="宋体" w:eastAsia="宋体" w:cs="宋体"/>
          <w:color w:val="000000"/>
          <w:sz w:val="21"/>
          <w:szCs w:val="21"/>
          <w:lang w:eastAsia="zh-CN"/>
        </w:rPr>
      </w:pPr>
    </w:p>
    <w:p>
      <w:pPr>
        <w:rPr>
          <w:rFonts w:hint="eastAsia" w:ascii="宋体" w:hAnsi="宋体" w:eastAsia="宋体" w:cs="宋体"/>
          <w:color w:val="000000"/>
          <w:sz w:val="24"/>
          <w:szCs w:val="24"/>
          <w:lang w:eastAsia="zh-CN"/>
        </w:rPr>
      </w:pPr>
    </w:p>
    <w:p>
      <w:pPr>
        <w:pStyle w:val="2"/>
        <w:outlineLvl w:val="9"/>
        <w:rPr>
          <w:rFonts w:hint="eastAsia" w:ascii="宋体" w:hAnsi="宋体" w:eastAsia="宋体" w:cs="宋体"/>
          <w:color w:val="000000"/>
          <w:sz w:val="24"/>
          <w:szCs w:val="24"/>
          <w:lang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p>
    <w:p>
      <w:pPr>
        <w:numPr>
          <w:ilvl w:val="0"/>
          <w:numId w:val="0"/>
        </w:numPr>
        <w:spacing w:line="440" w:lineRule="exact"/>
        <w:jc w:val="both"/>
        <w:rPr>
          <w:rFonts w:hint="eastAsia" w:ascii="宋体" w:hAnsi="宋体" w:eastAsia="宋体" w:cs="宋体"/>
          <w:b/>
          <w:color w:val="000000"/>
          <w:sz w:val="28"/>
          <w:szCs w:val="24"/>
          <w:lang w:val="en-US" w:eastAsia="zh-CN"/>
        </w:rPr>
      </w:pPr>
      <w:r>
        <w:rPr>
          <w:rFonts w:hint="eastAsia" w:ascii="宋体" w:hAnsi="宋体" w:eastAsia="宋体" w:cs="宋体"/>
          <w:b/>
          <w:color w:val="000000"/>
          <w:sz w:val="28"/>
          <w:szCs w:val="24"/>
          <w:lang w:val="en-US" w:eastAsia="zh-CN"/>
        </w:rPr>
        <w:t>附件</w:t>
      </w:r>
      <w:r>
        <w:rPr>
          <w:rFonts w:hint="eastAsia" w:ascii="宋体" w:hAnsi="宋体" w:cs="宋体"/>
          <w:b/>
          <w:color w:val="000000"/>
          <w:sz w:val="28"/>
          <w:szCs w:val="24"/>
          <w:lang w:val="en-US" w:eastAsia="zh-CN"/>
        </w:rPr>
        <w:t>六</w:t>
      </w:r>
    </w:p>
    <w:p>
      <w:pPr>
        <w:jc w:val="center"/>
        <w:rPr>
          <w:rFonts w:ascii="宋体" w:hAnsi="宋体" w:eastAsia="宋体" w:cs="宋体"/>
          <w:sz w:val="28"/>
        </w:rPr>
      </w:pPr>
    </w:p>
    <w:p>
      <w:pPr>
        <w:jc w:val="center"/>
        <w:outlineLvl w:val="2"/>
        <w:rPr>
          <w:rFonts w:hint="eastAsia" w:ascii="宋体" w:hAnsi="宋体" w:eastAsia="宋体" w:cs="宋体"/>
          <w:b/>
          <w:sz w:val="32"/>
          <w:szCs w:val="32"/>
          <w:lang w:eastAsia="zh-CN"/>
        </w:rPr>
      </w:pPr>
      <w:bookmarkStart w:id="489" w:name="_Toc1239"/>
      <w:bookmarkStart w:id="490" w:name="_Toc25844"/>
      <w:r>
        <w:rPr>
          <w:rFonts w:hint="eastAsia" w:ascii="宋体" w:hAnsi="宋体" w:eastAsia="宋体" w:cs="宋体"/>
          <w:b/>
          <w:sz w:val="32"/>
          <w:szCs w:val="32"/>
        </w:rPr>
        <w:t>联合体协议书</w:t>
      </w:r>
      <w:bookmarkEnd w:id="489"/>
      <w:bookmarkEnd w:id="490"/>
      <w:r>
        <w:rPr>
          <w:rFonts w:hint="eastAsia" w:ascii="宋体" w:hAnsi="宋体" w:cs="宋体"/>
          <w:b/>
          <w:sz w:val="32"/>
          <w:szCs w:val="32"/>
          <w:lang w:eastAsia="zh-CN"/>
        </w:rPr>
        <w:t>（</w:t>
      </w:r>
      <w:r>
        <w:rPr>
          <w:rFonts w:hint="eastAsia" w:ascii="宋体" w:hAnsi="宋体" w:cs="宋体"/>
          <w:b/>
          <w:sz w:val="32"/>
          <w:szCs w:val="32"/>
          <w:lang w:val="en-US" w:eastAsia="zh-CN"/>
        </w:rPr>
        <w:t>如是</w:t>
      </w:r>
      <w:r>
        <w:rPr>
          <w:rFonts w:hint="eastAsia" w:ascii="宋体" w:hAnsi="宋体" w:cs="宋体"/>
          <w:b/>
          <w:sz w:val="32"/>
          <w:szCs w:val="32"/>
          <w:lang w:eastAsia="zh-CN"/>
        </w:rPr>
        <w:t>）</w:t>
      </w:r>
    </w:p>
    <w:p>
      <w:pPr>
        <w:jc w:val="center"/>
        <w:rPr>
          <w:rFonts w:ascii="宋体" w:hAnsi="宋体" w:eastAsia="宋体" w:cs="宋体"/>
          <w:sz w:val="30"/>
          <w:szCs w:val="30"/>
        </w:rPr>
      </w:pPr>
    </w:p>
    <w:p>
      <w:pPr>
        <w:topLinePunct/>
        <w:spacing w:line="440" w:lineRule="exact"/>
        <w:ind w:left="210" w:leftChars="100" w:firstLine="210" w:firstLineChars="100"/>
        <w:rPr>
          <w:rFonts w:ascii="宋体" w:hAnsi="宋体" w:eastAsia="宋体" w:cs="宋体"/>
          <w:szCs w:val="21"/>
        </w:rPr>
      </w:pPr>
      <w:r>
        <w:rPr>
          <w:rFonts w:hint="eastAsia" w:ascii="宋体" w:hAnsi="宋体" w:eastAsia="宋体" w:cs="宋体"/>
          <w:szCs w:val="21"/>
          <w:u w:val="single"/>
        </w:rPr>
        <w:t xml:space="preserve">          </w:t>
      </w:r>
      <w:r>
        <w:rPr>
          <w:rFonts w:hint="eastAsia" w:ascii="宋体" w:hAnsi="宋体" w:eastAsia="宋体" w:cs="宋体"/>
          <w:szCs w:val="21"/>
        </w:rPr>
        <w:t>（所有成员单位名称）自愿组成联合体，共同参加</w:t>
      </w:r>
      <w:r>
        <w:rPr>
          <w:rFonts w:hint="eastAsia" w:ascii="宋体" w:hAnsi="宋体" w:eastAsia="宋体" w:cs="宋体"/>
          <w:szCs w:val="21"/>
          <w:u w:val="single"/>
        </w:rPr>
        <w:t xml:space="preserve">                </w:t>
      </w:r>
      <w:r>
        <w:rPr>
          <w:rFonts w:hint="eastAsia" w:ascii="宋体" w:hAnsi="宋体" w:eastAsia="宋体" w:cs="宋体"/>
          <w:szCs w:val="21"/>
        </w:rPr>
        <w:t>（项目名称）投标。现就联合体投标事宜订立如下协议。</w:t>
      </w:r>
    </w:p>
    <w:p>
      <w:pPr>
        <w:topLinePunct/>
        <w:spacing w:line="440" w:lineRule="exact"/>
        <w:ind w:firstLine="420" w:firstLineChars="200"/>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u w:val="single"/>
        </w:rPr>
        <w:t xml:space="preserve">       </w:t>
      </w:r>
      <w:r>
        <w:rPr>
          <w:rFonts w:hint="eastAsia" w:ascii="宋体" w:hAnsi="宋体" w:eastAsia="宋体" w:cs="宋体"/>
          <w:szCs w:val="21"/>
        </w:rPr>
        <w:t>（某成员单位名称）为牵头人。</w:t>
      </w:r>
    </w:p>
    <w:p>
      <w:pPr>
        <w:topLinePunct/>
        <w:spacing w:line="440" w:lineRule="exact"/>
        <w:ind w:firstLine="420" w:firstLineChars="200"/>
        <w:rPr>
          <w:rFonts w:ascii="宋体" w:hAnsi="宋体" w:eastAsia="宋体" w:cs="宋体"/>
          <w:szCs w:val="21"/>
        </w:rPr>
      </w:pPr>
      <w:r>
        <w:rPr>
          <w:rFonts w:hint="eastAsia" w:ascii="宋体" w:hAnsi="宋体" w:eastAsia="宋体" w:cs="宋体"/>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topLinePunct/>
        <w:spacing w:line="440" w:lineRule="exact"/>
        <w:ind w:firstLine="420" w:firstLineChars="200"/>
        <w:rPr>
          <w:rFonts w:ascii="宋体" w:hAnsi="宋体" w:eastAsia="宋体" w:cs="宋体"/>
          <w:szCs w:val="21"/>
        </w:rPr>
      </w:pPr>
      <w:r>
        <w:rPr>
          <w:rFonts w:hint="eastAsia" w:ascii="宋体" w:hAnsi="宋体" w:eastAsia="宋体" w:cs="宋体"/>
          <w:szCs w:val="21"/>
        </w:rPr>
        <w:t>3、联合体将严格按照招标文件的各项要求，递交投标文件，履行合同，并对外承担连带责任。</w:t>
      </w:r>
    </w:p>
    <w:p>
      <w:pPr>
        <w:topLinePunct/>
        <w:spacing w:line="440" w:lineRule="exact"/>
        <w:ind w:firstLine="420" w:firstLineChars="200"/>
        <w:rPr>
          <w:rFonts w:ascii="宋体" w:hAnsi="宋体" w:eastAsia="宋体" w:cs="宋体"/>
          <w:szCs w:val="21"/>
        </w:rPr>
      </w:pPr>
      <w:r>
        <w:rPr>
          <w:rFonts w:hint="eastAsia" w:ascii="宋体" w:hAnsi="宋体" w:eastAsia="宋体" w:cs="宋体"/>
          <w:szCs w:val="21"/>
        </w:rPr>
        <w:t>4、联合体各成员单位内部的职责分工如下：</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topLinePunct/>
        <w:spacing w:line="440" w:lineRule="exact"/>
        <w:ind w:firstLine="420" w:firstLineChars="200"/>
        <w:outlineLvl w:val="2"/>
        <w:rPr>
          <w:rFonts w:ascii="宋体" w:hAnsi="宋体" w:eastAsia="宋体" w:cs="宋体"/>
          <w:szCs w:val="21"/>
        </w:rPr>
      </w:pPr>
      <w:bookmarkStart w:id="491" w:name="_Toc14243"/>
      <w:r>
        <w:rPr>
          <w:rFonts w:hint="eastAsia" w:ascii="宋体" w:hAnsi="宋体" w:eastAsia="宋体" w:cs="宋体"/>
          <w:szCs w:val="21"/>
        </w:rPr>
        <w:t>5、本协议书自签署之日起生效，合同履行完毕后自动失效。</w:t>
      </w:r>
      <w:bookmarkEnd w:id="491"/>
      <w:r>
        <w:rPr>
          <w:rFonts w:hint="eastAsia" w:ascii="宋体" w:hAnsi="宋体" w:eastAsia="宋体" w:cs="宋体"/>
          <w:szCs w:val="21"/>
        </w:rPr>
        <w:t xml:space="preserve"> </w:t>
      </w:r>
    </w:p>
    <w:p>
      <w:pPr>
        <w:topLinePunct/>
        <w:spacing w:line="440" w:lineRule="exact"/>
        <w:ind w:firstLine="420" w:firstLineChars="200"/>
        <w:rPr>
          <w:rFonts w:ascii="宋体" w:hAnsi="宋体" w:eastAsia="宋体" w:cs="宋体"/>
          <w:szCs w:val="21"/>
        </w:rPr>
      </w:pPr>
      <w:r>
        <w:rPr>
          <w:rFonts w:hint="eastAsia" w:ascii="宋体" w:hAnsi="宋体" w:eastAsia="宋体" w:cs="宋体"/>
          <w:szCs w:val="21"/>
        </w:rPr>
        <w:t>6、本协议书一式</w:t>
      </w:r>
      <w:r>
        <w:rPr>
          <w:rFonts w:hint="eastAsia" w:ascii="宋体" w:hAnsi="宋体" w:eastAsia="宋体" w:cs="宋体"/>
          <w:szCs w:val="21"/>
          <w:u w:val="single"/>
        </w:rPr>
        <w:t xml:space="preserve">     </w:t>
      </w:r>
      <w:r>
        <w:rPr>
          <w:rFonts w:hint="eastAsia" w:ascii="宋体" w:hAnsi="宋体" w:eastAsia="宋体" w:cs="宋体"/>
          <w:szCs w:val="21"/>
        </w:rPr>
        <w:t>份，联合体成员和招标人各执</w:t>
      </w:r>
      <w:r>
        <w:rPr>
          <w:rFonts w:hint="eastAsia" w:ascii="宋体" w:hAnsi="宋体" w:eastAsia="宋体" w:cs="宋体"/>
          <w:szCs w:val="21"/>
          <w:u w:val="single"/>
        </w:rPr>
        <w:t xml:space="preserve">     </w:t>
      </w:r>
      <w:r>
        <w:rPr>
          <w:rFonts w:hint="eastAsia" w:ascii="宋体" w:hAnsi="宋体" w:eastAsia="宋体" w:cs="宋体"/>
          <w:szCs w:val="21"/>
        </w:rPr>
        <w:t>份。</w:t>
      </w:r>
    </w:p>
    <w:p>
      <w:pPr>
        <w:topLinePunct/>
        <w:spacing w:line="440" w:lineRule="exact"/>
        <w:rPr>
          <w:rFonts w:ascii="宋体" w:hAnsi="宋体" w:eastAsia="宋体" w:cs="宋体"/>
          <w:szCs w:val="21"/>
        </w:rPr>
      </w:pPr>
    </w:p>
    <w:p>
      <w:pPr>
        <w:topLinePunct/>
        <w:spacing w:line="440" w:lineRule="exact"/>
        <w:ind w:firstLine="420" w:firstLineChars="200"/>
        <w:rPr>
          <w:rFonts w:ascii="宋体" w:hAnsi="宋体" w:eastAsia="宋体" w:cs="宋体"/>
          <w:szCs w:val="21"/>
        </w:rPr>
      </w:pPr>
      <w:r>
        <w:rPr>
          <w:rFonts w:hint="eastAsia" w:ascii="宋体" w:hAnsi="宋体" w:eastAsia="宋体" w:cs="宋体"/>
          <w:szCs w:val="21"/>
        </w:rPr>
        <w:t>注：本协议书由委托代理人签字的，应附法定代表人签字的授权委托书。</w:t>
      </w:r>
    </w:p>
    <w:p>
      <w:pPr>
        <w:topLinePunct/>
        <w:spacing w:line="440" w:lineRule="exact"/>
        <w:rPr>
          <w:rFonts w:ascii="宋体" w:hAnsi="宋体" w:eastAsia="宋体" w:cs="宋体"/>
          <w:szCs w:val="21"/>
        </w:rPr>
      </w:pPr>
    </w:p>
    <w:p>
      <w:pPr>
        <w:topLinePunct/>
        <w:spacing w:line="440" w:lineRule="exact"/>
        <w:rPr>
          <w:rFonts w:ascii="宋体" w:hAnsi="宋体" w:eastAsia="宋体" w:cs="宋体"/>
          <w:szCs w:val="21"/>
        </w:rPr>
      </w:pPr>
      <w:r>
        <w:rPr>
          <w:rFonts w:hint="eastAsia" w:ascii="宋体" w:hAnsi="宋体" w:eastAsia="宋体" w:cs="宋体"/>
          <w:szCs w:val="21"/>
        </w:rPr>
        <w:t>牵头人名称：</w:t>
      </w:r>
      <w:r>
        <w:rPr>
          <w:rFonts w:hint="eastAsia" w:ascii="宋体" w:hAnsi="宋体" w:eastAsia="宋体" w:cs="宋体"/>
          <w:szCs w:val="21"/>
          <w:u w:val="single"/>
        </w:rPr>
        <w:t xml:space="preserve">                                 </w:t>
      </w:r>
      <w:r>
        <w:rPr>
          <w:rFonts w:hint="eastAsia" w:ascii="宋体" w:hAnsi="宋体" w:eastAsia="宋体" w:cs="宋体"/>
          <w:szCs w:val="21"/>
        </w:rPr>
        <w:t>（盖章）</w:t>
      </w:r>
    </w:p>
    <w:p>
      <w:pPr>
        <w:topLinePunct/>
        <w:spacing w:line="440" w:lineRule="exact"/>
        <w:rPr>
          <w:rFonts w:ascii="宋体" w:hAnsi="宋体" w:eastAsia="宋体" w:cs="宋体"/>
          <w:szCs w:val="21"/>
        </w:rPr>
      </w:pPr>
      <w:r>
        <w:rPr>
          <w:rFonts w:hint="eastAsia" w:ascii="宋体" w:hAnsi="宋体" w:eastAsia="宋体" w:cs="宋体"/>
          <w:szCs w:val="21"/>
        </w:rPr>
        <w:t>法定代表人或其委托代理人：</w:t>
      </w:r>
      <w:r>
        <w:rPr>
          <w:rFonts w:hint="eastAsia" w:ascii="宋体" w:hAnsi="宋体" w:eastAsia="宋体" w:cs="宋体"/>
          <w:szCs w:val="21"/>
          <w:u w:val="single"/>
        </w:rPr>
        <w:t xml:space="preserve">                       </w:t>
      </w:r>
      <w:r>
        <w:rPr>
          <w:rFonts w:hint="eastAsia" w:ascii="宋体" w:hAnsi="宋体" w:eastAsia="宋体" w:cs="宋体"/>
          <w:szCs w:val="21"/>
        </w:rPr>
        <w:t>（签字</w:t>
      </w:r>
      <w:r>
        <w:rPr>
          <w:rFonts w:hint="eastAsia" w:ascii="宋体" w:hAnsi="宋体" w:cs="宋体"/>
          <w:szCs w:val="21"/>
          <w:lang w:val="en-US" w:eastAsia="zh-CN"/>
        </w:rPr>
        <w:t>或盖章</w:t>
      </w:r>
      <w:r>
        <w:rPr>
          <w:rFonts w:hint="eastAsia" w:ascii="宋体" w:hAnsi="宋体" w:eastAsia="宋体" w:cs="宋体"/>
          <w:szCs w:val="21"/>
        </w:rPr>
        <w:t>）</w:t>
      </w:r>
    </w:p>
    <w:p>
      <w:pPr>
        <w:topLinePunct/>
        <w:spacing w:line="440" w:lineRule="exact"/>
        <w:rPr>
          <w:rFonts w:ascii="宋体" w:hAnsi="宋体" w:eastAsia="宋体" w:cs="宋体"/>
          <w:szCs w:val="21"/>
        </w:rPr>
      </w:pPr>
    </w:p>
    <w:p>
      <w:pPr>
        <w:topLinePunct/>
        <w:spacing w:line="440" w:lineRule="exact"/>
        <w:rPr>
          <w:rFonts w:ascii="宋体" w:hAnsi="宋体" w:eastAsia="宋体" w:cs="宋体"/>
          <w:szCs w:val="21"/>
        </w:rPr>
      </w:pPr>
      <w:r>
        <w:rPr>
          <w:rFonts w:hint="eastAsia" w:ascii="宋体" w:hAnsi="宋体" w:eastAsia="宋体" w:cs="宋体"/>
          <w:szCs w:val="21"/>
        </w:rPr>
        <w:t>成员一名称：</w:t>
      </w:r>
      <w:r>
        <w:rPr>
          <w:rFonts w:hint="eastAsia" w:ascii="宋体" w:hAnsi="宋体" w:eastAsia="宋体" w:cs="宋体"/>
          <w:szCs w:val="21"/>
          <w:u w:val="single"/>
        </w:rPr>
        <w:t xml:space="preserve">                                 </w:t>
      </w:r>
      <w:r>
        <w:rPr>
          <w:rFonts w:hint="eastAsia" w:ascii="宋体" w:hAnsi="宋体" w:eastAsia="宋体" w:cs="宋体"/>
          <w:szCs w:val="21"/>
        </w:rPr>
        <w:t>（盖章）</w:t>
      </w:r>
    </w:p>
    <w:p>
      <w:pPr>
        <w:topLinePunct/>
        <w:spacing w:line="440" w:lineRule="exact"/>
        <w:rPr>
          <w:rFonts w:ascii="宋体" w:hAnsi="宋体" w:eastAsia="宋体" w:cs="宋体"/>
          <w:szCs w:val="21"/>
        </w:rPr>
      </w:pPr>
      <w:r>
        <w:rPr>
          <w:rFonts w:hint="eastAsia" w:ascii="宋体" w:hAnsi="宋体" w:eastAsia="宋体" w:cs="宋体"/>
          <w:szCs w:val="21"/>
        </w:rPr>
        <w:t>法定代表人或其委托代理人：</w:t>
      </w:r>
      <w:r>
        <w:rPr>
          <w:rFonts w:hint="eastAsia" w:ascii="宋体" w:hAnsi="宋体" w:eastAsia="宋体" w:cs="宋体"/>
          <w:szCs w:val="21"/>
          <w:u w:val="single"/>
        </w:rPr>
        <w:t xml:space="preserve">                       </w:t>
      </w:r>
      <w:r>
        <w:rPr>
          <w:rFonts w:hint="eastAsia" w:ascii="宋体" w:hAnsi="宋体" w:eastAsia="宋体" w:cs="宋体"/>
          <w:szCs w:val="21"/>
        </w:rPr>
        <w:t>（签字</w:t>
      </w:r>
      <w:r>
        <w:rPr>
          <w:rFonts w:hint="eastAsia" w:ascii="宋体" w:hAnsi="宋体" w:cs="宋体"/>
          <w:szCs w:val="21"/>
          <w:lang w:val="en-US" w:eastAsia="zh-CN"/>
        </w:rPr>
        <w:t>或盖章</w:t>
      </w:r>
      <w:r>
        <w:rPr>
          <w:rFonts w:hint="eastAsia" w:ascii="宋体" w:hAnsi="宋体" w:eastAsia="宋体" w:cs="宋体"/>
          <w:szCs w:val="21"/>
        </w:rPr>
        <w:t>）</w:t>
      </w:r>
    </w:p>
    <w:p>
      <w:pPr>
        <w:topLinePunct/>
        <w:spacing w:line="440" w:lineRule="exact"/>
        <w:rPr>
          <w:rFonts w:ascii="宋体" w:hAnsi="宋体" w:eastAsia="宋体" w:cs="宋体"/>
          <w:szCs w:val="21"/>
        </w:rPr>
      </w:pPr>
      <w:r>
        <w:rPr>
          <w:rFonts w:hint="eastAsia" w:ascii="宋体" w:hAnsi="宋体" w:eastAsia="宋体" w:cs="宋体"/>
          <w:szCs w:val="21"/>
        </w:rPr>
        <w:t xml:space="preserve"> </w:t>
      </w:r>
    </w:p>
    <w:p>
      <w:pPr>
        <w:topLinePunct/>
        <w:spacing w:line="440" w:lineRule="exact"/>
        <w:rPr>
          <w:rFonts w:ascii="宋体" w:hAnsi="宋体" w:eastAsia="宋体" w:cs="宋体"/>
          <w:szCs w:val="21"/>
        </w:rPr>
      </w:pPr>
      <w:r>
        <w:rPr>
          <w:rFonts w:hint="eastAsia" w:ascii="宋体" w:hAnsi="宋体" w:eastAsia="宋体" w:cs="宋体"/>
          <w:szCs w:val="21"/>
        </w:rPr>
        <w:t>成员二名称：</w:t>
      </w:r>
      <w:r>
        <w:rPr>
          <w:rFonts w:hint="eastAsia" w:ascii="宋体" w:hAnsi="宋体" w:eastAsia="宋体" w:cs="宋体"/>
          <w:szCs w:val="21"/>
          <w:u w:val="single"/>
        </w:rPr>
        <w:t xml:space="preserve">                                 </w:t>
      </w:r>
      <w:r>
        <w:rPr>
          <w:rFonts w:hint="eastAsia" w:ascii="宋体" w:hAnsi="宋体" w:eastAsia="宋体" w:cs="宋体"/>
          <w:szCs w:val="21"/>
        </w:rPr>
        <w:t>（盖章）</w:t>
      </w:r>
    </w:p>
    <w:p>
      <w:pPr>
        <w:topLinePunct/>
        <w:spacing w:line="440" w:lineRule="exact"/>
        <w:rPr>
          <w:rFonts w:ascii="宋体" w:hAnsi="宋体" w:eastAsia="宋体" w:cs="宋体"/>
          <w:szCs w:val="21"/>
        </w:rPr>
      </w:pPr>
      <w:r>
        <w:rPr>
          <w:rFonts w:hint="eastAsia" w:ascii="宋体" w:hAnsi="宋体" w:eastAsia="宋体" w:cs="宋体"/>
          <w:szCs w:val="21"/>
        </w:rPr>
        <w:t>法定代表人或其委托代理人：</w:t>
      </w:r>
      <w:r>
        <w:rPr>
          <w:rFonts w:hint="eastAsia" w:ascii="宋体" w:hAnsi="宋体" w:eastAsia="宋体" w:cs="宋体"/>
          <w:szCs w:val="21"/>
          <w:u w:val="single"/>
        </w:rPr>
        <w:t xml:space="preserve">                      </w:t>
      </w:r>
      <w:r>
        <w:rPr>
          <w:rFonts w:hint="eastAsia" w:ascii="宋体" w:hAnsi="宋体" w:eastAsia="宋体" w:cs="宋体"/>
          <w:szCs w:val="21"/>
        </w:rPr>
        <w:t>（签字</w:t>
      </w:r>
      <w:r>
        <w:rPr>
          <w:rFonts w:hint="eastAsia" w:ascii="宋体" w:hAnsi="宋体" w:cs="宋体"/>
          <w:szCs w:val="21"/>
          <w:lang w:val="en-US" w:eastAsia="zh-CN"/>
        </w:rPr>
        <w:t>或盖章</w:t>
      </w:r>
      <w:r>
        <w:rPr>
          <w:rFonts w:hint="eastAsia" w:ascii="宋体" w:hAnsi="宋体" w:eastAsia="宋体" w:cs="宋体"/>
          <w:szCs w:val="21"/>
        </w:rPr>
        <w:t>）</w:t>
      </w:r>
    </w:p>
    <w:p>
      <w:pPr>
        <w:topLinePunct/>
        <w:spacing w:line="440" w:lineRule="exact"/>
        <w:rPr>
          <w:rFonts w:ascii="宋体" w:hAnsi="宋体" w:eastAsia="宋体" w:cs="宋体"/>
          <w:szCs w:val="21"/>
        </w:rPr>
      </w:pPr>
      <w:r>
        <w:rPr>
          <w:rFonts w:hint="eastAsia" w:ascii="宋体" w:hAnsi="宋体" w:eastAsia="宋体" w:cs="宋体"/>
          <w:szCs w:val="21"/>
        </w:rPr>
        <w:t xml:space="preserve">…… </w:t>
      </w:r>
    </w:p>
    <w:p>
      <w:pPr>
        <w:topLinePunct/>
        <w:spacing w:line="440" w:lineRule="exact"/>
        <w:rPr>
          <w:rFonts w:ascii="宋体" w:hAnsi="宋体" w:eastAsia="宋体" w:cs="宋体"/>
          <w:szCs w:val="21"/>
        </w:rPr>
      </w:pPr>
    </w:p>
    <w:p>
      <w:pPr>
        <w:ind w:firstLine="2879" w:firstLineChars="1371"/>
        <w:jc w:val="right"/>
        <w:rPr>
          <w:rFonts w:ascii="宋体" w:hAnsi="宋体" w:eastAsia="宋体" w:cs="宋体"/>
        </w:rPr>
      </w:pP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jc w:val="left"/>
        <w:rPr>
          <w:rFonts w:hint="eastAsia" w:ascii="宋体" w:hAnsi="宋体" w:cs="宋体"/>
          <w:b/>
          <w:color w:val="000000"/>
          <w:sz w:val="28"/>
          <w:szCs w:val="24"/>
          <w:lang w:val="en-US" w:eastAsia="zh-CN"/>
        </w:rPr>
      </w:pPr>
      <w:r>
        <w:rPr>
          <w:rFonts w:hint="eastAsia" w:ascii="宋体" w:hAnsi="宋体" w:eastAsia="宋体" w:cs="宋体"/>
          <w:sz w:val="24"/>
          <w:szCs w:val="18"/>
        </w:rPr>
        <w:br w:type="page"/>
      </w:r>
    </w:p>
    <w:p>
      <w:pPr>
        <w:rPr>
          <w:rFonts w:hint="eastAsia"/>
          <w:lang w:eastAsia="zh-CN"/>
        </w:rPr>
        <w:sectPr>
          <w:pgSz w:w="11906" w:h="16838"/>
          <w:pgMar w:top="1446" w:right="1219" w:bottom="1446" w:left="1219" w:header="283" w:footer="567" w:gutter="0"/>
          <w:pgNumType w:fmt="decimal"/>
          <w:cols w:space="720" w:num="1"/>
          <w:docGrid w:type="lines" w:linePitch="312" w:charSpace="0"/>
        </w:sectPr>
      </w:pPr>
    </w:p>
    <w:p>
      <w:pPr>
        <w:pStyle w:val="35"/>
        <w:spacing w:line="240" w:lineRule="auto"/>
        <w:ind w:left="0" w:leftChars="0" w:firstLine="0" w:firstLineChars="0"/>
        <w:jc w:val="both"/>
        <w:outlineLvl w:val="2"/>
        <w:rPr>
          <w:rFonts w:hint="default" w:ascii="宋体" w:hAnsi="宋体" w:eastAsia="宋体" w:cs="宋体"/>
          <w:b/>
          <w:color w:val="000000"/>
          <w:sz w:val="28"/>
          <w:szCs w:val="24"/>
          <w:lang w:val="en-US" w:eastAsia="zh-CN"/>
        </w:rPr>
      </w:pPr>
      <w:bookmarkStart w:id="492" w:name="_Toc1542"/>
      <w:r>
        <w:rPr>
          <w:rFonts w:hint="eastAsia" w:ascii="宋体" w:hAnsi="宋体" w:eastAsia="宋体" w:cs="宋体"/>
          <w:b/>
          <w:color w:val="000000"/>
          <w:sz w:val="28"/>
          <w:szCs w:val="24"/>
          <w:lang w:val="en-US" w:eastAsia="zh-CN"/>
        </w:rPr>
        <w:t>附件</w:t>
      </w:r>
      <w:bookmarkEnd w:id="492"/>
      <w:r>
        <w:rPr>
          <w:rFonts w:hint="eastAsia" w:ascii="宋体" w:hAnsi="宋体" w:cs="宋体"/>
          <w:b/>
          <w:color w:val="000000"/>
          <w:sz w:val="28"/>
          <w:szCs w:val="24"/>
          <w:lang w:val="en-US" w:eastAsia="zh-CN"/>
        </w:rPr>
        <w:t>七</w:t>
      </w:r>
    </w:p>
    <w:p>
      <w:pPr>
        <w:pStyle w:val="35"/>
        <w:spacing w:line="240" w:lineRule="auto"/>
        <w:ind w:left="0" w:leftChars="0" w:firstLine="0" w:firstLineChars="0"/>
        <w:jc w:val="center"/>
        <w:rPr>
          <w:rFonts w:hint="eastAsia" w:ascii="宋体" w:hAnsi="宋体" w:eastAsia="宋体" w:cs="宋体"/>
          <w:b/>
          <w:color w:val="000000"/>
          <w:szCs w:val="28"/>
          <w:lang w:val="en-US" w:eastAsia="zh-CN"/>
        </w:rPr>
      </w:pPr>
      <w:r>
        <w:rPr>
          <w:rFonts w:hint="eastAsia" w:ascii="宋体" w:hAnsi="宋体" w:cs="宋体"/>
          <w:b/>
          <w:color w:val="000000"/>
          <w:sz w:val="32"/>
          <w:szCs w:val="28"/>
        </w:rPr>
        <w:t>法定代表人身份证</w:t>
      </w:r>
      <w:r>
        <w:rPr>
          <w:rFonts w:hint="eastAsia" w:ascii="宋体" w:hAnsi="宋体" w:cs="宋体"/>
          <w:b/>
          <w:color w:val="000000"/>
          <w:sz w:val="32"/>
          <w:szCs w:val="28"/>
          <w:lang w:val="en-US" w:eastAsia="zh-CN"/>
        </w:rPr>
        <w:t>明</w:t>
      </w:r>
    </w:p>
    <w:p>
      <w:pPr>
        <w:autoSpaceDE w:val="0"/>
        <w:autoSpaceDN w:val="0"/>
        <w:adjustRightInd w:val="0"/>
        <w:ind w:left="120" w:hanging="120"/>
        <w:rPr>
          <w:rFonts w:ascii="宋体" w:hAnsi="宋体" w:cs="宋体"/>
          <w:sz w:val="24"/>
          <w:lang w:val="zh-CN"/>
        </w:rPr>
      </w:pPr>
    </w:p>
    <w:p>
      <w:pPr>
        <w:spacing w:line="460" w:lineRule="exact"/>
        <w:ind w:left="120" w:hanging="120"/>
        <w:rPr>
          <w:rFonts w:ascii="宋体" w:hAnsi="宋体" w:cs="宋体"/>
          <w:sz w:val="24"/>
          <w:u w:val="single"/>
        </w:rPr>
      </w:pPr>
      <w:r>
        <w:rPr>
          <w:rFonts w:hint="eastAsia" w:ascii="宋体" w:hAnsi="宋体" w:cs="宋体"/>
          <w:sz w:val="24"/>
        </w:rPr>
        <w:t>单位名称：</w:t>
      </w:r>
      <w:r>
        <w:rPr>
          <w:rFonts w:hint="eastAsia" w:ascii="宋体" w:hAnsi="宋体" w:cs="宋体"/>
          <w:sz w:val="24"/>
          <w:u w:val="single"/>
        </w:rPr>
        <w:t xml:space="preserve">                                                  </w:t>
      </w:r>
    </w:p>
    <w:p>
      <w:pPr>
        <w:spacing w:line="460" w:lineRule="exact"/>
        <w:ind w:left="120" w:hanging="12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w:t>
      </w:r>
    </w:p>
    <w:p>
      <w:pPr>
        <w:spacing w:line="460" w:lineRule="exact"/>
        <w:ind w:left="120" w:hanging="120"/>
        <w:rPr>
          <w:rFonts w:ascii="宋体" w:hAnsi="宋体" w:cs="宋体"/>
          <w:sz w:val="24"/>
        </w:rPr>
      </w:pPr>
      <w:r>
        <w:rPr>
          <w:rFonts w:hint="eastAsia" w:ascii="宋体" w:hAnsi="宋体" w:cs="宋体"/>
          <w:sz w:val="24"/>
        </w:rPr>
        <w:t>姓名：</w:t>
      </w:r>
      <w:r>
        <w:rPr>
          <w:rFonts w:hint="eastAsia" w:ascii="宋体" w:hAnsi="宋体" w:cs="宋体"/>
          <w:sz w:val="24"/>
          <w:u w:val="single"/>
        </w:rPr>
        <w:t xml:space="preserve">          </w:t>
      </w:r>
      <w:r>
        <w:rPr>
          <w:rFonts w:hint="eastAsia" w:ascii="宋体" w:hAnsi="宋体" w:cs="宋体"/>
          <w:sz w:val="24"/>
        </w:rPr>
        <w:t xml:space="preserve">   性别：</w:t>
      </w:r>
      <w:r>
        <w:rPr>
          <w:rFonts w:hint="eastAsia" w:ascii="宋体" w:hAnsi="宋体" w:cs="宋体"/>
          <w:sz w:val="24"/>
          <w:u w:val="single"/>
        </w:rPr>
        <w:t xml:space="preserve">     </w:t>
      </w:r>
      <w:r>
        <w:rPr>
          <w:rFonts w:hint="eastAsia" w:ascii="宋体" w:hAnsi="宋体" w:cs="宋体"/>
          <w:sz w:val="24"/>
        </w:rPr>
        <w:t>年龄：</w:t>
      </w:r>
      <w:r>
        <w:rPr>
          <w:rFonts w:hint="eastAsia" w:ascii="宋体" w:hAnsi="宋体" w:cs="宋体"/>
          <w:sz w:val="24"/>
          <w:u w:val="single"/>
        </w:rPr>
        <w:t xml:space="preserve">    </w:t>
      </w:r>
      <w:r>
        <w:rPr>
          <w:rFonts w:hint="eastAsia" w:ascii="宋体" w:hAnsi="宋体" w:cs="宋体"/>
          <w:sz w:val="24"/>
        </w:rPr>
        <w:t xml:space="preserve">  职务：</w:t>
      </w:r>
      <w:r>
        <w:rPr>
          <w:rFonts w:hint="eastAsia" w:ascii="宋体" w:hAnsi="宋体" w:cs="宋体"/>
          <w:sz w:val="24"/>
          <w:u w:val="single"/>
        </w:rPr>
        <w:t xml:space="preserve">             </w:t>
      </w:r>
    </w:p>
    <w:p>
      <w:pPr>
        <w:spacing w:line="460" w:lineRule="exact"/>
        <w:ind w:left="120" w:hanging="120"/>
        <w:rPr>
          <w:rFonts w:ascii="宋体" w:hAnsi="宋体" w:cs="宋体"/>
          <w:sz w:val="24"/>
        </w:rPr>
      </w:pPr>
      <w:r>
        <w:rPr>
          <w:rFonts w:hint="eastAsia" w:ascii="宋体" w:hAnsi="宋体" w:cs="宋体"/>
          <w:sz w:val="24"/>
        </w:rPr>
        <w:t xml:space="preserve">系  </w:t>
      </w:r>
      <w:r>
        <w:rPr>
          <w:rFonts w:hint="eastAsia" w:ascii="宋体" w:hAnsi="宋体" w:cs="宋体"/>
          <w:sz w:val="24"/>
          <w:u w:val="single"/>
        </w:rPr>
        <w:t xml:space="preserve">                      </w:t>
      </w:r>
      <w:r>
        <w:rPr>
          <w:rFonts w:hint="eastAsia" w:ascii="宋体" w:hAnsi="宋体" w:cs="宋体"/>
          <w:sz w:val="24"/>
        </w:rPr>
        <w:t>的法定代表人。</w:t>
      </w:r>
    </w:p>
    <w:p>
      <w:pPr>
        <w:spacing w:line="460" w:lineRule="exact"/>
        <w:ind w:left="120" w:hanging="120"/>
        <w:rPr>
          <w:rFonts w:ascii="宋体" w:hAnsi="宋体" w:cs="宋体"/>
          <w:sz w:val="24"/>
        </w:rPr>
      </w:pPr>
    </w:p>
    <w:p>
      <w:pPr>
        <w:autoSpaceDE w:val="0"/>
        <w:autoSpaceDN w:val="0"/>
        <w:adjustRightInd w:val="0"/>
        <w:spacing w:line="320" w:lineRule="exact"/>
        <w:ind w:left="0" w:leftChars="0" w:firstLine="0" w:firstLineChars="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r>
        <w:rPr>
          <w:rFonts w:hint="eastAsia" w:ascii="宋体" w:hAnsi="宋体" w:cs="宋体"/>
          <w:bCs/>
          <w:sz w:val="24"/>
        </w:rPr>
        <mc:AlternateContent>
          <mc:Choice Requires="wps">
            <w:drawing>
              <wp:anchor distT="0" distB="0" distL="114300" distR="114300" simplePos="0" relativeHeight="251665408" behindDoc="0" locked="0" layoutInCell="1" allowOverlap="1">
                <wp:simplePos x="0" y="0"/>
                <wp:positionH relativeFrom="column">
                  <wp:posOffset>2790825</wp:posOffset>
                </wp:positionH>
                <wp:positionV relativeFrom="paragraph">
                  <wp:posOffset>145415</wp:posOffset>
                </wp:positionV>
                <wp:extent cx="2472690" cy="1263650"/>
                <wp:effectExtent l="4445" t="4445" r="18415" b="8255"/>
                <wp:wrapNone/>
                <wp:docPr id="24" name="文本框 24"/>
                <wp:cNvGraphicFramePr/>
                <a:graphic xmlns:a="http://schemas.openxmlformats.org/drawingml/2006/main">
                  <a:graphicData uri="http://schemas.microsoft.com/office/word/2010/wordprocessingShape">
                    <wps:wsp>
                      <wps:cNvSpPr txBox="1"/>
                      <wps:spPr>
                        <a:xfrm>
                          <a:off x="0" y="0"/>
                          <a:ext cx="2472690" cy="126365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left="140" w:hanging="140"/>
                              <w:jc w:val="center"/>
                              <w:rPr>
                                <w:sz w:val="28"/>
                                <w:szCs w:val="28"/>
                              </w:rPr>
                            </w:pPr>
                            <w:r>
                              <w:rPr>
                                <w:rFonts w:hint="eastAsia"/>
                                <w:sz w:val="28"/>
                                <w:szCs w:val="28"/>
                              </w:rPr>
                              <w:t>法人身份证复印件背面</w:t>
                            </w:r>
                          </w:p>
                        </w:txbxContent>
                      </wps:txbx>
                      <wps:bodyPr upright="1"/>
                    </wps:wsp>
                  </a:graphicData>
                </a:graphic>
              </wp:anchor>
            </w:drawing>
          </mc:Choice>
          <mc:Fallback>
            <w:pict>
              <v:shape id="_x0000_s1026" o:spid="_x0000_s1026" o:spt="202" type="#_x0000_t202" style="position:absolute;left:0pt;margin-left:219.75pt;margin-top:11.45pt;height:99.5pt;width:194.7pt;z-index:251665408;mso-width-relative:page;mso-height-relative:page;" fillcolor="#FFFFFF" filled="t" stroked="t" coordsize="21600,21600" o:gfxdata="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cq5o2QAAAAoBAAAPAAAAAAAA&#10;AAEAIAAAACIAAABkcnMvZG93bnJldi54bWxQSwECFAAUAAAACACHTuJAsZ9eBxECAAA5BAAADgAA&#10;AAAAAAABACAAAAAoAQAAZHJzL2Uyb0RvYy54bWxQSwUGAAAAAAYABgBZAQAAqwUAAAAA&#10;">
                <v:fill on="t" focussize="0,0"/>
                <v:stroke color="#000000" joinstyle="miter" dashstyle="1 1" endcap="round"/>
                <v:imagedata o:title=""/>
                <o:lock v:ext="edit" aspectratio="f"/>
                <v:textbox>
                  <w:txbxContent>
                    <w:p>
                      <w:pPr>
                        <w:ind w:left="140" w:hanging="140"/>
                        <w:jc w:val="center"/>
                        <w:rPr>
                          <w:sz w:val="28"/>
                          <w:szCs w:val="28"/>
                        </w:rPr>
                      </w:pPr>
                      <w:r>
                        <w:rPr>
                          <w:rFonts w:hint="eastAsia"/>
                          <w:sz w:val="28"/>
                          <w:szCs w:val="28"/>
                        </w:rPr>
                        <w:t>法人身份证复印件背面</w:t>
                      </w:r>
                    </w:p>
                  </w:txbxContent>
                </v:textbox>
              </v:shape>
            </w:pict>
          </mc:Fallback>
        </mc:AlternateContent>
      </w:r>
      <w:r>
        <w:rPr>
          <w:rFonts w:hint="eastAsia" w:ascii="宋体" w:hAnsi="宋体" w:cs="宋体"/>
          <w:bCs/>
          <w:sz w:val="24"/>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156210</wp:posOffset>
                </wp:positionV>
                <wp:extent cx="2472690" cy="1263650"/>
                <wp:effectExtent l="4445" t="4445" r="18415" b="8255"/>
                <wp:wrapNone/>
                <wp:docPr id="25" name="文本框 25"/>
                <wp:cNvGraphicFramePr/>
                <a:graphic xmlns:a="http://schemas.openxmlformats.org/drawingml/2006/main">
                  <a:graphicData uri="http://schemas.microsoft.com/office/word/2010/wordprocessingShape">
                    <wps:wsp>
                      <wps:cNvSpPr txBox="1"/>
                      <wps:spPr>
                        <a:xfrm>
                          <a:off x="0" y="0"/>
                          <a:ext cx="2472690" cy="126365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left="140" w:hanging="140"/>
                              <w:jc w:val="center"/>
                              <w:rPr>
                                <w:sz w:val="28"/>
                                <w:szCs w:val="28"/>
                              </w:rPr>
                            </w:pPr>
                            <w:r>
                              <w:rPr>
                                <w:rFonts w:hint="eastAsia"/>
                                <w:sz w:val="28"/>
                                <w:szCs w:val="28"/>
                              </w:rPr>
                              <w:t>法人身份证复印件正面</w:t>
                            </w:r>
                          </w:p>
                        </w:txbxContent>
                      </wps:txbx>
                      <wps:bodyPr upright="1"/>
                    </wps:wsp>
                  </a:graphicData>
                </a:graphic>
              </wp:anchor>
            </w:drawing>
          </mc:Choice>
          <mc:Fallback>
            <w:pict>
              <v:shape id="_x0000_s1026" o:spid="_x0000_s1026" o:spt="202" type="#_x0000_t202" style="position:absolute;left:0pt;margin-left:-3.75pt;margin-top:12.3pt;height:99.5pt;width:194.7pt;z-index:251664384;mso-width-relative:page;mso-height-relative:page;" fillcolor="#FFFFFF" filled="t" stroked="t" coordsize="21600,21600" o:gfxdata="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KkecXaAAAACQEAAA8AAAAAAAAA&#10;AQAgAAAAIgAAAGRycy9kb3ducmV2LnhtbFBLAQIUABQAAAAIAIdO4kDN1B2QDwIAADkEAAAOAAAA&#10;AAAAAAEAIAAAACkBAABkcnMvZTJvRG9jLnhtbFBLBQYAAAAABgAGAFkBAACqBQAAAAA=&#10;">
                <v:fill on="t" focussize="0,0"/>
                <v:stroke color="#000000" joinstyle="miter" dashstyle="1 1" endcap="round"/>
                <v:imagedata o:title=""/>
                <o:lock v:ext="edit" aspectratio="f"/>
                <v:textbox>
                  <w:txbxContent>
                    <w:p>
                      <w:pPr>
                        <w:ind w:left="140" w:hanging="140"/>
                        <w:jc w:val="center"/>
                        <w:rPr>
                          <w:sz w:val="28"/>
                          <w:szCs w:val="28"/>
                        </w:rPr>
                      </w:pPr>
                      <w:r>
                        <w:rPr>
                          <w:rFonts w:hint="eastAsia"/>
                          <w:sz w:val="28"/>
                          <w:szCs w:val="28"/>
                        </w:rPr>
                        <w:t>法人身份证复印件正面</w:t>
                      </w:r>
                    </w:p>
                  </w:txbxContent>
                </v:textbox>
              </v:shape>
            </w:pict>
          </mc:Fallback>
        </mc:AlternateContent>
      </w: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0" w:leftChars="0" w:firstLine="0" w:firstLineChars="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autoSpaceDE w:val="0"/>
        <w:autoSpaceDN w:val="0"/>
        <w:adjustRightInd w:val="0"/>
        <w:spacing w:line="320" w:lineRule="exact"/>
        <w:ind w:left="120" w:hanging="120"/>
        <w:rPr>
          <w:rFonts w:ascii="宋体" w:hAnsi="宋体" w:cs="宋体"/>
          <w:sz w:val="24"/>
          <w:lang w:val="zh-CN"/>
        </w:rPr>
      </w:pPr>
    </w:p>
    <w:p>
      <w:pPr>
        <w:pStyle w:val="4"/>
        <w:outlineLvl w:val="9"/>
        <w:rPr>
          <w:rFonts w:ascii="宋体" w:hAnsi="宋体" w:cs="宋体"/>
          <w:sz w:val="24"/>
          <w:lang w:val="zh-CN"/>
        </w:rPr>
      </w:pPr>
    </w:p>
    <w:p>
      <w:pPr>
        <w:rPr>
          <w:lang w:val="zh-CN"/>
        </w:rPr>
      </w:pPr>
    </w:p>
    <w:p>
      <w:pP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投标单位名称：公章）</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rPr>
          <w:rFonts w:hint="eastAsia" w:ascii="宋体" w:hAnsi="宋体" w:cs="宋体"/>
          <w:color w:val="000000"/>
          <w:sz w:val="21"/>
          <w:szCs w:val="21"/>
        </w:rPr>
      </w:pPr>
      <w:r>
        <w:rPr>
          <w:rFonts w:hint="eastAsia" w:ascii="宋体" w:hAnsi="宋体" w:eastAsia="宋体" w:cs="宋体"/>
          <w:color w:val="000000"/>
          <w:sz w:val="21"/>
          <w:szCs w:val="21"/>
        </w:rPr>
        <w:t>法定代表人</w:t>
      </w:r>
      <w:r>
        <w:rPr>
          <w:rFonts w:hint="eastAsia" w:ascii="宋体" w:hAnsi="宋体" w:cs="宋体"/>
          <w:color w:val="000000"/>
          <w:sz w:val="21"/>
          <w:szCs w:val="21"/>
          <w:lang w:eastAsia="zh-CN"/>
        </w:rPr>
        <w:t>：</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签字或</w:t>
      </w:r>
      <w:r>
        <w:rPr>
          <w:rFonts w:hint="eastAsia" w:ascii="宋体" w:hAnsi="宋体" w:eastAsia="宋体" w:cs="宋体"/>
          <w:color w:val="000000"/>
          <w:sz w:val="21"/>
          <w:szCs w:val="21"/>
        </w:rPr>
        <w:t>盖章）</w:t>
      </w:r>
      <w:r>
        <w:rPr>
          <w:rFonts w:hint="eastAsia" w:ascii="宋体" w:hAnsi="宋体" w:cs="宋体"/>
          <w:color w:val="000000"/>
          <w:sz w:val="21"/>
          <w:szCs w:val="21"/>
          <w:u w:val="single"/>
        </w:rPr>
        <w:t xml:space="preserve">                </w:t>
      </w:r>
    </w:p>
    <w:p>
      <w:pPr>
        <w:pStyle w:val="78"/>
      </w:pPr>
    </w:p>
    <w:p>
      <w:pPr>
        <w:autoSpaceDE w:val="0"/>
        <w:autoSpaceDN w:val="0"/>
        <w:adjustRightInd w:val="0"/>
        <w:spacing w:line="320" w:lineRule="exact"/>
        <w:ind w:left="120" w:hanging="120"/>
        <w:rPr>
          <w:rFonts w:ascii="宋体" w:hAnsi="宋体" w:cs="宋体"/>
          <w:b/>
          <w:bCs/>
          <w:sz w:val="24"/>
          <w:lang w:val="zh-CN"/>
        </w:rPr>
      </w:pPr>
    </w:p>
    <w:p>
      <w:pPr>
        <w:autoSpaceDE w:val="0"/>
        <w:autoSpaceDN w:val="0"/>
        <w:adjustRightInd w:val="0"/>
        <w:spacing w:line="320" w:lineRule="exact"/>
        <w:ind w:left="120" w:hanging="120"/>
        <w:jc w:val="center"/>
        <w:outlineLvl w:val="9"/>
        <w:rPr>
          <w:rFonts w:hint="eastAsia" w:ascii="宋体" w:hAnsi="宋体" w:cs="宋体"/>
          <w:sz w:val="24"/>
          <w:lang w:val="zh-CN"/>
        </w:rPr>
      </w:pPr>
    </w:p>
    <w:p>
      <w:pPr>
        <w:autoSpaceDE w:val="0"/>
        <w:autoSpaceDN w:val="0"/>
        <w:adjustRightInd w:val="0"/>
        <w:spacing w:line="320" w:lineRule="exact"/>
        <w:ind w:left="120" w:hanging="120"/>
        <w:jc w:val="center"/>
        <w:outlineLvl w:val="9"/>
        <w:rPr>
          <w:rFonts w:hint="eastAsia" w:ascii="宋体" w:hAnsi="宋体" w:cs="宋体"/>
          <w:sz w:val="24"/>
          <w:lang w:val="zh-CN"/>
        </w:rPr>
      </w:pPr>
    </w:p>
    <w:p>
      <w:pPr>
        <w:autoSpaceDE w:val="0"/>
        <w:autoSpaceDN w:val="0"/>
        <w:adjustRightInd w:val="0"/>
        <w:spacing w:line="320" w:lineRule="exact"/>
        <w:ind w:left="120" w:hanging="120"/>
        <w:jc w:val="center"/>
        <w:outlineLvl w:val="9"/>
        <w:rPr>
          <w:rFonts w:hint="eastAsia" w:ascii="宋体" w:hAnsi="宋体" w:cs="宋体"/>
          <w:sz w:val="24"/>
          <w:lang w:val="zh-CN"/>
        </w:rPr>
      </w:pPr>
    </w:p>
    <w:p>
      <w:pPr>
        <w:autoSpaceDE w:val="0"/>
        <w:autoSpaceDN w:val="0"/>
        <w:adjustRightInd w:val="0"/>
        <w:spacing w:line="320" w:lineRule="exact"/>
        <w:ind w:left="120" w:hanging="120"/>
        <w:jc w:val="right"/>
        <w:outlineLvl w:val="0"/>
        <w:rPr>
          <w:rFonts w:ascii="宋体" w:hAnsi="宋体" w:cs="宋体"/>
          <w:sz w:val="24"/>
          <w:lang w:val="zh-CN"/>
        </w:rPr>
      </w:pPr>
      <w:bookmarkStart w:id="493" w:name="_Toc18606"/>
      <w:bookmarkStart w:id="494" w:name="_Toc9354"/>
      <w:bookmarkStart w:id="495" w:name="_Toc7513"/>
      <w:r>
        <w:rPr>
          <w:rFonts w:hint="eastAsia" w:ascii="宋体" w:hAnsi="宋体" w:cs="宋体"/>
          <w:sz w:val="24"/>
          <w:lang w:val="zh-CN"/>
        </w:rPr>
        <w:t>日期：</w:t>
      </w: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bookmarkEnd w:id="493"/>
      <w:bookmarkEnd w:id="494"/>
      <w:bookmarkEnd w:id="495"/>
    </w:p>
    <w:p>
      <w:pPr>
        <w:pStyle w:val="19"/>
        <w:overflowPunct w:val="0"/>
        <w:snapToGrid w:val="0"/>
        <w:spacing w:line="360" w:lineRule="auto"/>
        <w:ind w:firstLine="0"/>
        <w:rPr>
          <w:rFonts w:hint="eastAsia" w:ascii="宋体" w:hAnsi="宋体" w:eastAsia="宋体" w:cs="宋体"/>
          <w:color w:val="000000"/>
          <w:sz w:val="24"/>
          <w:szCs w:val="24"/>
          <w:lang w:eastAsia="zh-CN"/>
        </w:rPr>
        <w:sectPr>
          <w:pgSz w:w="11906" w:h="16838"/>
          <w:pgMar w:top="1446" w:right="1219" w:bottom="1446" w:left="1219" w:header="283" w:footer="567" w:gutter="0"/>
          <w:pgNumType w:fmt="decimal"/>
          <w:cols w:space="720" w:num="1"/>
          <w:docGrid w:type="lines" w:linePitch="312" w:charSpace="0"/>
        </w:sectPr>
      </w:pPr>
    </w:p>
    <w:p>
      <w:pPr>
        <w:pStyle w:val="35"/>
        <w:spacing w:line="240" w:lineRule="auto"/>
        <w:ind w:left="0" w:leftChars="0" w:firstLine="0" w:firstLineChars="0"/>
        <w:jc w:val="both"/>
        <w:rPr>
          <w:rFonts w:hint="default" w:ascii="宋体" w:hAnsi="宋体" w:eastAsia="宋体" w:cs="宋体"/>
          <w:b/>
          <w:color w:val="000000"/>
          <w:sz w:val="28"/>
          <w:szCs w:val="24"/>
          <w:lang w:val="en-US" w:eastAsia="zh-CN"/>
        </w:rPr>
      </w:pPr>
      <w:r>
        <w:rPr>
          <w:rFonts w:hint="eastAsia" w:ascii="宋体" w:hAnsi="宋体" w:eastAsia="宋体" w:cs="宋体"/>
          <w:b/>
          <w:color w:val="000000"/>
          <w:sz w:val="28"/>
          <w:szCs w:val="24"/>
          <w:lang w:val="en-US" w:eastAsia="zh-CN"/>
        </w:rPr>
        <w:t>附件</w:t>
      </w:r>
      <w:r>
        <w:rPr>
          <w:rFonts w:hint="eastAsia" w:ascii="宋体" w:hAnsi="宋体" w:cs="宋体"/>
          <w:b/>
          <w:color w:val="000000"/>
          <w:sz w:val="28"/>
          <w:szCs w:val="24"/>
          <w:lang w:val="en-US" w:eastAsia="zh-CN"/>
        </w:rPr>
        <w:t>八</w:t>
      </w:r>
    </w:p>
    <w:p>
      <w:pPr>
        <w:jc w:val="center"/>
        <w:rPr>
          <w:rFonts w:hint="eastAsia" w:ascii="宋体" w:hAnsi="宋体" w:cs="宋体"/>
          <w:b/>
          <w:bCs w:val="0"/>
          <w:color w:val="auto"/>
          <w:sz w:val="28"/>
          <w:szCs w:val="28"/>
        </w:rPr>
      </w:pPr>
      <w:r>
        <w:rPr>
          <w:rFonts w:hint="eastAsia" w:ascii="宋体" w:hAnsi="宋体" w:cs="宋体"/>
          <w:b/>
          <w:bCs w:val="0"/>
          <w:color w:val="auto"/>
          <w:sz w:val="32"/>
          <w:szCs w:val="28"/>
        </w:rPr>
        <w:t>法定代表人授权委托书</w:t>
      </w:r>
    </w:p>
    <w:p>
      <w:pPr>
        <w:pStyle w:val="42"/>
        <w:spacing w:line="360" w:lineRule="auto"/>
        <w:ind w:firstLine="480" w:firstLineChars="200"/>
        <w:rPr>
          <w:color w:val="000000"/>
          <w:sz w:val="24"/>
          <w:szCs w:val="24"/>
        </w:rPr>
      </w:pPr>
      <w:r>
        <w:rPr>
          <w:rFonts w:hint="eastAsia"/>
          <w:color w:val="000000"/>
          <w:sz w:val="24"/>
          <w:szCs w:val="24"/>
        </w:rPr>
        <w:t>本授权委托书声明：注册于</w:t>
      </w:r>
      <w:r>
        <w:rPr>
          <w:rFonts w:hint="eastAsia"/>
          <w:color w:val="000000"/>
          <w:sz w:val="24"/>
          <w:szCs w:val="24"/>
          <w:u w:val="single"/>
        </w:rPr>
        <w:t xml:space="preserve"> （投标人地址）  </w:t>
      </w:r>
      <w:r>
        <w:rPr>
          <w:rFonts w:hint="eastAsia"/>
          <w:color w:val="000000"/>
          <w:sz w:val="24"/>
          <w:szCs w:val="24"/>
        </w:rPr>
        <w:t>的</w:t>
      </w:r>
      <w:r>
        <w:rPr>
          <w:rFonts w:hint="eastAsia"/>
          <w:color w:val="000000"/>
          <w:sz w:val="24"/>
          <w:szCs w:val="24"/>
          <w:u w:val="single"/>
        </w:rPr>
        <w:t xml:space="preserve">  （单位名称）    </w:t>
      </w:r>
      <w:r>
        <w:rPr>
          <w:rFonts w:hint="eastAsia"/>
          <w:color w:val="000000"/>
          <w:sz w:val="24"/>
          <w:szCs w:val="24"/>
        </w:rPr>
        <w:t>在下面签名的</w:t>
      </w:r>
      <w:r>
        <w:rPr>
          <w:rFonts w:hint="eastAsia"/>
          <w:color w:val="000000"/>
          <w:sz w:val="24"/>
          <w:szCs w:val="24"/>
          <w:u w:val="single"/>
        </w:rPr>
        <w:t>（法定代表人姓名、职务）</w:t>
      </w:r>
      <w:r>
        <w:rPr>
          <w:rFonts w:hint="eastAsia"/>
          <w:color w:val="000000"/>
          <w:sz w:val="24"/>
          <w:szCs w:val="24"/>
        </w:rPr>
        <w:t>在此授权</w:t>
      </w:r>
      <w:r>
        <w:rPr>
          <w:rFonts w:hint="eastAsia"/>
          <w:color w:val="000000"/>
          <w:sz w:val="24"/>
          <w:szCs w:val="24"/>
          <w:u w:val="single"/>
        </w:rPr>
        <w:t>（被授权人姓名、职务）</w:t>
      </w:r>
      <w:r>
        <w:rPr>
          <w:rFonts w:hint="eastAsia"/>
          <w:color w:val="000000"/>
          <w:sz w:val="24"/>
          <w:szCs w:val="24"/>
        </w:rPr>
        <w:t>作为我公司的合法代理人，就</w:t>
      </w:r>
      <w:r>
        <w:rPr>
          <w:rFonts w:hint="eastAsia"/>
          <w:color w:val="000000"/>
          <w:sz w:val="24"/>
          <w:szCs w:val="24"/>
          <w:u w:val="single"/>
        </w:rPr>
        <w:t>（项目名称、项目编号</w:t>
      </w:r>
      <w:r>
        <w:rPr>
          <w:rFonts w:hint="eastAsia"/>
          <w:color w:val="000000"/>
          <w:sz w:val="24"/>
          <w:szCs w:val="24"/>
        </w:rPr>
        <w:t>）的招投标活动，</w:t>
      </w:r>
      <w:r>
        <w:rPr>
          <w:rFonts w:hint="eastAsia"/>
          <w:color w:val="000000"/>
          <w:sz w:val="24"/>
          <w:szCs w:val="24"/>
          <w:lang w:eastAsia="zh-CN"/>
        </w:rPr>
        <w:t>设计</w:t>
      </w:r>
      <w:r>
        <w:rPr>
          <w:rFonts w:hint="eastAsia"/>
          <w:color w:val="000000"/>
          <w:sz w:val="24"/>
          <w:szCs w:val="24"/>
        </w:rPr>
        <w:t>合同的签订、执行、完成和售后服务，作为投标人代表以我方的名义处理一切与之有关的事务。</w:t>
      </w:r>
    </w:p>
    <w:p>
      <w:pPr>
        <w:pStyle w:val="42"/>
        <w:spacing w:line="360" w:lineRule="auto"/>
        <w:ind w:firstLine="480" w:firstLineChars="200"/>
        <w:rPr>
          <w:rFonts w:hint="eastAsia"/>
          <w:color w:val="000000"/>
          <w:sz w:val="24"/>
          <w:szCs w:val="24"/>
        </w:rPr>
      </w:pPr>
    </w:p>
    <w:p>
      <w:pPr>
        <w:pStyle w:val="42"/>
        <w:spacing w:line="360" w:lineRule="auto"/>
        <w:ind w:firstLine="480" w:firstLineChars="200"/>
        <w:rPr>
          <w:color w:val="000000"/>
          <w:sz w:val="24"/>
          <w:szCs w:val="24"/>
        </w:rPr>
      </w:pPr>
      <w:r>
        <w:rPr>
          <w:rFonts w:hint="eastAsia"/>
          <w:color w:val="000000"/>
          <w:sz w:val="24"/>
          <w:szCs w:val="24"/>
        </w:rPr>
        <w:t>被授权人（投标人授权代表）无转委托权限。</w:t>
      </w:r>
    </w:p>
    <w:p>
      <w:pPr>
        <w:spacing w:line="360" w:lineRule="auto"/>
        <w:ind w:firstLine="480" w:firstLineChars="200"/>
        <w:rPr>
          <w:rFonts w:ascii="宋体"/>
          <w:color w:val="000000"/>
          <w:sz w:val="24"/>
        </w:rPr>
      </w:pPr>
      <w:r>
        <w:rPr>
          <w:rFonts w:hint="eastAsia" w:ascii="宋体"/>
          <w:color w:val="000000"/>
          <w:sz w:val="24"/>
        </w:rPr>
        <w:t>本授权书自法定代表人签字（盖个人名章）之日起生效，特此声明。</w:t>
      </w:r>
    </w:p>
    <w:p>
      <w:pPr>
        <w:rPr>
          <w:rFonts w:hint="eastAsia" w:ascii="宋体" w:hAnsi="宋体" w:cs="宋体"/>
          <w:color w:val="auto"/>
          <w:sz w:val="24"/>
          <w:szCs w:val="24"/>
        </w:rPr>
      </w:pPr>
    </w:p>
    <w:p>
      <w:pPr>
        <w:rPr>
          <w:rFonts w:hint="eastAsia" w:ascii="宋体" w:hAnsi="宋体" w:cs="宋体"/>
          <w:color w:val="auto"/>
          <w:sz w:val="24"/>
          <w:szCs w:val="24"/>
        </w:rPr>
      </w:pPr>
      <w:r>
        <w:rPr>
          <w:rFonts w:hint="eastAsia" w:ascii="宋体" w:hAnsi="宋体" w:cs="宋体"/>
          <w:color w:val="auto"/>
          <w:sz w:val="24"/>
          <w:szCs w:val="24"/>
        </w:rPr>
        <w:t>需附：法定代表人、被授权人身份证复印件。</w:t>
      </w:r>
    </w:p>
    <w:p>
      <w:pPr>
        <w:pStyle w:val="8"/>
        <w:rPr>
          <w:rFonts w:hint="eastAsia"/>
        </w:rPr>
      </w:pPr>
    </w:p>
    <w:p>
      <w:pPr>
        <w:rPr>
          <w:rFonts w:hint="eastAsia" w:ascii="宋体" w:hAnsi="宋体" w:cs="宋体"/>
          <w:color w:val="FF0000"/>
          <w:sz w:val="28"/>
          <w:szCs w:val="28"/>
        </w:rPr>
      </w:pPr>
      <w:r>
        <w:rPr>
          <w:color w:val="FF0000"/>
          <w:sz w:val="28"/>
        </w:rPr>
        <mc:AlternateContent>
          <mc:Choice Requires="wps">
            <w:drawing>
              <wp:anchor distT="0" distB="0" distL="114300" distR="114300" simplePos="0" relativeHeight="251661312" behindDoc="0" locked="0" layoutInCell="1" allowOverlap="1">
                <wp:simplePos x="0" y="0"/>
                <wp:positionH relativeFrom="column">
                  <wp:posOffset>2816225</wp:posOffset>
                </wp:positionH>
                <wp:positionV relativeFrom="paragraph">
                  <wp:posOffset>62230</wp:posOffset>
                </wp:positionV>
                <wp:extent cx="1991360" cy="1219835"/>
                <wp:effectExtent l="7620" t="7620" r="20320" b="10795"/>
                <wp:wrapNone/>
                <wp:docPr id="3" name="文本框 3"/>
                <wp:cNvGraphicFramePr/>
                <a:graphic xmlns:a="http://schemas.openxmlformats.org/drawingml/2006/main">
                  <a:graphicData uri="http://schemas.microsoft.com/office/word/2010/wordprocessingShape">
                    <wps:wsp>
                      <wps:cNvSpPr txBox="1"/>
                      <wps:spPr>
                        <a:xfrm>
                          <a:off x="0" y="0"/>
                          <a:ext cx="1991360" cy="1219835"/>
                        </a:xfrm>
                        <a:prstGeom prst="rect">
                          <a:avLst/>
                        </a:prstGeom>
                        <a:noFill/>
                        <a:ln w="15875" cap="flat" cmpd="sng">
                          <a:solidFill>
                            <a:srgbClr val="000000"/>
                          </a:solidFill>
                          <a:prstDash val="solid"/>
                          <a:miter/>
                          <a:headEnd type="none" w="med" len="med"/>
                          <a:tailEnd type="none" w="med" len="med"/>
                        </a:ln>
                        <a:effectLst/>
                      </wps:spPr>
                      <wps:txbx>
                        <w:txbxContent>
                          <w:p>
                            <w:pPr>
                              <w:rPr>
                                <w:rFonts w:hint="eastAsia"/>
                              </w:rPr>
                            </w:pPr>
                            <w:r>
                              <w:rPr>
                                <w:rFonts w:hint="eastAsia"/>
                              </w:rPr>
                              <w:t>被授权人身份证复印件正面</w:t>
                            </w:r>
                          </w:p>
                        </w:txbxContent>
                      </wps:txbx>
                      <wps:bodyPr wrap="square" upright="1"/>
                    </wps:wsp>
                  </a:graphicData>
                </a:graphic>
              </wp:anchor>
            </w:drawing>
          </mc:Choice>
          <mc:Fallback>
            <w:pict>
              <v:shape id="_x0000_s1026" o:spid="_x0000_s1026" o:spt="202" type="#_x0000_t202" style="position:absolute;left:0pt;margin-left:221.75pt;margin-top:4.9pt;height:96.05pt;width:156.8pt;z-index:251661312;mso-width-relative:page;mso-height-relative:page;" filled="f" stroked="t" coordsize="21600,21600" o:gfxdata="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KRwd1gAAAAkBAAAPAAAAAAAA&#10;AAEAIAAAACIAAABkcnMvZG93bnJldi54bWxQSwECFAAUAAAACACHTuJAaQKMyRQCAAArBAAADgAA&#10;AAAAAAABACAAAAAlAQAAZHJzL2Uyb0RvYy54bWxQSwUGAAAAAAYABgBZAQAAqwUAAAAA&#10;">
                <v:fill on="f" focussize="0,0"/>
                <v:stroke weight="1.25pt" color="#000000" joinstyle="miter"/>
                <v:imagedata o:title=""/>
                <o:lock v:ext="edit" aspectratio="f"/>
                <v:textbox>
                  <w:txbxContent>
                    <w:p>
                      <w:pPr>
                        <w:rPr>
                          <w:rFonts w:hint="eastAsia"/>
                        </w:rPr>
                      </w:pPr>
                      <w:r>
                        <w:rPr>
                          <w:rFonts w:hint="eastAsia"/>
                        </w:rPr>
                        <w:t>被授权人身份证复印件正面</w:t>
                      </w:r>
                    </w:p>
                  </w:txbxContent>
                </v:textbox>
              </v:shape>
            </w:pict>
          </mc:Fallback>
        </mc:AlternateContent>
      </w:r>
      <w:r>
        <w:rPr>
          <w:color w:val="FF0000"/>
          <w:sz w:val="28"/>
        </w:rPr>
        <mc:AlternateContent>
          <mc:Choice Requires="wps">
            <w:drawing>
              <wp:anchor distT="0" distB="0" distL="114300" distR="114300" simplePos="0" relativeHeight="251660288" behindDoc="0" locked="0" layoutInCell="1" allowOverlap="1">
                <wp:simplePos x="0" y="0"/>
                <wp:positionH relativeFrom="column">
                  <wp:posOffset>95885</wp:posOffset>
                </wp:positionH>
                <wp:positionV relativeFrom="paragraph">
                  <wp:posOffset>62230</wp:posOffset>
                </wp:positionV>
                <wp:extent cx="2023745" cy="1219835"/>
                <wp:effectExtent l="7620" t="7620" r="26035" b="10795"/>
                <wp:wrapNone/>
                <wp:docPr id="19" name="文本框 19"/>
                <wp:cNvGraphicFramePr/>
                <a:graphic xmlns:a="http://schemas.openxmlformats.org/drawingml/2006/main">
                  <a:graphicData uri="http://schemas.microsoft.com/office/word/2010/wordprocessingShape">
                    <wps:wsp>
                      <wps:cNvSpPr txBox="1"/>
                      <wps:spPr>
                        <a:xfrm>
                          <a:off x="0" y="0"/>
                          <a:ext cx="2023745" cy="1219835"/>
                        </a:xfrm>
                        <a:prstGeom prst="rect">
                          <a:avLst/>
                        </a:prstGeom>
                        <a:noFill/>
                        <a:ln w="15875" cap="flat" cmpd="sng">
                          <a:solidFill>
                            <a:srgbClr val="000000"/>
                          </a:solidFill>
                          <a:prstDash val="solid"/>
                          <a:miter/>
                          <a:headEnd type="none" w="med" len="med"/>
                          <a:tailEnd type="none" w="med" len="med"/>
                        </a:ln>
                        <a:effectLst/>
                      </wps:spPr>
                      <wps:txbx>
                        <w:txbxContent>
                          <w:p>
                            <w:pPr>
                              <w:rPr>
                                <w:rFonts w:hint="eastAsia"/>
                              </w:rPr>
                            </w:pPr>
                            <w:r>
                              <w:rPr>
                                <w:rFonts w:hint="eastAsia"/>
                              </w:rPr>
                              <w:t>法定代表人身份证复印件正面</w:t>
                            </w:r>
                          </w:p>
                        </w:txbxContent>
                      </wps:txbx>
                      <wps:bodyPr wrap="square" upright="1"/>
                    </wps:wsp>
                  </a:graphicData>
                </a:graphic>
              </wp:anchor>
            </w:drawing>
          </mc:Choice>
          <mc:Fallback>
            <w:pict>
              <v:shape id="_x0000_s1026" o:spid="_x0000_s1026" o:spt="202" type="#_x0000_t202" style="position:absolute;left:0pt;margin-left:7.55pt;margin-top:4.9pt;height:96.05pt;width:159.35pt;z-index:251660288;mso-width-relative:page;mso-height-relative:page;" filled="f" stroked="t" coordsize="21600,21600" o:gfxdata="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U36i1AAAAAgBAAAPAAAAAAAA&#10;AAEAIAAAACIAAABkcnMvZG93bnJldi54bWxQSwECFAAUAAAACACHTuJAlzxoXRYCAAAtBAAADgAA&#10;AAAAAAABACAAAAAjAQAAZHJzL2Uyb0RvYy54bWxQSwUGAAAAAAYABgBZAQAAqwUAAAAA&#10;">
                <v:fill on="f" focussize="0,0"/>
                <v:stroke weight="1.25pt" color="#000000" joinstyle="miter"/>
                <v:imagedata o:title=""/>
                <o:lock v:ext="edit" aspectratio="f"/>
                <v:textbox>
                  <w:txbxContent>
                    <w:p>
                      <w:pPr>
                        <w:rPr>
                          <w:rFonts w:hint="eastAsia"/>
                        </w:rPr>
                      </w:pPr>
                      <w:r>
                        <w:rPr>
                          <w:rFonts w:hint="eastAsia"/>
                        </w:rPr>
                        <w:t>法定代表人身份证复印件正面</w:t>
                      </w:r>
                    </w:p>
                  </w:txbxContent>
                </v:textbox>
              </v:shape>
            </w:pict>
          </mc:Fallback>
        </mc:AlternateContent>
      </w:r>
    </w:p>
    <w:p>
      <w:pPr>
        <w:rPr>
          <w:rFonts w:hint="eastAsia" w:ascii="宋体" w:hAnsi="宋体" w:cs="宋体"/>
          <w:color w:val="FF0000"/>
          <w:sz w:val="28"/>
          <w:szCs w:val="28"/>
        </w:rPr>
      </w:pPr>
    </w:p>
    <w:p>
      <w:pPr>
        <w:rPr>
          <w:rFonts w:hint="eastAsia" w:ascii="宋体" w:hAnsi="宋体" w:cs="宋体"/>
          <w:color w:val="FF0000"/>
          <w:sz w:val="28"/>
          <w:szCs w:val="28"/>
        </w:rPr>
      </w:pPr>
    </w:p>
    <w:p>
      <w:pPr>
        <w:rPr>
          <w:rFonts w:hint="eastAsia" w:ascii="宋体" w:hAnsi="宋体" w:cs="宋体"/>
          <w:color w:val="FF0000"/>
          <w:sz w:val="28"/>
          <w:szCs w:val="28"/>
        </w:rPr>
      </w:pPr>
      <w:r>
        <w:rPr>
          <w:color w:val="FF0000"/>
          <w:sz w:val="28"/>
        </w:rPr>
        <mc:AlternateContent>
          <mc:Choice Requires="wps">
            <w:drawing>
              <wp:anchor distT="0" distB="0" distL="114300" distR="114300" simplePos="0" relativeHeight="251663360" behindDoc="0" locked="0" layoutInCell="1" allowOverlap="1">
                <wp:simplePos x="0" y="0"/>
                <wp:positionH relativeFrom="column">
                  <wp:posOffset>2816225</wp:posOffset>
                </wp:positionH>
                <wp:positionV relativeFrom="paragraph">
                  <wp:posOffset>154940</wp:posOffset>
                </wp:positionV>
                <wp:extent cx="1990725" cy="1219835"/>
                <wp:effectExtent l="7620" t="7620" r="20955" b="10795"/>
                <wp:wrapNone/>
                <wp:docPr id="20" name="文本框 20"/>
                <wp:cNvGraphicFramePr/>
                <a:graphic xmlns:a="http://schemas.openxmlformats.org/drawingml/2006/main">
                  <a:graphicData uri="http://schemas.microsoft.com/office/word/2010/wordprocessingShape">
                    <wps:wsp>
                      <wps:cNvSpPr txBox="1"/>
                      <wps:spPr>
                        <a:xfrm>
                          <a:off x="0" y="0"/>
                          <a:ext cx="1990725" cy="1219835"/>
                        </a:xfrm>
                        <a:prstGeom prst="rect">
                          <a:avLst/>
                        </a:prstGeom>
                        <a:noFill/>
                        <a:ln w="15875" cap="flat" cmpd="sng">
                          <a:solidFill>
                            <a:srgbClr val="000000"/>
                          </a:solidFill>
                          <a:prstDash val="solid"/>
                          <a:miter/>
                          <a:headEnd type="none" w="med" len="med"/>
                          <a:tailEnd type="none" w="med" len="med"/>
                        </a:ln>
                        <a:effectLst/>
                      </wps:spPr>
                      <wps:txbx>
                        <w:txbxContent>
                          <w:p>
                            <w:pPr>
                              <w:rPr>
                                <w:rFonts w:hint="eastAsia"/>
                              </w:rPr>
                            </w:pPr>
                            <w:r>
                              <w:rPr>
                                <w:rFonts w:hint="eastAsia"/>
                              </w:rPr>
                              <w:t>被授权人身份证复印件背面</w:t>
                            </w:r>
                          </w:p>
                        </w:txbxContent>
                      </wps:txbx>
                      <wps:bodyPr wrap="square" upright="1"/>
                    </wps:wsp>
                  </a:graphicData>
                </a:graphic>
              </wp:anchor>
            </w:drawing>
          </mc:Choice>
          <mc:Fallback>
            <w:pict>
              <v:shape id="_x0000_s1026" o:spid="_x0000_s1026" o:spt="202" type="#_x0000_t202" style="position:absolute;left:0pt;margin-left:221.75pt;margin-top:12.2pt;height:96.05pt;width:156.75pt;z-index:251663360;mso-width-relative:page;mso-height-relative:page;" filled="f" stroked="t" coordsize="21600,21600" o:gfxdata="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ldyPdYAAAAKAQAADwAAAAAA&#10;AAABACAAAAAiAAAAZHJzL2Rvd25yZXYueG1sUEsBAhQAFAAAAAgAh07iQP2/SpsVAgAALQQAAA4A&#10;AAAAAAAAAQAgAAAAJQEAAGRycy9lMm9Eb2MueG1sUEsFBgAAAAAGAAYAWQEAAKwFAAAAAA==&#10;">
                <v:fill on="f" focussize="0,0"/>
                <v:stroke weight="1.25pt" color="#000000" joinstyle="miter"/>
                <v:imagedata o:title=""/>
                <o:lock v:ext="edit" aspectratio="f"/>
                <v:textbox>
                  <w:txbxContent>
                    <w:p>
                      <w:pPr>
                        <w:rPr>
                          <w:rFonts w:hint="eastAsia"/>
                        </w:rPr>
                      </w:pPr>
                      <w:r>
                        <w:rPr>
                          <w:rFonts w:hint="eastAsia"/>
                        </w:rPr>
                        <w:t>被授权人身份证复印件背面</w:t>
                      </w:r>
                    </w:p>
                  </w:txbxContent>
                </v:textbox>
              </v:shape>
            </w:pict>
          </mc:Fallback>
        </mc:AlternateContent>
      </w:r>
      <w:r>
        <w:rPr>
          <w:color w:val="FF0000"/>
          <w:sz w:val="28"/>
        </w:rPr>
        <mc:AlternateContent>
          <mc:Choice Requires="wps">
            <w:drawing>
              <wp:anchor distT="0" distB="0" distL="114300" distR="114300" simplePos="0" relativeHeight="251662336" behindDoc="0" locked="0" layoutInCell="1" allowOverlap="1">
                <wp:simplePos x="0" y="0"/>
                <wp:positionH relativeFrom="column">
                  <wp:posOffset>95885</wp:posOffset>
                </wp:positionH>
                <wp:positionV relativeFrom="paragraph">
                  <wp:posOffset>154940</wp:posOffset>
                </wp:positionV>
                <wp:extent cx="1990725" cy="1219835"/>
                <wp:effectExtent l="7620" t="7620" r="20955" b="10795"/>
                <wp:wrapNone/>
                <wp:docPr id="21" name="文本框 21"/>
                <wp:cNvGraphicFramePr/>
                <a:graphic xmlns:a="http://schemas.openxmlformats.org/drawingml/2006/main">
                  <a:graphicData uri="http://schemas.microsoft.com/office/word/2010/wordprocessingShape">
                    <wps:wsp>
                      <wps:cNvSpPr txBox="1"/>
                      <wps:spPr>
                        <a:xfrm>
                          <a:off x="0" y="0"/>
                          <a:ext cx="1990725" cy="1219835"/>
                        </a:xfrm>
                        <a:prstGeom prst="rect">
                          <a:avLst/>
                        </a:prstGeom>
                        <a:noFill/>
                        <a:ln w="15875" cap="flat" cmpd="sng">
                          <a:solidFill>
                            <a:srgbClr val="000000"/>
                          </a:solidFill>
                          <a:prstDash val="solid"/>
                          <a:miter/>
                          <a:headEnd type="none" w="med" len="med"/>
                          <a:tailEnd type="none" w="med" len="med"/>
                        </a:ln>
                        <a:effectLst/>
                      </wps:spPr>
                      <wps:txbx>
                        <w:txbxContent>
                          <w:p>
                            <w:pPr>
                              <w:rPr>
                                <w:rFonts w:hint="eastAsia"/>
                              </w:rPr>
                            </w:pPr>
                            <w:r>
                              <w:rPr>
                                <w:rFonts w:hint="eastAsia"/>
                              </w:rPr>
                              <w:t>法定代表人身份证复印件背面</w:t>
                            </w:r>
                          </w:p>
                        </w:txbxContent>
                      </wps:txbx>
                      <wps:bodyPr wrap="square" upright="1"/>
                    </wps:wsp>
                  </a:graphicData>
                </a:graphic>
              </wp:anchor>
            </w:drawing>
          </mc:Choice>
          <mc:Fallback>
            <w:pict>
              <v:shape id="_x0000_s1026" o:spid="_x0000_s1026" o:spt="202" type="#_x0000_t202" style="position:absolute;left:0pt;margin-left:7.55pt;margin-top:12.2pt;height:96.05pt;width:156.75pt;z-index:251662336;mso-width-relative:page;mso-height-relative:page;" filled="f" stroked="t" coordsize="21600,21600" o:gfxdata="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ewhYdUAAAAJAQAADwAAAAAA&#10;AAABACAAAAAiAAAAZHJzL2Rvd25yZXYueG1sUEsBAhQAFAAAAAgAh07iQEt/840WAgAALQQAAA4A&#10;AAAAAAAAAQAgAAAAJAEAAGRycy9lMm9Eb2MueG1sUEsFBgAAAAAGAAYAWQEAAKwFAAAAAA==&#10;">
                <v:fill on="f" focussize="0,0"/>
                <v:stroke weight="1.25pt" color="#000000" joinstyle="miter"/>
                <v:imagedata o:title=""/>
                <o:lock v:ext="edit" aspectratio="f"/>
                <v:textbox>
                  <w:txbxContent>
                    <w:p>
                      <w:pPr>
                        <w:rPr>
                          <w:rFonts w:hint="eastAsia"/>
                        </w:rPr>
                      </w:pPr>
                      <w:r>
                        <w:rPr>
                          <w:rFonts w:hint="eastAsia"/>
                        </w:rPr>
                        <w:t>法定代表人身份证复印件背面</w:t>
                      </w:r>
                    </w:p>
                  </w:txbxContent>
                </v:textbox>
              </v:shape>
            </w:pict>
          </mc:Fallback>
        </mc:AlternateContent>
      </w:r>
    </w:p>
    <w:p>
      <w:pPr>
        <w:rPr>
          <w:rFonts w:hint="eastAsia" w:ascii="宋体" w:hAnsi="宋体" w:cs="宋体"/>
          <w:color w:val="FF0000"/>
          <w:sz w:val="28"/>
          <w:szCs w:val="28"/>
        </w:rPr>
      </w:pPr>
    </w:p>
    <w:p>
      <w:pPr>
        <w:jc w:val="center"/>
        <w:rPr>
          <w:rFonts w:hint="eastAsia" w:ascii="宋体" w:hAnsi="宋体" w:cs="宋体"/>
          <w:b/>
          <w:color w:val="FF0000"/>
          <w:sz w:val="28"/>
          <w:szCs w:val="28"/>
        </w:rPr>
      </w:pPr>
    </w:p>
    <w:p>
      <w:pPr>
        <w:jc w:val="center"/>
        <w:rPr>
          <w:rFonts w:hint="eastAsia" w:ascii="宋体" w:hAnsi="宋体" w:cs="宋体"/>
          <w:b/>
          <w:color w:val="FF0000"/>
          <w:sz w:val="28"/>
          <w:szCs w:val="28"/>
        </w:rPr>
      </w:pPr>
    </w:p>
    <w:p>
      <w:pPr>
        <w:spacing w:line="360" w:lineRule="auto"/>
        <w:rPr>
          <w:rFonts w:hint="eastAsia" w:ascii="宋体" w:hAnsi="宋体" w:cs="宋体"/>
          <w:color w:val="auto"/>
          <w:sz w:val="24"/>
          <w:szCs w:val="28"/>
        </w:rPr>
      </w:pPr>
    </w:p>
    <w:p>
      <w:pPr>
        <w:spacing w:line="360" w:lineRule="auto"/>
        <w:rPr>
          <w:rFonts w:hint="eastAsia" w:ascii="宋体" w:hAnsi="宋体" w:cs="宋体"/>
          <w:color w:val="auto"/>
          <w:sz w:val="24"/>
          <w:szCs w:val="28"/>
        </w:rPr>
      </w:pPr>
      <w:r>
        <w:rPr>
          <w:rFonts w:hint="eastAsia" w:ascii="宋体" w:hAnsi="宋体" w:cs="宋体"/>
          <w:color w:val="auto"/>
          <w:sz w:val="24"/>
          <w:szCs w:val="28"/>
        </w:rPr>
        <w:t>投标单位名称：（</w:t>
      </w:r>
      <w:r>
        <w:rPr>
          <w:rFonts w:hint="eastAsia" w:ascii="宋体" w:hAnsi="宋体" w:cs="宋体"/>
          <w:color w:val="auto"/>
          <w:sz w:val="24"/>
          <w:szCs w:val="28"/>
          <w:lang w:eastAsia="zh-CN"/>
        </w:rPr>
        <w:t>盖章</w:t>
      </w:r>
      <w:r>
        <w:rPr>
          <w:rFonts w:hint="eastAsia" w:ascii="宋体" w:hAnsi="宋体" w:cs="宋体"/>
          <w:color w:val="auto"/>
          <w:sz w:val="24"/>
          <w:szCs w:val="28"/>
        </w:rPr>
        <w:t>）</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spacing w:line="360" w:lineRule="auto"/>
        <w:rPr>
          <w:rFonts w:hint="eastAsia" w:ascii="宋体" w:hAnsi="宋体" w:cs="宋体"/>
          <w:color w:val="auto"/>
          <w:sz w:val="24"/>
          <w:szCs w:val="28"/>
        </w:rPr>
      </w:pPr>
    </w:p>
    <w:p>
      <w:pPr>
        <w:spacing w:line="360" w:lineRule="auto"/>
        <w:rPr>
          <w:rFonts w:hint="eastAsia" w:ascii="宋体" w:hAnsi="宋体" w:cs="宋体"/>
          <w:color w:val="auto"/>
          <w:sz w:val="24"/>
          <w:szCs w:val="28"/>
        </w:rPr>
      </w:pPr>
      <w:r>
        <w:rPr>
          <w:rFonts w:hint="eastAsia" w:ascii="宋体" w:hAnsi="宋体" w:cs="宋体"/>
          <w:color w:val="auto"/>
          <w:sz w:val="24"/>
          <w:szCs w:val="28"/>
        </w:rPr>
        <w:t>授权代表人</w:t>
      </w:r>
      <w:r>
        <w:rPr>
          <w:rFonts w:hint="eastAsia" w:ascii="宋体" w:hAnsi="宋体" w:cs="宋体"/>
          <w:color w:val="auto"/>
          <w:sz w:val="24"/>
          <w:szCs w:val="28"/>
          <w:lang w:eastAsia="zh-CN"/>
        </w:rPr>
        <w:t>：</w:t>
      </w:r>
      <w:r>
        <w:rPr>
          <w:rFonts w:hint="eastAsia" w:ascii="宋体" w:hAnsi="宋体" w:cs="宋体"/>
          <w:color w:val="auto"/>
          <w:sz w:val="24"/>
          <w:szCs w:val="28"/>
        </w:rPr>
        <w:t>（签字</w:t>
      </w:r>
      <w:r>
        <w:rPr>
          <w:rFonts w:hint="eastAsia" w:ascii="宋体" w:hAnsi="宋体" w:cs="宋体"/>
          <w:color w:val="auto"/>
          <w:sz w:val="24"/>
          <w:szCs w:val="28"/>
          <w:lang w:val="en-US" w:eastAsia="zh-CN"/>
        </w:rPr>
        <w:t>或</w:t>
      </w:r>
      <w:r>
        <w:rPr>
          <w:rFonts w:hint="eastAsia" w:ascii="宋体" w:hAnsi="宋体" w:cs="宋体"/>
          <w:color w:val="auto"/>
          <w:sz w:val="24"/>
          <w:szCs w:val="28"/>
        </w:rPr>
        <w:t>盖章）</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spacing w:line="360" w:lineRule="auto"/>
        <w:rPr>
          <w:rFonts w:hint="eastAsia" w:ascii="宋体" w:hAnsi="宋体" w:cs="宋体"/>
          <w:color w:val="auto"/>
          <w:sz w:val="24"/>
          <w:szCs w:val="28"/>
        </w:rPr>
      </w:pPr>
    </w:p>
    <w:p>
      <w:pPr>
        <w:spacing w:line="360" w:lineRule="auto"/>
        <w:jc w:val="right"/>
        <w:rPr>
          <w:rFonts w:hint="eastAsia" w:ascii="宋体" w:hAnsi="宋体" w:cs="宋体"/>
          <w:color w:val="auto"/>
          <w:sz w:val="24"/>
          <w:szCs w:val="28"/>
        </w:rPr>
      </w:pPr>
      <w:r>
        <w:rPr>
          <w:rFonts w:hint="eastAsia" w:ascii="宋体" w:hAnsi="宋体" w:cs="宋体"/>
          <w:color w:val="auto"/>
          <w:sz w:val="24"/>
          <w:szCs w:val="28"/>
        </w:rPr>
        <w:t>日期：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pStyle w:val="19"/>
        <w:overflowPunct w:val="0"/>
        <w:snapToGrid w:val="0"/>
        <w:spacing w:line="360" w:lineRule="auto"/>
        <w:ind w:firstLine="0"/>
        <w:rPr>
          <w:rFonts w:hint="eastAsia" w:ascii="宋体" w:hAnsi="宋体" w:eastAsia="宋体" w:cs="宋体"/>
          <w:color w:val="000000"/>
          <w:sz w:val="24"/>
          <w:szCs w:val="24"/>
          <w:lang w:eastAsia="zh-CN"/>
        </w:rPr>
        <w:sectPr>
          <w:pgSz w:w="11906" w:h="16838"/>
          <w:pgMar w:top="1446" w:right="1800" w:bottom="1446" w:left="1219" w:header="283" w:footer="567" w:gutter="0"/>
          <w:pgNumType w:fmt="decimal"/>
          <w:cols w:space="720" w:num="1"/>
          <w:docGrid w:type="lines" w:linePitch="312" w:charSpace="0"/>
        </w:sectPr>
      </w:pPr>
    </w:p>
    <w:p>
      <w:pPr>
        <w:pStyle w:val="35"/>
        <w:spacing w:line="240" w:lineRule="auto"/>
        <w:ind w:left="0" w:leftChars="0" w:firstLine="0" w:firstLineChars="0"/>
        <w:jc w:val="both"/>
        <w:rPr>
          <w:rFonts w:hint="eastAsia" w:ascii="宋体" w:hAnsi="宋体" w:eastAsia="宋体" w:cs="宋体"/>
          <w:b/>
          <w:color w:val="000000"/>
          <w:sz w:val="28"/>
          <w:szCs w:val="24"/>
          <w:lang w:val="en-US" w:eastAsia="zh-CN"/>
        </w:rPr>
      </w:pPr>
      <w:r>
        <w:rPr>
          <w:rFonts w:hint="eastAsia" w:ascii="宋体" w:hAnsi="宋体" w:eastAsia="宋体" w:cs="宋体"/>
          <w:b/>
          <w:color w:val="000000"/>
          <w:sz w:val="28"/>
          <w:szCs w:val="24"/>
          <w:lang w:val="en-US" w:eastAsia="zh-CN"/>
        </w:rPr>
        <w:t>附件</w:t>
      </w:r>
      <w:r>
        <w:rPr>
          <w:rFonts w:hint="eastAsia" w:ascii="宋体" w:hAnsi="宋体" w:cs="宋体"/>
          <w:b/>
          <w:color w:val="000000"/>
          <w:sz w:val="28"/>
          <w:szCs w:val="24"/>
          <w:lang w:val="en-US" w:eastAsia="zh-CN"/>
        </w:rPr>
        <w:t>九</w:t>
      </w:r>
    </w:p>
    <w:p>
      <w:pPr>
        <w:pStyle w:val="19"/>
        <w:numPr>
          <w:ilvl w:val="0"/>
          <w:numId w:val="0"/>
        </w:numPr>
        <w:overflowPunct w:val="0"/>
        <w:snapToGrid w:val="0"/>
        <w:spacing w:line="360" w:lineRule="auto"/>
        <w:jc w:val="both"/>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val="0"/>
          <w:bCs/>
          <w:color w:val="auto"/>
          <w:kern w:val="2"/>
          <w:sz w:val="21"/>
          <w:szCs w:val="20"/>
          <w:lang w:val="en-US" w:eastAsia="zh-CN" w:bidi="ar-SA"/>
        </w:rPr>
      </w:pPr>
      <w:r>
        <w:rPr>
          <w:rFonts w:hint="eastAsia" w:ascii="宋体" w:hAnsi="宋体" w:eastAsia="宋体" w:cs="宋体"/>
          <w:b w:val="0"/>
          <w:bCs/>
          <w:color w:val="auto"/>
          <w:kern w:val="2"/>
          <w:sz w:val="21"/>
          <w:szCs w:val="20"/>
          <w:lang w:val="en-US" w:eastAsia="zh-CN" w:bidi="ar-SA"/>
        </w:rPr>
        <w:t>法定代表人参加的需携带法定代表人证明书原件及法定代表人身份证原件，委托代理人参加的需携带法定代表人授权委托书原件及委托代理人身份证原件，在公司所缴纳近6个月的社保证明</w:t>
      </w:r>
      <w:r>
        <w:rPr>
          <w:rFonts w:hint="eastAsia" w:ascii="宋体" w:hAnsi="宋体" w:cs="宋体"/>
          <w:b w:val="0"/>
          <w:bCs/>
          <w:color w:val="auto"/>
          <w:kern w:val="2"/>
          <w:sz w:val="21"/>
          <w:szCs w:val="20"/>
          <w:lang w:val="en-US" w:eastAsia="zh-CN" w:bidi="ar-SA"/>
        </w:rPr>
        <w:t>扫描</w:t>
      </w:r>
      <w:r>
        <w:rPr>
          <w:rFonts w:hint="eastAsia" w:ascii="宋体" w:hAnsi="宋体" w:eastAsia="宋体" w:cs="宋体"/>
          <w:b w:val="0"/>
          <w:bCs/>
          <w:color w:val="auto"/>
          <w:kern w:val="2"/>
          <w:sz w:val="21"/>
          <w:szCs w:val="20"/>
          <w:lang w:val="en-US" w:eastAsia="zh-CN" w:bidi="ar-SA"/>
        </w:rPr>
        <w:t>件（社保缴纳个人明细）；</w:t>
      </w: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rPr>
          <w:rFonts w:hint="eastAsia"/>
          <w:lang w:val="en-US" w:eastAsia="zh-CN"/>
        </w:rPr>
      </w:pPr>
    </w:p>
    <w:p>
      <w:pPr>
        <w:pStyle w:val="19"/>
        <w:numPr>
          <w:ilvl w:val="0"/>
          <w:numId w:val="0"/>
        </w:numPr>
        <w:overflowPunct w:val="0"/>
        <w:snapToGrid w:val="0"/>
        <w:spacing w:line="360" w:lineRule="auto"/>
        <w:jc w:val="both"/>
        <w:rPr>
          <w:rFonts w:hint="eastAsia" w:ascii="宋体" w:hAnsi="宋体" w:eastAsia="宋体" w:cs="宋体"/>
          <w:b/>
          <w:color w:val="000000"/>
          <w:kern w:val="2"/>
          <w:sz w:val="28"/>
          <w:szCs w:val="24"/>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r>
        <w:rPr>
          <w:rFonts w:hint="eastAsia" w:ascii="宋体" w:hAnsi="宋体" w:eastAsia="宋体" w:cs="宋体"/>
          <w:b/>
          <w:color w:val="000000"/>
          <w:kern w:val="2"/>
          <w:sz w:val="28"/>
          <w:szCs w:val="24"/>
          <w:lang w:val="en-US" w:eastAsia="zh-CN" w:bidi="ar-SA"/>
        </w:rPr>
        <w:t>附件十</w:t>
      </w: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r>
        <w:rPr>
          <w:rFonts w:hint="eastAsia" w:ascii="宋体" w:hAnsi="宋体" w:eastAsia="宋体" w:cs="宋体"/>
          <w:b w:val="0"/>
          <w:bCs/>
          <w:color w:val="auto"/>
          <w:kern w:val="2"/>
          <w:sz w:val="21"/>
          <w:szCs w:val="20"/>
          <w:lang w:val="en-US" w:eastAsia="zh-CN" w:bidi="ar-SA"/>
        </w:rPr>
        <w:t>信用中国（www.creditchina.gov.cn）查询结果</w:t>
      </w:r>
    </w:p>
    <w:p>
      <w:pPr>
        <w:jc w:val="center"/>
        <w:rPr>
          <w:rFonts w:hint="eastAsia" w:ascii="宋体" w:hAnsi="宋体" w:eastAsia="宋体" w:cs="宋体"/>
          <w:b w:val="0"/>
          <w:bCs/>
          <w:color w:val="auto"/>
          <w:kern w:val="2"/>
          <w:sz w:val="21"/>
          <w:szCs w:val="20"/>
          <w:lang w:val="en-US" w:eastAsia="zh-CN" w:bidi="ar-SA"/>
        </w:rPr>
      </w:pPr>
    </w:p>
    <w:p>
      <w:pPr>
        <w:pStyle w:val="4"/>
        <w:jc w:val="center"/>
        <w:outlineLvl w:val="9"/>
        <w:rPr>
          <w:rFonts w:hint="eastAsia" w:ascii="宋体" w:hAnsi="宋体" w:eastAsia="宋体" w:cs="宋体"/>
          <w:b w:val="0"/>
          <w:bCs/>
          <w:color w:val="auto"/>
          <w:kern w:val="2"/>
          <w:sz w:val="21"/>
          <w:szCs w:val="20"/>
          <w:lang w:val="en-US" w:eastAsia="zh-CN" w:bidi="ar-SA"/>
        </w:rPr>
      </w:pPr>
    </w:p>
    <w:p>
      <w:pPr>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ind w:firstLine="2520" w:firstLineChars="1200"/>
        <w:jc w:val="both"/>
        <w:rPr>
          <w:rFonts w:hint="eastAsia" w:ascii="宋体" w:hAnsi="宋体" w:eastAsia="宋体" w:cs="宋体"/>
          <w:b/>
          <w:bCs w:val="0"/>
          <w:color w:val="auto"/>
          <w:kern w:val="2"/>
          <w:sz w:val="32"/>
          <w:szCs w:val="28"/>
          <w:lang w:val="en-US" w:eastAsia="zh-CN" w:bidi="ar-SA"/>
        </w:rPr>
        <w:sectPr>
          <w:pgSz w:w="11906" w:h="16838"/>
          <w:pgMar w:top="1446" w:right="1219" w:bottom="1446" w:left="1219" w:header="283" w:footer="567" w:gutter="0"/>
          <w:pgNumType w:fmt="decimal"/>
          <w:cols w:space="720" w:num="1"/>
          <w:docGrid w:type="lines" w:linePitch="312" w:charSpace="0"/>
        </w:sectPr>
      </w:pPr>
      <w:r>
        <w:rPr>
          <w:rFonts w:hint="eastAsia" w:ascii="宋体" w:hAnsi="宋体" w:eastAsia="宋体" w:cs="宋体"/>
          <w:b w:val="0"/>
          <w:bCs/>
          <w:color w:val="auto"/>
          <w:kern w:val="2"/>
          <w:sz w:val="21"/>
          <w:szCs w:val="20"/>
          <w:lang w:val="en-US" w:eastAsia="zh-CN" w:bidi="ar-SA"/>
        </w:rPr>
        <w:t>中国政府采购网（www.ccgp.gov.cn）查询结果；</w:t>
      </w:r>
    </w:p>
    <w:p>
      <w:pPr>
        <w:pStyle w:val="19"/>
        <w:numPr>
          <w:ilvl w:val="0"/>
          <w:numId w:val="0"/>
        </w:numPr>
        <w:overflowPunct w:val="0"/>
        <w:snapToGrid w:val="0"/>
        <w:spacing w:line="360" w:lineRule="auto"/>
        <w:jc w:val="both"/>
        <w:rPr>
          <w:rFonts w:hint="default"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color w:val="000000"/>
          <w:kern w:val="2"/>
          <w:sz w:val="28"/>
          <w:szCs w:val="24"/>
          <w:lang w:val="en-US" w:eastAsia="zh-CN" w:bidi="ar-SA"/>
        </w:rPr>
      </w:pPr>
      <w:r>
        <w:rPr>
          <w:rFonts w:hint="eastAsia" w:ascii="宋体" w:hAnsi="宋体" w:eastAsia="宋体" w:cs="宋体"/>
          <w:b/>
          <w:color w:val="000000"/>
          <w:kern w:val="2"/>
          <w:sz w:val="28"/>
          <w:szCs w:val="24"/>
          <w:lang w:val="en-US" w:eastAsia="zh-CN" w:bidi="ar-SA"/>
        </w:rPr>
        <w:t>附件十</w:t>
      </w:r>
      <w:r>
        <w:rPr>
          <w:rFonts w:hint="eastAsia" w:ascii="宋体" w:hAnsi="宋体" w:cs="宋体"/>
          <w:b/>
          <w:color w:val="000000"/>
          <w:kern w:val="2"/>
          <w:sz w:val="28"/>
          <w:szCs w:val="24"/>
          <w:lang w:val="en-US" w:eastAsia="zh-CN" w:bidi="ar-SA"/>
        </w:rPr>
        <w:t>一</w:t>
      </w:r>
    </w:p>
    <w:p>
      <w:pPr>
        <w:pStyle w:val="19"/>
        <w:numPr>
          <w:ilvl w:val="0"/>
          <w:numId w:val="0"/>
        </w:numPr>
        <w:overflowPunct w:val="0"/>
        <w:snapToGrid w:val="0"/>
        <w:spacing w:line="360" w:lineRule="auto"/>
        <w:jc w:val="both"/>
        <w:rPr>
          <w:rFonts w:hint="eastAsia" w:ascii="宋体" w:hAnsi="宋体" w:eastAsia="宋体" w:cs="宋体"/>
          <w:b/>
          <w:color w:val="000000"/>
          <w:kern w:val="2"/>
          <w:sz w:val="28"/>
          <w:szCs w:val="24"/>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color w:val="000000"/>
          <w:kern w:val="2"/>
          <w:sz w:val="28"/>
          <w:szCs w:val="24"/>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val="0"/>
          <w:bCs/>
          <w:color w:val="auto"/>
          <w:kern w:val="2"/>
          <w:sz w:val="21"/>
          <w:szCs w:val="20"/>
          <w:lang w:val="en-US" w:eastAsia="zh-CN" w:bidi="ar-SA"/>
        </w:rPr>
      </w:pPr>
      <w:r>
        <w:rPr>
          <w:rFonts w:hint="eastAsia" w:ascii="宋体" w:hAnsi="宋体" w:eastAsia="宋体" w:cs="宋体"/>
          <w:b w:val="0"/>
          <w:bCs/>
          <w:color w:val="auto"/>
          <w:kern w:val="2"/>
          <w:sz w:val="21"/>
          <w:szCs w:val="20"/>
          <w:lang w:val="en-US" w:eastAsia="zh-CN" w:bidi="ar-SA"/>
        </w:rPr>
        <w:t>投标单位的依法缴纳税收和社会保障资金的良好记录；具有良好的商业信誉和健全的财务会计制度（需提供202</w:t>
      </w:r>
      <w:r>
        <w:rPr>
          <w:rFonts w:hint="eastAsia" w:ascii="宋体" w:hAnsi="宋体" w:cs="宋体"/>
          <w:b w:val="0"/>
          <w:bCs/>
          <w:color w:val="auto"/>
          <w:kern w:val="2"/>
          <w:sz w:val="21"/>
          <w:szCs w:val="20"/>
          <w:lang w:val="en-US" w:eastAsia="zh-CN" w:bidi="ar-SA"/>
        </w:rPr>
        <w:t>1</w:t>
      </w:r>
      <w:r>
        <w:rPr>
          <w:rFonts w:hint="eastAsia" w:ascii="宋体" w:hAnsi="宋体" w:eastAsia="宋体" w:cs="宋体"/>
          <w:b w:val="0"/>
          <w:bCs/>
          <w:color w:val="auto"/>
          <w:kern w:val="2"/>
          <w:sz w:val="21"/>
          <w:szCs w:val="20"/>
          <w:lang w:val="en-US" w:eastAsia="zh-CN" w:bidi="ar-SA"/>
        </w:rPr>
        <w:t>年度</w:t>
      </w:r>
      <w:r>
        <w:rPr>
          <w:rFonts w:hint="eastAsia" w:ascii="宋体" w:hAnsi="宋体" w:cs="宋体"/>
          <w:b w:val="0"/>
          <w:bCs/>
          <w:color w:val="auto"/>
          <w:kern w:val="2"/>
          <w:sz w:val="21"/>
          <w:szCs w:val="20"/>
          <w:lang w:val="en-US" w:eastAsia="zh-CN" w:bidi="ar-SA"/>
        </w:rPr>
        <w:t>或2022</w:t>
      </w:r>
      <w:r>
        <w:rPr>
          <w:rFonts w:hint="eastAsia" w:ascii="宋体" w:hAnsi="宋体" w:eastAsia="宋体" w:cs="宋体"/>
          <w:b w:val="0"/>
          <w:bCs/>
          <w:color w:val="auto"/>
          <w:kern w:val="2"/>
          <w:sz w:val="21"/>
          <w:szCs w:val="20"/>
          <w:lang w:val="en-US" w:eastAsia="zh-CN" w:bidi="ar-SA"/>
        </w:rPr>
        <w:t>财务审计报告；202</w:t>
      </w:r>
      <w:r>
        <w:rPr>
          <w:rFonts w:hint="eastAsia" w:ascii="宋体" w:hAnsi="宋体" w:cs="宋体"/>
          <w:b w:val="0"/>
          <w:bCs/>
          <w:color w:val="auto"/>
          <w:kern w:val="2"/>
          <w:sz w:val="21"/>
          <w:szCs w:val="20"/>
          <w:lang w:val="en-US" w:eastAsia="zh-CN" w:bidi="ar-SA"/>
        </w:rPr>
        <w:t>3</w:t>
      </w:r>
      <w:r>
        <w:rPr>
          <w:rFonts w:hint="eastAsia" w:ascii="宋体" w:hAnsi="宋体" w:eastAsia="宋体" w:cs="宋体"/>
          <w:b w:val="0"/>
          <w:bCs/>
          <w:color w:val="auto"/>
          <w:kern w:val="2"/>
          <w:sz w:val="21"/>
          <w:szCs w:val="20"/>
          <w:lang w:val="en-US" w:eastAsia="zh-CN" w:bidi="ar-SA"/>
        </w:rPr>
        <w:t>年成立的公司不提供；）</w:t>
      </w: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color w:val="000000"/>
          <w:kern w:val="2"/>
          <w:sz w:val="28"/>
          <w:szCs w:val="24"/>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color w:val="000000"/>
          <w:kern w:val="2"/>
          <w:sz w:val="28"/>
          <w:szCs w:val="24"/>
          <w:lang w:val="en-US" w:eastAsia="zh-CN" w:bidi="ar-SA"/>
        </w:rPr>
      </w:pPr>
      <w:r>
        <w:rPr>
          <w:rFonts w:hint="eastAsia" w:ascii="宋体" w:hAnsi="宋体" w:eastAsia="宋体" w:cs="宋体"/>
          <w:b/>
          <w:color w:val="000000"/>
          <w:kern w:val="2"/>
          <w:sz w:val="28"/>
          <w:szCs w:val="24"/>
          <w:lang w:val="en-US" w:eastAsia="zh-CN" w:bidi="ar-SA"/>
        </w:rPr>
        <w:t>附件十</w:t>
      </w:r>
      <w:r>
        <w:rPr>
          <w:rFonts w:hint="eastAsia" w:ascii="宋体" w:hAnsi="宋体" w:cs="宋体"/>
          <w:b/>
          <w:color w:val="000000"/>
          <w:kern w:val="2"/>
          <w:sz w:val="28"/>
          <w:szCs w:val="24"/>
          <w:lang w:val="en-US" w:eastAsia="zh-CN" w:bidi="ar-SA"/>
        </w:rPr>
        <w:t>二</w:t>
      </w: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center"/>
        <w:rPr>
          <w:rFonts w:hint="eastAsia" w:ascii="宋体" w:hAnsi="宋体" w:eastAsia="宋体" w:cs="宋体"/>
          <w:b w:val="0"/>
          <w:bCs/>
          <w:color w:val="auto"/>
          <w:kern w:val="2"/>
          <w:sz w:val="21"/>
          <w:szCs w:val="20"/>
          <w:lang w:val="en-US" w:eastAsia="zh-CN" w:bidi="ar-SA"/>
        </w:rPr>
      </w:pPr>
    </w:p>
    <w:p>
      <w:pPr>
        <w:pStyle w:val="19"/>
        <w:numPr>
          <w:ilvl w:val="0"/>
          <w:numId w:val="0"/>
        </w:numPr>
        <w:overflowPunct w:val="0"/>
        <w:snapToGrid w:val="0"/>
        <w:spacing w:line="360" w:lineRule="auto"/>
        <w:jc w:val="center"/>
        <w:rPr>
          <w:rFonts w:hint="eastAsia" w:ascii="宋体" w:hAnsi="宋体" w:eastAsia="宋体" w:cs="宋体"/>
          <w:b/>
          <w:bCs w:val="0"/>
          <w:color w:val="auto"/>
          <w:kern w:val="2"/>
          <w:sz w:val="32"/>
          <w:szCs w:val="28"/>
          <w:lang w:val="en-US" w:eastAsia="zh-CN" w:bidi="ar-SA"/>
        </w:rPr>
        <w:sectPr>
          <w:pgSz w:w="11906" w:h="16838"/>
          <w:pgMar w:top="1446" w:right="1219" w:bottom="1446" w:left="1219" w:header="283" w:footer="567" w:gutter="0"/>
          <w:pgNumType w:fmt="decimal"/>
          <w:cols w:space="720" w:num="1"/>
          <w:docGrid w:type="lines" w:linePitch="312" w:charSpace="0"/>
        </w:sectPr>
      </w:pPr>
      <w:r>
        <w:rPr>
          <w:rFonts w:hint="eastAsia" w:ascii="宋体" w:hAnsi="宋体" w:eastAsia="宋体" w:cs="宋体"/>
          <w:b w:val="0"/>
          <w:bCs/>
          <w:color w:val="auto"/>
          <w:kern w:val="2"/>
          <w:sz w:val="21"/>
          <w:szCs w:val="20"/>
          <w:lang w:val="en-US" w:eastAsia="zh-CN" w:bidi="ar-SA"/>
        </w:rPr>
        <w:t>投标保证金回单</w:t>
      </w:r>
    </w:p>
    <w:p>
      <w:pPr>
        <w:pStyle w:val="19"/>
        <w:numPr>
          <w:ilvl w:val="0"/>
          <w:numId w:val="0"/>
        </w:numPr>
        <w:overflowPunct w:val="0"/>
        <w:snapToGrid w:val="0"/>
        <w:spacing w:line="360" w:lineRule="auto"/>
        <w:jc w:val="both"/>
        <w:rPr>
          <w:rFonts w:hint="eastAsia" w:ascii="宋体" w:hAnsi="宋体" w:eastAsia="宋体" w:cs="宋体"/>
          <w:b/>
          <w:color w:val="000000"/>
          <w:kern w:val="2"/>
          <w:sz w:val="28"/>
          <w:szCs w:val="24"/>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color w:val="000000"/>
          <w:kern w:val="2"/>
          <w:sz w:val="28"/>
          <w:szCs w:val="24"/>
          <w:lang w:val="en-US" w:eastAsia="zh-CN" w:bidi="ar-SA"/>
        </w:rPr>
      </w:pPr>
      <w:r>
        <w:rPr>
          <w:rFonts w:hint="eastAsia" w:ascii="宋体" w:hAnsi="宋体" w:eastAsia="宋体" w:cs="宋体"/>
          <w:b/>
          <w:color w:val="000000"/>
          <w:kern w:val="2"/>
          <w:sz w:val="28"/>
          <w:szCs w:val="24"/>
          <w:lang w:val="en-US" w:eastAsia="zh-CN" w:bidi="ar-SA"/>
        </w:rPr>
        <w:t>附件十</w:t>
      </w:r>
      <w:r>
        <w:rPr>
          <w:rFonts w:hint="eastAsia" w:ascii="宋体" w:hAnsi="宋体" w:cs="宋体"/>
          <w:b/>
          <w:color w:val="000000"/>
          <w:kern w:val="2"/>
          <w:sz w:val="28"/>
          <w:szCs w:val="24"/>
          <w:lang w:val="en-US" w:eastAsia="zh-CN" w:bidi="ar-SA"/>
        </w:rPr>
        <w:t>三</w:t>
      </w:r>
    </w:p>
    <w:p>
      <w:pPr>
        <w:pStyle w:val="19"/>
        <w:numPr>
          <w:ilvl w:val="0"/>
          <w:numId w:val="0"/>
        </w:numPr>
        <w:overflowPunct w:val="0"/>
        <w:snapToGrid w:val="0"/>
        <w:spacing w:line="360" w:lineRule="auto"/>
        <w:ind w:leftChars="0"/>
        <w:jc w:val="center"/>
        <w:rPr>
          <w:rFonts w:hint="eastAsia" w:ascii="宋体" w:hAnsi="宋体" w:eastAsia="宋体" w:cs="宋体"/>
          <w:b/>
          <w:bCs w:val="0"/>
          <w:color w:val="auto"/>
          <w:kern w:val="2"/>
          <w:sz w:val="32"/>
          <w:szCs w:val="28"/>
          <w:lang w:val="en-US" w:eastAsia="zh-CN" w:bidi="ar-SA"/>
        </w:rPr>
      </w:pPr>
      <w:r>
        <w:rPr>
          <w:rFonts w:hint="eastAsia" w:ascii="宋体" w:hAnsi="宋体" w:eastAsia="宋体" w:cs="宋体"/>
          <w:b/>
          <w:bCs w:val="0"/>
          <w:color w:val="auto"/>
          <w:kern w:val="2"/>
          <w:sz w:val="32"/>
          <w:szCs w:val="28"/>
          <w:lang w:val="en-US" w:eastAsia="zh-CN" w:bidi="ar-SA"/>
        </w:rPr>
        <w:t>投标企业近三年的业绩表及相关证明</w:t>
      </w:r>
    </w:p>
    <w:p>
      <w:pPr>
        <w:pStyle w:val="19"/>
        <w:numPr>
          <w:ilvl w:val="0"/>
          <w:numId w:val="0"/>
        </w:numPr>
        <w:overflowPunct w:val="0"/>
        <w:snapToGrid w:val="0"/>
        <w:spacing w:line="360" w:lineRule="auto"/>
        <w:jc w:val="both"/>
        <w:rPr>
          <w:rFonts w:hint="eastAsia" w:ascii="宋体" w:hAnsi="宋体" w:eastAsia="宋体" w:cs="宋体"/>
          <w:b/>
          <w:color w:val="000000"/>
          <w:kern w:val="2"/>
          <w:sz w:val="28"/>
          <w:szCs w:val="24"/>
          <w:lang w:val="en-US" w:eastAsia="zh-CN" w:bidi="ar-SA"/>
        </w:rPr>
      </w:pPr>
      <w:r>
        <w:rPr>
          <w:rFonts w:hint="eastAsia" w:ascii="宋体" w:hAnsi="宋体" w:eastAsia="宋体" w:cs="宋体"/>
          <w:b/>
          <w:color w:val="000000"/>
          <w:kern w:val="2"/>
          <w:sz w:val="28"/>
          <w:szCs w:val="24"/>
          <w:lang w:val="en-US" w:eastAsia="zh-CN" w:bidi="ar-SA"/>
        </w:rPr>
        <w:t>（如有，需提供经行政主管部门改备案章的中标通知书或合同协议）</w:t>
      </w:r>
    </w:p>
    <w:p>
      <w:pPr>
        <w:rPr>
          <w:rFonts w:hint="eastAsia"/>
          <w:lang w:val="en-US" w:eastAsia="zh-CN"/>
        </w:rPr>
      </w:pPr>
    </w:p>
    <w:p>
      <w:pPr>
        <w:pStyle w:val="158"/>
        <w:tabs>
          <w:tab w:val="left" w:pos="540"/>
          <w:tab w:val="left" w:pos="1080"/>
        </w:tabs>
        <w:ind w:firstLine="235" w:firstLineChars="98"/>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 xml:space="preserve">项目名称： </w:t>
      </w:r>
    </w:p>
    <w:p>
      <w:pPr>
        <w:pStyle w:val="158"/>
        <w:tabs>
          <w:tab w:val="left" w:pos="540"/>
          <w:tab w:val="left" w:pos="1080"/>
        </w:tabs>
        <w:ind w:firstLine="235" w:firstLineChars="98"/>
        <w:jc w:val="left"/>
        <w:rPr>
          <w:rFonts w:hint="eastAsia" w:ascii="宋体" w:hAnsi="宋体" w:cs="宋体"/>
          <w:szCs w:val="24"/>
        </w:rPr>
      </w:pPr>
      <w:r>
        <w:rPr>
          <w:rFonts w:hint="eastAsia" w:ascii="宋体" w:hAnsi="宋体" w:cs="宋体"/>
          <w:szCs w:val="24"/>
          <w:lang w:val="en-US" w:eastAsia="zh-CN"/>
        </w:rPr>
        <w:t>项目编号：</w:t>
      </w:r>
      <w:r>
        <w:rPr>
          <w:rFonts w:hint="eastAsia" w:ascii="宋体" w:hAnsi="宋体" w:cs="宋体"/>
          <w:szCs w:val="24"/>
        </w:rPr>
        <w:t xml:space="preserve">                      </w:t>
      </w:r>
    </w:p>
    <w:tbl>
      <w:tblPr>
        <w:tblStyle w:val="69"/>
        <w:tblW w:w="9476" w:type="dxa"/>
        <w:jc w:val="center"/>
        <w:tblLayout w:type="fixed"/>
        <w:tblCellMar>
          <w:top w:w="0" w:type="dxa"/>
          <w:left w:w="108" w:type="dxa"/>
          <w:bottom w:w="0" w:type="dxa"/>
          <w:right w:w="108" w:type="dxa"/>
        </w:tblCellMar>
      </w:tblPr>
      <w:tblGrid>
        <w:gridCol w:w="873"/>
        <w:gridCol w:w="1456"/>
        <w:gridCol w:w="1719"/>
        <w:gridCol w:w="1712"/>
        <w:gridCol w:w="1858"/>
        <w:gridCol w:w="1858"/>
      </w:tblGrid>
      <w:tr>
        <w:tblPrEx>
          <w:tblCellMar>
            <w:top w:w="0" w:type="dxa"/>
            <w:left w:w="108" w:type="dxa"/>
            <w:bottom w:w="0" w:type="dxa"/>
            <w:right w:w="108" w:type="dxa"/>
          </w:tblCellMar>
        </w:tblPrEx>
        <w:trPr>
          <w:trHeight w:val="908"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r>
              <w:rPr>
                <w:rFonts w:hint="eastAsia" w:ascii="宋体" w:hAnsi="宋体" w:cs="宋体"/>
              </w:rPr>
              <w:t>地点</w:t>
            </w: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r>
              <w:rPr>
                <w:rFonts w:hint="eastAsia" w:ascii="宋体" w:hAnsi="宋体" w:cs="宋体"/>
              </w:rPr>
              <w:t>项目名称</w:t>
            </w: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r>
              <w:rPr>
                <w:rFonts w:hint="eastAsia" w:ascii="宋体" w:hAnsi="宋体" w:cs="宋体"/>
              </w:rPr>
              <w:t>项目内容</w:t>
            </w: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r>
              <w:rPr>
                <w:rFonts w:hint="eastAsia" w:ascii="宋体" w:hAnsi="宋体" w:cs="宋体"/>
              </w:rPr>
              <w:t>合同金额</w:t>
            </w: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r>
              <w:rPr>
                <w:rFonts w:hint="eastAsia" w:ascii="宋体" w:hAnsi="宋体" w:cs="宋体"/>
              </w:rPr>
              <w:t>项目单位联系人及电话</w:t>
            </w: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r>
              <w:rPr>
                <w:rFonts w:hint="eastAsia" w:ascii="宋体" w:hAnsi="宋体" w:cs="宋体"/>
              </w:rPr>
              <w:t>备  注</w:t>
            </w:r>
          </w:p>
        </w:tc>
      </w:tr>
      <w:tr>
        <w:trPr>
          <w:trHeight w:val="624"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rPr>
            </w:pPr>
          </w:p>
        </w:tc>
      </w:tr>
      <w:tr>
        <w:tblPrEx>
          <w:tblCellMar>
            <w:top w:w="0" w:type="dxa"/>
            <w:left w:w="108" w:type="dxa"/>
            <w:bottom w:w="0" w:type="dxa"/>
            <w:right w:w="108" w:type="dxa"/>
          </w:tblCellMar>
        </w:tblPrEx>
        <w:trPr>
          <w:trHeight w:val="624"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r>
      <w:tr>
        <w:tblPrEx>
          <w:tblCellMar>
            <w:top w:w="0" w:type="dxa"/>
            <w:left w:w="108" w:type="dxa"/>
            <w:bottom w:w="0" w:type="dxa"/>
            <w:right w:w="108" w:type="dxa"/>
          </w:tblCellMar>
        </w:tblPrEx>
        <w:trPr>
          <w:trHeight w:val="624"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r>
      <w:tr>
        <w:tblPrEx>
          <w:tblCellMar>
            <w:top w:w="0" w:type="dxa"/>
            <w:left w:w="108" w:type="dxa"/>
            <w:bottom w:w="0" w:type="dxa"/>
            <w:right w:w="108" w:type="dxa"/>
          </w:tblCellMar>
        </w:tblPrEx>
        <w:trPr>
          <w:trHeight w:val="624"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r>
      <w:tr>
        <w:tblPrEx>
          <w:tblCellMar>
            <w:top w:w="0" w:type="dxa"/>
            <w:left w:w="108" w:type="dxa"/>
            <w:bottom w:w="0" w:type="dxa"/>
            <w:right w:w="108" w:type="dxa"/>
          </w:tblCellMar>
        </w:tblPrEx>
        <w:trPr>
          <w:trHeight w:val="624"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r>
      <w:tr>
        <w:tblPrEx>
          <w:tblCellMar>
            <w:top w:w="0" w:type="dxa"/>
            <w:left w:w="108" w:type="dxa"/>
            <w:bottom w:w="0" w:type="dxa"/>
            <w:right w:w="108" w:type="dxa"/>
          </w:tblCellMar>
        </w:tblPrEx>
        <w:trPr>
          <w:trHeight w:val="624"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r>
      <w:tr>
        <w:tblPrEx>
          <w:tblCellMar>
            <w:top w:w="0" w:type="dxa"/>
            <w:left w:w="108" w:type="dxa"/>
            <w:bottom w:w="0" w:type="dxa"/>
            <w:right w:w="108" w:type="dxa"/>
          </w:tblCellMar>
        </w:tblPrEx>
        <w:trPr>
          <w:trHeight w:val="624"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r>
      <w:tr>
        <w:tblPrEx>
          <w:tblCellMar>
            <w:top w:w="0" w:type="dxa"/>
            <w:left w:w="108" w:type="dxa"/>
            <w:bottom w:w="0" w:type="dxa"/>
            <w:right w:w="108" w:type="dxa"/>
          </w:tblCellMar>
        </w:tblPrEx>
        <w:trPr>
          <w:trHeight w:val="624"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r>
      <w:tr>
        <w:tblPrEx>
          <w:tblCellMar>
            <w:top w:w="0" w:type="dxa"/>
            <w:left w:w="108" w:type="dxa"/>
            <w:bottom w:w="0" w:type="dxa"/>
            <w:right w:w="108" w:type="dxa"/>
          </w:tblCellMar>
        </w:tblPrEx>
        <w:trPr>
          <w:trHeight w:val="624" w:hRule="atLeast"/>
          <w:jc w:val="center"/>
        </w:trPr>
        <w:tc>
          <w:tcPr>
            <w:tcW w:w="873"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456"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9"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712"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c>
          <w:tcPr>
            <w:tcW w:w="1858" w:type="dxa"/>
            <w:tcBorders>
              <w:top w:val="single" w:color="auto" w:sz="6" w:space="0"/>
              <w:left w:val="single" w:color="auto" w:sz="6" w:space="0"/>
              <w:bottom w:val="single" w:color="auto" w:sz="6" w:space="0"/>
              <w:right w:val="single" w:color="auto" w:sz="6" w:space="0"/>
            </w:tcBorders>
            <w:noWrap w:val="0"/>
            <w:vAlign w:val="center"/>
          </w:tcPr>
          <w:p>
            <w:pPr>
              <w:pStyle w:val="154"/>
              <w:jc w:val="center"/>
              <w:rPr>
                <w:rFonts w:hint="eastAsia" w:ascii="宋体" w:hAnsi="宋体" w:cs="宋体"/>
                <w:szCs w:val="28"/>
              </w:rPr>
            </w:pPr>
          </w:p>
        </w:tc>
      </w:tr>
    </w:tbl>
    <w:p>
      <w:pPr>
        <w:spacing w:line="400" w:lineRule="exact"/>
        <w:rPr>
          <w:rFonts w:hint="eastAsia" w:ascii="宋体" w:hAnsi="宋体" w:cs="宋体"/>
          <w:color w:val="000000"/>
          <w:sz w:val="28"/>
          <w:szCs w:val="28"/>
        </w:rPr>
      </w:pPr>
    </w:p>
    <w:p>
      <w:pPr>
        <w:spacing w:line="360" w:lineRule="auto"/>
        <w:rPr>
          <w:rFonts w:hint="eastAsia" w:ascii="宋体" w:hAnsi="宋体" w:cs="宋体"/>
          <w:b/>
          <w:bCs/>
          <w:color w:val="000000"/>
          <w:sz w:val="24"/>
          <w:szCs w:val="28"/>
        </w:rPr>
      </w:pPr>
      <w:r>
        <w:rPr>
          <w:rFonts w:hint="eastAsia" w:ascii="宋体" w:hAnsi="宋体" w:cs="宋体"/>
          <w:b/>
          <w:bCs/>
          <w:color w:val="000000"/>
          <w:sz w:val="24"/>
          <w:szCs w:val="28"/>
        </w:rPr>
        <w:t>附:提供相关证明（经过行政主管部门备案的中标通知书及合同）</w:t>
      </w:r>
    </w:p>
    <w:p>
      <w:pPr>
        <w:spacing w:line="360" w:lineRule="auto"/>
        <w:rPr>
          <w:rFonts w:hint="eastAsia" w:ascii="宋体" w:hAnsi="宋体" w:cs="宋体"/>
          <w:color w:val="000000"/>
          <w:sz w:val="24"/>
          <w:szCs w:val="28"/>
        </w:rPr>
      </w:pPr>
    </w:p>
    <w:p>
      <w:pPr>
        <w:spacing w:line="360" w:lineRule="auto"/>
        <w:rPr>
          <w:rFonts w:hint="eastAsia" w:ascii="宋体" w:hAnsi="宋体" w:cs="宋体"/>
          <w:color w:val="000000"/>
          <w:sz w:val="24"/>
          <w:szCs w:val="28"/>
          <w:u w:val="single"/>
        </w:rPr>
      </w:pPr>
      <w:r>
        <w:rPr>
          <w:rFonts w:hint="eastAsia" w:ascii="宋体" w:hAnsi="宋体" w:cs="宋体"/>
          <w:color w:val="000000"/>
          <w:sz w:val="24"/>
          <w:szCs w:val="28"/>
        </w:rPr>
        <w:t>投标单位：</w:t>
      </w:r>
      <w:r>
        <w:rPr>
          <w:rFonts w:hint="eastAsia" w:ascii="宋体" w:hAnsi="宋体" w:cs="宋体"/>
          <w:color w:val="000000"/>
          <w:sz w:val="24"/>
          <w:szCs w:val="28"/>
          <w:u w:val="none"/>
        </w:rPr>
        <w:t>（</w:t>
      </w:r>
      <w:r>
        <w:rPr>
          <w:rFonts w:hint="eastAsia" w:ascii="宋体" w:hAnsi="宋体" w:cs="宋体"/>
          <w:color w:val="000000"/>
          <w:sz w:val="24"/>
          <w:szCs w:val="28"/>
          <w:u w:val="none"/>
          <w:lang w:eastAsia="zh-CN"/>
        </w:rPr>
        <w:t>盖章</w:t>
      </w:r>
      <w:r>
        <w:rPr>
          <w:rFonts w:hint="eastAsia" w:ascii="宋体" w:hAnsi="宋体" w:cs="宋体"/>
          <w:color w:val="000000"/>
          <w:sz w:val="24"/>
          <w:szCs w:val="28"/>
          <w:u w:val="none"/>
        </w:rPr>
        <w:t>）</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spacing w:line="360" w:lineRule="auto"/>
        <w:rPr>
          <w:rFonts w:hint="eastAsia" w:ascii="宋体" w:hAnsi="宋体" w:cs="宋体"/>
          <w:color w:val="000000"/>
          <w:sz w:val="24"/>
          <w:szCs w:val="28"/>
          <w:u w:val="single"/>
        </w:rPr>
      </w:pPr>
    </w:p>
    <w:p>
      <w:pPr>
        <w:spacing w:line="360" w:lineRule="auto"/>
        <w:rPr>
          <w:rFonts w:hint="eastAsia" w:ascii="宋体" w:hAnsi="宋体" w:cs="宋体"/>
          <w:color w:val="000000"/>
          <w:sz w:val="24"/>
          <w:szCs w:val="28"/>
        </w:rPr>
      </w:pPr>
      <w:r>
        <w:rPr>
          <w:rFonts w:hint="eastAsia" w:ascii="宋体" w:hAnsi="宋体" w:cs="宋体"/>
          <w:color w:val="000000"/>
          <w:sz w:val="24"/>
          <w:szCs w:val="28"/>
        </w:rPr>
        <w:t>法定代表人</w:t>
      </w:r>
      <w:r>
        <w:rPr>
          <w:rFonts w:hint="eastAsia" w:ascii="宋体" w:hAnsi="宋体" w:cs="宋体"/>
          <w:color w:val="000000"/>
          <w:sz w:val="24"/>
          <w:szCs w:val="28"/>
          <w:lang w:eastAsia="zh-CN"/>
        </w:rPr>
        <w:t>：</w:t>
      </w:r>
      <w:r>
        <w:rPr>
          <w:rFonts w:hint="eastAsia" w:ascii="宋体" w:hAnsi="宋体" w:cs="宋体"/>
          <w:color w:val="000000"/>
          <w:sz w:val="24"/>
          <w:szCs w:val="28"/>
        </w:rPr>
        <w:t>（签字</w:t>
      </w:r>
      <w:r>
        <w:rPr>
          <w:rFonts w:hint="eastAsia" w:ascii="宋体" w:hAnsi="宋体" w:cs="宋体"/>
          <w:color w:val="000000"/>
          <w:sz w:val="24"/>
          <w:szCs w:val="28"/>
          <w:lang w:val="en-US" w:eastAsia="zh-CN"/>
        </w:rPr>
        <w:t>或</w:t>
      </w:r>
      <w:r>
        <w:rPr>
          <w:rFonts w:hint="eastAsia" w:ascii="宋体" w:hAnsi="宋体" w:cs="宋体"/>
          <w:color w:val="000000"/>
          <w:sz w:val="24"/>
          <w:szCs w:val="28"/>
        </w:rPr>
        <w:t>盖章）</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pStyle w:val="158"/>
        <w:tabs>
          <w:tab w:val="left" w:pos="540"/>
          <w:tab w:val="left" w:pos="1080"/>
        </w:tabs>
        <w:spacing w:line="360" w:lineRule="auto"/>
        <w:rPr>
          <w:rFonts w:hint="eastAsia" w:ascii="宋体" w:hAnsi="宋体" w:cs="宋体"/>
          <w:szCs w:val="28"/>
        </w:rPr>
      </w:pPr>
    </w:p>
    <w:p>
      <w:pPr>
        <w:spacing w:line="360" w:lineRule="auto"/>
        <w:jc w:val="right"/>
        <w:rPr>
          <w:rFonts w:hint="eastAsia" w:ascii="宋体" w:hAnsi="宋体" w:cs="宋体"/>
          <w:color w:val="000000"/>
          <w:sz w:val="24"/>
          <w:szCs w:val="28"/>
        </w:rPr>
      </w:pPr>
      <w:r>
        <w:rPr>
          <w:rFonts w:hint="eastAsia" w:ascii="宋体" w:hAnsi="宋体" w:cs="宋体"/>
          <w:color w:val="000000"/>
          <w:sz w:val="24"/>
          <w:szCs w:val="28"/>
        </w:rPr>
        <w:t>日期：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ind w:leftChars="0"/>
        <w:jc w:val="both"/>
        <w:rPr>
          <w:rFonts w:hint="eastAsia" w:ascii="宋体" w:hAnsi="宋体" w:eastAsia="宋体" w:cs="宋体"/>
          <w:b/>
          <w:bCs w:val="0"/>
          <w:color w:val="auto"/>
          <w:kern w:val="2"/>
          <w:sz w:val="32"/>
          <w:szCs w:val="28"/>
          <w:lang w:val="en-US" w:eastAsia="zh-CN" w:bidi="ar-SA"/>
        </w:rPr>
      </w:pPr>
      <w:r>
        <w:rPr>
          <w:rFonts w:hint="eastAsia" w:ascii="宋体" w:hAnsi="宋体" w:eastAsia="宋体" w:cs="宋体"/>
          <w:b/>
          <w:bCs w:val="0"/>
          <w:color w:val="auto"/>
          <w:kern w:val="2"/>
          <w:sz w:val="28"/>
          <w:szCs w:val="24"/>
          <w:lang w:val="en-US" w:eastAsia="zh-CN" w:bidi="ar-SA"/>
        </w:rPr>
        <w:t>附件</w:t>
      </w:r>
      <w:r>
        <w:rPr>
          <w:rFonts w:hint="eastAsia" w:ascii="宋体" w:hAnsi="宋体" w:cs="宋体"/>
          <w:b/>
          <w:bCs w:val="0"/>
          <w:color w:val="auto"/>
          <w:kern w:val="2"/>
          <w:sz w:val="28"/>
          <w:szCs w:val="24"/>
          <w:lang w:val="en-US" w:eastAsia="zh-CN" w:bidi="ar-SA"/>
        </w:rPr>
        <w:t>十四</w:t>
      </w:r>
    </w:p>
    <w:p>
      <w:pPr>
        <w:pStyle w:val="19"/>
        <w:numPr>
          <w:ilvl w:val="0"/>
          <w:numId w:val="0"/>
        </w:numPr>
        <w:tabs>
          <w:tab w:val="left" w:pos="2160"/>
        </w:tabs>
        <w:overflowPunct w:val="0"/>
        <w:snapToGrid w:val="0"/>
        <w:spacing w:line="360" w:lineRule="auto"/>
        <w:ind w:leftChars="0"/>
        <w:jc w:val="center"/>
        <w:rPr>
          <w:rFonts w:hint="eastAsia" w:ascii="宋体" w:hAnsi="宋体" w:eastAsia="宋体" w:cs="宋体"/>
          <w:b/>
          <w:bCs w:val="0"/>
          <w:color w:val="auto"/>
          <w:kern w:val="2"/>
          <w:sz w:val="32"/>
          <w:szCs w:val="28"/>
          <w:lang w:val="en-US" w:eastAsia="zh-CN" w:bidi="ar-SA"/>
        </w:rPr>
      </w:pPr>
    </w:p>
    <w:p>
      <w:pPr>
        <w:pStyle w:val="19"/>
        <w:numPr>
          <w:ilvl w:val="0"/>
          <w:numId w:val="0"/>
        </w:numPr>
        <w:tabs>
          <w:tab w:val="left" w:pos="2160"/>
        </w:tabs>
        <w:overflowPunct w:val="0"/>
        <w:snapToGrid w:val="0"/>
        <w:spacing w:line="360" w:lineRule="auto"/>
        <w:ind w:leftChars="0"/>
        <w:jc w:val="center"/>
        <w:rPr>
          <w:rFonts w:hint="eastAsia" w:ascii="宋体" w:hAnsi="宋体" w:cs="宋体"/>
          <w:color w:val="000000"/>
          <w:sz w:val="24"/>
          <w:szCs w:val="28"/>
        </w:rPr>
      </w:pPr>
      <w:r>
        <w:rPr>
          <w:rFonts w:hint="eastAsia" w:ascii="宋体" w:hAnsi="宋体" w:eastAsia="宋体" w:cs="宋体"/>
          <w:b/>
          <w:bCs w:val="0"/>
          <w:color w:val="auto"/>
          <w:kern w:val="2"/>
          <w:sz w:val="32"/>
          <w:szCs w:val="28"/>
          <w:lang w:val="en-US" w:eastAsia="zh-CN" w:bidi="ar-SA"/>
        </w:rPr>
        <w:t>商务偏离表</w:t>
      </w:r>
    </w:p>
    <w:p>
      <w:pPr>
        <w:adjustRightInd w:val="0"/>
        <w:snapToGrid w:val="0"/>
        <w:spacing w:line="360" w:lineRule="auto"/>
        <w:rPr>
          <w:rFonts w:hint="eastAsia" w:ascii="宋体" w:hAnsi="宋体" w:cs="宋体"/>
          <w:color w:val="000000"/>
          <w:sz w:val="21"/>
          <w:szCs w:val="22"/>
          <w:u w:val="single"/>
        </w:rPr>
      </w:pPr>
      <w:r>
        <w:rPr>
          <w:rFonts w:hint="eastAsia" w:ascii="宋体" w:hAnsi="宋体" w:cs="宋体"/>
          <w:color w:val="000000"/>
          <w:sz w:val="21"/>
          <w:szCs w:val="22"/>
        </w:rPr>
        <w:t>项目名称：</w:t>
      </w:r>
    </w:p>
    <w:p>
      <w:pPr>
        <w:adjustRightInd w:val="0"/>
        <w:snapToGrid w:val="0"/>
        <w:spacing w:line="360" w:lineRule="auto"/>
        <w:rPr>
          <w:rFonts w:hint="eastAsia" w:ascii="宋体" w:hAnsi="宋体" w:cs="宋体"/>
          <w:color w:val="000000"/>
          <w:sz w:val="24"/>
          <w:szCs w:val="28"/>
          <w:u w:val="single"/>
        </w:rPr>
      </w:pPr>
      <w:r>
        <w:rPr>
          <w:rFonts w:hint="eastAsia" w:ascii="宋体" w:hAnsi="宋体" w:cs="宋体"/>
          <w:color w:val="000000"/>
          <w:sz w:val="21"/>
          <w:szCs w:val="22"/>
        </w:rPr>
        <w:t>项目编号</w:t>
      </w:r>
      <w:r>
        <w:rPr>
          <w:rFonts w:hint="eastAsia" w:ascii="宋体" w:hAnsi="宋体" w:cs="宋体"/>
          <w:color w:val="000000"/>
          <w:sz w:val="24"/>
          <w:szCs w:val="28"/>
        </w:rPr>
        <w:t>：</w:t>
      </w:r>
    </w:p>
    <w:tbl>
      <w:tblPr>
        <w:tblStyle w:val="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181"/>
        <w:gridCol w:w="2552"/>
        <w:gridCol w:w="2551"/>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96" w:type="dxa"/>
            <w:noWrap w:val="0"/>
            <w:vAlign w:val="center"/>
          </w:tcPr>
          <w:p>
            <w:pPr>
              <w:spacing w:line="400" w:lineRule="atLeast"/>
              <w:jc w:val="center"/>
              <w:rPr>
                <w:rFonts w:hint="eastAsia" w:ascii="宋体" w:hAnsi="宋体" w:cs="宋体"/>
                <w:color w:val="000000"/>
                <w:sz w:val="24"/>
                <w:szCs w:val="28"/>
              </w:rPr>
            </w:pPr>
            <w:r>
              <w:rPr>
                <w:rFonts w:hint="eastAsia" w:ascii="宋体" w:hAnsi="宋体" w:cs="宋体"/>
                <w:color w:val="000000"/>
              </w:rPr>
              <w:t>序号</w:t>
            </w:r>
          </w:p>
        </w:tc>
        <w:tc>
          <w:tcPr>
            <w:tcW w:w="2181" w:type="dxa"/>
            <w:noWrap w:val="0"/>
            <w:vAlign w:val="center"/>
          </w:tcPr>
          <w:p>
            <w:pPr>
              <w:spacing w:line="400" w:lineRule="atLeast"/>
              <w:jc w:val="center"/>
              <w:rPr>
                <w:rFonts w:hint="eastAsia" w:ascii="宋体" w:hAnsi="宋体" w:cs="宋体"/>
                <w:color w:val="000000"/>
                <w:sz w:val="24"/>
                <w:szCs w:val="28"/>
              </w:rPr>
            </w:pPr>
            <w:r>
              <w:rPr>
                <w:rFonts w:hint="eastAsia" w:ascii="宋体" w:hAnsi="宋体" w:cs="宋体"/>
                <w:color w:val="000000"/>
              </w:rPr>
              <w:t>招标文件条目号</w:t>
            </w:r>
          </w:p>
        </w:tc>
        <w:tc>
          <w:tcPr>
            <w:tcW w:w="2552" w:type="dxa"/>
            <w:noWrap w:val="0"/>
            <w:vAlign w:val="center"/>
          </w:tcPr>
          <w:p>
            <w:pPr>
              <w:spacing w:line="400" w:lineRule="atLeast"/>
              <w:jc w:val="center"/>
              <w:rPr>
                <w:rFonts w:hint="eastAsia" w:ascii="宋体" w:hAnsi="宋体" w:cs="宋体"/>
                <w:color w:val="000000"/>
                <w:sz w:val="24"/>
                <w:szCs w:val="28"/>
              </w:rPr>
            </w:pPr>
            <w:r>
              <w:rPr>
                <w:rFonts w:hint="eastAsia" w:ascii="宋体" w:hAnsi="宋体" w:cs="宋体"/>
                <w:color w:val="000000"/>
              </w:rPr>
              <w:t>招标文件的商务条款</w:t>
            </w:r>
          </w:p>
        </w:tc>
        <w:tc>
          <w:tcPr>
            <w:tcW w:w="2551" w:type="dxa"/>
            <w:noWrap w:val="0"/>
            <w:vAlign w:val="center"/>
          </w:tcPr>
          <w:p>
            <w:pPr>
              <w:spacing w:line="400" w:lineRule="atLeast"/>
              <w:jc w:val="center"/>
              <w:rPr>
                <w:rFonts w:hint="eastAsia" w:ascii="宋体" w:hAnsi="宋体" w:cs="宋体"/>
                <w:color w:val="000000"/>
                <w:sz w:val="24"/>
                <w:szCs w:val="28"/>
              </w:rPr>
            </w:pPr>
            <w:r>
              <w:rPr>
                <w:rFonts w:hint="eastAsia" w:ascii="宋体" w:hAnsi="宋体" w:cs="宋体"/>
                <w:color w:val="000000"/>
              </w:rPr>
              <w:t>招标响应文件的商务条款</w:t>
            </w:r>
          </w:p>
        </w:tc>
        <w:tc>
          <w:tcPr>
            <w:tcW w:w="1210" w:type="dxa"/>
            <w:noWrap w:val="0"/>
            <w:vAlign w:val="center"/>
          </w:tcPr>
          <w:p>
            <w:pPr>
              <w:spacing w:line="400" w:lineRule="atLeast"/>
              <w:jc w:val="center"/>
              <w:rPr>
                <w:rFonts w:hint="eastAsia" w:ascii="宋体" w:hAnsi="宋体" w:cs="宋体"/>
                <w:color w:val="000000"/>
                <w:sz w:val="24"/>
                <w:szCs w:val="28"/>
              </w:rPr>
            </w:pPr>
            <w:r>
              <w:rPr>
                <w:rFonts w:hint="eastAsia" w:ascii="宋体" w:hAnsi="宋体" w:cs="宋体"/>
                <w:color w:val="00000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96" w:type="dxa"/>
            <w:noWrap w:val="0"/>
            <w:vAlign w:val="center"/>
          </w:tcPr>
          <w:p>
            <w:pPr>
              <w:adjustRightInd w:val="0"/>
              <w:snapToGrid w:val="0"/>
              <w:jc w:val="center"/>
              <w:rPr>
                <w:rFonts w:hint="eastAsia" w:ascii="宋体" w:hAnsi="宋体" w:cs="宋体"/>
                <w:color w:val="000000"/>
                <w:sz w:val="24"/>
                <w:szCs w:val="28"/>
              </w:rPr>
            </w:pPr>
            <w:r>
              <w:rPr>
                <w:rFonts w:hint="eastAsia" w:ascii="宋体" w:hAnsi="宋体" w:cs="宋体"/>
                <w:color w:val="000000"/>
                <w:sz w:val="24"/>
                <w:szCs w:val="28"/>
              </w:rPr>
              <w:t>1</w:t>
            </w:r>
          </w:p>
        </w:tc>
        <w:tc>
          <w:tcPr>
            <w:tcW w:w="2181" w:type="dxa"/>
            <w:noWrap w:val="0"/>
            <w:vAlign w:val="top"/>
          </w:tcPr>
          <w:p>
            <w:pPr>
              <w:spacing w:line="360" w:lineRule="auto"/>
              <w:jc w:val="center"/>
              <w:rPr>
                <w:rFonts w:hint="eastAsia" w:ascii="宋体" w:hAnsi="宋体" w:cs="宋体"/>
                <w:color w:val="000000"/>
                <w:sz w:val="21"/>
                <w:szCs w:val="22"/>
              </w:rPr>
            </w:pPr>
            <w:r>
              <w:rPr>
                <w:rFonts w:hint="eastAsia" w:ascii="宋体" w:hAnsi="宋体" w:cs="宋体"/>
                <w:color w:val="000000"/>
                <w:sz w:val="22"/>
                <w:szCs w:val="21"/>
              </w:rPr>
              <w:t>（示例）</w:t>
            </w:r>
          </w:p>
        </w:tc>
        <w:tc>
          <w:tcPr>
            <w:tcW w:w="2552" w:type="dxa"/>
            <w:noWrap w:val="0"/>
            <w:vAlign w:val="top"/>
          </w:tcPr>
          <w:p>
            <w:pPr>
              <w:spacing w:line="360" w:lineRule="auto"/>
              <w:jc w:val="center"/>
              <w:rPr>
                <w:rFonts w:hint="eastAsia" w:ascii="宋体" w:hAnsi="宋体" w:cs="宋体"/>
                <w:color w:val="000000"/>
                <w:sz w:val="21"/>
                <w:szCs w:val="22"/>
              </w:rPr>
            </w:pPr>
            <w:r>
              <w:rPr>
                <w:rFonts w:hint="eastAsia" w:ascii="宋体" w:hAnsi="宋体" w:cs="宋体"/>
                <w:color w:val="000000"/>
                <w:sz w:val="22"/>
                <w:szCs w:val="21"/>
              </w:rPr>
              <w:t>招标人的资格声明</w:t>
            </w:r>
          </w:p>
        </w:tc>
        <w:tc>
          <w:tcPr>
            <w:tcW w:w="2551" w:type="dxa"/>
            <w:noWrap w:val="0"/>
            <w:vAlign w:val="top"/>
          </w:tcPr>
          <w:p>
            <w:pPr>
              <w:spacing w:line="360" w:lineRule="auto"/>
              <w:jc w:val="center"/>
              <w:rPr>
                <w:rFonts w:hint="eastAsia" w:ascii="宋体" w:hAnsi="宋体" w:cs="宋体"/>
                <w:color w:val="000000"/>
                <w:sz w:val="21"/>
                <w:szCs w:val="22"/>
              </w:rPr>
            </w:pPr>
            <w:r>
              <w:rPr>
                <w:rFonts w:hint="eastAsia" w:ascii="宋体" w:hAnsi="宋体" w:cs="宋体"/>
                <w:color w:val="000000"/>
                <w:sz w:val="22"/>
                <w:szCs w:val="21"/>
              </w:rPr>
              <w:t>投标人的资格声明</w:t>
            </w:r>
          </w:p>
        </w:tc>
        <w:tc>
          <w:tcPr>
            <w:tcW w:w="1210" w:type="dxa"/>
            <w:noWrap w:val="0"/>
            <w:vAlign w:val="top"/>
          </w:tcPr>
          <w:p>
            <w:pPr>
              <w:spacing w:line="360" w:lineRule="auto"/>
              <w:jc w:val="center"/>
              <w:rPr>
                <w:rFonts w:hint="eastAsia" w:ascii="宋体" w:hAnsi="宋体" w:cs="宋体"/>
                <w:color w:val="000000"/>
                <w:sz w:val="21"/>
                <w:szCs w:val="22"/>
              </w:rPr>
            </w:pPr>
            <w:r>
              <w:rPr>
                <w:rFonts w:hint="eastAsia" w:ascii="宋体" w:hAnsi="宋体" w:cs="宋体"/>
                <w:color w:val="000000"/>
                <w:sz w:val="22"/>
                <w:szCs w:val="21"/>
              </w:rPr>
              <w:t>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96" w:type="dxa"/>
            <w:noWrap w:val="0"/>
            <w:vAlign w:val="center"/>
          </w:tcPr>
          <w:p>
            <w:pPr>
              <w:adjustRightInd w:val="0"/>
              <w:snapToGrid w:val="0"/>
              <w:jc w:val="center"/>
              <w:rPr>
                <w:rFonts w:hint="eastAsia" w:ascii="宋体" w:hAnsi="宋体" w:cs="宋体"/>
                <w:color w:val="000000"/>
                <w:sz w:val="24"/>
                <w:szCs w:val="28"/>
              </w:rPr>
            </w:pPr>
            <w:r>
              <w:rPr>
                <w:rFonts w:hint="eastAsia" w:ascii="宋体" w:hAnsi="宋体" w:cs="宋体"/>
                <w:color w:val="000000"/>
                <w:sz w:val="24"/>
                <w:szCs w:val="28"/>
              </w:rPr>
              <w:t>2</w:t>
            </w:r>
          </w:p>
        </w:tc>
        <w:tc>
          <w:tcPr>
            <w:tcW w:w="2181" w:type="dxa"/>
            <w:noWrap w:val="0"/>
            <w:vAlign w:val="center"/>
          </w:tcPr>
          <w:p>
            <w:pPr>
              <w:adjustRightInd w:val="0"/>
              <w:snapToGrid w:val="0"/>
              <w:jc w:val="center"/>
              <w:rPr>
                <w:rFonts w:hint="eastAsia" w:ascii="宋体" w:hAnsi="宋体" w:cs="宋体"/>
                <w:color w:val="000000"/>
                <w:sz w:val="24"/>
                <w:szCs w:val="28"/>
              </w:rPr>
            </w:pPr>
          </w:p>
        </w:tc>
        <w:tc>
          <w:tcPr>
            <w:tcW w:w="2552" w:type="dxa"/>
            <w:noWrap w:val="0"/>
            <w:vAlign w:val="center"/>
          </w:tcPr>
          <w:p>
            <w:pPr>
              <w:adjustRightInd w:val="0"/>
              <w:snapToGrid w:val="0"/>
              <w:jc w:val="center"/>
              <w:rPr>
                <w:rFonts w:hint="eastAsia" w:ascii="宋体" w:hAnsi="宋体" w:cs="宋体"/>
                <w:color w:val="000000"/>
                <w:sz w:val="24"/>
                <w:szCs w:val="28"/>
              </w:rPr>
            </w:pPr>
          </w:p>
        </w:tc>
        <w:tc>
          <w:tcPr>
            <w:tcW w:w="2551" w:type="dxa"/>
            <w:noWrap w:val="0"/>
            <w:vAlign w:val="center"/>
          </w:tcPr>
          <w:p>
            <w:pPr>
              <w:adjustRightInd w:val="0"/>
              <w:snapToGrid w:val="0"/>
              <w:jc w:val="center"/>
              <w:rPr>
                <w:rFonts w:hint="eastAsia" w:ascii="宋体" w:hAnsi="宋体" w:cs="宋体"/>
                <w:color w:val="000000"/>
                <w:sz w:val="24"/>
                <w:szCs w:val="28"/>
              </w:rPr>
            </w:pPr>
          </w:p>
        </w:tc>
        <w:tc>
          <w:tcPr>
            <w:tcW w:w="1210" w:type="dxa"/>
            <w:noWrap w:val="0"/>
            <w:vAlign w:val="center"/>
          </w:tcPr>
          <w:p>
            <w:pPr>
              <w:adjustRightInd w:val="0"/>
              <w:snapToGrid w:val="0"/>
              <w:jc w:val="center"/>
              <w:rPr>
                <w:rFonts w:hint="eastAsia" w:ascii="宋体" w:hAnsi="宋体" w:cs="宋体"/>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96" w:type="dxa"/>
            <w:noWrap w:val="0"/>
            <w:vAlign w:val="center"/>
          </w:tcPr>
          <w:p>
            <w:pPr>
              <w:adjustRightInd w:val="0"/>
              <w:snapToGrid w:val="0"/>
              <w:jc w:val="center"/>
              <w:rPr>
                <w:rFonts w:hint="eastAsia" w:ascii="宋体" w:hAnsi="宋体" w:cs="宋体"/>
                <w:color w:val="000000"/>
                <w:sz w:val="24"/>
                <w:szCs w:val="28"/>
              </w:rPr>
            </w:pPr>
            <w:r>
              <w:rPr>
                <w:rFonts w:hint="eastAsia" w:ascii="宋体" w:hAnsi="宋体" w:cs="宋体"/>
                <w:color w:val="000000"/>
                <w:sz w:val="24"/>
                <w:szCs w:val="28"/>
              </w:rPr>
              <w:t>3</w:t>
            </w:r>
          </w:p>
        </w:tc>
        <w:tc>
          <w:tcPr>
            <w:tcW w:w="2181" w:type="dxa"/>
            <w:noWrap w:val="0"/>
            <w:vAlign w:val="center"/>
          </w:tcPr>
          <w:p>
            <w:pPr>
              <w:adjustRightInd w:val="0"/>
              <w:snapToGrid w:val="0"/>
              <w:jc w:val="center"/>
              <w:rPr>
                <w:rFonts w:hint="eastAsia" w:ascii="宋体" w:hAnsi="宋体" w:cs="宋体"/>
                <w:color w:val="000000"/>
                <w:sz w:val="24"/>
                <w:szCs w:val="28"/>
              </w:rPr>
            </w:pPr>
          </w:p>
        </w:tc>
        <w:tc>
          <w:tcPr>
            <w:tcW w:w="2552" w:type="dxa"/>
            <w:noWrap w:val="0"/>
            <w:vAlign w:val="center"/>
          </w:tcPr>
          <w:p>
            <w:pPr>
              <w:adjustRightInd w:val="0"/>
              <w:snapToGrid w:val="0"/>
              <w:jc w:val="center"/>
              <w:rPr>
                <w:rFonts w:hint="eastAsia" w:ascii="宋体" w:hAnsi="宋体" w:cs="宋体"/>
                <w:color w:val="000000"/>
                <w:sz w:val="24"/>
                <w:szCs w:val="28"/>
              </w:rPr>
            </w:pPr>
          </w:p>
        </w:tc>
        <w:tc>
          <w:tcPr>
            <w:tcW w:w="2551" w:type="dxa"/>
            <w:noWrap w:val="0"/>
            <w:vAlign w:val="center"/>
          </w:tcPr>
          <w:p>
            <w:pPr>
              <w:adjustRightInd w:val="0"/>
              <w:snapToGrid w:val="0"/>
              <w:jc w:val="center"/>
              <w:rPr>
                <w:rFonts w:hint="eastAsia" w:ascii="宋体" w:hAnsi="宋体" w:cs="宋体"/>
                <w:color w:val="000000"/>
                <w:sz w:val="24"/>
                <w:szCs w:val="28"/>
              </w:rPr>
            </w:pPr>
          </w:p>
        </w:tc>
        <w:tc>
          <w:tcPr>
            <w:tcW w:w="1210" w:type="dxa"/>
            <w:noWrap w:val="0"/>
            <w:vAlign w:val="center"/>
          </w:tcPr>
          <w:p>
            <w:pPr>
              <w:adjustRightInd w:val="0"/>
              <w:snapToGrid w:val="0"/>
              <w:jc w:val="center"/>
              <w:rPr>
                <w:rFonts w:hint="eastAsia" w:ascii="宋体" w:hAnsi="宋体" w:cs="宋体"/>
                <w:color w:val="00000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96" w:type="dxa"/>
            <w:noWrap w:val="0"/>
            <w:vAlign w:val="center"/>
          </w:tcPr>
          <w:p>
            <w:pPr>
              <w:adjustRightInd w:val="0"/>
              <w:snapToGrid w:val="0"/>
              <w:jc w:val="center"/>
              <w:rPr>
                <w:rFonts w:hint="eastAsia" w:ascii="宋体" w:hAnsi="宋体" w:cs="宋体"/>
                <w:color w:val="000000"/>
                <w:sz w:val="24"/>
                <w:szCs w:val="28"/>
              </w:rPr>
            </w:pPr>
            <w:r>
              <w:rPr>
                <w:rFonts w:hint="eastAsia" w:ascii="宋体" w:hAnsi="宋体" w:cs="宋体"/>
                <w:color w:val="000000"/>
                <w:sz w:val="24"/>
                <w:szCs w:val="28"/>
              </w:rPr>
              <w:t>…</w:t>
            </w:r>
          </w:p>
        </w:tc>
        <w:tc>
          <w:tcPr>
            <w:tcW w:w="2181" w:type="dxa"/>
            <w:noWrap w:val="0"/>
            <w:vAlign w:val="center"/>
          </w:tcPr>
          <w:p>
            <w:pPr>
              <w:adjustRightInd w:val="0"/>
              <w:snapToGrid w:val="0"/>
              <w:jc w:val="center"/>
              <w:rPr>
                <w:rFonts w:hint="eastAsia" w:ascii="宋体" w:hAnsi="宋体" w:cs="宋体"/>
                <w:color w:val="000000"/>
                <w:sz w:val="24"/>
                <w:szCs w:val="28"/>
              </w:rPr>
            </w:pPr>
          </w:p>
        </w:tc>
        <w:tc>
          <w:tcPr>
            <w:tcW w:w="2552" w:type="dxa"/>
            <w:noWrap w:val="0"/>
            <w:vAlign w:val="center"/>
          </w:tcPr>
          <w:p>
            <w:pPr>
              <w:adjustRightInd w:val="0"/>
              <w:snapToGrid w:val="0"/>
              <w:jc w:val="center"/>
              <w:rPr>
                <w:rFonts w:hint="eastAsia" w:ascii="宋体" w:hAnsi="宋体" w:cs="宋体"/>
                <w:color w:val="000000"/>
                <w:sz w:val="24"/>
                <w:szCs w:val="28"/>
              </w:rPr>
            </w:pPr>
          </w:p>
        </w:tc>
        <w:tc>
          <w:tcPr>
            <w:tcW w:w="2551" w:type="dxa"/>
            <w:noWrap w:val="0"/>
            <w:vAlign w:val="center"/>
          </w:tcPr>
          <w:p>
            <w:pPr>
              <w:adjustRightInd w:val="0"/>
              <w:snapToGrid w:val="0"/>
              <w:jc w:val="center"/>
              <w:rPr>
                <w:rFonts w:hint="eastAsia" w:ascii="宋体" w:hAnsi="宋体" w:cs="宋体"/>
                <w:color w:val="000000"/>
                <w:sz w:val="24"/>
                <w:szCs w:val="28"/>
              </w:rPr>
            </w:pPr>
          </w:p>
        </w:tc>
        <w:tc>
          <w:tcPr>
            <w:tcW w:w="1210" w:type="dxa"/>
            <w:noWrap w:val="0"/>
            <w:vAlign w:val="center"/>
          </w:tcPr>
          <w:p>
            <w:pPr>
              <w:adjustRightInd w:val="0"/>
              <w:snapToGrid w:val="0"/>
              <w:jc w:val="center"/>
              <w:rPr>
                <w:rFonts w:hint="eastAsia" w:ascii="宋体" w:hAnsi="宋体" w:cs="宋体"/>
                <w:color w:val="000000"/>
                <w:sz w:val="24"/>
                <w:szCs w:val="28"/>
              </w:rPr>
            </w:pPr>
          </w:p>
        </w:tc>
      </w:tr>
    </w:tbl>
    <w:p>
      <w:pPr>
        <w:adjustRightInd w:val="0"/>
        <w:snapToGrid w:val="0"/>
        <w:spacing w:line="360" w:lineRule="auto"/>
        <w:rPr>
          <w:rFonts w:hint="eastAsia" w:ascii="宋体" w:hAnsi="宋体" w:cs="宋体"/>
          <w:color w:val="000000"/>
          <w:sz w:val="24"/>
          <w:szCs w:val="28"/>
        </w:rPr>
      </w:pPr>
    </w:p>
    <w:p>
      <w:pPr>
        <w:adjustRightInd w:val="0"/>
        <w:snapToGrid w:val="0"/>
        <w:spacing w:line="360" w:lineRule="auto"/>
        <w:rPr>
          <w:rFonts w:hint="eastAsia" w:ascii="宋体" w:hAnsi="宋体" w:cs="宋体"/>
          <w:sz w:val="24"/>
          <w:szCs w:val="28"/>
        </w:rPr>
      </w:pPr>
      <w:r>
        <w:rPr>
          <w:rFonts w:hint="eastAsia" w:ascii="宋体" w:hAnsi="宋体" w:cs="宋体"/>
          <w:sz w:val="24"/>
          <w:szCs w:val="28"/>
        </w:rPr>
        <w:t>说明：</w:t>
      </w:r>
    </w:p>
    <w:p>
      <w:pPr>
        <w:adjustRightInd w:val="0"/>
        <w:snapToGrid w:val="0"/>
        <w:spacing w:line="360" w:lineRule="auto"/>
        <w:ind w:firstLine="480" w:firstLineChars="200"/>
        <w:rPr>
          <w:rFonts w:hint="eastAsia" w:ascii="宋体" w:hAnsi="宋体" w:cs="宋体"/>
          <w:sz w:val="24"/>
          <w:szCs w:val="28"/>
        </w:rPr>
      </w:pPr>
      <w:r>
        <w:rPr>
          <w:rFonts w:hint="eastAsia" w:ascii="宋体" w:hAnsi="宋体" w:cs="宋体"/>
          <w:sz w:val="24"/>
          <w:szCs w:val="28"/>
        </w:rPr>
        <w:t>1、本项目商务条款至少包括：</w:t>
      </w:r>
      <w:r>
        <w:rPr>
          <w:rFonts w:hint="eastAsia" w:ascii="宋体" w:hAnsi="宋体" w:cs="宋体"/>
          <w:sz w:val="24"/>
          <w:szCs w:val="28"/>
          <w:lang w:val="en-US" w:eastAsia="zh-CN"/>
        </w:rPr>
        <w:t>服务</w:t>
      </w:r>
      <w:r>
        <w:rPr>
          <w:rFonts w:hint="eastAsia" w:ascii="宋体" w:hAnsi="宋体" w:cs="宋体"/>
          <w:sz w:val="24"/>
          <w:szCs w:val="28"/>
        </w:rPr>
        <w:t>期、采购内容、投标保证金响应、投标文件有效期、履约保证金等，投标人必须按</w:t>
      </w:r>
      <w:r>
        <w:rPr>
          <w:rFonts w:hint="eastAsia" w:ascii="宋体" w:hAnsi="宋体" w:cs="宋体"/>
          <w:sz w:val="24"/>
          <w:szCs w:val="28"/>
          <w:lang w:eastAsia="zh-CN"/>
        </w:rPr>
        <w:t>招标文件</w:t>
      </w:r>
      <w:r>
        <w:rPr>
          <w:rFonts w:hint="eastAsia" w:ascii="宋体" w:hAnsi="宋体" w:cs="宋体"/>
          <w:sz w:val="24"/>
          <w:szCs w:val="28"/>
        </w:rPr>
        <w:t>给定的条款填写，否则视为不响应招标。</w:t>
      </w:r>
    </w:p>
    <w:p>
      <w:pPr>
        <w:adjustRightInd w:val="0"/>
        <w:snapToGrid w:val="0"/>
        <w:spacing w:line="360" w:lineRule="auto"/>
        <w:ind w:firstLine="480" w:firstLineChars="200"/>
        <w:outlineLvl w:val="2"/>
        <w:rPr>
          <w:rFonts w:hint="eastAsia" w:ascii="宋体" w:hAnsi="宋体" w:cs="宋体"/>
          <w:color w:val="000000"/>
          <w:sz w:val="24"/>
          <w:szCs w:val="28"/>
        </w:rPr>
      </w:pPr>
      <w:bookmarkStart w:id="496" w:name="_Toc632"/>
      <w:r>
        <w:rPr>
          <w:rFonts w:hint="eastAsia" w:ascii="宋体" w:hAnsi="宋体" w:cs="宋体"/>
          <w:sz w:val="24"/>
          <w:szCs w:val="28"/>
        </w:rPr>
        <w:t>2、</w:t>
      </w:r>
      <w:r>
        <w:rPr>
          <w:rFonts w:hint="eastAsia" w:ascii="宋体" w:hAnsi="宋体" w:cs="宋体"/>
          <w:sz w:val="24"/>
          <w:szCs w:val="28"/>
          <w:lang w:eastAsia="zh-CN"/>
        </w:rPr>
        <w:t>招标文件</w:t>
      </w:r>
      <w:r>
        <w:rPr>
          <w:rFonts w:hint="eastAsia" w:ascii="宋体" w:hAnsi="宋体" w:cs="宋体"/>
          <w:sz w:val="24"/>
          <w:szCs w:val="28"/>
        </w:rPr>
        <w:t>条目号指投标须知所对应项目名称。</w:t>
      </w:r>
      <w:bookmarkEnd w:id="496"/>
    </w:p>
    <w:p>
      <w:pPr>
        <w:adjustRightInd w:val="0"/>
        <w:snapToGrid w:val="0"/>
        <w:spacing w:before="100" w:beforeAutospacing="1" w:after="100" w:afterAutospacing="1" w:line="360" w:lineRule="auto"/>
        <w:rPr>
          <w:rFonts w:hint="eastAsia" w:ascii="宋体" w:hAnsi="宋体" w:cs="宋体"/>
          <w:color w:val="000000"/>
          <w:sz w:val="24"/>
          <w:szCs w:val="28"/>
          <w:u w:val="single"/>
        </w:rPr>
      </w:pPr>
      <w:r>
        <w:rPr>
          <w:rFonts w:hint="eastAsia" w:ascii="宋体" w:hAnsi="宋体" w:cs="宋体"/>
          <w:color w:val="000000"/>
          <w:sz w:val="24"/>
          <w:szCs w:val="28"/>
        </w:rPr>
        <w:t>　投标单位：</w:t>
      </w:r>
      <w:r>
        <w:rPr>
          <w:rFonts w:hint="eastAsia" w:ascii="宋体" w:hAnsi="宋体" w:cs="宋体"/>
          <w:color w:val="000000"/>
          <w:sz w:val="24"/>
          <w:szCs w:val="28"/>
          <w:u w:val="none"/>
        </w:rPr>
        <w:t>（</w:t>
      </w:r>
      <w:r>
        <w:rPr>
          <w:rFonts w:hint="eastAsia" w:ascii="宋体" w:hAnsi="宋体" w:cs="宋体"/>
          <w:color w:val="000000"/>
          <w:sz w:val="24"/>
          <w:szCs w:val="28"/>
          <w:u w:val="none"/>
          <w:lang w:eastAsia="zh-CN"/>
        </w:rPr>
        <w:t>盖章</w:t>
      </w:r>
      <w:r>
        <w:rPr>
          <w:rFonts w:hint="eastAsia" w:ascii="宋体" w:hAnsi="宋体" w:cs="宋体"/>
          <w:color w:val="000000"/>
          <w:sz w:val="24"/>
          <w:szCs w:val="28"/>
          <w:u w:val="none"/>
        </w:rPr>
        <w:t>）</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adjustRightInd w:val="0"/>
        <w:snapToGrid w:val="0"/>
        <w:spacing w:before="100" w:beforeAutospacing="1" w:after="100" w:afterAutospacing="1" w:line="360" w:lineRule="auto"/>
        <w:rPr>
          <w:rFonts w:hint="eastAsia" w:ascii="宋体" w:hAnsi="宋体" w:cs="宋体"/>
          <w:color w:val="000000"/>
          <w:sz w:val="24"/>
          <w:szCs w:val="28"/>
          <w:u w:val="single"/>
        </w:rPr>
      </w:pPr>
    </w:p>
    <w:p>
      <w:pPr>
        <w:adjustRightInd w:val="0"/>
        <w:snapToGrid w:val="0"/>
        <w:spacing w:line="360" w:lineRule="auto"/>
        <w:outlineLvl w:val="1"/>
        <w:rPr>
          <w:rFonts w:hint="eastAsia" w:ascii="宋体" w:hAnsi="宋体" w:cs="宋体"/>
          <w:color w:val="000000"/>
          <w:sz w:val="24"/>
          <w:szCs w:val="28"/>
        </w:rPr>
      </w:pPr>
      <w:r>
        <w:rPr>
          <w:rFonts w:hint="eastAsia" w:ascii="宋体" w:hAnsi="宋体" w:cs="宋体"/>
          <w:color w:val="000000"/>
          <w:sz w:val="24"/>
          <w:szCs w:val="28"/>
        </w:rPr>
        <w:t xml:space="preserve">  </w:t>
      </w:r>
      <w:bookmarkStart w:id="497" w:name="_Toc5383"/>
      <w:r>
        <w:rPr>
          <w:rFonts w:hint="eastAsia" w:ascii="宋体" w:hAnsi="宋体" w:cs="宋体"/>
          <w:color w:val="000000"/>
          <w:sz w:val="24"/>
          <w:szCs w:val="28"/>
        </w:rPr>
        <w:t>法定代表人</w:t>
      </w:r>
      <w:r>
        <w:rPr>
          <w:rFonts w:hint="eastAsia" w:ascii="宋体" w:hAnsi="宋体" w:cs="宋体"/>
          <w:color w:val="000000"/>
          <w:sz w:val="24"/>
          <w:szCs w:val="28"/>
          <w:lang w:eastAsia="zh-CN"/>
        </w:rPr>
        <w:t>：</w:t>
      </w:r>
      <w:r>
        <w:rPr>
          <w:rFonts w:hint="eastAsia" w:ascii="宋体" w:hAnsi="宋体" w:cs="宋体"/>
          <w:color w:val="000000"/>
          <w:sz w:val="24"/>
          <w:szCs w:val="28"/>
        </w:rPr>
        <w:t>（签字</w:t>
      </w:r>
      <w:r>
        <w:rPr>
          <w:rFonts w:hint="eastAsia" w:ascii="宋体" w:hAnsi="宋体" w:cs="宋体"/>
          <w:color w:val="000000"/>
          <w:sz w:val="24"/>
          <w:szCs w:val="28"/>
          <w:lang w:val="en-US" w:eastAsia="zh-CN"/>
        </w:rPr>
        <w:t>或</w:t>
      </w:r>
      <w:r>
        <w:rPr>
          <w:rFonts w:hint="eastAsia" w:ascii="宋体" w:hAnsi="宋体" w:cs="宋体"/>
          <w:color w:val="000000"/>
          <w:sz w:val="24"/>
          <w:szCs w:val="28"/>
        </w:rPr>
        <w:t>盖章）</w:t>
      </w:r>
      <w:bookmarkEnd w:id="497"/>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adjustRightInd w:val="0"/>
        <w:snapToGrid w:val="0"/>
        <w:spacing w:line="360" w:lineRule="auto"/>
        <w:rPr>
          <w:rFonts w:hint="eastAsia" w:ascii="宋体" w:hAnsi="宋体" w:cs="宋体"/>
          <w:color w:val="000000"/>
          <w:sz w:val="24"/>
          <w:szCs w:val="28"/>
        </w:rPr>
      </w:pPr>
    </w:p>
    <w:p>
      <w:pPr>
        <w:adjustRightInd w:val="0"/>
        <w:snapToGrid w:val="0"/>
        <w:spacing w:line="360" w:lineRule="auto"/>
        <w:jc w:val="right"/>
        <w:rPr>
          <w:rFonts w:hint="eastAsia" w:ascii="宋体" w:hAnsi="宋体" w:cs="宋体"/>
          <w:color w:val="000000"/>
          <w:sz w:val="24"/>
          <w:szCs w:val="28"/>
        </w:rPr>
      </w:pPr>
      <w:r>
        <w:rPr>
          <w:rFonts w:hint="eastAsia" w:ascii="宋体" w:hAnsi="宋体" w:cs="宋体"/>
          <w:color w:val="000000"/>
          <w:sz w:val="24"/>
          <w:szCs w:val="28"/>
        </w:rPr>
        <w:t>日期：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pStyle w:val="19"/>
        <w:numPr>
          <w:ilvl w:val="0"/>
          <w:numId w:val="6"/>
        </w:numPr>
        <w:overflowPunct w:val="0"/>
        <w:snapToGrid w:val="0"/>
        <w:spacing w:line="360" w:lineRule="auto"/>
        <w:ind w:left="0" w:leftChars="0" w:firstLine="0" w:firstLineChars="0"/>
        <w:jc w:val="center"/>
        <w:rPr>
          <w:rFonts w:hint="eastAsia" w:ascii="宋体" w:hAnsi="宋体" w:eastAsia="宋体" w:cs="宋体"/>
          <w:b/>
          <w:bCs w:val="0"/>
          <w:color w:val="auto"/>
          <w:kern w:val="2"/>
          <w:sz w:val="32"/>
          <w:szCs w:val="28"/>
          <w:lang w:val="en-US" w:eastAsia="zh-CN" w:bidi="ar-SA"/>
        </w:rPr>
        <w:sectPr>
          <w:pgSz w:w="11906" w:h="16838"/>
          <w:pgMar w:top="1446" w:right="1219" w:bottom="1446" w:left="1219" w:header="283" w:footer="567" w:gutter="0"/>
          <w:pgNumType w:fmt="decimal"/>
          <w:cols w:space="720" w:num="1"/>
          <w:docGrid w:type="lines" w:linePitch="312" w:charSpace="0"/>
        </w:sect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28"/>
          <w:szCs w:val="24"/>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28"/>
          <w:szCs w:val="24"/>
          <w:lang w:val="en-US" w:eastAsia="zh-CN" w:bidi="ar-SA"/>
        </w:rPr>
      </w:pPr>
      <w:r>
        <w:rPr>
          <w:rFonts w:hint="eastAsia" w:ascii="宋体" w:hAnsi="宋体" w:eastAsia="宋体" w:cs="宋体"/>
          <w:b/>
          <w:bCs w:val="0"/>
          <w:color w:val="auto"/>
          <w:kern w:val="2"/>
          <w:sz w:val="28"/>
          <w:szCs w:val="24"/>
          <w:lang w:val="en-US" w:eastAsia="zh-CN" w:bidi="ar-SA"/>
        </w:rPr>
        <w:t>附件十</w:t>
      </w:r>
      <w:r>
        <w:rPr>
          <w:rFonts w:hint="eastAsia" w:ascii="宋体" w:hAnsi="宋体" w:cs="宋体"/>
          <w:b/>
          <w:bCs w:val="0"/>
          <w:color w:val="auto"/>
          <w:kern w:val="2"/>
          <w:sz w:val="28"/>
          <w:szCs w:val="24"/>
          <w:lang w:val="en-US" w:eastAsia="zh-CN" w:bidi="ar-SA"/>
        </w:rPr>
        <w:t>五</w:t>
      </w:r>
    </w:p>
    <w:p>
      <w:pPr>
        <w:pStyle w:val="19"/>
        <w:numPr>
          <w:ilvl w:val="0"/>
          <w:numId w:val="0"/>
        </w:numPr>
        <w:overflowPunct w:val="0"/>
        <w:snapToGrid w:val="0"/>
        <w:spacing w:line="360" w:lineRule="auto"/>
        <w:jc w:val="center"/>
        <w:rPr>
          <w:rFonts w:hint="default" w:ascii="宋体" w:hAnsi="宋体" w:eastAsia="宋体" w:cs="宋体"/>
          <w:b/>
          <w:bCs w:val="0"/>
          <w:color w:val="auto"/>
          <w:kern w:val="2"/>
          <w:sz w:val="32"/>
          <w:szCs w:val="28"/>
          <w:lang w:val="en-US" w:eastAsia="zh-CN" w:bidi="ar-SA"/>
        </w:rPr>
      </w:pPr>
      <w:r>
        <w:rPr>
          <w:rFonts w:hint="eastAsia" w:ascii="宋体" w:hAnsi="宋体" w:eastAsia="宋体" w:cs="宋体"/>
          <w:b/>
          <w:bCs w:val="0"/>
          <w:color w:val="auto"/>
          <w:kern w:val="2"/>
          <w:sz w:val="32"/>
          <w:szCs w:val="28"/>
          <w:lang w:val="en-US" w:eastAsia="zh-CN" w:bidi="ar-SA"/>
        </w:rPr>
        <w:t>投标人</w:t>
      </w:r>
      <w:r>
        <w:rPr>
          <w:rFonts w:hint="default" w:ascii="宋体" w:hAnsi="宋体" w:eastAsia="宋体" w:cs="宋体"/>
          <w:b/>
          <w:bCs w:val="0"/>
          <w:color w:val="auto"/>
          <w:kern w:val="2"/>
          <w:sz w:val="32"/>
          <w:szCs w:val="28"/>
          <w:lang w:val="en-US" w:eastAsia="zh-CN" w:bidi="ar-SA"/>
        </w:rPr>
        <w:t>反商业贿赂承诺</w:t>
      </w:r>
      <w:r>
        <w:rPr>
          <w:rFonts w:hint="eastAsia" w:ascii="宋体" w:hAnsi="宋体" w:eastAsia="宋体" w:cs="宋体"/>
          <w:b/>
          <w:bCs w:val="0"/>
          <w:color w:val="auto"/>
          <w:kern w:val="2"/>
          <w:sz w:val="32"/>
          <w:szCs w:val="28"/>
          <w:lang w:val="en-US" w:eastAsia="zh-CN" w:bidi="ar-SA"/>
        </w:rPr>
        <w:t>书</w:t>
      </w:r>
    </w:p>
    <w:p>
      <w:pPr>
        <w:autoSpaceDE w:val="0"/>
        <w:autoSpaceDN w:val="0"/>
        <w:adjustRightInd w:val="0"/>
        <w:spacing w:line="480" w:lineRule="auto"/>
        <w:ind w:firstLine="525" w:firstLineChars="250"/>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我公司承诺在</w:t>
      </w:r>
      <w:r>
        <w:rPr>
          <w:rFonts w:hint="eastAsia" w:ascii="宋体" w:hAnsi="宋体" w:cs="宋体"/>
          <w:bCs/>
          <w:color w:val="000000"/>
          <w:sz w:val="21"/>
          <w:szCs w:val="21"/>
          <w:u w:val="single"/>
          <w:lang w:val="zh-CN"/>
        </w:rPr>
        <w:t xml:space="preserve">                             </w:t>
      </w:r>
      <w:r>
        <w:rPr>
          <w:rFonts w:hint="eastAsia" w:ascii="宋体" w:hAnsi="宋体" w:cs="宋体"/>
          <w:color w:val="000000"/>
          <w:kern w:val="0"/>
          <w:sz w:val="21"/>
          <w:szCs w:val="21"/>
          <w:lang w:val="zh-CN"/>
        </w:rPr>
        <w:t>公开招标活动中，不给予国家工作人员及其亲属各种形式的商业贿赂（包括送礼金礼品、有价证券、购物券、回扣、佣金、咨询费、劳务费、赞助费、宣传费、支付旅游费用、报销各种消费凭证、宴请、娱乐等），如有上述行为，我公司及项目参与人员愿意按照《政府采购法》、《反不正当竞争法》的有关规定接受处罚。</w:t>
      </w:r>
    </w:p>
    <w:p>
      <w:pPr>
        <w:autoSpaceDE w:val="0"/>
        <w:autoSpaceDN w:val="0"/>
        <w:adjustRightInd w:val="0"/>
        <w:spacing w:line="360" w:lineRule="auto"/>
        <w:ind w:firstLine="525" w:firstLineChars="250"/>
        <w:rPr>
          <w:rFonts w:hint="eastAsia" w:ascii="宋体" w:hAnsi="宋体" w:cs="宋体"/>
          <w:bCs/>
          <w:color w:val="000000"/>
          <w:sz w:val="21"/>
          <w:szCs w:val="21"/>
          <w:lang w:val="zh-CN"/>
        </w:rPr>
      </w:pPr>
      <w:r>
        <w:rPr>
          <w:rFonts w:hint="eastAsia" w:ascii="宋体" w:hAnsi="宋体" w:cs="宋体"/>
          <w:color w:val="000000"/>
          <w:kern w:val="0"/>
          <w:sz w:val="21"/>
          <w:szCs w:val="21"/>
          <w:lang w:val="zh-CN"/>
        </w:rPr>
        <w:t xml:space="preserve"> </w:t>
      </w:r>
    </w:p>
    <w:p>
      <w:pPr>
        <w:spacing w:before="100" w:beforeAutospacing="1" w:after="100" w:afterAutospacing="1" w:line="360" w:lineRule="auto"/>
        <w:ind w:firstLine="420" w:firstLineChars="200"/>
        <w:rPr>
          <w:rFonts w:hint="eastAsia" w:ascii="宋体" w:hAnsi="宋体" w:cs="宋体"/>
          <w:color w:val="000000"/>
          <w:sz w:val="21"/>
          <w:szCs w:val="21"/>
          <w:u w:val="single"/>
        </w:rPr>
      </w:pPr>
      <w:r>
        <w:rPr>
          <w:rFonts w:hint="eastAsia" w:ascii="宋体" w:hAnsi="宋体" w:cs="宋体"/>
          <w:color w:val="000000"/>
          <w:sz w:val="21"/>
          <w:szCs w:val="21"/>
        </w:rPr>
        <w:t>投标单位：</w:t>
      </w:r>
      <w:r>
        <w:rPr>
          <w:rFonts w:hint="eastAsia" w:ascii="宋体" w:hAnsi="宋体" w:cs="宋体"/>
          <w:color w:val="000000"/>
          <w:sz w:val="21"/>
          <w:szCs w:val="21"/>
          <w:u w:val="none"/>
        </w:rPr>
        <w:t>（</w:t>
      </w:r>
      <w:r>
        <w:rPr>
          <w:rFonts w:hint="eastAsia" w:ascii="宋体" w:hAnsi="宋体" w:cs="宋体"/>
          <w:color w:val="000000"/>
          <w:sz w:val="21"/>
          <w:szCs w:val="21"/>
          <w:u w:val="none"/>
          <w:lang w:eastAsia="zh-CN"/>
        </w:rPr>
        <w:t>盖章</w:t>
      </w:r>
      <w:r>
        <w:rPr>
          <w:rFonts w:hint="eastAsia" w:ascii="宋体" w:hAnsi="宋体" w:cs="宋体"/>
          <w:color w:val="000000"/>
          <w:sz w:val="21"/>
          <w:szCs w:val="21"/>
          <w:u w:val="none"/>
        </w:rPr>
        <w:t>）</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spacing w:before="100" w:beforeAutospacing="1" w:after="100" w:afterAutospacing="1" w:line="360" w:lineRule="auto"/>
        <w:ind w:firstLine="420" w:firstLineChars="200"/>
        <w:rPr>
          <w:rFonts w:hint="eastAsia" w:ascii="宋体" w:hAnsi="宋体" w:cs="宋体"/>
          <w:color w:val="000000"/>
          <w:sz w:val="21"/>
          <w:szCs w:val="21"/>
          <w:u w:val="single"/>
        </w:rPr>
      </w:pPr>
    </w:p>
    <w:p>
      <w:pPr>
        <w:spacing w:line="360" w:lineRule="auto"/>
        <w:ind w:firstLine="210" w:firstLineChars="100"/>
        <w:rPr>
          <w:rFonts w:hint="eastAsia" w:ascii="宋体" w:hAnsi="宋体" w:cs="宋体"/>
          <w:color w:val="000000"/>
          <w:sz w:val="21"/>
          <w:szCs w:val="21"/>
        </w:rPr>
      </w:pPr>
      <w:r>
        <w:rPr>
          <w:rFonts w:hint="eastAsia" w:ascii="宋体" w:hAnsi="宋体" w:cs="宋体"/>
          <w:color w:val="000000"/>
          <w:sz w:val="21"/>
          <w:szCs w:val="21"/>
        </w:rPr>
        <w:t xml:space="preserve">  法定代表人</w:t>
      </w:r>
      <w:r>
        <w:rPr>
          <w:rFonts w:hint="eastAsia" w:ascii="宋体" w:hAnsi="宋体" w:cs="宋体"/>
          <w:color w:val="000000"/>
          <w:sz w:val="21"/>
          <w:szCs w:val="21"/>
          <w:lang w:eastAsia="zh-CN"/>
        </w:rPr>
        <w:t>：</w:t>
      </w:r>
      <w:r>
        <w:rPr>
          <w:rFonts w:hint="eastAsia" w:ascii="宋体" w:hAnsi="宋体" w:cs="宋体"/>
          <w:color w:val="000000"/>
          <w:sz w:val="21"/>
          <w:szCs w:val="21"/>
        </w:rPr>
        <w:t>（签字</w:t>
      </w:r>
      <w:r>
        <w:rPr>
          <w:rFonts w:hint="eastAsia" w:ascii="宋体" w:hAnsi="宋体" w:cs="宋体"/>
          <w:color w:val="000000"/>
          <w:sz w:val="21"/>
          <w:szCs w:val="21"/>
          <w:lang w:val="en-US" w:eastAsia="zh-CN"/>
        </w:rPr>
        <w:t>或</w:t>
      </w:r>
      <w:r>
        <w:rPr>
          <w:rFonts w:hint="eastAsia" w:ascii="宋体" w:hAnsi="宋体" w:cs="宋体"/>
          <w:color w:val="000000"/>
          <w:sz w:val="21"/>
          <w:szCs w:val="21"/>
        </w:rPr>
        <w:t>盖章）</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spacing w:line="360" w:lineRule="auto"/>
        <w:ind w:firstLine="210" w:firstLineChars="100"/>
        <w:rPr>
          <w:rFonts w:hint="eastAsia" w:ascii="宋体" w:hAnsi="宋体" w:cs="宋体"/>
          <w:color w:val="000000"/>
          <w:sz w:val="21"/>
          <w:szCs w:val="21"/>
          <w:lang w:val="zh-CN"/>
        </w:rPr>
      </w:pPr>
    </w:p>
    <w:p>
      <w:pPr>
        <w:spacing w:before="100" w:beforeAutospacing="1" w:after="100" w:afterAutospacing="1" w:line="360" w:lineRule="auto"/>
        <w:ind w:firstLine="465"/>
        <w:rPr>
          <w:rFonts w:hint="eastAsia" w:ascii="宋体" w:hAnsi="宋体" w:cs="宋体"/>
          <w:color w:val="000000"/>
          <w:sz w:val="21"/>
          <w:szCs w:val="21"/>
          <w:lang w:val="zh-CN"/>
        </w:rPr>
      </w:pPr>
    </w:p>
    <w:p>
      <w:pPr>
        <w:spacing w:before="100" w:beforeAutospacing="1" w:after="100" w:afterAutospacing="1" w:line="360" w:lineRule="auto"/>
        <w:jc w:val="right"/>
        <w:rPr>
          <w:rFonts w:hint="eastAsia" w:ascii="宋体" w:hAnsi="宋体" w:cs="宋体"/>
          <w:color w:val="000000"/>
          <w:sz w:val="21"/>
          <w:szCs w:val="21"/>
        </w:rPr>
      </w:pPr>
      <w:r>
        <w:rPr>
          <w:rFonts w:hint="eastAsia" w:ascii="宋体" w:hAnsi="宋体" w:cs="宋体"/>
          <w:color w:val="000000"/>
          <w:sz w:val="21"/>
          <w:szCs w:val="21"/>
          <w:lang w:val="zh-CN"/>
        </w:rPr>
        <w:t xml:space="preserve"> </w:t>
      </w:r>
      <w:r>
        <w:rPr>
          <w:rFonts w:hint="eastAsia" w:ascii="宋体" w:hAnsi="宋体" w:cs="宋体"/>
          <w:color w:val="000000"/>
          <w:sz w:val="21"/>
          <w:szCs w:val="21"/>
        </w:rPr>
        <w:t xml:space="preserve">     日期：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spacing w:before="100" w:beforeAutospacing="1" w:after="100" w:afterAutospacing="1" w:line="360" w:lineRule="auto"/>
        <w:jc w:val="right"/>
        <w:rPr>
          <w:rFonts w:hint="eastAsia" w:ascii="宋体" w:hAnsi="宋体" w:cs="宋体"/>
          <w:color w:val="000000"/>
          <w:sz w:val="24"/>
          <w:szCs w:val="24"/>
        </w:rPr>
      </w:pPr>
    </w:p>
    <w:p>
      <w:pPr>
        <w:pStyle w:val="19"/>
        <w:widowControl w:val="0"/>
        <w:numPr>
          <w:ilvl w:val="0"/>
          <w:numId w:val="0"/>
        </w:numPr>
        <w:overflowPunct w:val="0"/>
        <w:adjustRightInd w:val="0"/>
        <w:snapToGrid w:val="0"/>
        <w:spacing w:line="360" w:lineRule="auto"/>
        <w:jc w:val="center"/>
        <w:rPr>
          <w:rFonts w:hint="default" w:ascii="宋体" w:hAnsi="宋体" w:eastAsia="宋体" w:cs="宋体"/>
          <w:b/>
          <w:bCs w:val="0"/>
          <w:color w:val="auto"/>
          <w:kern w:val="2"/>
          <w:sz w:val="32"/>
          <w:szCs w:val="28"/>
          <w:lang w:val="en-US" w:eastAsia="zh-CN" w:bidi="ar-SA"/>
        </w:rPr>
        <w:sectPr>
          <w:pgSz w:w="11906" w:h="16838"/>
          <w:pgMar w:top="1446" w:right="1219" w:bottom="1446" w:left="1219" w:header="283" w:footer="567" w:gutter="0"/>
          <w:pgNumType w:fmt="decimal"/>
          <w:cols w:space="720" w:num="1"/>
          <w:docGrid w:type="lines" w:linePitch="312" w:charSpace="0"/>
        </w:sectPr>
      </w:pPr>
    </w:p>
    <w:p>
      <w:pPr>
        <w:spacing w:line="640" w:lineRule="exact"/>
        <w:jc w:val="both"/>
        <w:rPr>
          <w:rFonts w:hint="eastAsia" w:ascii="宋体" w:hAnsi="宋体" w:cs="宋体"/>
          <w:b/>
          <w:bCs w:val="0"/>
          <w:color w:val="auto"/>
          <w:kern w:val="2"/>
          <w:sz w:val="28"/>
          <w:szCs w:val="24"/>
          <w:highlight w:val="none"/>
          <w:lang w:val="en-US" w:eastAsia="zh-CN" w:bidi="ar-SA"/>
        </w:rPr>
      </w:pPr>
      <w:r>
        <w:rPr>
          <w:rFonts w:hint="eastAsia" w:ascii="宋体" w:hAnsi="宋体" w:cs="宋体"/>
          <w:b/>
          <w:bCs w:val="0"/>
          <w:color w:val="auto"/>
          <w:kern w:val="2"/>
          <w:sz w:val="28"/>
          <w:szCs w:val="24"/>
          <w:highlight w:val="none"/>
          <w:lang w:val="en-US" w:eastAsia="zh-CN" w:bidi="ar-SA"/>
        </w:rPr>
        <w:t>附件十六</w:t>
      </w:r>
    </w:p>
    <w:p>
      <w:pPr>
        <w:spacing w:line="640" w:lineRule="exact"/>
        <w:ind w:firstLine="569" w:firstLineChars="177"/>
        <w:jc w:val="center"/>
        <w:rPr>
          <w:rFonts w:ascii="华文中宋" w:hAnsi="华文中宋" w:eastAsia="华文中宋"/>
          <w:sz w:val="32"/>
          <w:szCs w:val="32"/>
          <w:highlight w:val="none"/>
        </w:rPr>
      </w:pPr>
      <w:r>
        <w:rPr>
          <w:rFonts w:hint="default" w:ascii="宋体" w:hAnsi="宋体" w:eastAsia="宋体" w:cs="宋体"/>
          <w:b/>
          <w:bCs w:val="0"/>
          <w:color w:val="auto"/>
          <w:kern w:val="2"/>
          <w:sz w:val="32"/>
          <w:szCs w:val="28"/>
          <w:highlight w:val="none"/>
          <w:lang w:val="en-US" w:eastAsia="zh-CN" w:bidi="ar-SA"/>
        </w:rPr>
        <w:t>无围标、串标等违法违规行为承诺书</w:t>
      </w:r>
    </w:p>
    <w:p>
      <w:pPr>
        <w:spacing w:line="640" w:lineRule="exact"/>
        <w:jc w:val="left"/>
        <w:rPr>
          <w:rFonts w:ascii="仿宋_GB2312" w:hAnsi="华文中宋" w:eastAsia="仿宋_GB2312"/>
          <w:sz w:val="24"/>
          <w:szCs w:val="24"/>
        </w:rPr>
      </w:pPr>
    </w:p>
    <w:p>
      <w:pPr>
        <w:spacing w:line="640" w:lineRule="exact"/>
        <w:ind w:firstLine="420" w:firstLineChars="200"/>
        <w:rPr>
          <w:rFonts w:ascii="宋体" w:hAnsi="宋体" w:cs="仿宋"/>
          <w:sz w:val="21"/>
          <w:szCs w:val="21"/>
        </w:rPr>
      </w:pPr>
      <w:r>
        <w:rPr>
          <w:rFonts w:hint="eastAsia" w:ascii="宋体" w:hAnsi="宋体" w:cs="仿宋"/>
          <w:sz w:val="21"/>
          <w:szCs w:val="21"/>
        </w:rPr>
        <w:t>本人作为</w:t>
      </w:r>
      <w:r>
        <w:rPr>
          <w:rFonts w:hint="eastAsia" w:ascii="宋体" w:hAnsi="宋体" w:cs="仿宋"/>
          <w:sz w:val="21"/>
          <w:szCs w:val="21"/>
          <w:u w:val="single"/>
        </w:rPr>
        <w:t xml:space="preserve">（单位名称）                    </w:t>
      </w:r>
      <w:r>
        <w:rPr>
          <w:rFonts w:hint="eastAsia" w:ascii="宋体" w:hAnsi="宋体" w:cs="仿宋"/>
          <w:sz w:val="21"/>
          <w:szCs w:val="21"/>
        </w:rPr>
        <w:t>的法人，清楚知晓我公司本项目投标活动，对以下事项作出承诺：</w:t>
      </w:r>
    </w:p>
    <w:p>
      <w:pPr>
        <w:spacing w:line="640" w:lineRule="exact"/>
        <w:ind w:firstLine="420" w:firstLineChars="200"/>
        <w:rPr>
          <w:rFonts w:ascii="宋体" w:hAnsi="宋体" w:cs="仿宋"/>
          <w:sz w:val="21"/>
          <w:szCs w:val="21"/>
        </w:rPr>
      </w:pPr>
      <w:r>
        <w:rPr>
          <w:rFonts w:hint="eastAsia" w:ascii="宋体" w:hAnsi="宋体" w:cs="仿宋"/>
          <w:sz w:val="21"/>
          <w:szCs w:val="21"/>
        </w:rPr>
        <w:t>一、我单位遵循公开、公平、公正、诚实守信的原则，依法依规参与本项目竞标。</w:t>
      </w:r>
    </w:p>
    <w:p>
      <w:pPr>
        <w:spacing w:line="640" w:lineRule="exact"/>
        <w:ind w:firstLine="420" w:firstLineChars="200"/>
        <w:outlineLvl w:val="1"/>
        <w:rPr>
          <w:rFonts w:ascii="宋体" w:hAnsi="宋体" w:cs="仿宋"/>
          <w:sz w:val="21"/>
          <w:szCs w:val="21"/>
        </w:rPr>
      </w:pPr>
      <w:bookmarkStart w:id="498" w:name="_Toc3592"/>
      <w:r>
        <w:rPr>
          <w:rFonts w:hint="eastAsia" w:ascii="宋体" w:hAnsi="宋体" w:cs="仿宋"/>
          <w:sz w:val="21"/>
          <w:szCs w:val="21"/>
        </w:rPr>
        <w:t>二、我单位在本项目招标投标活动中，未参与围标串标。</w:t>
      </w:r>
      <w:bookmarkEnd w:id="498"/>
    </w:p>
    <w:p>
      <w:pPr>
        <w:spacing w:line="640" w:lineRule="exact"/>
        <w:ind w:firstLine="420" w:firstLineChars="200"/>
        <w:rPr>
          <w:rFonts w:ascii="宋体" w:hAnsi="宋体"/>
          <w:b/>
          <w:sz w:val="21"/>
          <w:szCs w:val="21"/>
        </w:rPr>
      </w:pPr>
      <w:r>
        <w:rPr>
          <w:rFonts w:hint="eastAsia" w:ascii="宋体" w:hAnsi="宋体" w:cs="仿宋"/>
          <w:sz w:val="21"/>
          <w:szCs w:val="21"/>
        </w:rPr>
        <w:t>三、我单位如被查实在本项目招标投标活动中存在围标串标的，递交投标文件行为作为实施串通投标违法行为的关键环节，本人承担直接责任人员法律责任，接受相应行政处罚和失信惩戒。</w:t>
      </w:r>
    </w:p>
    <w:p>
      <w:pPr>
        <w:spacing w:line="640" w:lineRule="exact"/>
        <w:jc w:val="left"/>
        <w:rPr>
          <w:rFonts w:ascii="宋体" w:hAnsi="宋体"/>
          <w:sz w:val="21"/>
          <w:szCs w:val="21"/>
        </w:rPr>
      </w:pPr>
      <w:r>
        <w:rPr>
          <w:rFonts w:hint="eastAsia" w:ascii="宋体" w:hAnsi="宋体"/>
          <w:sz w:val="21"/>
          <w:szCs w:val="21"/>
        </w:rPr>
        <w:t>项目编号</w:t>
      </w:r>
      <w:r>
        <w:rPr>
          <w:rFonts w:ascii="宋体" w:hAnsi="宋体"/>
          <w:sz w:val="21"/>
          <w:szCs w:val="21"/>
        </w:rPr>
        <w:t>：</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r>
        <w:rPr>
          <w:rFonts w:ascii="宋体" w:hAnsi="宋体"/>
          <w:sz w:val="21"/>
          <w:szCs w:val="21"/>
        </w:rPr>
        <w:t xml:space="preserve">    </w:t>
      </w:r>
    </w:p>
    <w:p>
      <w:pPr>
        <w:spacing w:line="640" w:lineRule="exact"/>
        <w:jc w:val="left"/>
        <w:rPr>
          <w:rFonts w:ascii="宋体" w:hAnsi="宋体"/>
          <w:sz w:val="21"/>
          <w:szCs w:val="21"/>
        </w:rPr>
      </w:pPr>
      <w:r>
        <w:rPr>
          <w:rFonts w:hint="eastAsia" w:ascii="宋体" w:hAnsi="宋体"/>
          <w:sz w:val="21"/>
          <w:szCs w:val="21"/>
          <w:lang w:eastAsia="zh-CN"/>
        </w:rPr>
        <w:t>项目名称</w:t>
      </w:r>
      <w:r>
        <w:rPr>
          <w:rFonts w:ascii="宋体" w:hAnsi="宋体"/>
          <w:sz w:val="21"/>
          <w:szCs w:val="21"/>
        </w:rPr>
        <w:t>：</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r>
        <w:rPr>
          <w:rFonts w:hint="eastAsia" w:ascii="宋体" w:hAnsi="宋体"/>
          <w:sz w:val="21"/>
          <w:szCs w:val="21"/>
        </w:rPr>
        <w:t xml:space="preserve">    </w:t>
      </w:r>
    </w:p>
    <w:p>
      <w:pPr>
        <w:spacing w:line="640" w:lineRule="exact"/>
        <w:jc w:val="left"/>
        <w:rPr>
          <w:rFonts w:ascii="宋体" w:hAnsi="宋体"/>
          <w:sz w:val="21"/>
          <w:szCs w:val="21"/>
        </w:rPr>
      </w:pPr>
      <w:r>
        <w:rPr>
          <w:rFonts w:hint="eastAsia" w:ascii="宋体" w:hAnsi="宋体"/>
          <w:sz w:val="21"/>
          <w:szCs w:val="21"/>
          <w:lang w:eastAsia="zh-CN"/>
        </w:rPr>
        <w:t>投标人</w:t>
      </w:r>
      <w:r>
        <w:rPr>
          <w:rFonts w:hint="eastAsia" w:ascii="宋体" w:hAnsi="宋体"/>
          <w:sz w:val="21"/>
          <w:szCs w:val="21"/>
        </w:rPr>
        <w:t>单位名称：</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spacing w:line="640" w:lineRule="exact"/>
        <w:jc w:val="left"/>
        <w:rPr>
          <w:rFonts w:ascii="宋体" w:hAnsi="宋体"/>
          <w:sz w:val="21"/>
          <w:szCs w:val="21"/>
        </w:rPr>
      </w:pPr>
      <w:r>
        <w:rPr>
          <w:rFonts w:hint="eastAsia" w:ascii="宋体" w:hAnsi="宋体"/>
          <w:sz w:val="21"/>
          <w:szCs w:val="21"/>
          <w:lang w:eastAsia="zh-CN"/>
        </w:rPr>
        <w:t>投标人</w:t>
      </w:r>
      <w:r>
        <w:rPr>
          <w:rFonts w:hint="eastAsia" w:ascii="宋体" w:hAnsi="宋体"/>
          <w:sz w:val="21"/>
          <w:szCs w:val="21"/>
        </w:rPr>
        <w:t>法</w:t>
      </w:r>
      <w:r>
        <w:rPr>
          <w:rFonts w:hint="eastAsia" w:ascii="宋体" w:hAnsi="宋体"/>
          <w:sz w:val="21"/>
          <w:szCs w:val="21"/>
          <w:lang w:eastAsia="zh-CN"/>
        </w:rPr>
        <w:t>定代表</w:t>
      </w:r>
      <w:r>
        <w:rPr>
          <w:rFonts w:hint="eastAsia" w:ascii="宋体" w:hAnsi="宋体"/>
          <w:sz w:val="21"/>
          <w:szCs w:val="21"/>
        </w:rPr>
        <w:t>人</w:t>
      </w:r>
      <w:r>
        <w:rPr>
          <w:rFonts w:hint="eastAsia" w:ascii="宋体" w:hAnsi="宋体"/>
          <w:sz w:val="21"/>
          <w:szCs w:val="21"/>
          <w:lang w:eastAsia="zh-CN"/>
        </w:rPr>
        <w:t>（</w:t>
      </w:r>
      <w:r>
        <w:rPr>
          <w:rFonts w:hint="eastAsia" w:ascii="宋体" w:hAnsi="宋体"/>
          <w:sz w:val="21"/>
          <w:szCs w:val="21"/>
          <w:lang w:val="en-US" w:eastAsia="zh-CN"/>
        </w:rPr>
        <w:t>签字或盖章</w:t>
      </w:r>
      <w:r>
        <w:rPr>
          <w:rFonts w:hint="eastAsia" w:ascii="宋体" w:hAnsi="宋体"/>
          <w:sz w:val="21"/>
          <w:szCs w:val="21"/>
          <w:lang w:eastAsia="zh-CN"/>
        </w:rPr>
        <w:t>）</w:t>
      </w:r>
      <w:r>
        <w:rPr>
          <w:rFonts w:hint="eastAsia" w:ascii="宋体" w:hAnsi="宋体"/>
          <w:sz w:val="21"/>
          <w:szCs w:val="21"/>
        </w:rPr>
        <w:t>：</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 xml:space="preserve">      </w:t>
      </w:r>
    </w:p>
    <w:p>
      <w:pPr>
        <w:spacing w:line="640" w:lineRule="exact"/>
        <w:jc w:val="left"/>
        <w:rPr>
          <w:rFonts w:ascii="宋体" w:hAnsi="宋体"/>
          <w:sz w:val="21"/>
          <w:szCs w:val="21"/>
        </w:rPr>
      </w:pPr>
      <w:r>
        <w:rPr>
          <w:rFonts w:hint="eastAsia" w:ascii="宋体" w:hAnsi="宋体"/>
          <w:sz w:val="21"/>
          <w:szCs w:val="21"/>
        </w:rPr>
        <w:t xml:space="preserve">                                  </w:t>
      </w:r>
    </w:p>
    <w:p>
      <w:pPr>
        <w:spacing w:line="640" w:lineRule="exact"/>
        <w:jc w:val="left"/>
        <w:rPr>
          <w:rFonts w:ascii="宋体" w:hAnsi="宋体"/>
          <w:sz w:val="21"/>
          <w:szCs w:val="21"/>
        </w:rPr>
      </w:pPr>
    </w:p>
    <w:p>
      <w:pPr>
        <w:spacing w:line="640" w:lineRule="exact"/>
        <w:ind w:firstLine="3570" w:firstLineChars="1700"/>
        <w:jc w:val="left"/>
        <w:rPr>
          <w:rFonts w:ascii="宋体" w:hAnsi="宋体"/>
          <w:sz w:val="21"/>
          <w:szCs w:val="21"/>
        </w:rPr>
      </w:pPr>
      <w:r>
        <w:rPr>
          <w:rFonts w:hint="eastAsia" w:ascii="宋体" w:hAnsi="宋体"/>
          <w:sz w:val="21"/>
          <w:szCs w:val="21"/>
        </w:rPr>
        <w:t xml:space="preserve">     </w:t>
      </w:r>
    </w:p>
    <w:p>
      <w:pPr>
        <w:pStyle w:val="19"/>
        <w:numPr>
          <w:ilvl w:val="0"/>
          <w:numId w:val="0"/>
        </w:numPr>
        <w:overflowPunct w:val="0"/>
        <w:snapToGrid w:val="0"/>
        <w:spacing w:line="360" w:lineRule="auto"/>
        <w:ind w:leftChars="0"/>
        <w:jc w:val="right"/>
        <w:rPr>
          <w:rFonts w:hint="default" w:ascii="宋体" w:hAnsi="宋体" w:eastAsia="宋体" w:cs="宋体"/>
          <w:b/>
          <w:bCs w:val="0"/>
          <w:color w:val="auto"/>
          <w:kern w:val="2"/>
          <w:sz w:val="21"/>
          <w:szCs w:val="21"/>
          <w:highlight w:val="yellow"/>
          <w:lang w:val="en-US" w:eastAsia="zh-CN" w:bidi="ar-SA"/>
        </w:rPr>
        <w:sectPr>
          <w:pgSz w:w="11906" w:h="16838"/>
          <w:pgMar w:top="1446" w:right="1219" w:bottom="1446" w:left="1219" w:header="283" w:footer="567" w:gutter="0"/>
          <w:pgNumType w:fmt="decimal"/>
          <w:cols w:space="720" w:num="1"/>
          <w:docGrid w:type="lines" w:linePitch="312" w:charSpace="0"/>
        </w:sectPr>
      </w:pPr>
      <w:r>
        <w:rPr>
          <w:rFonts w:hint="eastAsia" w:ascii="宋体" w:hAnsi="宋体" w:cs="宋体"/>
          <w:color w:val="000000"/>
          <w:sz w:val="21"/>
          <w:szCs w:val="21"/>
        </w:rPr>
        <w:t>日期：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28"/>
          <w:szCs w:val="24"/>
          <w:highlight w:val="none"/>
          <w:lang w:val="en-US" w:eastAsia="zh-CN" w:bidi="ar-SA"/>
        </w:rPr>
      </w:pPr>
    </w:p>
    <w:p>
      <w:pPr>
        <w:pStyle w:val="19"/>
        <w:numPr>
          <w:ilvl w:val="0"/>
          <w:numId w:val="0"/>
        </w:numPr>
        <w:overflowPunct w:val="0"/>
        <w:snapToGrid w:val="0"/>
        <w:spacing w:line="360" w:lineRule="auto"/>
        <w:jc w:val="both"/>
        <w:outlineLvl w:val="2"/>
        <w:rPr>
          <w:rFonts w:hint="default" w:ascii="宋体" w:hAnsi="宋体" w:eastAsia="宋体" w:cs="宋体"/>
          <w:b/>
          <w:bCs w:val="0"/>
          <w:color w:val="auto"/>
          <w:kern w:val="2"/>
          <w:sz w:val="32"/>
          <w:szCs w:val="28"/>
          <w:lang w:val="en-US" w:eastAsia="zh-CN" w:bidi="ar-SA"/>
        </w:rPr>
      </w:pPr>
      <w:bookmarkStart w:id="499" w:name="_Toc28072"/>
      <w:r>
        <w:rPr>
          <w:rFonts w:hint="eastAsia" w:ascii="宋体" w:hAnsi="宋体" w:eastAsia="宋体" w:cs="宋体"/>
          <w:b/>
          <w:bCs w:val="0"/>
          <w:color w:val="auto"/>
          <w:kern w:val="2"/>
          <w:sz w:val="28"/>
          <w:szCs w:val="24"/>
          <w:highlight w:val="none"/>
          <w:lang w:val="en-US" w:eastAsia="zh-CN" w:bidi="ar-SA"/>
        </w:rPr>
        <w:t>附件十</w:t>
      </w:r>
      <w:bookmarkEnd w:id="499"/>
      <w:r>
        <w:rPr>
          <w:rFonts w:hint="eastAsia" w:ascii="宋体" w:hAnsi="宋体" w:cs="宋体"/>
          <w:b/>
          <w:bCs w:val="0"/>
          <w:color w:val="auto"/>
          <w:kern w:val="2"/>
          <w:sz w:val="28"/>
          <w:szCs w:val="24"/>
          <w:highlight w:val="none"/>
          <w:lang w:val="en-US" w:eastAsia="zh-CN" w:bidi="ar-SA"/>
        </w:rPr>
        <w:t>七</w:t>
      </w:r>
    </w:p>
    <w:p>
      <w:pPr>
        <w:spacing w:line="640" w:lineRule="exact"/>
        <w:ind w:firstLine="569" w:firstLineChars="177"/>
        <w:jc w:val="center"/>
        <w:rPr>
          <w:rFonts w:hint="default" w:ascii="宋体" w:hAnsi="宋体" w:eastAsia="宋体" w:cs="宋体"/>
          <w:b/>
          <w:bCs w:val="0"/>
          <w:color w:val="auto"/>
          <w:kern w:val="2"/>
          <w:sz w:val="32"/>
          <w:szCs w:val="28"/>
          <w:lang w:val="en-US" w:eastAsia="zh-CN" w:bidi="ar-SA"/>
        </w:rPr>
      </w:pPr>
      <w:r>
        <w:rPr>
          <w:rFonts w:hint="eastAsia" w:ascii="宋体" w:hAnsi="宋体" w:eastAsia="宋体" w:cs="宋体"/>
          <w:b/>
          <w:bCs w:val="0"/>
          <w:color w:val="auto"/>
          <w:kern w:val="2"/>
          <w:sz w:val="32"/>
          <w:szCs w:val="28"/>
          <w:highlight w:val="none"/>
          <w:lang w:val="en-US" w:eastAsia="zh-CN" w:bidi="ar-SA"/>
        </w:rPr>
        <w:t>中小企业声明函</w:t>
      </w:r>
    </w:p>
    <w:p>
      <w:pPr>
        <w:rPr>
          <w:b/>
          <w:sz w:val="32"/>
          <w:szCs w:val="32"/>
        </w:rPr>
      </w:pPr>
      <w:r>
        <w:rPr>
          <w:rFonts w:hint="eastAsia"/>
          <w:b/>
          <w:sz w:val="32"/>
          <w:szCs w:val="32"/>
        </w:rPr>
        <w:t>中、小微企业声明函（中、小、微型企业产品价格需扣除的须提供）</w:t>
      </w:r>
    </w:p>
    <w:p>
      <w:pPr>
        <w:spacing w:line="360" w:lineRule="auto"/>
        <w:ind w:firstLine="210"/>
        <w:rPr>
          <w:rFonts w:hint="eastAsia" w:ascii="宋体" w:hAnsi="宋体" w:eastAsia="黑体"/>
          <w:bCs/>
          <w:color w:val="000000"/>
          <w:sz w:val="24"/>
          <w:szCs w:val="24"/>
          <w:u w:val="single"/>
        </w:rPr>
      </w:pPr>
      <w:r>
        <w:rPr>
          <w:rFonts w:hint="eastAsia" w:ascii="宋体" w:hAnsi="宋体" w:eastAsia="黑体"/>
          <w:bCs/>
          <w:color w:val="000000"/>
          <w:sz w:val="24"/>
          <w:szCs w:val="24"/>
        </w:rPr>
        <w:t>项目编号、包号：</w:t>
      </w:r>
      <w:r>
        <w:rPr>
          <w:rFonts w:hint="eastAsia" w:ascii="宋体" w:hAnsi="宋体" w:eastAsia="黑体"/>
          <w:bCs/>
          <w:color w:val="000000"/>
          <w:sz w:val="24"/>
          <w:szCs w:val="24"/>
          <w:u w:val="single"/>
        </w:rPr>
        <w:t xml:space="preserve">                 </w:t>
      </w:r>
    </w:p>
    <w:p>
      <w:pPr>
        <w:spacing w:line="360" w:lineRule="auto"/>
        <w:ind w:firstLine="444" w:firstLineChars="200"/>
        <w:rPr>
          <w:rFonts w:hint="eastAsia" w:ascii="宋体" w:hAnsi="宋体"/>
          <w:color w:val="000000"/>
          <w:spacing w:val="6"/>
          <w:sz w:val="21"/>
          <w:szCs w:val="21"/>
        </w:rPr>
      </w:pPr>
      <w:r>
        <w:rPr>
          <w:rFonts w:hint="eastAsia" w:ascii="宋体" w:hAnsi="宋体"/>
          <w:color w:val="000000"/>
          <w:spacing w:val="6"/>
          <w:sz w:val="21"/>
          <w:szCs w:val="21"/>
        </w:rPr>
        <w:t>本公司郑重声明，根据《政府采购促进中小企业发展暂行办法》（财库[2011]181号）的规定，本公司为______（请填写：中型、小型、微型）企业。即，本公司同时满足以下条件：</w:t>
      </w:r>
    </w:p>
    <w:p>
      <w:pPr>
        <w:spacing w:line="360" w:lineRule="auto"/>
        <w:ind w:firstLine="444" w:firstLineChars="200"/>
        <w:rPr>
          <w:rFonts w:hint="eastAsia" w:ascii="宋体" w:hAnsi="宋体"/>
          <w:color w:val="000000"/>
          <w:spacing w:val="6"/>
          <w:sz w:val="21"/>
          <w:szCs w:val="21"/>
        </w:rPr>
      </w:pPr>
      <w:r>
        <w:rPr>
          <w:rFonts w:hint="eastAsia" w:ascii="宋体" w:hAnsi="宋体"/>
          <w:color w:val="000000"/>
          <w:spacing w:val="6"/>
          <w:sz w:val="21"/>
          <w:szCs w:val="21"/>
        </w:rPr>
        <w:t>1.根据《工业和信息化部、国家统计局、国家发展和改革委员会、财政部关于印发中小企业划型标准规定的通知》（工信部联企业[2011]300号）规定的划分标准，本公司为______（请填写：中型、小型、微型）企业。</w:t>
      </w:r>
    </w:p>
    <w:p>
      <w:pPr>
        <w:spacing w:line="360" w:lineRule="auto"/>
        <w:ind w:firstLine="444" w:firstLineChars="200"/>
        <w:rPr>
          <w:rFonts w:hint="eastAsia" w:ascii="宋体" w:hAnsi="宋体"/>
          <w:color w:val="000000"/>
          <w:spacing w:val="6"/>
          <w:sz w:val="21"/>
          <w:szCs w:val="21"/>
        </w:rPr>
      </w:pPr>
      <w:r>
        <w:rPr>
          <w:rFonts w:hint="eastAsia" w:ascii="宋体" w:hAnsi="宋体"/>
          <w:color w:val="000000"/>
          <w:spacing w:val="6"/>
          <w:sz w:val="21"/>
          <w:szCs w:val="21"/>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firstLine="444" w:firstLineChars="200"/>
        <w:rPr>
          <w:rFonts w:hint="eastAsia" w:ascii="宋体" w:hAnsi="宋体"/>
          <w:color w:val="000000"/>
          <w:spacing w:val="6"/>
          <w:sz w:val="21"/>
          <w:szCs w:val="21"/>
        </w:rPr>
      </w:pPr>
      <w:r>
        <w:rPr>
          <w:rFonts w:hint="eastAsia" w:ascii="宋体" w:hAnsi="宋体"/>
          <w:color w:val="000000"/>
          <w:spacing w:val="6"/>
          <w:sz w:val="21"/>
          <w:szCs w:val="21"/>
        </w:rPr>
        <w:t>本公司对上述声明的真实性负责。如有虚假，将依法承担相应责任。</w:t>
      </w:r>
    </w:p>
    <w:p>
      <w:pPr>
        <w:spacing w:line="360" w:lineRule="auto"/>
        <w:ind w:firstLine="5250" w:firstLineChars="2500"/>
        <w:rPr>
          <w:rFonts w:hint="eastAsia" w:ascii="宋体" w:hAnsi="宋体"/>
          <w:color w:val="000000"/>
          <w:sz w:val="21"/>
          <w:szCs w:val="21"/>
        </w:rPr>
      </w:pPr>
    </w:p>
    <w:p>
      <w:pPr>
        <w:pStyle w:val="19"/>
        <w:numPr>
          <w:ilvl w:val="0"/>
          <w:numId w:val="0"/>
        </w:numPr>
        <w:overflowPunct w:val="0"/>
        <w:snapToGrid w:val="0"/>
        <w:spacing w:line="360" w:lineRule="auto"/>
        <w:jc w:val="center"/>
        <w:rPr>
          <w:rFonts w:hint="eastAsia" w:ascii="宋体" w:hAnsi="宋体" w:cs="宋体"/>
          <w:color w:val="000000"/>
          <w:sz w:val="21"/>
          <w:szCs w:val="21"/>
        </w:rPr>
      </w:pPr>
    </w:p>
    <w:p>
      <w:pPr>
        <w:pStyle w:val="19"/>
        <w:numPr>
          <w:ilvl w:val="0"/>
          <w:numId w:val="0"/>
        </w:numPr>
        <w:overflowPunct w:val="0"/>
        <w:snapToGrid w:val="0"/>
        <w:spacing w:line="360" w:lineRule="auto"/>
        <w:jc w:val="center"/>
        <w:rPr>
          <w:rFonts w:hint="eastAsia" w:ascii="宋体" w:hAnsi="宋体" w:cs="宋体"/>
          <w:color w:val="000000"/>
          <w:sz w:val="21"/>
          <w:szCs w:val="21"/>
        </w:rPr>
      </w:pPr>
    </w:p>
    <w:p>
      <w:pPr>
        <w:pStyle w:val="19"/>
        <w:numPr>
          <w:ilvl w:val="0"/>
          <w:numId w:val="0"/>
        </w:numPr>
        <w:overflowPunct w:val="0"/>
        <w:snapToGrid w:val="0"/>
        <w:spacing w:line="360" w:lineRule="auto"/>
        <w:jc w:val="right"/>
        <w:rPr>
          <w:rFonts w:hint="default" w:ascii="宋体" w:hAnsi="宋体" w:eastAsia="宋体" w:cs="宋体"/>
          <w:b/>
          <w:bCs w:val="0"/>
          <w:color w:val="auto"/>
          <w:kern w:val="2"/>
          <w:sz w:val="21"/>
          <w:szCs w:val="21"/>
          <w:lang w:val="en-US" w:eastAsia="zh-CN" w:bidi="ar-SA"/>
        </w:rPr>
        <w:sectPr>
          <w:pgSz w:w="11906" w:h="16838"/>
          <w:pgMar w:top="1446" w:right="1219" w:bottom="1446" w:left="1219" w:header="283" w:footer="567" w:gutter="0"/>
          <w:pgNumType w:fmt="decimal"/>
          <w:cols w:space="720" w:num="1"/>
          <w:docGrid w:type="lines" w:linePitch="312" w:charSpace="0"/>
        </w:sectPr>
      </w:pPr>
      <w:r>
        <w:rPr>
          <w:rFonts w:hint="eastAsia" w:ascii="宋体" w:hAnsi="宋体" w:cs="宋体"/>
          <w:color w:val="000000"/>
          <w:sz w:val="21"/>
          <w:szCs w:val="21"/>
        </w:rPr>
        <w:t>日期：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28"/>
          <w:szCs w:val="24"/>
          <w:lang w:val="en-US" w:eastAsia="zh-CN" w:bidi="ar-SA"/>
        </w:r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28"/>
          <w:szCs w:val="24"/>
          <w:lang w:val="en-US" w:eastAsia="zh-CN" w:bidi="ar-SA"/>
        </w:rPr>
      </w:pPr>
      <w:r>
        <w:rPr>
          <w:rFonts w:hint="eastAsia" w:ascii="宋体" w:hAnsi="宋体" w:eastAsia="宋体" w:cs="宋体"/>
          <w:b/>
          <w:bCs w:val="0"/>
          <w:color w:val="auto"/>
          <w:kern w:val="2"/>
          <w:sz w:val="28"/>
          <w:szCs w:val="24"/>
          <w:lang w:val="en-US" w:eastAsia="zh-CN" w:bidi="ar-SA"/>
        </w:rPr>
        <w:t>附件</w:t>
      </w:r>
      <w:r>
        <w:rPr>
          <w:rFonts w:hint="eastAsia" w:ascii="宋体" w:hAnsi="宋体" w:cs="宋体"/>
          <w:b/>
          <w:bCs w:val="0"/>
          <w:color w:val="auto"/>
          <w:kern w:val="2"/>
          <w:sz w:val="28"/>
          <w:szCs w:val="24"/>
          <w:lang w:val="en-US" w:eastAsia="zh-CN" w:bidi="ar-SA"/>
        </w:rPr>
        <w:t>十八</w:t>
      </w:r>
    </w:p>
    <w:p>
      <w:pPr>
        <w:pStyle w:val="19"/>
        <w:numPr>
          <w:ilvl w:val="0"/>
          <w:numId w:val="0"/>
        </w:numPr>
        <w:overflowPunct w:val="0"/>
        <w:snapToGrid w:val="0"/>
        <w:spacing w:line="360" w:lineRule="auto"/>
        <w:jc w:val="center"/>
        <w:rPr>
          <w:rFonts w:hint="default" w:ascii="宋体" w:hAnsi="宋体" w:eastAsia="宋体" w:cs="宋体"/>
          <w:b/>
          <w:bCs w:val="0"/>
          <w:color w:val="auto"/>
          <w:kern w:val="2"/>
          <w:sz w:val="32"/>
          <w:szCs w:val="28"/>
          <w:lang w:val="en-US" w:eastAsia="zh-CN" w:bidi="ar-SA"/>
        </w:rPr>
      </w:pPr>
    </w:p>
    <w:p>
      <w:pPr>
        <w:pStyle w:val="19"/>
        <w:numPr>
          <w:ilvl w:val="0"/>
          <w:numId w:val="0"/>
        </w:numPr>
        <w:overflowPunct w:val="0"/>
        <w:snapToGrid w:val="0"/>
        <w:spacing w:line="360" w:lineRule="auto"/>
        <w:jc w:val="center"/>
        <w:rPr>
          <w:rFonts w:hint="default" w:ascii="宋体" w:hAnsi="宋体" w:eastAsia="宋体" w:cs="宋体"/>
          <w:b/>
          <w:bCs w:val="0"/>
          <w:color w:val="auto"/>
          <w:kern w:val="2"/>
          <w:sz w:val="32"/>
          <w:szCs w:val="28"/>
          <w:lang w:val="en-US" w:eastAsia="zh-CN" w:bidi="ar-SA"/>
        </w:rPr>
      </w:pPr>
      <w:r>
        <w:rPr>
          <w:rFonts w:hint="default" w:ascii="宋体" w:hAnsi="宋体" w:eastAsia="宋体" w:cs="宋体"/>
          <w:b/>
          <w:bCs w:val="0"/>
          <w:color w:val="auto"/>
          <w:kern w:val="2"/>
          <w:sz w:val="32"/>
          <w:szCs w:val="28"/>
          <w:lang w:val="en-US" w:eastAsia="zh-CN" w:bidi="ar-SA"/>
        </w:rPr>
        <w:t>投标人认为有必要提供的声明及文件资料</w:t>
      </w:r>
    </w:p>
    <w:p>
      <w:pPr>
        <w:rPr>
          <w:rFonts w:hint="default"/>
          <w:lang w:val="en-US" w:eastAsia="zh-CN"/>
        </w:rPr>
        <w:sectPr>
          <w:pgSz w:w="11906" w:h="16838"/>
          <w:pgMar w:top="1446" w:right="1219" w:bottom="1446" w:left="1219" w:header="283" w:footer="567" w:gutter="0"/>
          <w:pgNumType w:fmt="decimal"/>
          <w:cols w:space="720" w:num="1"/>
          <w:docGrid w:type="lines" w:linePitch="312" w:charSpace="0"/>
        </w:sectPr>
      </w:pPr>
    </w:p>
    <w:p>
      <w:pPr>
        <w:pStyle w:val="19"/>
        <w:numPr>
          <w:ilvl w:val="0"/>
          <w:numId w:val="0"/>
        </w:numPr>
        <w:overflowPunct w:val="0"/>
        <w:snapToGrid w:val="0"/>
        <w:spacing w:line="360" w:lineRule="auto"/>
        <w:jc w:val="both"/>
        <w:rPr>
          <w:rFonts w:hint="eastAsia" w:ascii="宋体" w:hAnsi="宋体" w:eastAsia="宋体" w:cs="宋体"/>
          <w:b/>
          <w:bCs w:val="0"/>
          <w:color w:val="auto"/>
          <w:kern w:val="2"/>
          <w:sz w:val="32"/>
          <w:szCs w:val="28"/>
          <w:lang w:val="en-US" w:eastAsia="zh-CN" w:bidi="ar-SA"/>
        </w:rPr>
      </w:pPr>
    </w:p>
    <w:p>
      <w:pPr>
        <w:rPr>
          <w:rFonts w:hint="eastAsia"/>
          <w:lang w:val="en-US" w:eastAsia="zh-CN"/>
        </w:rPr>
      </w:pPr>
    </w:p>
    <w:p>
      <w:pPr>
        <w:pStyle w:val="19"/>
        <w:numPr>
          <w:ilvl w:val="0"/>
          <w:numId w:val="0"/>
        </w:numPr>
        <w:overflowPunct w:val="0"/>
        <w:snapToGrid w:val="0"/>
        <w:spacing w:line="360" w:lineRule="auto"/>
        <w:jc w:val="both"/>
        <w:rPr>
          <w:rFonts w:hint="default" w:ascii="宋体" w:hAnsi="宋体" w:eastAsia="宋体" w:cs="宋体"/>
          <w:b/>
          <w:bCs w:val="0"/>
          <w:color w:val="auto"/>
          <w:kern w:val="2"/>
          <w:sz w:val="28"/>
          <w:szCs w:val="24"/>
          <w:lang w:val="en-US" w:eastAsia="zh-CN" w:bidi="ar-SA"/>
        </w:rPr>
      </w:pPr>
      <w:r>
        <w:rPr>
          <w:rFonts w:hint="eastAsia" w:ascii="宋体" w:hAnsi="宋体" w:eastAsia="宋体" w:cs="宋体"/>
          <w:b/>
          <w:bCs w:val="0"/>
          <w:color w:val="auto"/>
          <w:kern w:val="2"/>
          <w:sz w:val="28"/>
          <w:szCs w:val="24"/>
          <w:lang w:val="en-US" w:eastAsia="zh-CN" w:bidi="ar-SA"/>
        </w:rPr>
        <w:t>附件</w:t>
      </w:r>
      <w:r>
        <w:rPr>
          <w:rFonts w:hint="eastAsia" w:ascii="宋体" w:hAnsi="宋体" w:cs="宋体"/>
          <w:b/>
          <w:bCs w:val="0"/>
          <w:color w:val="auto"/>
          <w:kern w:val="2"/>
          <w:sz w:val="28"/>
          <w:szCs w:val="24"/>
          <w:lang w:val="en-US" w:eastAsia="zh-CN" w:bidi="ar-SA"/>
        </w:rPr>
        <w:t>十九</w:t>
      </w:r>
    </w:p>
    <w:p>
      <w:pPr>
        <w:widowControl/>
        <w:adjustRightInd w:val="0"/>
        <w:snapToGrid w:val="0"/>
        <w:spacing w:line="360" w:lineRule="auto"/>
        <w:jc w:val="center"/>
        <w:rPr>
          <w:rFonts w:hint="eastAsia" w:ascii="宋体" w:hAnsi="宋体" w:eastAsia="宋体" w:cs="宋体"/>
          <w:b/>
          <w:bCs w:val="0"/>
          <w:color w:val="auto"/>
          <w:kern w:val="2"/>
          <w:sz w:val="32"/>
          <w:szCs w:val="28"/>
          <w:lang w:val="en-US" w:eastAsia="zh-CN" w:bidi="ar-SA"/>
        </w:rPr>
      </w:pPr>
      <w:r>
        <w:rPr>
          <w:rFonts w:hint="eastAsia" w:ascii="宋体" w:hAnsi="宋体" w:eastAsia="宋体" w:cs="宋体"/>
          <w:b/>
          <w:bCs w:val="0"/>
          <w:color w:val="auto"/>
          <w:kern w:val="2"/>
          <w:sz w:val="32"/>
          <w:szCs w:val="28"/>
          <w:lang w:val="en-US" w:eastAsia="zh-CN" w:bidi="ar-SA"/>
        </w:rPr>
        <w:t>技术方案</w:t>
      </w:r>
    </w:p>
    <w:p>
      <w:pPr>
        <w:spacing w:line="440" w:lineRule="exact"/>
        <w:jc w:val="center"/>
        <w:rPr>
          <w:rFonts w:hAnsi="宋体" w:cs="宋体"/>
          <w:b/>
          <w:bCs/>
          <w:color w:val="auto"/>
          <w:sz w:val="32"/>
          <w:szCs w:val="22"/>
          <w:highlight w:val="none"/>
        </w:rPr>
      </w:pPr>
      <w:r>
        <w:rPr>
          <w:rFonts w:hAnsi="宋体" w:cs="宋体"/>
          <w:b/>
          <w:bCs/>
          <w:color w:val="auto"/>
          <w:sz w:val="32"/>
          <w:szCs w:val="22"/>
          <w:highlight w:val="none"/>
        </w:rPr>
        <w:t>（根据需要编写，格式自制）</w:t>
      </w:r>
    </w:p>
    <w:p>
      <w:pPr>
        <w:spacing w:line="440" w:lineRule="exact"/>
        <w:ind w:firstLine="480" w:firstLineChars="200"/>
        <w:rPr>
          <w:rFonts w:hAnsi="宋体" w:cs="宋体"/>
          <w:color w:val="auto"/>
          <w:sz w:val="24"/>
          <w:highlight w:val="none"/>
        </w:rPr>
      </w:pPr>
    </w:p>
    <w:p>
      <w:pPr>
        <w:spacing w:line="440" w:lineRule="exact"/>
        <w:ind w:firstLine="420" w:firstLineChars="200"/>
        <w:outlineLvl w:val="2"/>
        <w:rPr>
          <w:rFonts w:hAnsi="宋体" w:cs="宋体"/>
          <w:color w:val="auto"/>
          <w:sz w:val="21"/>
          <w:szCs w:val="21"/>
          <w:highlight w:val="none"/>
        </w:rPr>
      </w:pPr>
      <w:bookmarkStart w:id="500" w:name="_Toc6353"/>
      <w:r>
        <w:rPr>
          <w:rFonts w:hAnsi="宋体" w:cs="宋体"/>
          <w:color w:val="auto"/>
          <w:sz w:val="21"/>
          <w:szCs w:val="21"/>
          <w:highlight w:val="none"/>
        </w:rPr>
        <w:t>1、 项目</w:t>
      </w:r>
      <w:r>
        <w:rPr>
          <w:rFonts w:hint="eastAsia" w:hAnsi="宋体" w:cs="宋体"/>
          <w:color w:val="auto"/>
          <w:sz w:val="21"/>
          <w:szCs w:val="21"/>
          <w:highlight w:val="none"/>
          <w:lang w:val="en-US" w:eastAsia="zh-CN"/>
        </w:rPr>
        <w:t>技术</w:t>
      </w:r>
      <w:r>
        <w:rPr>
          <w:rFonts w:hAnsi="宋体" w:cs="宋体"/>
          <w:color w:val="auto"/>
          <w:sz w:val="21"/>
          <w:szCs w:val="21"/>
          <w:highlight w:val="none"/>
        </w:rPr>
        <w:t>方案；</w:t>
      </w:r>
      <w:bookmarkEnd w:id="500"/>
    </w:p>
    <w:p>
      <w:pPr>
        <w:spacing w:line="440" w:lineRule="exact"/>
        <w:ind w:firstLine="420" w:firstLineChars="200"/>
        <w:rPr>
          <w:rFonts w:hAnsi="宋体" w:cs="宋体"/>
          <w:color w:val="auto"/>
          <w:sz w:val="21"/>
          <w:szCs w:val="21"/>
          <w:highlight w:val="none"/>
        </w:rPr>
      </w:pPr>
    </w:p>
    <w:p>
      <w:pPr>
        <w:spacing w:line="440" w:lineRule="exact"/>
        <w:ind w:firstLine="420" w:firstLineChars="200"/>
        <w:rPr>
          <w:rFonts w:hAnsi="宋体" w:cs="宋体"/>
          <w:color w:val="auto"/>
          <w:sz w:val="21"/>
          <w:szCs w:val="21"/>
          <w:highlight w:val="none"/>
        </w:rPr>
      </w:pPr>
    </w:p>
    <w:p>
      <w:pPr>
        <w:spacing w:line="44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rPr>
        <w:t>）</w:t>
      </w:r>
      <w:r>
        <w:rPr>
          <w:rFonts w:hAnsi="宋体" w:cs="宋体"/>
          <w:color w:val="auto"/>
          <w:sz w:val="21"/>
          <w:szCs w:val="21"/>
          <w:highlight w:val="none"/>
        </w:rPr>
        <w:t>对本项目背景和工作内容的理解和分析（格式自拟）</w:t>
      </w:r>
    </w:p>
    <w:p>
      <w:pPr>
        <w:spacing w:line="440" w:lineRule="exact"/>
        <w:ind w:left="0" w:leftChars="0" w:firstLine="0" w:firstLineChars="0"/>
        <w:rPr>
          <w:rFonts w:hAnsi="宋体" w:cs="宋体"/>
          <w:color w:val="auto"/>
          <w:sz w:val="21"/>
          <w:szCs w:val="21"/>
          <w:highlight w:val="none"/>
        </w:rPr>
      </w:pPr>
    </w:p>
    <w:p>
      <w:pPr>
        <w:spacing w:line="44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w:t>
      </w:r>
      <w:r>
        <w:rPr>
          <w:rFonts w:hint="eastAsia" w:hAnsi="宋体" w:cs="宋体"/>
          <w:color w:val="auto"/>
          <w:sz w:val="21"/>
          <w:szCs w:val="21"/>
          <w:highlight w:val="none"/>
          <w:lang w:val="en-US" w:eastAsia="zh-CN"/>
        </w:rPr>
        <w:t>2</w:t>
      </w:r>
      <w:r>
        <w:rPr>
          <w:rFonts w:hint="eastAsia" w:hAnsi="宋体" w:cs="宋体"/>
          <w:color w:val="auto"/>
          <w:sz w:val="21"/>
          <w:szCs w:val="21"/>
          <w:highlight w:val="none"/>
        </w:rPr>
        <w:t>）</w:t>
      </w:r>
      <w:r>
        <w:rPr>
          <w:rFonts w:hAnsi="宋体" w:cs="宋体"/>
          <w:color w:val="auto"/>
          <w:sz w:val="21"/>
          <w:szCs w:val="21"/>
          <w:highlight w:val="none"/>
        </w:rPr>
        <w:t>项目实施和安排计划（格式自拟）</w:t>
      </w:r>
    </w:p>
    <w:p>
      <w:pPr>
        <w:spacing w:line="440" w:lineRule="exact"/>
        <w:ind w:firstLine="420" w:firstLineChars="200"/>
        <w:rPr>
          <w:rFonts w:hAnsi="宋体" w:cs="宋体"/>
          <w:color w:val="auto"/>
          <w:sz w:val="21"/>
          <w:szCs w:val="21"/>
          <w:highlight w:val="none"/>
        </w:rPr>
      </w:pPr>
    </w:p>
    <w:p>
      <w:pPr>
        <w:spacing w:line="44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w:t>
      </w:r>
      <w:r>
        <w:rPr>
          <w:rFonts w:hint="eastAsia" w:hAnsi="宋体" w:cs="宋体"/>
          <w:color w:val="auto"/>
          <w:sz w:val="21"/>
          <w:szCs w:val="21"/>
          <w:highlight w:val="none"/>
          <w:lang w:val="en-US" w:eastAsia="zh-CN"/>
        </w:rPr>
        <w:t>3</w:t>
      </w:r>
      <w:r>
        <w:rPr>
          <w:rFonts w:hint="eastAsia" w:hAnsi="宋体" w:cs="宋体"/>
          <w:color w:val="auto"/>
          <w:sz w:val="21"/>
          <w:szCs w:val="21"/>
          <w:highlight w:val="none"/>
        </w:rPr>
        <w:t>）</w:t>
      </w:r>
      <w:r>
        <w:rPr>
          <w:rFonts w:hAnsi="宋体" w:cs="宋体"/>
          <w:color w:val="auto"/>
          <w:sz w:val="21"/>
          <w:szCs w:val="21"/>
          <w:highlight w:val="none"/>
        </w:rPr>
        <w:t>拟投入的人员及主要人员的简历，可附表说明；</w:t>
      </w:r>
    </w:p>
    <w:p>
      <w:pPr>
        <w:spacing w:line="440" w:lineRule="exact"/>
        <w:ind w:firstLine="420" w:firstLineChars="200"/>
        <w:rPr>
          <w:rFonts w:hAnsi="宋体" w:cs="宋体"/>
          <w:color w:val="auto"/>
          <w:sz w:val="21"/>
          <w:szCs w:val="21"/>
          <w:highlight w:val="none"/>
        </w:rPr>
      </w:pPr>
    </w:p>
    <w:p>
      <w:pPr>
        <w:numPr>
          <w:ilvl w:val="0"/>
          <w:numId w:val="0"/>
        </w:numPr>
        <w:spacing w:line="440" w:lineRule="exact"/>
        <w:ind w:leftChars="200" w:right="62" w:rightChars="0"/>
        <w:rPr>
          <w:rFonts w:hAnsi="宋体" w:cs="宋体"/>
          <w:color w:val="auto"/>
          <w:sz w:val="21"/>
          <w:szCs w:val="21"/>
          <w:highlight w:val="none"/>
        </w:rPr>
      </w:pPr>
      <w:r>
        <w:rPr>
          <w:rFonts w:hint="eastAsia" w:hAnsi="宋体" w:cs="宋体"/>
          <w:color w:val="auto"/>
          <w:sz w:val="21"/>
          <w:szCs w:val="21"/>
          <w:highlight w:val="none"/>
        </w:rPr>
        <w:t>（</w:t>
      </w:r>
      <w:r>
        <w:rPr>
          <w:rFonts w:hint="eastAsia" w:hAnsi="宋体" w:cs="宋体"/>
          <w:color w:val="auto"/>
          <w:sz w:val="21"/>
          <w:szCs w:val="21"/>
          <w:highlight w:val="none"/>
          <w:lang w:val="en-US" w:eastAsia="zh-CN"/>
        </w:rPr>
        <w:t>4</w:t>
      </w:r>
      <w:r>
        <w:rPr>
          <w:rFonts w:hint="eastAsia" w:hAnsi="宋体" w:cs="宋体"/>
          <w:color w:val="auto"/>
          <w:sz w:val="21"/>
          <w:szCs w:val="21"/>
          <w:highlight w:val="none"/>
        </w:rPr>
        <w:t>）</w:t>
      </w:r>
      <w:r>
        <w:rPr>
          <w:rFonts w:hAnsi="宋体" w:cs="宋体"/>
          <w:color w:val="auto"/>
          <w:sz w:val="21"/>
          <w:szCs w:val="21"/>
          <w:highlight w:val="none"/>
        </w:rPr>
        <w:t>其他证明文件复印件。</w:t>
      </w:r>
    </w:p>
    <w:p>
      <w:pPr>
        <w:spacing w:line="440" w:lineRule="exact"/>
        <w:ind w:firstLine="420" w:firstLineChars="200"/>
        <w:rPr>
          <w:rFonts w:hAnsi="宋体" w:cs="宋体"/>
          <w:color w:val="auto"/>
          <w:sz w:val="21"/>
          <w:szCs w:val="21"/>
          <w:highlight w:val="none"/>
        </w:rPr>
      </w:pPr>
    </w:p>
    <w:p>
      <w:pPr>
        <w:spacing w:line="440" w:lineRule="exact"/>
        <w:ind w:firstLine="420" w:firstLineChars="200"/>
        <w:rPr>
          <w:rFonts w:hAnsi="宋体" w:cs="宋体"/>
          <w:color w:val="auto"/>
          <w:sz w:val="21"/>
          <w:szCs w:val="21"/>
          <w:highlight w:val="none"/>
        </w:rPr>
      </w:pPr>
    </w:p>
    <w:p>
      <w:pPr>
        <w:spacing w:line="440" w:lineRule="exact"/>
        <w:ind w:firstLine="420" w:firstLineChars="200"/>
        <w:rPr>
          <w:rFonts w:hAnsi="宋体" w:cs="宋体"/>
          <w:color w:val="auto"/>
          <w:sz w:val="21"/>
          <w:szCs w:val="21"/>
          <w:highlight w:val="none"/>
        </w:rPr>
      </w:pPr>
      <w:r>
        <w:rPr>
          <w:rFonts w:hAnsi="宋体" w:cs="宋体"/>
          <w:color w:val="auto"/>
          <w:sz w:val="21"/>
          <w:szCs w:val="21"/>
          <w:highlight w:val="none"/>
        </w:rPr>
        <w:t>上述内容仅供参考，如有不足，请自行补充提供。</w:t>
      </w:r>
    </w:p>
    <w:p>
      <w:pPr>
        <w:pStyle w:val="68"/>
        <w:rPr>
          <w:rFonts w:hint="eastAsia" w:ascii="宋体" w:hAnsi="宋体" w:eastAsia="宋体" w:cs="宋体"/>
          <w:b/>
          <w:bCs w:val="0"/>
          <w:color w:val="auto"/>
          <w:kern w:val="2"/>
          <w:sz w:val="24"/>
          <w:szCs w:val="22"/>
          <w:lang w:val="en-US" w:eastAsia="zh-CN" w:bidi="ar-SA"/>
        </w:rPr>
        <w:sectPr>
          <w:pgSz w:w="11906" w:h="16838"/>
          <w:pgMar w:top="1446" w:right="1219" w:bottom="1446" w:left="1219" w:header="283" w:footer="567" w:gutter="0"/>
          <w:pgNumType w:fmt="decimal"/>
          <w:cols w:space="720" w:num="1"/>
          <w:docGrid w:type="lines" w:linePitch="312" w:charSpace="0"/>
        </w:sectPr>
      </w:pPr>
    </w:p>
    <w:p>
      <w:pPr>
        <w:jc w:val="both"/>
        <w:rPr>
          <w:rFonts w:hint="eastAsia" w:ascii="宋体" w:hAnsi="宋体" w:cs="宋体"/>
          <w:b/>
          <w:bCs w:val="0"/>
          <w:color w:val="auto"/>
          <w:kern w:val="2"/>
          <w:sz w:val="28"/>
          <w:szCs w:val="24"/>
          <w:lang w:val="en-US" w:eastAsia="zh-CN" w:bidi="ar-SA"/>
        </w:rPr>
      </w:pPr>
    </w:p>
    <w:p>
      <w:pPr>
        <w:jc w:val="both"/>
        <w:outlineLvl w:val="1"/>
        <w:rPr>
          <w:rFonts w:hint="eastAsia" w:ascii="宋体" w:hAnsi="宋体" w:cs="宋体"/>
          <w:b/>
          <w:bCs w:val="0"/>
          <w:color w:val="auto"/>
          <w:kern w:val="2"/>
          <w:sz w:val="28"/>
          <w:szCs w:val="24"/>
          <w:lang w:val="en-US" w:eastAsia="zh-CN" w:bidi="ar-SA"/>
        </w:rPr>
      </w:pPr>
      <w:bookmarkStart w:id="501" w:name="_Toc31589"/>
      <w:r>
        <w:rPr>
          <w:rFonts w:hint="eastAsia" w:ascii="宋体" w:hAnsi="宋体" w:cs="宋体"/>
          <w:b/>
          <w:bCs w:val="0"/>
          <w:color w:val="auto"/>
          <w:kern w:val="2"/>
          <w:sz w:val="28"/>
          <w:szCs w:val="24"/>
          <w:lang w:val="en-US" w:eastAsia="zh-CN" w:bidi="ar-SA"/>
        </w:rPr>
        <w:t>附件二十</w:t>
      </w:r>
      <w:bookmarkEnd w:id="501"/>
    </w:p>
    <w:p>
      <w:pPr>
        <w:jc w:val="center"/>
        <w:rPr>
          <w:rFonts w:hint="eastAsia" w:ascii="宋体" w:hAnsi="宋体" w:cs="宋体"/>
          <w:b/>
          <w:bCs w:val="0"/>
          <w:color w:val="auto"/>
          <w:kern w:val="2"/>
          <w:sz w:val="32"/>
          <w:szCs w:val="28"/>
          <w:lang w:val="en-US" w:eastAsia="zh-CN" w:bidi="ar-SA"/>
        </w:rPr>
      </w:pPr>
    </w:p>
    <w:p>
      <w:pPr>
        <w:jc w:val="center"/>
        <w:rPr>
          <w:rFonts w:hint="eastAsia" w:ascii="宋体" w:hAnsi="宋体" w:cs="宋体"/>
          <w:b/>
          <w:bCs w:val="0"/>
          <w:color w:val="auto"/>
          <w:kern w:val="2"/>
          <w:sz w:val="32"/>
          <w:szCs w:val="28"/>
          <w:lang w:val="en-US" w:eastAsia="zh-CN" w:bidi="ar-SA"/>
        </w:rPr>
      </w:pPr>
      <w:r>
        <w:rPr>
          <w:rFonts w:hint="eastAsia" w:ascii="宋体" w:hAnsi="宋体" w:cs="宋体"/>
          <w:b/>
          <w:bCs w:val="0"/>
          <w:color w:val="auto"/>
          <w:kern w:val="2"/>
          <w:sz w:val="32"/>
          <w:szCs w:val="28"/>
          <w:lang w:val="en-US" w:eastAsia="zh-CN" w:bidi="ar-SA"/>
        </w:rPr>
        <w:t>服务承诺书</w:t>
      </w:r>
    </w:p>
    <w:p>
      <w:pPr>
        <w:jc w:val="center"/>
        <w:rPr>
          <w:rFonts w:hint="default" w:ascii="宋体" w:hAnsi="宋体" w:cs="宋体"/>
          <w:b/>
          <w:bCs w:val="0"/>
          <w:color w:val="auto"/>
          <w:kern w:val="2"/>
          <w:sz w:val="32"/>
          <w:szCs w:val="28"/>
          <w:lang w:val="en-US" w:eastAsia="zh-CN" w:bidi="ar-SA"/>
        </w:rPr>
        <w:sectPr>
          <w:pgSz w:w="11906" w:h="16838"/>
          <w:pgMar w:top="1446" w:right="1219" w:bottom="1446" w:left="1219" w:header="283" w:footer="567" w:gutter="0"/>
          <w:pgNumType w:fmt="decimal"/>
          <w:cols w:space="720" w:num="1"/>
          <w:docGrid w:type="lines" w:linePitch="312" w:charSpace="0"/>
        </w:sectPr>
      </w:pPr>
      <w:r>
        <w:rPr>
          <w:rFonts w:hint="eastAsia" w:ascii="宋体" w:hAnsi="宋体" w:cs="宋体"/>
          <w:b/>
          <w:bCs w:val="0"/>
          <w:color w:val="auto"/>
          <w:kern w:val="2"/>
          <w:sz w:val="32"/>
          <w:szCs w:val="28"/>
          <w:lang w:val="en-US" w:eastAsia="zh-CN" w:bidi="ar-SA"/>
        </w:rPr>
        <w:t>根据本项目的情况，给出服务承诺；格式自拟。</w:t>
      </w:r>
    </w:p>
    <w:p>
      <w:pPr>
        <w:jc w:val="both"/>
        <w:rPr>
          <w:rFonts w:hint="eastAsia" w:ascii="宋体" w:hAnsi="宋体" w:eastAsia="宋体" w:cs="宋体"/>
          <w:b/>
          <w:bCs w:val="0"/>
          <w:color w:val="auto"/>
          <w:kern w:val="2"/>
          <w:sz w:val="28"/>
          <w:szCs w:val="24"/>
          <w:lang w:val="en-US" w:eastAsia="zh-CN" w:bidi="ar-SA"/>
        </w:rPr>
      </w:pPr>
    </w:p>
    <w:p>
      <w:pPr>
        <w:jc w:val="both"/>
        <w:rPr>
          <w:rFonts w:hint="eastAsia" w:ascii="宋体" w:hAnsi="宋体" w:eastAsia="宋体" w:cs="宋体"/>
          <w:b/>
          <w:bCs w:val="0"/>
          <w:color w:val="auto"/>
          <w:kern w:val="2"/>
          <w:sz w:val="28"/>
          <w:szCs w:val="24"/>
          <w:lang w:val="en-US" w:eastAsia="zh-CN" w:bidi="ar-SA"/>
        </w:rPr>
      </w:pPr>
      <w:r>
        <w:rPr>
          <w:rFonts w:hint="eastAsia" w:ascii="宋体" w:hAnsi="宋体" w:eastAsia="宋体" w:cs="宋体"/>
          <w:b/>
          <w:bCs w:val="0"/>
          <w:color w:val="auto"/>
          <w:kern w:val="2"/>
          <w:sz w:val="28"/>
          <w:szCs w:val="24"/>
          <w:lang w:val="en-US" w:eastAsia="zh-CN" w:bidi="ar-SA"/>
        </w:rPr>
        <w:t>附件二十</w:t>
      </w:r>
      <w:r>
        <w:rPr>
          <w:rFonts w:hint="eastAsia" w:ascii="宋体" w:hAnsi="宋体" w:cs="宋体"/>
          <w:b/>
          <w:bCs w:val="0"/>
          <w:color w:val="auto"/>
          <w:kern w:val="2"/>
          <w:sz w:val="28"/>
          <w:szCs w:val="24"/>
          <w:lang w:val="en-US" w:eastAsia="zh-CN" w:bidi="ar-SA"/>
        </w:rPr>
        <w:t>一</w:t>
      </w:r>
    </w:p>
    <w:p>
      <w:pPr>
        <w:jc w:val="center"/>
        <w:rPr>
          <w:rFonts w:hint="eastAsia" w:ascii="宋体" w:hAnsi="宋体" w:cs="宋体"/>
          <w:b/>
          <w:bCs w:val="0"/>
          <w:color w:val="auto"/>
          <w:kern w:val="2"/>
          <w:sz w:val="32"/>
          <w:szCs w:val="28"/>
          <w:lang w:val="en-US" w:eastAsia="zh-CN" w:bidi="ar-SA"/>
        </w:rPr>
      </w:pPr>
      <w:r>
        <w:rPr>
          <w:rFonts w:hint="eastAsia" w:ascii="宋体" w:hAnsi="宋体" w:cs="宋体"/>
          <w:b/>
          <w:bCs w:val="0"/>
          <w:color w:val="auto"/>
          <w:kern w:val="2"/>
          <w:sz w:val="32"/>
          <w:szCs w:val="28"/>
          <w:lang w:val="en-US" w:eastAsia="zh-CN" w:bidi="ar-SA"/>
        </w:rPr>
        <w:t>本项目负责人简历表</w:t>
      </w:r>
    </w:p>
    <w:p>
      <w:pPr>
        <w:pStyle w:val="81"/>
        <w:rPr>
          <w:rFonts w:hint="default"/>
          <w:lang w:val="en-US" w:eastAsia="zh-CN"/>
        </w:rPr>
      </w:pPr>
    </w:p>
    <w:tbl>
      <w:tblPr>
        <w:tblStyle w:val="69"/>
        <w:tblW w:w="87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36"/>
        <w:gridCol w:w="1755"/>
        <w:gridCol w:w="975"/>
        <w:gridCol w:w="2130"/>
        <w:gridCol w:w="915"/>
        <w:gridCol w:w="1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性别</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年龄</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职务</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职称</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学历</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参加工作时间</w:t>
            </w:r>
          </w:p>
        </w:tc>
        <w:tc>
          <w:tcPr>
            <w:tcW w:w="273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担任项目经理年限</w:t>
            </w:r>
          </w:p>
        </w:tc>
        <w:tc>
          <w:tcPr>
            <w:tcW w:w="232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职称证书</w:t>
            </w:r>
          </w:p>
        </w:tc>
        <w:tc>
          <w:tcPr>
            <w:tcW w:w="273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证书编号</w:t>
            </w:r>
          </w:p>
        </w:tc>
        <w:tc>
          <w:tcPr>
            <w:tcW w:w="232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8721"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类似项目业绩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招标单位</w:t>
            </w:r>
          </w:p>
        </w:tc>
        <w:tc>
          <w:tcPr>
            <w:tcW w:w="17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项目名称</w:t>
            </w:r>
          </w:p>
        </w:tc>
        <w:tc>
          <w:tcPr>
            <w:tcW w:w="310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规模</w:t>
            </w:r>
          </w:p>
        </w:tc>
        <w:tc>
          <w:tcPr>
            <w:tcW w:w="232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合同价/结算价（万元）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310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232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310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232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310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232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310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232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5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310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232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bl>
    <w:p>
      <w:pPr>
        <w:rPr>
          <w:rFonts w:hint="default"/>
          <w:b/>
          <w:bCs/>
          <w:sz w:val="24"/>
          <w:szCs w:val="22"/>
          <w:lang w:val="en-US" w:eastAsia="zh-CN"/>
        </w:rPr>
        <w:sectPr>
          <w:pgSz w:w="11906" w:h="16838"/>
          <w:pgMar w:top="1446" w:right="1219" w:bottom="1446" w:left="1219" w:header="283" w:footer="567" w:gutter="0"/>
          <w:pgNumType w:fmt="decimal"/>
          <w:cols w:space="720" w:num="1"/>
          <w:docGrid w:type="lines" w:linePitch="312" w:charSpace="0"/>
        </w:sectPr>
      </w:pPr>
      <w:r>
        <w:rPr>
          <w:rFonts w:hint="eastAsia"/>
          <w:b/>
          <w:bCs/>
          <w:sz w:val="24"/>
          <w:szCs w:val="22"/>
          <w:lang w:val="en-US" w:eastAsia="zh-CN"/>
        </w:rPr>
        <w:t>后附项目负责人相关证件、劳务合同及社保</w:t>
      </w:r>
    </w:p>
    <w:p>
      <w:pPr>
        <w:jc w:val="both"/>
        <w:rPr>
          <w:rFonts w:hint="default" w:ascii="宋体" w:hAnsi="宋体" w:eastAsia="宋体" w:cs="宋体"/>
          <w:b/>
          <w:bCs w:val="0"/>
          <w:color w:val="auto"/>
          <w:kern w:val="2"/>
          <w:sz w:val="28"/>
          <w:szCs w:val="24"/>
          <w:lang w:val="en-US" w:eastAsia="zh-CN" w:bidi="ar-SA"/>
        </w:rPr>
      </w:pPr>
      <w:r>
        <w:rPr>
          <w:rFonts w:hint="eastAsia" w:ascii="宋体" w:hAnsi="宋体" w:eastAsia="宋体" w:cs="宋体"/>
          <w:b/>
          <w:bCs w:val="0"/>
          <w:color w:val="auto"/>
          <w:kern w:val="2"/>
          <w:sz w:val="28"/>
          <w:szCs w:val="24"/>
          <w:lang w:val="en-US" w:eastAsia="zh-CN" w:bidi="ar-SA"/>
        </w:rPr>
        <w:t>附件二十</w:t>
      </w:r>
      <w:r>
        <w:rPr>
          <w:rFonts w:hint="eastAsia" w:ascii="宋体" w:hAnsi="宋体" w:cs="宋体"/>
          <w:b/>
          <w:bCs w:val="0"/>
          <w:color w:val="auto"/>
          <w:kern w:val="2"/>
          <w:sz w:val="28"/>
          <w:szCs w:val="24"/>
          <w:lang w:val="en-US" w:eastAsia="zh-CN" w:bidi="ar-SA"/>
        </w:rPr>
        <w:t>二</w:t>
      </w:r>
    </w:p>
    <w:p>
      <w:pPr>
        <w:widowControl/>
        <w:adjustRightInd w:val="0"/>
        <w:snapToGrid w:val="0"/>
        <w:spacing w:line="360" w:lineRule="auto"/>
        <w:jc w:val="center"/>
        <w:rPr>
          <w:rFonts w:hint="eastAsia" w:ascii="宋体" w:hAnsi="宋体" w:eastAsia="宋体" w:cs="宋体"/>
          <w:b/>
          <w:bCs w:val="0"/>
          <w:color w:val="auto"/>
          <w:kern w:val="2"/>
          <w:sz w:val="32"/>
          <w:szCs w:val="28"/>
          <w:lang w:val="en-US" w:eastAsia="zh-CN" w:bidi="ar-SA"/>
        </w:rPr>
      </w:pPr>
      <w:r>
        <w:rPr>
          <w:rFonts w:hint="eastAsia" w:ascii="宋体" w:hAnsi="宋体" w:eastAsia="宋体" w:cs="宋体"/>
          <w:b/>
          <w:bCs w:val="0"/>
          <w:color w:val="auto"/>
          <w:kern w:val="2"/>
          <w:sz w:val="32"/>
          <w:szCs w:val="28"/>
          <w:lang w:val="en-US" w:eastAsia="zh-CN" w:bidi="ar-SA"/>
        </w:rPr>
        <w:t>人员配置</w:t>
      </w:r>
    </w:p>
    <w:p>
      <w:pPr>
        <w:pStyle w:val="81"/>
        <w:rPr>
          <w:rFonts w:hint="eastAsia" w:ascii="宋体" w:hAnsi="宋体" w:eastAsia="宋体" w:cs="宋体"/>
          <w:b/>
          <w:bCs w:val="0"/>
          <w:color w:val="auto"/>
          <w:kern w:val="2"/>
          <w:sz w:val="32"/>
          <w:szCs w:val="28"/>
          <w:lang w:val="en-US" w:eastAsia="zh-CN" w:bidi="ar-SA"/>
        </w:rPr>
      </w:pPr>
    </w:p>
    <w:tbl>
      <w:tblPr>
        <w:tblStyle w:val="69"/>
        <w:tblW w:w="92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5"/>
        <w:gridCol w:w="1395"/>
        <w:gridCol w:w="1260"/>
        <w:gridCol w:w="1890"/>
        <w:gridCol w:w="1965"/>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39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职务</w:t>
            </w:r>
          </w:p>
        </w:tc>
        <w:tc>
          <w:tcPr>
            <w:tcW w:w="126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姓名</w:t>
            </w:r>
          </w:p>
        </w:tc>
        <w:tc>
          <w:tcPr>
            <w:tcW w:w="189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技术职称</w:t>
            </w:r>
          </w:p>
        </w:tc>
        <w:tc>
          <w:tcPr>
            <w:tcW w:w="393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执业或职业资格证明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39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26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89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证书</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证号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r>
    </w:tbl>
    <w:p>
      <w:pPr>
        <w:rPr>
          <w:rFonts w:hint="default"/>
          <w:b/>
          <w:bCs/>
          <w:sz w:val="24"/>
          <w:szCs w:val="22"/>
          <w:lang w:val="en-US" w:eastAsia="zh-CN"/>
        </w:rPr>
        <w:sectPr>
          <w:pgSz w:w="11906" w:h="16838"/>
          <w:pgMar w:top="1446" w:right="1219" w:bottom="1446" w:left="1219" w:header="283" w:footer="567" w:gutter="0"/>
          <w:pgNumType w:fmt="decimal"/>
          <w:cols w:space="720" w:num="1"/>
          <w:docGrid w:type="lines" w:linePitch="312" w:charSpace="0"/>
        </w:sectPr>
      </w:pPr>
      <w:r>
        <w:rPr>
          <w:rFonts w:hint="eastAsia"/>
          <w:b/>
          <w:bCs/>
          <w:sz w:val="24"/>
          <w:szCs w:val="22"/>
          <w:lang w:val="en-US" w:eastAsia="zh-CN"/>
        </w:rPr>
        <w:t>后附人员相关证</w:t>
      </w:r>
    </w:p>
    <w:p>
      <w:pPr>
        <w:ind w:left="0" w:leftChars="0" w:firstLine="0" w:firstLineChars="0"/>
        <w:jc w:val="both"/>
        <w:rPr>
          <w:rFonts w:hint="eastAsia" w:ascii="宋体" w:hAnsi="宋体" w:eastAsia="宋体" w:cs="宋体"/>
          <w:b/>
          <w:bCs w:val="0"/>
          <w:color w:val="auto"/>
          <w:kern w:val="2"/>
          <w:sz w:val="28"/>
          <w:szCs w:val="24"/>
          <w:lang w:val="en-US" w:eastAsia="zh-CN" w:bidi="ar-SA"/>
        </w:rPr>
      </w:pPr>
    </w:p>
    <w:p>
      <w:pPr>
        <w:jc w:val="both"/>
        <w:outlineLvl w:val="0"/>
        <w:rPr>
          <w:rFonts w:hint="eastAsia" w:ascii="宋体" w:hAnsi="宋体" w:eastAsia="宋体" w:cs="宋体"/>
          <w:b/>
          <w:bCs w:val="0"/>
          <w:color w:val="auto"/>
          <w:kern w:val="2"/>
          <w:sz w:val="28"/>
          <w:szCs w:val="24"/>
          <w:lang w:val="en-US" w:eastAsia="zh-CN" w:bidi="ar-SA"/>
        </w:rPr>
      </w:pPr>
      <w:bookmarkStart w:id="502" w:name="_Toc5601"/>
      <w:bookmarkStart w:id="503" w:name="_Toc1675"/>
      <w:bookmarkStart w:id="504" w:name="_Toc18677"/>
      <w:r>
        <w:rPr>
          <w:rFonts w:hint="eastAsia" w:ascii="宋体" w:hAnsi="宋体" w:eastAsia="宋体" w:cs="宋体"/>
          <w:b/>
          <w:bCs w:val="0"/>
          <w:color w:val="auto"/>
          <w:kern w:val="2"/>
          <w:sz w:val="28"/>
          <w:szCs w:val="24"/>
          <w:lang w:val="en-US" w:eastAsia="zh-CN" w:bidi="ar-SA"/>
        </w:rPr>
        <w:t>附件二十</w:t>
      </w:r>
      <w:bookmarkEnd w:id="502"/>
      <w:bookmarkEnd w:id="503"/>
      <w:r>
        <w:rPr>
          <w:rFonts w:hint="eastAsia" w:ascii="宋体" w:hAnsi="宋体" w:cs="宋体"/>
          <w:b/>
          <w:bCs w:val="0"/>
          <w:color w:val="auto"/>
          <w:kern w:val="2"/>
          <w:sz w:val="28"/>
          <w:szCs w:val="24"/>
          <w:lang w:val="en-US" w:eastAsia="zh-CN" w:bidi="ar-SA"/>
        </w:rPr>
        <w:t>三</w:t>
      </w:r>
      <w:bookmarkEnd w:id="504"/>
    </w:p>
    <w:p>
      <w:pPr>
        <w:ind w:left="0" w:leftChars="0" w:firstLine="0" w:firstLineChars="0"/>
        <w:jc w:val="both"/>
        <w:outlineLvl w:val="9"/>
        <w:rPr>
          <w:rFonts w:hint="eastAsia" w:ascii="宋体" w:hAnsi="宋体"/>
          <w:b/>
          <w:sz w:val="30"/>
          <w:szCs w:val="30"/>
        </w:rPr>
      </w:pPr>
    </w:p>
    <w:p>
      <w:pPr>
        <w:jc w:val="center"/>
        <w:outlineLvl w:val="9"/>
        <w:rPr>
          <w:rFonts w:hint="eastAsia" w:ascii="宋体" w:hAnsi="宋体"/>
          <w:b/>
          <w:sz w:val="30"/>
          <w:szCs w:val="30"/>
        </w:rPr>
      </w:pPr>
    </w:p>
    <w:p>
      <w:pPr>
        <w:jc w:val="center"/>
        <w:outlineLvl w:val="9"/>
        <w:rPr>
          <w:rFonts w:hint="eastAsia" w:ascii="宋体" w:hAnsi="宋体"/>
          <w:b/>
          <w:sz w:val="30"/>
          <w:szCs w:val="30"/>
        </w:rPr>
      </w:pPr>
    </w:p>
    <w:p>
      <w:pPr>
        <w:jc w:val="center"/>
        <w:outlineLvl w:val="0"/>
        <w:rPr>
          <w:rFonts w:hAnsi="宋体"/>
          <w:b/>
          <w:sz w:val="30"/>
          <w:szCs w:val="30"/>
        </w:rPr>
      </w:pPr>
      <w:bookmarkStart w:id="505" w:name="_Toc29985"/>
      <w:bookmarkStart w:id="506" w:name="_Toc29685"/>
      <w:bookmarkStart w:id="507" w:name="_Toc2648"/>
      <w:r>
        <w:rPr>
          <w:rFonts w:hint="eastAsia" w:ascii="宋体" w:hAnsi="宋体"/>
          <w:b/>
          <w:sz w:val="30"/>
          <w:szCs w:val="30"/>
        </w:rPr>
        <w:t>其他有利于投标人的资料（如有）</w:t>
      </w:r>
      <w:bookmarkEnd w:id="505"/>
      <w:bookmarkEnd w:id="506"/>
      <w:bookmarkEnd w:id="507"/>
    </w:p>
    <w:p>
      <w:pPr>
        <w:rPr>
          <w:rFonts w:ascii="宋体" w:hAnsi="宋体" w:cs="宋体"/>
          <w:b/>
          <w:sz w:val="28"/>
          <w:szCs w:val="28"/>
        </w:rPr>
      </w:pPr>
    </w:p>
    <w:p>
      <w:pPr>
        <w:spacing w:line="400" w:lineRule="exact"/>
        <w:rPr>
          <w:rFonts w:ascii="宋体" w:hAnsi="宋体"/>
          <w:b/>
          <w:bCs/>
          <w:sz w:val="32"/>
        </w:rPr>
      </w:pPr>
      <w:r>
        <w:rPr>
          <w:rFonts w:hint="eastAsia" w:ascii="宋体" w:hAnsi="宋体"/>
          <w:b/>
          <w:bCs/>
          <w:sz w:val="32"/>
        </w:rPr>
        <w:t xml:space="preserve">            </w:t>
      </w:r>
    </w:p>
    <w:p>
      <w:pPr>
        <w:spacing w:line="400" w:lineRule="exact"/>
        <w:jc w:val="center"/>
        <w:rPr>
          <w:rFonts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spacing w:line="400" w:lineRule="exact"/>
        <w:jc w:val="center"/>
        <w:rPr>
          <w:rFonts w:hint="eastAsia" w:ascii="宋体" w:hAnsi="宋体"/>
          <w:b/>
          <w:bCs/>
          <w:sz w:val="32"/>
        </w:rPr>
      </w:pPr>
    </w:p>
    <w:p>
      <w:pPr>
        <w:pStyle w:val="8"/>
        <w:ind w:left="0" w:leftChars="0" w:firstLine="0" w:firstLineChars="0"/>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pStyle w:val="78"/>
        <w:rPr>
          <w:rFonts w:hint="default"/>
          <w:color w:val="000000" w:themeColor="text1"/>
          <w:lang w:val="en-US" w:eastAsia="zh-CN"/>
          <w14:textFill>
            <w14:solidFill>
              <w14:schemeClr w14:val="tx1"/>
            </w14:solidFill>
          </w14:textFill>
        </w:rPr>
      </w:pPr>
    </w:p>
    <w:p>
      <w:pPr>
        <w:jc w:val="both"/>
        <w:rPr>
          <w:rFonts w:hint="eastAsia" w:ascii="宋体" w:hAnsi="宋体" w:eastAsia="宋体" w:cs="宋体"/>
          <w:b/>
          <w:bCs w:val="0"/>
          <w:color w:val="auto"/>
          <w:kern w:val="2"/>
          <w:sz w:val="28"/>
          <w:szCs w:val="24"/>
          <w:lang w:val="en-US" w:eastAsia="zh-CN" w:bidi="ar-SA"/>
        </w:rPr>
      </w:pPr>
      <w:r>
        <w:rPr>
          <w:rFonts w:hint="eastAsia" w:ascii="宋体" w:hAnsi="宋体" w:eastAsia="宋体" w:cs="宋体"/>
          <w:b/>
          <w:bCs w:val="0"/>
          <w:color w:val="auto"/>
          <w:kern w:val="2"/>
          <w:sz w:val="28"/>
          <w:szCs w:val="24"/>
          <w:lang w:val="en-US" w:eastAsia="zh-CN" w:bidi="ar-SA"/>
        </w:rPr>
        <w:t>附件二十</w:t>
      </w:r>
      <w:r>
        <w:rPr>
          <w:rFonts w:hint="eastAsia" w:ascii="宋体" w:hAnsi="宋体" w:cs="宋体"/>
          <w:b/>
          <w:bCs w:val="0"/>
          <w:color w:val="auto"/>
          <w:kern w:val="2"/>
          <w:sz w:val="28"/>
          <w:szCs w:val="24"/>
          <w:lang w:val="en-US" w:eastAsia="zh-CN" w:bidi="ar-SA"/>
        </w:rPr>
        <w:t>四</w:t>
      </w:r>
    </w:p>
    <w:p>
      <w:pPr>
        <w:adjustRightInd w:val="0"/>
        <w:snapToGrid w:val="0"/>
        <w:spacing w:before="312" w:beforeLines="100"/>
        <w:outlineLvl w:val="1"/>
        <w:rPr>
          <w:rFonts w:hint="eastAsia" w:ascii="宋体" w:hAnsi="宋体" w:cs="宋体"/>
          <w:bCs/>
          <w:sz w:val="24"/>
          <w:szCs w:val="24"/>
        </w:rPr>
      </w:pPr>
      <w:bookmarkStart w:id="508" w:name="_Toc8426"/>
      <w:r>
        <w:rPr>
          <w:rFonts w:hint="eastAsia" w:ascii="宋体" w:hAnsi="宋体" w:cs="宋体"/>
          <w:bCs/>
          <w:sz w:val="24"/>
          <w:szCs w:val="24"/>
        </w:rPr>
        <w:t>一、质疑供应商基本信息</w:t>
      </w:r>
      <w:bookmarkEnd w:id="508"/>
    </w:p>
    <w:p>
      <w:pPr>
        <w:adjustRightInd w:val="0"/>
        <w:snapToGrid w:val="0"/>
        <w:rPr>
          <w:rFonts w:hint="eastAsia" w:ascii="宋体" w:hAnsi="宋体" w:cs="宋体"/>
          <w:sz w:val="24"/>
          <w:szCs w:val="24"/>
          <w:u w:val="dotted"/>
        </w:rPr>
      </w:pPr>
      <w:r>
        <w:rPr>
          <w:rFonts w:hint="eastAsia" w:ascii="宋体" w:hAnsi="宋体" w:cs="宋体"/>
          <w:sz w:val="24"/>
          <w:szCs w:val="24"/>
        </w:rPr>
        <w:t>质疑供应商：</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rPr>
      </w:pPr>
      <w:r>
        <w:rPr>
          <w:rFonts w:hint="eastAsia" w:ascii="宋体" w:hAnsi="宋体" w:cs="宋体"/>
          <w:sz w:val="24"/>
          <w:szCs w:val="24"/>
        </w:rPr>
        <w:t>地址：</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rPr>
      </w:pPr>
      <w:r>
        <w:rPr>
          <w:rFonts w:hint="eastAsia" w:ascii="宋体" w:hAnsi="宋体" w:cs="宋体"/>
          <w:sz w:val="24"/>
          <w:szCs w:val="24"/>
        </w:rPr>
        <w:t>联系人：</w:t>
      </w:r>
      <w:r>
        <w:rPr>
          <w:rFonts w:hint="eastAsia" w:ascii="宋体" w:hAnsi="宋体" w:cs="宋体"/>
          <w:sz w:val="24"/>
          <w:szCs w:val="24"/>
          <w:u w:val="dotted"/>
        </w:rPr>
        <w:t xml:space="preserve">                      </w:t>
      </w:r>
      <w:r>
        <w:rPr>
          <w:rFonts w:hint="eastAsia" w:ascii="宋体" w:hAnsi="宋体" w:cs="宋体"/>
          <w:sz w:val="24"/>
          <w:szCs w:val="24"/>
        </w:rPr>
        <w:t>联系电话：</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u w:val="dotted"/>
        </w:rPr>
      </w:pPr>
      <w:r>
        <w:rPr>
          <w:rFonts w:hint="eastAsia" w:ascii="宋体" w:hAnsi="宋体" w:cs="宋体"/>
          <w:sz w:val="24"/>
          <w:szCs w:val="24"/>
        </w:rPr>
        <w:t>授权代表：</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rPr>
      </w:pPr>
      <w:r>
        <w:rPr>
          <w:rFonts w:hint="eastAsia" w:ascii="宋体" w:hAnsi="宋体" w:cs="宋体"/>
          <w:sz w:val="24"/>
          <w:szCs w:val="24"/>
        </w:rPr>
        <w:t>联系电话：</w:t>
      </w:r>
      <w:r>
        <w:rPr>
          <w:rFonts w:hint="eastAsia" w:ascii="宋体" w:hAnsi="宋体" w:cs="宋体"/>
          <w:sz w:val="24"/>
          <w:szCs w:val="24"/>
          <w:u w:val="dotted"/>
        </w:rPr>
        <w:t xml:space="preserve">                                           </w:t>
      </w:r>
      <w:r>
        <w:rPr>
          <w:rFonts w:hint="eastAsia" w:ascii="宋体" w:hAnsi="宋体" w:cs="宋体"/>
          <w:sz w:val="24"/>
          <w:szCs w:val="24"/>
        </w:rPr>
        <w:t xml:space="preserve"> </w:t>
      </w:r>
    </w:p>
    <w:p>
      <w:pPr>
        <w:adjustRightInd w:val="0"/>
        <w:snapToGrid w:val="0"/>
        <w:rPr>
          <w:rFonts w:hint="eastAsia" w:ascii="宋体" w:hAnsi="宋体" w:cs="宋体"/>
          <w:sz w:val="24"/>
          <w:szCs w:val="24"/>
        </w:rPr>
      </w:pPr>
      <w:r>
        <w:rPr>
          <w:rFonts w:hint="eastAsia" w:ascii="宋体" w:hAnsi="宋体" w:cs="宋体"/>
          <w:sz w:val="24"/>
          <w:szCs w:val="24"/>
        </w:rPr>
        <w:t xml:space="preserve">地址： </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p>
    <w:p>
      <w:pPr>
        <w:adjustRightInd w:val="0"/>
        <w:snapToGrid w:val="0"/>
        <w:outlineLvl w:val="1"/>
        <w:rPr>
          <w:rFonts w:hint="eastAsia" w:ascii="宋体" w:hAnsi="宋体" w:cs="宋体"/>
          <w:bCs/>
          <w:sz w:val="24"/>
          <w:szCs w:val="24"/>
        </w:rPr>
      </w:pPr>
      <w:bookmarkStart w:id="509" w:name="_Toc7241"/>
      <w:r>
        <w:rPr>
          <w:rFonts w:hint="eastAsia" w:ascii="宋体" w:hAnsi="宋体" w:cs="宋体"/>
          <w:bCs/>
          <w:sz w:val="24"/>
          <w:szCs w:val="24"/>
        </w:rPr>
        <w:t>二、质疑项目基本情况</w:t>
      </w:r>
      <w:bookmarkEnd w:id="509"/>
    </w:p>
    <w:p>
      <w:pPr>
        <w:adjustRightInd w:val="0"/>
        <w:snapToGrid w:val="0"/>
        <w:rPr>
          <w:rFonts w:hint="eastAsia" w:ascii="宋体" w:hAnsi="宋体" w:cs="宋体"/>
          <w:sz w:val="24"/>
          <w:szCs w:val="24"/>
        </w:rPr>
      </w:pPr>
      <w:r>
        <w:rPr>
          <w:rFonts w:hint="eastAsia" w:ascii="宋体" w:hAnsi="宋体" w:cs="宋体"/>
          <w:sz w:val="24"/>
          <w:szCs w:val="24"/>
        </w:rPr>
        <w:t>质疑项目的名称：</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rPr>
      </w:pPr>
      <w:r>
        <w:rPr>
          <w:rFonts w:hint="eastAsia" w:ascii="宋体" w:hAnsi="宋体" w:cs="宋体"/>
          <w:sz w:val="24"/>
          <w:szCs w:val="24"/>
        </w:rPr>
        <w:t>质疑项目的编号：</w:t>
      </w:r>
      <w:r>
        <w:rPr>
          <w:rFonts w:hint="eastAsia" w:ascii="宋体" w:hAnsi="宋体" w:cs="宋体"/>
          <w:sz w:val="24"/>
          <w:szCs w:val="24"/>
          <w:u w:val="dotted"/>
        </w:rPr>
        <w:t xml:space="preserve">               </w:t>
      </w:r>
      <w:r>
        <w:rPr>
          <w:rFonts w:hint="eastAsia" w:ascii="宋体" w:hAnsi="宋体" w:cs="宋体"/>
          <w:sz w:val="24"/>
          <w:szCs w:val="24"/>
        </w:rPr>
        <w:t>包号：</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u w:val="dotted"/>
        </w:rPr>
      </w:pPr>
      <w:r>
        <w:rPr>
          <w:rFonts w:hint="eastAsia" w:ascii="宋体" w:hAnsi="宋体" w:cs="宋体"/>
          <w:sz w:val="24"/>
          <w:szCs w:val="24"/>
        </w:rPr>
        <w:t>采购人名称：</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rPr>
      </w:pPr>
      <w:r>
        <w:rPr>
          <w:rFonts w:hint="eastAsia" w:ascii="宋体" w:hAnsi="宋体" w:cs="宋体"/>
          <w:sz w:val="24"/>
          <w:szCs w:val="24"/>
        </w:rPr>
        <w:t>采购文件获取日期：</w:t>
      </w:r>
      <w:r>
        <w:rPr>
          <w:rFonts w:hint="eastAsia" w:ascii="宋体" w:hAnsi="宋体" w:cs="宋体"/>
          <w:sz w:val="24"/>
          <w:szCs w:val="24"/>
          <w:u w:val="dotted"/>
        </w:rPr>
        <w:t xml:space="preserve">                                           </w:t>
      </w:r>
    </w:p>
    <w:p>
      <w:pPr>
        <w:adjustRightInd w:val="0"/>
        <w:snapToGrid w:val="0"/>
        <w:outlineLvl w:val="1"/>
        <w:rPr>
          <w:rFonts w:hint="eastAsia" w:ascii="宋体" w:hAnsi="宋体" w:cs="宋体"/>
          <w:bCs/>
          <w:sz w:val="24"/>
          <w:szCs w:val="24"/>
        </w:rPr>
      </w:pPr>
      <w:bookmarkStart w:id="510" w:name="_Toc11096"/>
      <w:r>
        <w:rPr>
          <w:rFonts w:hint="eastAsia" w:ascii="宋体" w:hAnsi="宋体" w:cs="宋体"/>
          <w:bCs/>
          <w:sz w:val="24"/>
          <w:szCs w:val="24"/>
        </w:rPr>
        <w:t>三、质疑事项具体内容</w:t>
      </w:r>
      <w:bookmarkEnd w:id="510"/>
    </w:p>
    <w:p>
      <w:pPr>
        <w:adjustRightInd w:val="0"/>
        <w:snapToGrid w:val="0"/>
        <w:rPr>
          <w:rFonts w:hint="eastAsia" w:ascii="宋体" w:hAnsi="宋体" w:cs="宋体"/>
          <w:sz w:val="24"/>
          <w:szCs w:val="24"/>
          <w:u w:val="dotted"/>
        </w:rPr>
      </w:pPr>
      <w:r>
        <w:rPr>
          <w:rFonts w:hint="eastAsia" w:ascii="宋体" w:hAnsi="宋体" w:cs="宋体"/>
          <w:sz w:val="24"/>
          <w:szCs w:val="24"/>
        </w:rPr>
        <w:t>质疑事项1：</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rPr>
      </w:pPr>
      <w:r>
        <w:rPr>
          <w:rFonts w:hint="eastAsia" w:ascii="宋体" w:hAnsi="宋体" w:cs="宋体"/>
          <w:sz w:val="24"/>
          <w:szCs w:val="24"/>
        </w:rPr>
        <w:t>事实依据：</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u w:val="dotted"/>
        </w:rPr>
      </w:pPr>
      <w:r>
        <w:rPr>
          <w:rFonts w:hint="eastAsia" w:ascii="宋体" w:hAnsi="宋体" w:cs="宋体"/>
          <w:sz w:val="24"/>
          <w:szCs w:val="24"/>
        </w:rPr>
        <w:t>法律依据：</w:t>
      </w:r>
      <w:r>
        <w:rPr>
          <w:rFonts w:hint="eastAsia" w:ascii="宋体" w:hAnsi="宋体" w:cs="宋体"/>
          <w:sz w:val="24"/>
          <w:szCs w:val="24"/>
          <w:u w:val="dotted"/>
        </w:rPr>
        <w:t xml:space="preserve">                                          </w:t>
      </w:r>
    </w:p>
    <w:p>
      <w:pPr>
        <w:adjustRightInd w:val="0"/>
        <w:snapToGrid w:val="0"/>
        <w:rPr>
          <w:rFonts w:hint="eastAsia" w:ascii="宋体" w:hAnsi="宋体" w:cs="宋体"/>
          <w:sz w:val="24"/>
          <w:szCs w:val="24"/>
          <w:u w:val="dotted"/>
        </w:rPr>
      </w:pPr>
      <w:r>
        <w:rPr>
          <w:rFonts w:hint="eastAsia" w:ascii="宋体" w:hAnsi="宋体" w:cs="宋体"/>
          <w:sz w:val="24"/>
          <w:szCs w:val="24"/>
        </w:rPr>
        <w:t>质疑事项2</w:t>
      </w:r>
    </w:p>
    <w:p>
      <w:pPr>
        <w:adjustRightInd w:val="0"/>
        <w:snapToGrid w:val="0"/>
        <w:rPr>
          <w:rFonts w:hint="eastAsia" w:ascii="宋体" w:hAnsi="宋体" w:cs="宋体"/>
          <w:sz w:val="24"/>
          <w:szCs w:val="24"/>
        </w:rPr>
      </w:pPr>
      <w:r>
        <w:rPr>
          <w:rFonts w:hint="eastAsia" w:ascii="宋体" w:hAnsi="宋体" w:cs="宋体"/>
          <w:sz w:val="24"/>
          <w:szCs w:val="24"/>
        </w:rPr>
        <w:t>……</w:t>
      </w:r>
    </w:p>
    <w:p>
      <w:pPr>
        <w:adjustRightInd w:val="0"/>
        <w:snapToGrid w:val="0"/>
        <w:outlineLvl w:val="1"/>
        <w:rPr>
          <w:rFonts w:hint="eastAsia" w:ascii="宋体" w:hAnsi="宋体" w:cs="宋体"/>
          <w:bCs/>
          <w:sz w:val="24"/>
          <w:szCs w:val="24"/>
        </w:rPr>
      </w:pPr>
      <w:bookmarkStart w:id="511" w:name="_Toc27610"/>
      <w:r>
        <w:rPr>
          <w:rFonts w:hint="eastAsia" w:ascii="宋体" w:hAnsi="宋体" w:cs="宋体"/>
          <w:bCs/>
          <w:sz w:val="24"/>
          <w:szCs w:val="24"/>
        </w:rPr>
        <w:t>四、与质疑事项相关的质疑请求</w:t>
      </w:r>
      <w:bookmarkEnd w:id="511"/>
    </w:p>
    <w:p>
      <w:pPr>
        <w:adjustRightInd w:val="0"/>
        <w:snapToGrid w:val="0"/>
        <w:rPr>
          <w:rFonts w:hint="eastAsia" w:ascii="宋体" w:hAnsi="宋体" w:cs="宋体"/>
          <w:sz w:val="24"/>
          <w:szCs w:val="24"/>
          <w:u w:val="dotted"/>
        </w:rPr>
      </w:pPr>
      <w:r>
        <w:rPr>
          <w:rFonts w:hint="eastAsia" w:ascii="宋体" w:hAnsi="宋体" w:cs="宋体"/>
          <w:sz w:val="24"/>
          <w:szCs w:val="24"/>
        </w:rPr>
        <w:t>请求：</w:t>
      </w:r>
      <w:r>
        <w:rPr>
          <w:rFonts w:hint="eastAsia" w:ascii="宋体" w:hAnsi="宋体" w:cs="宋体"/>
          <w:sz w:val="24"/>
          <w:szCs w:val="24"/>
          <w:u w:val="dotted"/>
        </w:rPr>
        <w:t xml:space="preserve">                                               </w:t>
      </w:r>
    </w:p>
    <w:p>
      <w:pPr>
        <w:rPr>
          <w:rFonts w:hint="eastAsia" w:ascii="宋体" w:hAnsi="宋体" w:cs="宋体"/>
          <w:sz w:val="24"/>
          <w:szCs w:val="24"/>
        </w:rPr>
      </w:pPr>
    </w:p>
    <w:p>
      <w:pPr>
        <w:rPr>
          <w:rFonts w:hint="eastAsia" w:ascii="宋体" w:hAnsi="宋体" w:cs="宋体"/>
          <w:sz w:val="24"/>
          <w:szCs w:val="24"/>
        </w:rPr>
      </w:pPr>
    </w:p>
    <w:p>
      <w:pPr>
        <w:rPr>
          <w:rFonts w:hint="eastAsia" w:ascii="宋体" w:hAnsi="宋体" w:cs="宋体"/>
          <w:sz w:val="24"/>
          <w:szCs w:val="24"/>
        </w:rPr>
      </w:pPr>
      <w:r>
        <w:rPr>
          <w:rFonts w:hint="eastAsia" w:ascii="宋体" w:hAnsi="宋体" w:cs="宋体"/>
          <w:sz w:val="24"/>
          <w:szCs w:val="24"/>
        </w:rPr>
        <w:t>签字(</w:t>
      </w:r>
      <w:r>
        <w:rPr>
          <w:rFonts w:hint="eastAsia" w:ascii="宋体" w:hAnsi="宋体" w:cs="宋体"/>
          <w:sz w:val="24"/>
          <w:szCs w:val="24"/>
          <w:lang w:val="en-US" w:eastAsia="zh-CN"/>
        </w:rPr>
        <w:t>签字或盖章</w:t>
      </w:r>
      <w:r>
        <w:rPr>
          <w:rFonts w:hint="eastAsia" w:ascii="宋体" w:hAnsi="宋体" w:cs="宋体"/>
          <w:sz w:val="24"/>
          <w:szCs w:val="24"/>
        </w:rPr>
        <w:t xml:space="preserve">)：                   公章（电子公章）：                      </w:t>
      </w:r>
    </w:p>
    <w:p>
      <w:pPr>
        <w:rPr>
          <w:rFonts w:hint="eastAsia" w:ascii="宋体" w:hAnsi="宋体" w:cs="宋体"/>
          <w:sz w:val="24"/>
          <w:szCs w:val="24"/>
        </w:rPr>
      </w:pPr>
    </w:p>
    <w:p>
      <w:pPr>
        <w:pStyle w:val="19"/>
        <w:numPr>
          <w:ilvl w:val="0"/>
          <w:numId w:val="0"/>
        </w:numPr>
        <w:overflowPunct w:val="0"/>
        <w:snapToGrid w:val="0"/>
        <w:spacing w:line="360" w:lineRule="auto"/>
        <w:jc w:val="right"/>
        <w:rPr>
          <w:rFonts w:hint="default" w:ascii="宋体" w:hAnsi="宋体" w:eastAsia="宋体" w:cs="宋体"/>
          <w:b/>
          <w:bCs w:val="0"/>
          <w:color w:val="auto"/>
          <w:kern w:val="2"/>
          <w:sz w:val="21"/>
          <w:szCs w:val="21"/>
          <w:lang w:val="en-US" w:eastAsia="zh-CN" w:bidi="ar-SA"/>
        </w:rPr>
        <w:sectPr>
          <w:pgSz w:w="11906" w:h="16838"/>
          <w:pgMar w:top="1446" w:right="1219" w:bottom="1446" w:left="1219" w:header="283" w:footer="567" w:gutter="0"/>
          <w:pgNumType w:fmt="decimal"/>
          <w:cols w:space="720" w:num="1"/>
          <w:docGrid w:type="lines" w:linePitch="312" w:charSpace="0"/>
        </w:sectPr>
      </w:pPr>
      <w:r>
        <w:rPr>
          <w:rFonts w:hint="eastAsia" w:ascii="宋体" w:hAnsi="宋体" w:cs="宋体"/>
          <w:color w:val="000000"/>
          <w:sz w:val="21"/>
          <w:szCs w:val="21"/>
        </w:rPr>
        <w:t>日期：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rPr>
          <w:rFonts w:hint="eastAsia" w:ascii="宋体" w:hAnsi="宋体" w:cs="宋体"/>
          <w:sz w:val="24"/>
          <w:szCs w:val="24"/>
        </w:rPr>
      </w:pPr>
      <w:r>
        <w:rPr>
          <w:rFonts w:hint="eastAsia" w:ascii="宋体" w:hAnsi="宋体" w:cs="宋体"/>
          <w:sz w:val="24"/>
          <w:szCs w:val="24"/>
        </w:rPr>
        <w:t xml:space="preserve">    </w:t>
      </w:r>
    </w:p>
    <w:p>
      <w:pPr>
        <w:rPr>
          <w:rFonts w:hint="eastAsia" w:ascii="黑体" w:hAnsi="黑体" w:eastAsia="黑体"/>
          <w:b/>
          <w:sz w:val="32"/>
          <w:szCs w:val="32"/>
        </w:rPr>
      </w:pPr>
    </w:p>
    <w:p>
      <w:pPr>
        <w:rPr>
          <w:rFonts w:hint="eastAsia" w:ascii="宋体" w:hAnsi="宋体" w:cs="宋体"/>
          <w:b/>
          <w:sz w:val="24"/>
          <w:szCs w:val="24"/>
        </w:rPr>
      </w:pPr>
    </w:p>
    <w:p>
      <w:pPr>
        <w:rPr>
          <w:rFonts w:hint="eastAsia" w:ascii="宋体" w:hAnsi="宋体" w:cs="宋体"/>
          <w:b/>
          <w:sz w:val="24"/>
          <w:szCs w:val="24"/>
        </w:rPr>
      </w:pPr>
      <w:r>
        <w:rPr>
          <w:rFonts w:hint="eastAsia" w:ascii="宋体" w:hAnsi="宋体" w:cs="宋体"/>
          <w:b/>
          <w:sz w:val="24"/>
          <w:szCs w:val="24"/>
        </w:rPr>
        <w:t>质疑函制作说明：</w:t>
      </w:r>
    </w:p>
    <w:p>
      <w:pPr>
        <w:widowControl/>
        <w:ind w:firstLine="480" w:firstLineChars="200"/>
        <w:jc w:val="left"/>
        <w:outlineLvl w:val="2"/>
        <w:rPr>
          <w:rFonts w:hint="eastAsia" w:ascii="宋体" w:hAnsi="宋体" w:cs="宋体"/>
          <w:sz w:val="24"/>
          <w:szCs w:val="24"/>
        </w:rPr>
      </w:pPr>
      <w:bookmarkStart w:id="512" w:name="_Toc19892"/>
      <w:r>
        <w:rPr>
          <w:rFonts w:hint="eastAsia" w:ascii="宋体" w:hAnsi="宋体" w:cs="宋体"/>
          <w:sz w:val="24"/>
          <w:szCs w:val="24"/>
        </w:rPr>
        <w:t>1.供应商提出质疑时，应提交质疑函和必要的证明材料。</w:t>
      </w:r>
      <w:bookmarkEnd w:id="512"/>
    </w:p>
    <w:p>
      <w:pPr>
        <w:widowControl/>
        <w:ind w:firstLine="480" w:firstLineChars="200"/>
        <w:jc w:val="left"/>
        <w:rPr>
          <w:rFonts w:hint="eastAsia" w:ascii="宋体" w:hAnsi="宋体" w:cs="宋体"/>
          <w:sz w:val="24"/>
          <w:szCs w:val="24"/>
        </w:rPr>
      </w:pPr>
      <w:r>
        <w:rPr>
          <w:rFonts w:hint="eastAsia" w:ascii="宋体" w:hAnsi="宋体" w:cs="宋体"/>
          <w:sz w:val="24"/>
          <w:szCs w:val="24"/>
        </w:rPr>
        <w:t>2.质疑供应商若委托代理人进行质疑的，质疑函应按要求列明“授权代表”的有关内容，并在附件中提交由质疑</w:t>
      </w:r>
      <w:r>
        <w:rPr>
          <w:rFonts w:hint="eastAsia" w:ascii="宋体" w:hAnsi="宋体" w:cs="宋体"/>
          <w:kern w:val="0"/>
          <w:sz w:val="24"/>
          <w:szCs w:val="24"/>
        </w:rPr>
        <w:t>供应商签署的授权委托书。授权委托书应载明代理人的姓名或者名称、代理事项、具体权限、期限和相关事项。</w:t>
      </w:r>
    </w:p>
    <w:p>
      <w:pPr>
        <w:widowControl/>
        <w:ind w:firstLine="480" w:firstLineChars="200"/>
        <w:jc w:val="left"/>
        <w:rPr>
          <w:rFonts w:hint="eastAsia" w:ascii="宋体" w:hAnsi="宋体" w:cs="宋体"/>
          <w:sz w:val="24"/>
          <w:szCs w:val="24"/>
        </w:rPr>
      </w:pPr>
      <w:r>
        <w:rPr>
          <w:rFonts w:hint="eastAsia" w:ascii="宋体" w:hAnsi="宋体" w:cs="宋体"/>
          <w:sz w:val="24"/>
          <w:szCs w:val="24"/>
        </w:rPr>
        <w:t>3.质疑供应商若对项目的某一分包进行质疑，质疑函中应列明具体分包号。</w:t>
      </w:r>
    </w:p>
    <w:p>
      <w:pPr>
        <w:widowControl/>
        <w:ind w:firstLine="480" w:firstLineChars="200"/>
        <w:jc w:val="left"/>
        <w:rPr>
          <w:rFonts w:hint="eastAsia" w:ascii="宋体" w:hAnsi="宋体" w:cs="宋体"/>
          <w:sz w:val="24"/>
          <w:szCs w:val="24"/>
        </w:rPr>
      </w:pPr>
      <w:r>
        <w:rPr>
          <w:rFonts w:hint="eastAsia" w:ascii="宋体" w:hAnsi="宋体" w:cs="宋体"/>
          <w:sz w:val="24"/>
          <w:szCs w:val="24"/>
        </w:rPr>
        <w:t>4.质疑函的质疑事项应具体、明确，并有必要的事实依据和法律依据。</w:t>
      </w:r>
    </w:p>
    <w:p>
      <w:pPr>
        <w:widowControl/>
        <w:ind w:firstLine="480" w:firstLineChars="200"/>
        <w:jc w:val="left"/>
        <w:outlineLvl w:val="2"/>
        <w:rPr>
          <w:rFonts w:hint="eastAsia" w:ascii="宋体" w:hAnsi="宋体" w:cs="宋体"/>
          <w:sz w:val="24"/>
          <w:szCs w:val="24"/>
        </w:rPr>
      </w:pPr>
      <w:bookmarkStart w:id="513" w:name="_Toc14521"/>
      <w:r>
        <w:rPr>
          <w:rFonts w:hint="eastAsia" w:ascii="宋体" w:hAnsi="宋体" w:cs="宋体"/>
          <w:sz w:val="24"/>
          <w:szCs w:val="24"/>
        </w:rPr>
        <w:t>5.质疑函的质疑请求应与质疑事项相关。</w:t>
      </w:r>
      <w:bookmarkEnd w:id="513"/>
    </w:p>
    <w:p>
      <w:pPr>
        <w:widowControl/>
        <w:ind w:firstLine="482" w:firstLineChars="200"/>
        <w:jc w:val="left"/>
        <w:rPr>
          <w:rFonts w:hint="eastAsia" w:ascii="宋体" w:hAnsi="宋体" w:cs="宋体"/>
          <w:b/>
          <w:kern w:val="0"/>
          <w:sz w:val="24"/>
          <w:szCs w:val="24"/>
        </w:rPr>
      </w:pPr>
      <w:r>
        <w:rPr>
          <w:rFonts w:hint="eastAsia" w:ascii="宋体" w:hAnsi="宋体" w:cs="宋体"/>
          <w:b/>
          <w:kern w:val="0"/>
          <w:sz w:val="24"/>
          <w:szCs w:val="24"/>
        </w:rPr>
        <w:t>6.质疑供应商为自然人的，质疑函应由本人签字；质疑供应商为法人或者其他组织的，质疑函应由法定代表人、主要负责人，或者其授权代表签字或者盖章，并加盖公章。</w:t>
      </w:r>
    </w:p>
    <w:p>
      <w:pPr>
        <w:pStyle w:val="78"/>
        <w:rPr>
          <w:rFonts w:hint="default"/>
          <w:color w:val="000000" w:themeColor="text1"/>
          <w:lang w:val="en-US" w:eastAsia="zh-CN"/>
          <w14:textFill>
            <w14:solidFill>
              <w14:schemeClr w14:val="tx1"/>
            </w14:solidFill>
          </w14:textFill>
        </w:rPr>
      </w:pPr>
    </w:p>
    <w:sectPr>
      <w:headerReference r:id="rId18" w:type="default"/>
      <w:footerReference r:id="rId19" w:type="default"/>
      <w:pgSz w:w="11906" w:h="16838"/>
      <w:pgMar w:top="1446" w:right="1219" w:bottom="1446" w:left="1219" w:header="283" w:footer="567"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hanging="105"/>
      </w:pPr>
      <w:r>
        <w:separator/>
      </w:r>
    </w:p>
  </w:endnote>
  <w:endnote w:type="continuationSeparator" w:id="1">
    <w:p>
      <w:pPr>
        <w:spacing w:line="240" w:lineRule="auto"/>
        <w:ind w:hanging="10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auto"/>
    <w:pitch w:val="default"/>
    <w:sig w:usb0="00000000" w:usb1="00000000" w:usb2="00000009" w:usb3="00000000" w:csb0="000001FF" w:csb1="00000000"/>
  </w:font>
  <w:font w:name="TKTypeRegular">
    <w:altName w:val="Segoe Print"/>
    <w:panose1 w:val="00000000000000000000"/>
    <w:charset w:val="00"/>
    <w:family w:val="auto"/>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left="105" w:hanging="10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left="90" w:right="360" w:hanging="9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9"/>
                            <w:ind w:left="90" w:right="360" w:hanging="90"/>
                            <w:jc w:val="center"/>
                          </w:pPr>
                          <w:r>
                            <w:rPr>
                              <w:rFonts w:ascii="宋体" w:hAnsi="宋体"/>
                              <w:szCs w:val="21"/>
                            </w:rPr>
                            <w:t xml:space="preserve">- </w:t>
                          </w:r>
                          <w:r>
                            <w:rPr>
                              <w:rFonts w:ascii="宋体" w:hAnsi="宋体"/>
                              <w:szCs w:val="21"/>
                            </w:rPr>
                            <w:fldChar w:fldCharType="begin"/>
                          </w:r>
                          <w:r>
                            <w:rPr>
                              <w:rFonts w:ascii="宋体" w:hAnsi="宋体"/>
                              <w:szCs w:val="21"/>
                            </w:rPr>
                            <w:instrText xml:space="preserve"> PAGE </w:instrText>
                          </w:r>
                          <w:r>
                            <w:rPr>
                              <w:rFonts w:ascii="宋体" w:hAnsi="宋体"/>
                              <w:szCs w:val="21"/>
                            </w:rPr>
                            <w:fldChar w:fldCharType="separate"/>
                          </w:r>
                          <w:r>
                            <w:rPr>
                              <w:rFonts w:ascii="宋体" w:hAnsi="宋体"/>
                              <w:szCs w:val="21"/>
                            </w:rPr>
                            <w:t>47</w:t>
                          </w:r>
                          <w:r>
                            <w:rPr>
                              <w:rFonts w:ascii="宋体" w:hAnsi="宋体"/>
                              <w:szCs w:val="21"/>
                            </w:rPr>
                            <w:fldChar w:fldCharType="end"/>
                          </w:r>
                          <w:r>
                            <w:rPr>
                              <w:rFonts w:ascii="宋体" w:hAnsi="宋体"/>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9"/>
                      <w:ind w:left="90" w:right="360" w:hanging="90"/>
                      <w:jc w:val="center"/>
                    </w:pPr>
                    <w:r>
                      <w:rPr>
                        <w:rFonts w:ascii="宋体" w:hAnsi="宋体"/>
                        <w:szCs w:val="21"/>
                      </w:rPr>
                      <w:t xml:space="preserve">- </w:t>
                    </w:r>
                    <w:r>
                      <w:rPr>
                        <w:rFonts w:ascii="宋体" w:hAnsi="宋体"/>
                        <w:szCs w:val="21"/>
                      </w:rPr>
                      <w:fldChar w:fldCharType="begin"/>
                    </w:r>
                    <w:r>
                      <w:rPr>
                        <w:rFonts w:ascii="宋体" w:hAnsi="宋体"/>
                        <w:szCs w:val="21"/>
                      </w:rPr>
                      <w:instrText xml:space="preserve"> PAGE </w:instrText>
                    </w:r>
                    <w:r>
                      <w:rPr>
                        <w:rFonts w:ascii="宋体" w:hAnsi="宋体"/>
                        <w:szCs w:val="21"/>
                      </w:rPr>
                      <w:fldChar w:fldCharType="separate"/>
                    </w:r>
                    <w:r>
                      <w:rPr>
                        <w:rFonts w:ascii="宋体" w:hAnsi="宋体"/>
                        <w:szCs w:val="21"/>
                      </w:rPr>
                      <w:t>47</w:t>
                    </w:r>
                    <w:r>
                      <w:rPr>
                        <w:rFonts w:ascii="宋体" w:hAnsi="宋体"/>
                        <w:szCs w:val="21"/>
                      </w:rPr>
                      <w:fldChar w:fldCharType="end"/>
                    </w:r>
                    <w:r>
                      <w:rPr>
                        <w:rFonts w:ascii="宋体" w:hAnsi="宋体"/>
                        <w:szCs w:val="21"/>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left="105" w:hanging="10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ind w:left="90" w:hanging="9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hxXCMIBAACP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JyDQjvDgkLl34y6gg1FcM5FUbTTuVF+PNesp7+o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FIcVwjCAQAAjwMAAA4AAAAAAAAAAQAgAAAAHgEAAGRycy9lMm9Eb2MueG1sUEsF&#10;BgAAAAAGAAYAWQEAAFIFAAAAAA==&#10;">
              <v:fill on="f" focussize="0,0"/>
              <v:stroke on="f"/>
              <v:imagedata o:title=""/>
              <o:lock v:ext="edit" aspectratio="f"/>
              <v:textbox inset="0mm,0mm,0mm,0mm" style="mso-fit-shape-to-text:t;">
                <w:txbxContent>
                  <w:p>
                    <w:pPr>
                      <w:snapToGrid w:val="0"/>
                      <w:ind w:left="90" w:hanging="9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5570" cy="2317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5570" cy="231775"/>
                      </a:xfrm>
                      <a:prstGeom prst="rect">
                        <a:avLst/>
                      </a:prstGeom>
                      <a:noFill/>
                      <a:ln>
                        <a:noFill/>
                      </a:ln>
                    </wps:spPr>
                    <wps:txbx>
                      <w:txbxContent>
                        <w:p>
                          <w:pPr>
                            <w:ind w:left="105" w:hanging="105"/>
                          </w:pPr>
                        </w:p>
                      </w:txbxContent>
                    </wps:txbx>
                    <wps:bodyPr wrap="none" lIns="0" tIns="0" rIns="0" bIns="0">
                      <a:spAutoFit/>
                    </wps:bodyPr>
                  </wps:wsp>
                </a:graphicData>
              </a:graphic>
            </wp:anchor>
          </w:drawing>
        </mc:Choice>
        <mc:Fallback>
          <w:pict>
            <v:shape id="_x0000_s1026" o:spid="_x0000_s1026" o:spt="202" type="#_x0000_t202" style="position:absolute;left:0pt;margin-top:0pt;height:18.25pt;width:9.1pt;mso-position-horizontal:center;mso-position-horizontal-relative:margin;mso-wrap-style:none;z-index:251663360;mso-width-relative:page;mso-height-relative:page;" filled="f" stroked="f" coordsize="21600,21600" o:gfxdata="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tCnldEAAAADAQAADwAAAAAAAAABACAAAAAiAAAAZHJzL2Rvd25yZXYueG1s&#10;UEsBAhQAFAAAAAgAh07iQEwMQZTGAQAAjQMAAA4AAAAAAAAAAQAgAAAAIAEAAGRycy9lMm9Eb2Mu&#10;eG1sUEsFBgAAAAAGAAYAWQEAAFgFAAAAAA==&#10;">
              <v:fill on="f" focussize="0,0"/>
              <v:stroke on="f"/>
              <v:imagedata o:title=""/>
              <o:lock v:ext="edit" aspectratio="f"/>
              <v:textbox inset="0mm,0mm,0mm,0mm" style="mso-fit-shape-to-text:t;">
                <w:txbxContent>
                  <w:p>
                    <w:pPr>
                      <w:ind w:left="105" w:hanging="105"/>
                    </w:pPr>
                  </w:p>
                </w:txbxContent>
              </v:textbox>
            </v:shape>
          </w:pict>
        </mc:Fallback>
      </mc:AlternateContent>
    </w:r>
    <w:r>
      <mc:AlternateContent>
        <mc:Choice Requires="wps">
          <w:drawing>
            <wp:inline distT="0" distB="0" distL="114300" distR="114300">
              <wp:extent cx="5759450" cy="359410"/>
              <wp:effectExtent l="0" t="0" r="0" b="0"/>
              <wp:docPr id="14" name="文本框 14"/>
              <wp:cNvGraphicFramePr/>
              <a:graphic xmlns:a="http://schemas.openxmlformats.org/drawingml/2006/main">
                <a:graphicData uri="http://schemas.microsoft.com/office/word/2010/wordprocessingShape">
                  <wps:wsp>
                    <wps:cNvSpPr txBox="1">
                      <a:spLocks noRot="1"/>
                    </wps:cNvSpPr>
                    <wps:spPr>
                      <a:xfrm>
                        <a:off x="0" y="0"/>
                        <a:ext cx="5759450" cy="359410"/>
                      </a:xfrm>
                      <a:prstGeom prst="rect">
                        <a:avLst/>
                      </a:prstGeom>
                      <a:noFill/>
                      <a:ln>
                        <a:noFill/>
                      </a:ln>
                    </wps:spPr>
                    <wps:txbx>
                      <w:txbxContent>
                        <w:p>
                          <w:pPr>
                            <w:ind w:left="105" w:hanging="105"/>
                          </w:pPr>
                        </w:p>
                      </w:txbxContent>
                    </wps:txbx>
                    <wps:bodyPr lIns="0" tIns="0" rIns="0" bIns="0" upright="1"/>
                  </wps:wsp>
                </a:graphicData>
              </a:graphic>
            </wp:inline>
          </w:drawing>
        </mc:Choice>
        <mc:Fallback>
          <w:pict>
            <v:shape id="_x0000_s1026" o:spid="_x0000_s1026" o:spt="202" type="#_x0000_t202" style="height:28.3pt;width:453.5pt;" filled="f" stroked="f" coordsize="21600,21600" o:gfxdata="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U9NX+1AAAAAQBAAAPAAAAAAAAAAEAIAAAACIAAABkcnMvZG93&#10;bnJldi54bWxQSwECFAAUAAAACACHTuJA+SKxd8sBAACXAwAADgAAAAAAAAABACAAAAAjAQAAZHJz&#10;L2Uyb0RvYy54bWxQSwUGAAAAAAYABgBZAQAAYAUAAAAA&#10;">
              <v:fill on="f" focussize="0,0"/>
              <v:stroke on="f"/>
              <v:imagedata o:title=""/>
              <o:lock v:ext="edit" rotation="t" aspectratio="f"/>
              <v:textbox inset="0mm,0mm,0mm,0mm">
                <w:txbxContent>
                  <w:p>
                    <w:pPr>
                      <w:ind w:left="105" w:hanging="105"/>
                    </w:pPr>
                  </w:p>
                </w:txbxContent>
              </v:textbox>
              <w10:wrap type="non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left="90" w:hanging="9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left="105" w:hanging="10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left="90" w:hanging="9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left="105" w:hanging="105"/>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9"/>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cnds4BAACp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q4oSywy++Pnnj/OvP+ff3wnG&#10;UKDeQ411jx4r4/DBDbg2cxwwmHgPMpj0RUYE8yjv6SKvGCLh6dKqWq1KTHHMzQ7iF0/XfYD4UThD&#10;ktHQgO+XZWXHe4hj6VySull3p7TOb6jtPwHEHCMiL8F0OzEZJ05WHHbDRG/n2hOy63ERGmpx7ynR&#10;nyzqnHZmNsJs7Gbj4IPadzjoMk8J/vYQcaQ8aeowwiLD5OALZq7TtqUVee7nqqc/bP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ExHJ3bOAQAAqQMAAA4AAAAAAAAAAQAgAAAAHgEAAGRycy9l&#10;Mm9Eb2MueG1sUEsFBgAAAAAGAAYAWQEAAF4FAAAAAA==&#10;">
              <v:fill on="f" focussize="0,0"/>
              <v:stroke on="f"/>
              <v:imagedata o:title=""/>
              <o:lock v:ext="edit" aspectratio="f"/>
              <v:textbox inset="0mm,0mm,0mm,0mm" style="mso-fit-shape-to-text:t;">
                <w:txbxContent>
                  <w:p>
                    <w:pPr>
                      <w:pStyle w:val="49"/>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4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49"/>
                    </w:pPr>
                    <w:r>
                      <w:fldChar w:fldCharType="begin"/>
                    </w:r>
                    <w:r>
                      <w:instrText xml:space="preserve"> PAGE  \* MERGEFORMAT </w:instrText>
                    </w:r>
                    <w:r>
                      <w:fldChar w:fldCharType="separate"/>
                    </w:r>
                    <w:r>
                      <w:t>38</w:t>
                    </w:r>
                    <w:r>
                      <w:fldChar w:fldCharType="end"/>
                    </w:r>
                  </w:p>
                </w:txbxContent>
              </v:textbox>
            </v:shape>
          </w:pict>
        </mc:Fallback>
      </mc:AlternateContent>
    </w:r>
    <w:r>
      <w:rPr>
        <w:rFonts w:ascii="Times New Roman" w:hAnsi="Times New Roman" w:eastAsia="Times New Roman" w:cs="Times New Roman"/>
        <w:spacing w:val="-2"/>
        <w:position w:val="-2"/>
        <w:sz w:val="18"/>
        <w:szCs w:val="18"/>
        <w:shd w:val="clear" w:color="auto" w:fill="FFFFFE"/>
      </w:rPr>
      <w:t>79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4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hanging="105"/>
      </w:pPr>
      <w:r>
        <w:separator/>
      </w:r>
    </w:p>
  </w:footnote>
  <w:footnote w:type="continuationSeparator" w:id="1">
    <w:p>
      <w:pPr>
        <w:spacing w:line="360" w:lineRule="auto"/>
        <w:ind w:hanging="10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4" w:space="0"/>
      </w:pBdr>
      <w:bidi w:val="0"/>
      <w:ind w:left="0" w:leftChars="0" w:firstLine="0" w:firstLineChars="0"/>
      <w:jc w:val="center"/>
      <w:rPr>
        <w:rFonts w:hint="eastAsia"/>
        <w:lang w:val="en-US" w:eastAsia="zh-CN"/>
      </w:rPr>
    </w:pPr>
    <w:r>
      <w:rPr>
        <w:rFonts w:hint="eastAsia" w:cs="Times New Roman"/>
        <w:lang w:val="en-US" w:eastAsia="zh-CN"/>
      </w:rPr>
      <w:t>皮山县固玛镇寄宿制第二、第三中学及固玛镇第二小学中华文化共同体主题校园文化建设补助项目-法治校园文化建设项目</w:t>
    </w:r>
    <w:r>
      <w:rPr>
        <w:rFonts w:hint="eastAsia" w:eastAsia="宋体" w:cs="Times New Roman"/>
        <w:lang w:val="en-US" w:eastAsia="zh-CN"/>
      </w:rPr>
      <w:t>——公开招标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left="90" w:hanging="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4" w:space="0"/>
      </w:pBdr>
      <w:bidi w:val="0"/>
      <w:ind w:left="0" w:leftChars="0" w:firstLine="0" w:firstLineChars="0"/>
      <w:jc w:val="center"/>
      <w:rPr>
        <w:rFonts w:hint="default"/>
        <w:lang w:val="en-US"/>
      </w:rPr>
    </w:pPr>
    <w:r>
      <w:rPr>
        <w:rFonts w:hint="eastAsia"/>
        <w:lang w:val="en-US" w:eastAsia="zh-CN"/>
      </w:rPr>
      <w:t>皮山县固玛镇寄宿制第二、第三中学及固玛镇第二小学中华文化共同体主题校园文化建设补助项目-法治校园文化建设项目——公开招标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4" w:space="0"/>
      </w:pBdr>
      <w:bidi w:val="0"/>
      <w:ind w:left="0" w:leftChars="0" w:firstLine="0" w:firstLineChars="0"/>
      <w:jc w:val="center"/>
      <w:rPr>
        <w:rFonts w:hint="eastAsia" w:eastAsia="宋体"/>
        <w:lang w:eastAsia="zh-CN"/>
      </w:rPr>
    </w:pPr>
    <w:r>
      <w:rPr>
        <w:rFonts w:hint="eastAsia"/>
        <w:lang w:eastAsia="zh-CN"/>
      </w:rPr>
      <w:tab/>
    </w:r>
    <w:r>
      <w:rPr>
        <w:rFonts w:hint="eastAsia" w:cs="Times New Roman"/>
        <w:lang w:val="en-US" w:eastAsia="zh-CN"/>
      </w:rPr>
      <w:t>皮山县固玛镇寄宿制第二、第三中学及固玛镇第二小学中华文化共同体主题校园文化建设补助项目-法治校园文化建设项目</w:t>
    </w:r>
    <w:r>
      <w:rPr>
        <w:rFonts w:hint="eastAsia" w:eastAsia="宋体" w:cs="Times New Roman"/>
        <w:lang w:val="en-US" w:eastAsia="zh-CN"/>
      </w:rPr>
      <w:t>——公开招标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4A815A"/>
    <w:multiLevelType w:val="singleLevel"/>
    <w:tmpl w:val="AC4A815A"/>
    <w:lvl w:ilvl="0" w:tentative="0">
      <w:start w:val="6"/>
      <w:numFmt w:val="decimal"/>
      <w:suff w:val="nothing"/>
      <w:lvlText w:val="%1、"/>
      <w:lvlJc w:val="left"/>
    </w:lvl>
  </w:abstractNum>
  <w:abstractNum w:abstractNumId="1">
    <w:nsid w:val="AE83B5D4"/>
    <w:multiLevelType w:val="singleLevel"/>
    <w:tmpl w:val="AE83B5D4"/>
    <w:lvl w:ilvl="0" w:tentative="0">
      <w:start w:val="1"/>
      <w:numFmt w:val="decimal"/>
      <w:suff w:val="nothing"/>
      <w:lvlText w:val="%1、"/>
      <w:lvlJc w:val="left"/>
    </w:lvl>
  </w:abstractNum>
  <w:abstractNum w:abstractNumId="2">
    <w:nsid w:val="FD756BF6"/>
    <w:multiLevelType w:val="singleLevel"/>
    <w:tmpl w:val="FD756BF6"/>
    <w:lvl w:ilvl="0" w:tentative="0">
      <w:start w:val="2"/>
      <w:numFmt w:val="chineseCounting"/>
      <w:suff w:val="nothing"/>
      <w:lvlText w:val="（%1）"/>
      <w:lvlJc w:val="left"/>
      <w:rPr>
        <w:rFonts w:hint="eastAsia"/>
      </w:rPr>
    </w:lvl>
  </w:abstractNum>
  <w:abstractNum w:abstractNumId="3">
    <w:nsid w:val="09FD638A"/>
    <w:multiLevelType w:val="multilevel"/>
    <w:tmpl w:val="09FD638A"/>
    <w:lvl w:ilvl="0" w:tentative="0">
      <w:start w:val="1"/>
      <w:numFmt w:val="japaneseCounting"/>
      <w:pStyle w:val="128"/>
      <w:lvlText w:val="%1、"/>
      <w:lvlJc w:val="left"/>
      <w:pPr>
        <w:tabs>
          <w:tab w:val="left" w:pos="420"/>
        </w:tabs>
        <w:ind w:left="420" w:hanging="420"/>
      </w:pPr>
      <w:rPr>
        <w:rFonts w:hint="default"/>
      </w:rPr>
    </w:lvl>
    <w:lvl w:ilvl="1" w:tentative="0">
      <w:start w:val="1"/>
      <w:numFmt w:val="decimal"/>
      <w:lvlText w:val="%2、"/>
      <w:lvlJc w:val="left"/>
      <w:pPr>
        <w:tabs>
          <w:tab w:val="left" w:pos="644"/>
        </w:tabs>
        <w:ind w:left="644" w:hanging="360"/>
      </w:pPr>
      <w:rPr>
        <w:rFonts w:ascii="宋体" w:hAnsi="宋体" w:eastAsia="宋体" w:cs="Times New Roman"/>
      </w:rPr>
    </w:lvl>
    <w:lvl w:ilvl="2" w:tentative="0">
      <w:start w:val="2"/>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6D4198A"/>
    <w:multiLevelType w:val="multilevel"/>
    <w:tmpl w:val="36D4198A"/>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none"/>
      <w:lvlRestart w:val="0"/>
      <w:pStyle w:val="5"/>
      <w:isLgl/>
      <w:lvlText w:val="4.1.1.1"/>
      <w:lvlJc w:val="left"/>
      <w:pPr>
        <w:tabs>
          <w:tab w:val="left" w:pos="1751"/>
        </w:tabs>
        <w:ind w:left="17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3C7D36E3"/>
    <w:multiLevelType w:val="multilevel"/>
    <w:tmpl w:val="3C7D36E3"/>
    <w:lvl w:ilvl="0" w:tentative="0">
      <w:start w:val="1"/>
      <w:numFmt w:val="japaneseCounting"/>
      <w:pStyle w:val="3"/>
      <w:lvlText w:val="%1．"/>
      <w:lvlJc w:val="left"/>
      <w:pPr>
        <w:tabs>
          <w:tab w:val="left" w:pos="3060"/>
        </w:tabs>
        <w:ind w:left="3060" w:hanging="720"/>
      </w:pPr>
      <w:rPr>
        <w:b/>
        <w:sz w:val="36"/>
        <w:szCs w:val="36"/>
      </w:rPr>
    </w:lvl>
    <w:lvl w:ilvl="1" w:tentative="0">
      <w:start w:val="6"/>
      <w:numFmt w:val="decimal"/>
      <w:lvlText w:val="%2、"/>
      <w:lvlJc w:val="left"/>
      <w:pPr>
        <w:tabs>
          <w:tab w:val="left" w:pos="3160"/>
        </w:tabs>
        <w:ind w:left="3160" w:hanging="825"/>
      </w:pPr>
    </w:lvl>
    <w:lvl w:ilvl="2" w:tentative="0">
      <w:start w:val="2"/>
      <w:numFmt w:val="japaneseCounting"/>
      <w:lvlText w:val="%3、"/>
      <w:lvlJc w:val="left"/>
      <w:pPr>
        <w:tabs>
          <w:tab w:val="left" w:pos="3475"/>
        </w:tabs>
        <w:ind w:left="3475" w:hanging="720"/>
      </w:pPr>
      <w:rPr>
        <w:b/>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numFmt w:val="decimalHalfWidth"/>
    <w:footnote w:id="0"/>
    <w:footnote w:id="1"/>
  </w:footnotePr>
  <w:endnotePr>
    <w:numFmt w:val="chineseCounting"/>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xMGY2YmI4ODJhZTcyMWJlODhhZjZkNzM2NWRiZmEifQ=="/>
  </w:docVars>
  <w:rsids>
    <w:rsidRoot w:val="000669E3"/>
    <w:rsid w:val="0000017A"/>
    <w:rsid w:val="00001114"/>
    <w:rsid w:val="000015C3"/>
    <w:rsid w:val="000022DA"/>
    <w:rsid w:val="00002548"/>
    <w:rsid w:val="00002650"/>
    <w:rsid w:val="00002EB5"/>
    <w:rsid w:val="000047A6"/>
    <w:rsid w:val="00005531"/>
    <w:rsid w:val="0000598D"/>
    <w:rsid w:val="0000642A"/>
    <w:rsid w:val="00010945"/>
    <w:rsid w:val="00010D6A"/>
    <w:rsid w:val="00010DE7"/>
    <w:rsid w:val="000114C6"/>
    <w:rsid w:val="0001150B"/>
    <w:rsid w:val="000119F6"/>
    <w:rsid w:val="00011ACB"/>
    <w:rsid w:val="0001305F"/>
    <w:rsid w:val="0001321B"/>
    <w:rsid w:val="00013CD2"/>
    <w:rsid w:val="00014A81"/>
    <w:rsid w:val="000153DC"/>
    <w:rsid w:val="00015A0D"/>
    <w:rsid w:val="00015EFC"/>
    <w:rsid w:val="00017574"/>
    <w:rsid w:val="00021ABA"/>
    <w:rsid w:val="00021B8D"/>
    <w:rsid w:val="00023BA4"/>
    <w:rsid w:val="00023E15"/>
    <w:rsid w:val="00023EAB"/>
    <w:rsid w:val="00024218"/>
    <w:rsid w:val="000249A0"/>
    <w:rsid w:val="000249C0"/>
    <w:rsid w:val="00024AFD"/>
    <w:rsid w:val="0002736B"/>
    <w:rsid w:val="00027C9F"/>
    <w:rsid w:val="00027D10"/>
    <w:rsid w:val="000304EB"/>
    <w:rsid w:val="00030E3D"/>
    <w:rsid w:val="000310D4"/>
    <w:rsid w:val="000313F5"/>
    <w:rsid w:val="00031D85"/>
    <w:rsid w:val="00032314"/>
    <w:rsid w:val="000331FC"/>
    <w:rsid w:val="00033F3F"/>
    <w:rsid w:val="00034325"/>
    <w:rsid w:val="00034591"/>
    <w:rsid w:val="00034620"/>
    <w:rsid w:val="00035933"/>
    <w:rsid w:val="000402B7"/>
    <w:rsid w:val="000419EE"/>
    <w:rsid w:val="00042652"/>
    <w:rsid w:val="00042AD1"/>
    <w:rsid w:val="00043140"/>
    <w:rsid w:val="00043B2F"/>
    <w:rsid w:val="00044301"/>
    <w:rsid w:val="00044550"/>
    <w:rsid w:val="00046295"/>
    <w:rsid w:val="000468CA"/>
    <w:rsid w:val="000503CE"/>
    <w:rsid w:val="00051B8A"/>
    <w:rsid w:val="000529BE"/>
    <w:rsid w:val="00052CBC"/>
    <w:rsid w:val="00052DB3"/>
    <w:rsid w:val="00052F6D"/>
    <w:rsid w:val="0005368B"/>
    <w:rsid w:val="00053C23"/>
    <w:rsid w:val="00053CFF"/>
    <w:rsid w:val="00053E1F"/>
    <w:rsid w:val="00053E58"/>
    <w:rsid w:val="00054F1F"/>
    <w:rsid w:val="00055868"/>
    <w:rsid w:val="00055CAE"/>
    <w:rsid w:val="00056A9F"/>
    <w:rsid w:val="00062622"/>
    <w:rsid w:val="000626D5"/>
    <w:rsid w:val="00062F9B"/>
    <w:rsid w:val="000638E6"/>
    <w:rsid w:val="00065C00"/>
    <w:rsid w:val="00065C0F"/>
    <w:rsid w:val="000669E3"/>
    <w:rsid w:val="0006748A"/>
    <w:rsid w:val="00067FC5"/>
    <w:rsid w:val="0007065D"/>
    <w:rsid w:val="00070921"/>
    <w:rsid w:val="0007118D"/>
    <w:rsid w:val="0007251F"/>
    <w:rsid w:val="00072667"/>
    <w:rsid w:val="00072A12"/>
    <w:rsid w:val="000740C5"/>
    <w:rsid w:val="000759C0"/>
    <w:rsid w:val="0007642E"/>
    <w:rsid w:val="00076B8F"/>
    <w:rsid w:val="000773C9"/>
    <w:rsid w:val="000807F9"/>
    <w:rsid w:val="000809ED"/>
    <w:rsid w:val="00080BDF"/>
    <w:rsid w:val="00080D57"/>
    <w:rsid w:val="00080EFF"/>
    <w:rsid w:val="00081459"/>
    <w:rsid w:val="000814B9"/>
    <w:rsid w:val="00081F12"/>
    <w:rsid w:val="000823DF"/>
    <w:rsid w:val="000827B7"/>
    <w:rsid w:val="0008305D"/>
    <w:rsid w:val="0008316E"/>
    <w:rsid w:val="0008364F"/>
    <w:rsid w:val="00084DF5"/>
    <w:rsid w:val="00084E6B"/>
    <w:rsid w:val="000853FA"/>
    <w:rsid w:val="0008688C"/>
    <w:rsid w:val="00087211"/>
    <w:rsid w:val="0009027E"/>
    <w:rsid w:val="000911EB"/>
    <w:rsid w:val="00091957"/>
    <w:rsid w:val="00094282"/>
    <w:rsid w:val="00095C12"/>
    <w:rsid w:val="00096651"/>
    <w:rsid w:val="00097124"/>
    <w:rsid w:val="000978D2"/>
    <w:rsid w:val="000A00AB"/>
    <w:rsid w:val="000A0A41"/>
    <w:rsid w:val="000A17B6"/>
    <w:rsid w:val="000A2663"/>
    <w:rsid w:val="000A28E5"/>
    <w:rsid w:val="000A3084"/>
    <w:rsid w:val="000A3430"/>
    <w:rsid w:val="000A3489"/>
    <w:rsid w:val="000A4486"/>
    <w:rsid w:val="000A54E2"/>
    <w:rsid w:val="000A5A93"/>
    <w:rsid w:val="000A637F"/>
    <w:rsid w:val="000A656C"/>
    <w:rsid w:val="000A6BCB"/>
    <w:rsid w:val="000A6DE4"/>
    <w:rsid w:val="000A7182"/>
    <w:rsid w:val="000A75D6"/>
    <w:rsid w:val="000A7DC8"/>
    <w:rsid w:val="000B09E9"/>
    <w:rsid w:val="000B13CF"/>
    <w:rsid w:val="000B215B"/>
    <w:rsid w:val="000B2B45"/>
    <w:rsid w:val="000B2F20"/>
    <w:rsid w:val="000B4C14"/>
    <w:rsid w:val="000B58F9"/>
    <w:rsid w:val="000B716F"/>
    <w:rsid w:val="000C0145"/>
    <w:rsid w:val="000C08E5"/>
    <w:rsid w:val="000C0BCC"/>
    <w:rsid w:val="000C0C52"/>
    <w:rsid w:val="000C151F"/>
    <w:rsid w:val="000C1B22"/>
    <w:rsid w:val="000C300F"/>
    <w:rsid w:val="000C3573"/>
    <w:rsid w:val="000C44B1"/>
    <w:rsid w:val="000C48E5"/>
    <w:rsid w:val="000C49E3"/>
    <w:rsid w:val="000C4EB1"/>
    <w:rsid w:val="000C503A"/>
    <w:rsid w:val="000C5544"/>
    <w:rsid w:val="000C589D"/>
    <w:rsid w:val="000C5B1C"/>
    <w:rsid w:val="000D0CFC"/>
    <w:rsid w:val="000D1AB0"/>
    <w:rsid w:val="000D1CDF"/>
    <w:rsid w:val="000D25FE"/>
    <w:rsid w:val="000D47D6"/>
    <w:rsid w:val="000D67EF"/>
    <w:rsid w:val="000D6CB9"/>
    <w:rsid w:val="000D6D98"/>
    <w:rsid w:val="000D74DC"/>
    <w:rsid w:val="000D7AAD"/>
    <w:rsid w:val="000D7ED7"/>
    <w:rsid w:val="000E0613"/>
    <w:rsid w:val="000E0653"/>
    <w:rsid w:val="000E1B78"/>
    <w:rsid w:val="000E2252"/>
    <w:rsid w:val="000E2C6C"/>
    <w:rsid w:val="000E3A28"/>
    <w:rsid w:val="000E4029"/>
    <w:rsid w:val="000E46AE"/>
    <w:rsid w:val="000E7122"/>
    <w:rsid w:val="000E73E6"/>
    <w:rsid w:val="000F0270"/>
    <w:rsid w:val="000F0EA1"/>
    <w:rsid w:val="000F2007"/>
    <w:rsid w:val="000F2BD0"/>
    <w:rsid w:val="000F2D7A"/>
    <w:rsid w:val="000F5A7D"/>
    <w:rsid w:val="000F5BB0"/>
    <w:rsid w:val="000F761E"/>
    <w:rsid w:val="00100687"/>
    <w:rsid w:val="001010CA"/>
    <w:rsid w:val="001019D2"/>
    <w:rsid w:val="0010264D"/>
    <w:rsid w:val="00103CA2"/>
    <w:rsid w:val="00104E91"/>
    <w:rsid w:val="0010533E"/>
    <w:rsid w:val="0010584C"/>
    <w:rsid w:val="00106A4E"/>
    <w:rsid w:val="001075E1"/>
    <w:rsid w:val="00112154"/>
    <w:rsid w:val="001125E0"/>
    <w:rsid w:val="00112EDF"/>
    <w:rsid w:val="001143F1"/>
    <w:rsid w:val="00116422"/>
    <w:rsid w:val="00117B8A"/>
    <w:rsid w:val="00120B86"/>
    <w:rsid w:val="00122A99"/>
    <w:rsid w:val="00122ED8"/>
    <w:rsid w:val="00124803"/>
    <w:rsid w:val="00126D9E"/>
    <w:rsid w:val="001272CC"/>
    <w:rsid w:val="00130228"/>
    <w:rsid w:val="0013032D"/>
    <w:rsid w:val="00130816"/>
    <w:rsid w:val="00130B51"/>
    <w:rsid w:val="001316AE"/>
    <w:rsid w:val="0013181B"/>
    <w:rsid w:val="00131BC1"/>
    <w:rsid w:val="001329D2"/>
    <w:rsid w:val="00133E1A"/>
    <w:rsid w:val="00134D40"/>
    <w:rsid w:val="00134ED4"/>
    <w:rsid w:val="00136EB6"/>
    <w:rsid w:val="00140763"/>
    <w:rsid w:val="00140EBD"/>
    <w:rsid w:val="00140FA9"/>
    <w:rsid w:val="001420B1"/>
    <w:rsid w:val="0014510E"/>
    <w:rsid w:val="00145DB0"/>
    <w:rsid w:val="00146C42"/>
    <w:rsid w:val="00147DFE"/>
    <w:rsid w:val="001503D3"/>
    <w:rsid w:val="0015071A"/>
    <w:rsid w:val="00150CC4"/>
    <w:rsid w:val="00151386"/>
    <w:rsid w:val="00152CDC"/>
    <w:rsid w:val="0015399B"/>
    <w:rsid w:val="00154A06"/>
    <w:rsid w:val="001554A8"/>
    <w:rsid w:val="001563BC"/>
    <w:rsid w:val="001574CB"/>
    <w:rsid w:val="00157F0D"/>
    <w:rsid w:val="00163FC6"/>
    <w:rsid w:val="00164ADD"/>
    <w:rsid w:val="00164FC3"/>
    <w:rsid w:val="00165654"/>
    <w:rsid w:val="00165E50"/>
    <w:rsid w:val="0016665E"/>
    <w:rsid w:val="0016685F"/>
    <w:rsid w:val="00166E54"/>
    <w:rsid w:val="001673D2"/>
    <w:rsid w:val="001673EE"/>
    <w:rsid w:val="00167E73"/>
    <w:rsid w:val="001703C1"/>
    <w:rsid w:val="00171B01"/>
    <w:rsid w:val="00171FF9"/>
    <w:rsid w:val="00172DBD"/>
    <w:rsid w:val="0017422B"/>
    <w:rsid w:val="001751A7"/>
    <w:rsid w:val="00175F29"/>
    <w:rsid w:val="00176A84"/>
    <w:rsid w:val="00176DF7"/>
    <w:rsid w:val="00177B4D"/>
    <w:rsid w:val="0018036A"/>
    <w:rsid w:val="00180AE6"/>
    <w:rsid w:val="00180B35"/>
    <w:rsid w:val="00181EED"/>
    <w:rsid w:val="00182063"/>
    <w:rsid w:val="001821B8"/>
    <w:rsid w:val="0018225C"/>
    <w:rsid w:val="00182674"/>
    <w:rsid w:val="00182D50"/>
    <w:rsid w:val="001843F4"/>
    <w:rsid w:val="00184498"/>
    <w:rsid w:val="00185EC2"/>
    <w:rsid w:val="00185F02"/>
    <w:rsid w:val="00186104"/>
    <w:rsid w:val="00186890"/>
    <w:rsid w:val="00186C70"/>
    <w:rsid w:val="00187210"/>
    <w:rsid w:val="001876C3"/>
    <w:rsid w:val="001907CD"/>
    <w:rsid w:val="00191F54"/>
    <w:rsid w:val="0019412C"/>
    <w:rsid w:val="001A0274"/>
    <w:rsid w:val="001A0317"/>
    <w:rsid w:val="001A1BE0"/>
    <w:rsid w:val="001A209D"/>
    <w:rsid w:val="001A2183"/>
    <w:rsid w:val="001A31A3"/>
    <w:rsid w:val="001A369C"/>
    <w:rsid w:val="001A445A"/>
    <w:rsid w:val="001A47C4"/>
    <w:rsid w:val="001A4D87"/>
    <w:rsid w:val="001A5E39"/>
    <w:rsid w:val="001A6370"/>
    <w:rsid w:val="001A682D"/>
    <w:rsid w:val="001A68E9"/>
    <w:rsid w:val="001B0C12"/>
    <w:rsid w:val="001B1015"/>
    <w:rsid w:val="001B19E3"/>
    <w:rsid w:val="001B2FCD"/>
    <w:rsid w:val="001B4E3B"/>
    <w:rsid w:val="001B51BA"/>
    <w:rsid w:val="001B5A58"/>
    <w:rsid w:val="001B6088"/>
    <w:rsid w:val="001B6DFC"/>
    <w:rsid w:val="001B77D6"/>
    <w:rsid w:val="001C277F"/>
    <w:rsid w:val="001C34EC"/>
    <w:rsid w:val="001C3636"/>
    <w:rsid w:val="001C4FEE"/>
    <w:rsid w:val="001C54D1"/>
    <w:rsid w:val="001C5A28"/>
    <w:rsid w:val="001C5B8B"/>
    <w:rsid w:val="001C5C24"/>
    <w:rsid w:val="001C78B4"/>
    <w:rsid w:val="001C7A72"/>
    <w:rsid w:val="001C7D0B"/>
    <w:rsid w:val="001D172A"/>
    <w:rsid w:val="001D1A84"/>
    <w:rsid w:val="001D2B44"/>
    <w:rsid w:val="001D307A"/>
    <w:rsid w:val="001D3CB3"/>
    <w:rsid w:val="001D50C9"/>
    <w:rsid w:val="001D648E"/>
    <w:rsid w:val="001D652E"/>
    <w:rsid w:val="001D76F5"/>
    <w:rsid w:val="001D7F5D"/>
    <w:rsid w:val="001E0B3C"/>
    <w:rsid w:val="001E1094"/>
    <w:rsid w:val="001E125F"/>
    <w:rsid w:val="001E1361"/>
    <w:rsid w:val="001E20D3"/>
    <w:rsid w:val="001E2E9F"/>
    <w:rsid w:val="001E34A1"/>
    <w:rsid w:val="001E35F7"/>
    <w:rsid w:val="001E4AC4"/>
    <w:rsid w:val="001F044D"/>
    <w:rsid w:val="001F0914"/>
    <w:rsid w:val="001F0B9A"/>
    <w:rsid w:val="001F1932"/>
    <w:rsid w:val="001F251A"/>
    <w:rsid w:val="001F2F02"/>
    <w:rsid w:val="001F3FE1"/>
    <w:rsid w:val="001F50AA"/>
    <w:rsid w:val="001F5C57"/>
    <w:rsid w:val="001F7016"/>
    <w:rsid w:val="00200EBC"/>
    <w:rsid w:val="00201899"/>
    <w:rsid w:val="002046CE"/>
    <w:rsid w:val="00205775"/>
    <w:rsid w:val="00205C63"/>
    <w:rsid w:val="00206399"/>
    <w:rsid w:val="00206466"/>
    <w:rsid w:val="00206B62"/>
    <w:rsid w:val="00210567"/>
    <w:rsid w:val="002106E5"/>
    <w:rsid w:val="00210735"/>
    <w:rsid w:val="00210779"/>
    <w:rsid w:val="00211D4E"/>
    <w:rsid w:val="00213F35"/>
    <w:rsid w:val="00214516"/>
    <w:rsid w:val="00214BDF"/>
    <w:rsid w:val="00215804"/>
    <w:rsid w:val="00215A2B"/>
    <w:rsid w:val="00215AE9"/>
    <w:rsid w:val="00216F0D"/>
    <w:rsid w:val="00217A2E"/>
    <w:rsid w:val="00217EC2"/>
    <w:rsid w:val="0022055F"/>
    <w:rsid w:val="00220D49"/>
    <w:rsid w:val="0022288C"/>
    <w:rsid w:val="0022312B"/>
    <w:rsid w:val="0022394B"/>
    <w:rsid w:val="00223AF4"/>
    <w:rsid w:val="0022587A"/>
    <w:rsid w:val="00225910"/>
    <w:rsid w:val="00225BED"/>
    <w:rsid w:val="0022731E"/>
    <w:rsid w:val="00227928"/>
    <w:rsid w:val="00227CFB"/>
    <w:rsid w:val="00230046"/>
    <w:rsid w:val="002305CA"/>
    <w:rsid w:val="00230C25"/>
    <w:rsid w:val="002328CF"/>
    <w:rsid w:val="00232932"/>
    <w:rsid w:val="00232FA4"/>
    <w:rsid w:val="00234BD6"/>
    <w:rsid w:val="00234C06"/>
    <w:rsid w:val="00234DD4"/>
    <w:rsid w:val="00234FB7"/>
    <w:rsid w:val="0023754C"/>
    <w:rsid w:val="002375E1"/>
    <w:rsid w:val="00237AB6"/>
    <w:rsid w:val="00237CCF"/>
    <w:rsid w:val="00237E62"/>
    <w:rsid w:val="002401A9"/>
    <w:rsid w:val="00240E9F"/>
    <w:rsid w:val="00241351"/>
    <w:rsid w:val="00242ECA"/>
    <w:rsid w:val="00243621"/>
    <w:rsid w:val="002438B3"/>
    <w:rsid w:val="002448E9"/>
    <w:rsid w:val="00244B0E"/>
    <w:rsid w:val="002458F6"/>
    <w:rsid w:val="002465C5"/>
    <w:rsid w:val="00247AD9"/>
    <w:rsid w:val="002508D9"/>
    <w:rsid w:val="00251C08"/>
    <w:rsid w:val="00252988"/>
    <w:rsid w:val="00252E05"/>
    <w:rsid w:val="0025456F"/>
    <w:rsid w:val="002577F4"/>
    <w:rsid w:val="0026026B"/>
    <w:rsid w:val="00260F9D"/>
    <w:rsid w:val="00261188"/>
    <w:rsid w:val="00261D5A"/>
    <w:rsid w:val="00262BB1"/>
    <w:rsid w:val="00262E8F"/>
    <w:rsid w:val="00264567"/>
    <w:rsid w:val="00265348"/>
    <w:rsid w:val="00265855"/>
    <w:rsid w:val="00265DED"/>
    <w:rsid w:val="0026623D"/>
    <w:rsid w:val="0026630F"/>
    <w:rsid w:val="0026671C"/>
    <w:rsid w:val="00267082"/>
    <w:rsid w:val="002677F0"/>
    <w:rsid w:val="002678AD"/>
    <w:rsid w:val="00267D5B"/>
    <w:rsid w:val="0027056C"/>
    <w:rsid w:val="002708B6"/>
    <w:rsid w:val="0027184E"/>
    <w:rsid w:val="0027516A"/>
    <w:rsid w:val="002755A1"/>
    <w:rsid w:val="00276715"/>
    <w:rsid w:val="00276C41"/>
    <w:rsid w:val="00277C87"/>
    <w:rsid w:val="002800E8"/>
    <w:rsid w:val="0028090B"/>
    <w:rsid w:val="0028183B"/>
    <w:rsid w:val="00281E6C"/>
    <w:rsid w:val="00281F2F"/>
    <w:rsid w:val="0028234E"/>
    <w:rsid w:val="00284FE8"/>
    <w:rsid w:val="0028549A"/>
    <w:rsid w:val="0028661F"/>
    <w:rsid w:val="002870C8"/>
    <w:rsid w:val="00287C0A"/>
    <w:rsid w:val="00287CA0"/>
    <w:rsid w:val="00287EAD"/>
    <w:rsid w:val="00290897"/>
    <w:rsid w:val="0029105E"/>
    <w:rsid w:val="002919A1"/>
    <w:rsid w:val="00294B33"/>
    <w:rsid w:val="0029648F"/>
    <w:rsid w:val="00297917"/>
    <w:rsid w:val="002A0A5F"/>
    <w:rsid w:val="002A0B27"/>
    <w:rsid w:val="002A0F40"/>
    <w:rsid w:val="002A26D8"/>
    <w:rsid w:val="002A2D80"/>
    <w:rsid w:val="002A2FAF"/>
    <w:rsid w:val="002A48FD"/>
    <w:rsid w:val="002A6220"/>
    <w:rsid w:val="002A669B"/>
    <w:rsid w:val="002A7712"/>
    <w:rsid w:val="002A7A8A"/>
    <w:rsid w:val="002A7A9F"/>
    <w:rsid w:val="002B143B"/>
    <w:rsid w:val="002B1871"/>
    <w:rsid w:val="002B2532"/>
    <w:rsid w:val="002B2E65"/>
    <w:rsid w:val="002B5BAB"/>
    <w:rsid w:val="002B6C2B"/>
    <w:rsid w:val="002B73DC"/>
    <w:rsid w:val="002C1816"/>
    <w:rsid w:val="002C275C"/>
    <w:rsid w:val="002C30CE"/>
    <w:rsid w:val="002C4052"/>
    <w:rsid w:val="002C4279"/>
    <w:rsid w:val="002D086B"/>
    <w:rsid w:val="002D1689"/>
    <w:rsid w:val="002D18BE"/>
    <w:rsid w:val="002D3361"/>
    <w:rsid w:val="002D384F"/>
    <w:rsid w:val="002D3D79"/>
    <w:rsid w:val="002D6C2A"/>
    <w:rsid w:val="002D737E"/>
    <w:rsid w:val="002E02EE"/>
    <w:rsid w:val="002E0371"/>
    <w:rsid w:val="002E0BB8"/>
    <w:rsid w:val="002E1A29"/>
    <w:rsid w:val="002E1ABA"/>
    <w:rsid w:val="002E203E"/>
    <w:rsid w:val="002E2D94"/>
    <w:rsid w:val="002E3DD4"/>
    <w:rsid w:val="002E47C4"/>
    <w:rsid w:val="002E4C49"/>
    <w:rsid w:val="002E4E8E"/>
    <w:rsid w:val="002E5294"/>
    <w:rsid w:val="002E6A78"/>
    <w:rsid w:val="002E7075"/>
    <w:rsid w:val="002E725F"/>
    <w:rsid w:val="002E7791"/>
    <w:rsid w:val="002F150F"/>
    <w:rsid w:val="002F1805"/>
    <w:rsid w:val="002F1995"/>
    <w:rsid w:val="002F26A1"/>
    <w:rsid w:val="002F2D76"/>
    <w:rsid w:val="002F3AB0"/>
    <w:rsid w:val="002F413D"/>
    <w:rsid w:val="002F428F"/>
    <w:rsid w:val="002F5045"/>
    <w:rsid w:val="002F51E7"/>
    <w:rsid w:val="002F59D8"/>
    <w:rsid w:val="002F76F0"/>
    <w:rsid w:val="00300E0F"/>
    <w:rsid w:val="00301EF9"/>
    <w:rsid w:val="00302080"/>
    <w:rsid w:val="003020B5"/>
    <w:rsid w:val="00302F74"/>
    <w:rsid w:val="00303055"/>
    <w:rsid w:val="003033A3"/>
    <w:rsid w:val="0030385D"/>
    <w:rsid w:val="00303C2D"/>
    <w:rsid w:val="00303F79"/>
    <w:rsid w:val="003048B3"/>
    <w:rsid w:val="00304A0C"/>
    <w:rsid w:val="0030501A"/>
    <w:rsid w:val="00305368"/>
    <w:rsid w:val="00306817"/>
    <w:rsid w:val="003076A5"/>
    <w:rsid w:val="003078CC"/>
    <w:rsid w:val="0031073E"/>
    <w:rsid w:val="00311745"/>
    <w:rsid w:val="00311FEF"/>
    <w:rsid w:val="00312880"/>
    <w:rsid w:val="00313787"/>
    <w:rsid w:val="00313F38"/>
    <w:rsid w:val="003157FB"/>
    <w:rsid w:val="003166D3"/>
    <w:rsid w:val="003168EE"/>
    <w:rsid w:val="0031702E"/>
    <w:rsid w:val="003179C7"/>
    <w:rsid w:val="00320629"/>
    <w:rsid w:val="0032092B"/>
    <w:rsid w:val="003224E4"/>
    <w:rsid w:val="00323827"/>
    <w:rsid w:val="00324CCA"/>
    <w:rsid w:val="003258EA"/>
    <w:rsid w:val="00325C18"/>
    <w:rsid w:val="0032775D"/>
    <w:rsid w:val="0033022F"/>
    <w:rsid w:val="00330DAC"/>
    <w:rsid w:val="003312E9"/>
    <w:rsid w:val="00333D70"/>
    <w:rsid w:val="00333F2B"/>
    <w:rsid w:val="003346C4"/>
    <w:rsid w:val="003349B6"/>
    <w:rsid w:val="00334DA5"/>
    <w:rsid w:val="00335545"/>
    <w:rsid w:val="00335CE0"/>
    <w:rsid w:val="003371BE"/>
    <w:rsid w:val="003373A0"/>
    <w:rsid w:val="003401CD"/>
    <w:rsid w:val="0034087F"/>
    <w:rsid w:val="00341D70"/>
    <w:rsid w:val="0034229B"/>
    <w:rsid w:val="003429D3"/>
    <w:rsid w:val="00342A81"/>
    <w:rsid w:val="00343A8A"/>
    <w:rsid w:val="00345AB4"/>
    <w:rsid w:val="00346C9C"/>
    <w:rsid w:val="00347A92"/>
    <w:rsid w:val="003507F5"/>
    <w:rsid w:val="00350C32"/>
    <w:rsid w:val="00351FE4"/>
    <w:rsid w:val="00352320"/>
    <w:rsid w:val="0035257D"/>
    <w:rsid w:val="00353954"/>
    <w:rsid w:val="00353C4D"/>
    <w:rsid w:val="003541AE"/>
    <w:rsid w:val="0035479E"/>
    <w:rsid w:val="003548F1"/>
    <w:rsid w:val="003562EB"/>
    <w:rsid w:val="00356E84"/>
    <w:rsid w:val="00357D62"/>
    <w:rsid w:val="0036063A"/>
    <w:rsid w:val="00360A3E"/>
    <w:rsid w:val="00360B9D"/>
    <w:rsid w:val="0036130F"/>
    <w:rsid w:val="0036167B"/>
    <w:rsid w:val="00361684"/>
    <w:rsid w:val="003645AF"/>
    <w:rsid w:val="00364B71"/>
    <w:rsid w:val="00365B7E"/>
    <w:rsid w:val="00365F2D"/>
    <w:rsid w:val="0036642F"/>
    <w:rsid w:val="00366761"/>
    <w:rsid w:val="003670FA"/>
    <w:rsid w:val="003679E4"/>
    <w:rsid w:val="00367A9B"/>
    <w:rsid w:val="00370524"/>
    <w:rsid w:val="00370C6A"/>
    <w:rsid w:val="00371C2E"/>
    <w:rsid w:val="00372B46"/>
    <w:rsid w:val="0037375D"/>
    <w:rsid w:val="00374FED"/>
    <w:rsid w:val="00375107"/>
    <w:rsid w:val="00375573"/>
    <w:rsid w:val="003759A0"/>
    <w:rsid w:val="00375B6D"/>
    <w:rsid w:val="00375C10"/>
    <w:rsid w:val="00376A15"/>
    <w:rsid w:val="003773EB"/>
    <w:rsid w:val="00380A14"/>
    <w:rsid w:val="00381665"/>
    <w:rsid w:val="003823BC"/>
    <w:rsid w:val="003832BE"/>
    <w:rsid w:val="0038369A"/>
    <w:rsid w:val="0038396D"/>
    <w:rsid w:val="00383EE5"/>
    <w:rsid w:val="003848E0"/>
    <w:rsid w:val="00384CBD"/>
    <w:rsid w:val="00384FC5"/>
    <w:rsid w:val="0038525B"/>
    <w:rsid w:val="0038632F"/>
    <w:rsid w:val="00386409"/>
    <w:rsid w:val="0038661C"/>
    <w:rsid w:val="00386ACF"/>
    <w:rsid w:val="003874F2"/>
    <w:rsid w:val="003879C0"/>
    <w:rsid w:val="00387AE0"/>
    <w:rsid w:val="00387DA8"/>
    <w:rsid w:val="00391B2F"/>
    <w:rsid w:val="0039274A"/>
    <w:rsid w:val="003933C9"/>
    <w:rsid w:val="00394ACA"/>
    <w:rsid w:val="0039530C"/>
    <w:rsid w:val="003953D8"/>
    <w:rsid w:val="00395D67"/>
    <w:rsid w:val="00396E06"/>
    <w:rsid w:val="00397958"/>
    <w:rsid w:val="00397F67"/>
    <w:rsid w:val="003A0949"/>
    <w:rsid w:val="003A0DFE"/>
    <w:rsid w:val="003A0F5F"/>
    <w:rsid w:val="003A28FF"/>
    <w:rsid w:val="003A2E0F"/>
    <w:rsid w:val="003A2F6A"/>
    <w:rsid w:val="003A3944"/>
    <w:rsid w:val="003A3ED4"/>
    <w:rsid w:val="003A45E3"/>
    <w:rsid w:val="003A4F1C"/>
    <w:rsid w:val="003A6AAD"/>
    <w:rsid w:val="003A6CD0"/>
    <w:rsid w:val="003A787B"/>
    <w:rsid w:val="003B0244"/>
    <w:rsid w:val="003B040E"/>
    <w:rsid w:val="003B0ED2"/>
    <w:rsid w:val="003B37FF"/>
    <w:rsid w:val="003B3FE2"/>
    <w:rsid w:val="003B47A6"/>
    <w:rsid w:val="003B4F6D"/>
    <w:rsid w:val="003B662F"/>
    <w:rsid w:val="003B6FBA"/>
    <w:rsid w:val="003C2486"/>
    <w:rsid w:val="003C2E48"/>
    <w:rsid w:val="003C344D"/>
    <w:rsid w:val="003C5D48"/>
    <w:rsid w:val="003C6884"/>
    <w:rsid w:val="003C7929"/>
    <w:rsid w:val="003D136A"/>
    <w:rsid w:val="003D34A6"/>
    <w:rsid w:val="003D3E14"/>
    <w:rsid w:val="003D5963"/>
    <w:rsid w:val="003D5D39"/>
    <w:rsid w:val="003D6E2F"/>
    <w:rsid w:val="003D6F18"/>
    <w:rsid w:val="003D7DD3"/>
    <w:rsid w:val="003E0576"/>
    <w:rsid w:val="003E0931"/>
    <w:rsid w:val="003E0BA4"/>
    <w:rsid w:val="003E116A"/>
    <w:rsid w:val="003E1353"/>
    <w:rsid w:val="003E36D7"/>
    <w:rsid w:val="003E3C0B"/>
    <w:rsid w:val="003E4252"/>
    <w:rsid w:val="003E43FB"/>
    <w:rsid w:val="003E497E"/>
    <w:rsid w:val="003E4BEB"/>
    <w:rsid w:val="003E5D43"/>
    <w:rsid w:val="003E6DEC"/>
    <w:rsid w:val="003E704E"/>
    <w:rsid w:val="003F04A8"/>
    <w:rsid w:val="003F04BF"/>
    <w:rsid w:val="003F1067"/>
    <w:rsid w:val="003F1D27"/>
    <w:rsid w:val="003F4481"/>
    <w:rsid w:val="003F5972"/>
    <w:rsid w:val="003F6407"/>
    <w:rsid w:val="003F64F4"/>
    <w:rsid w:val="003F6A6C"/>
    <w:rsid w:val="003F7AB8"/>
    <w:rsid w:val="00400114"/>
    <w:rsid w:val="00400273"/>
    <w:rsid w:val="0040042C"/>
    <w:rsid w:val="00400E85"/>
    <w:rsid w:val="004016B5"/>
    <w:rsid w:val="004025CE"/>
    <w:rsid w:val="00402A63"/>
    <w:rsid w:val="00402AEF"/>
    <w:rsid w:val="004030FD"/>
    <w:rsid w:val="00403E05"/>
    <w:rsid w:val="00404A3F"/>
    <w:rsid w:val="00404B74"/>
    <w:rsid w:val="00404C80"/>
    <w:rsid w:val="00404FCE"/>
    <w:rsid w:val="00405804"/>
    <w:rsid w:val="004067EE"/>
    <w:rsid w:val="00410DA0"/>
    <w:rsid w:val="00411DA4"/>
    <w:rsid w:val="00411DEA"/>
    <w:rsid w:val="004121F7"/>
    <w:rsid w:val="00412589"/>
    <w:rsid w:val="004128D6"/>
    <w:rsid w:val="00413960"/>
    <w:rsid w:val="004139A1"/>
    <w:rsid w:val="00413BA4"/>
    <w:rsid w:val="00413F15"/>
    <w:rsid w:val="004145D5"/>
    <w:rsid w:val="00414BCD"/>
    <w:rsid w:val="00415370"/>
    <w:rsid w:val="00416C8F"/>
    <w:rsid w:val="00416FF4"/>
    <w:rsid w:val="004171BA"/>
    <w:rsid w:val="004176EB"/>
    <w:rsid w:val="00417C7D"/>
    <w:rsid w:val="00420979"/>
    <w:rsid w:val="00420A77"/>
    <w:rsid w:val="00420EA3"/>
    <w:rsid w:val="00420FD7"/>
    <w:rsid w:val="004228E5"/>
    <w:rsid w:val="00422A51"/>
    <w:rsid w:val="00423BEF"/>
    <w:rsid w:val="00423E1B"/>
    <w:rsid w:val="0042407C"/>
    <w:rsid w:val="004243B9"/>
    <w:rsid w:val="004244A2"/>
    <w:rsid w:val="00425033"/>
    <w:rsid w:val="004253E4"/>
    <w:rsid w:val="0042573D"/>
    <w:rsid w:val="00427118"/>
    <w:rsid w:val="0043013B"/>
    <w:rsid w:val="004322F9"/>
    <w:rsid w:val="00432337"/>
    <w:rsid w:val="004327EA"/>
    <w:rsid w:val="00433101"/>
    <w:rsid w:val="00433B0F"/>
    <w:rsid w:val="004344EA"/>
    <w:rsid w:val="00434508"/>
    <w:rsid w:val="0043549A"/>
    <w:rsid w:val="004355D3"/>
    <w:rsid w:val="004356E3"/>
    <w:rsid w:val="0043639E"/>
    <w:rsid w:val="004371E1"/>
    <w:rsid w:val="004375D4"/>
    <w:rsid w:val="004400AB"/>
    <w:rsid w:val="0044017F"/>
    <w:rsid w:val="00440205"/>
    <w:rsid w:val="0044098C"/>
    <w:rsid w:val="004411D9"/>
    <w:rsid w:val="00441C9D"/>
    <w:rsid w:val="004432BF"/>
    <w:rsid w:val="004437A5"/>
    <w:rsid w:val="00443B69"/>
    <w:rsid w:val="00444E18"/>
    <w:rsid w:val="0044548B"/>
    <w:rsid w:val="00445DAF"/>
    <w:rsid w:val="00445E13"/>
    <w:rsid w:val="004475C4"/>
    <w:rsid w:val="004479E4"/>
    <w:rsid w:val="00447E03"/>
    <w:rsid w:val="00451772"/>
    <w:rsid w:val="004521D1"/>
    <w:rsid w:val="0045409D"/>
    <w:rsid w:val="0045570B"/>
    <w:rsid w:val="00456A9C"/>
    <w:rsid w:val="004571D7"/>
    <w:rsid w:val="004573B2"/>
    <w:rsid w:val="004574F3"/>
    <w:rsid w:val="00460639"/>
    <w:rsid w:val="00460D19"/>
    <w:rsid w:val="00461161"/>
    <w:rsid w:val="004618FA"/>
    <w:rsid w:val="00465079"/>
    <w:rsid w:val="0046514C"/>
    <w:rsid w:val="00465592"/>
    <w:rsid w:val="004675DF"/>
    <w:rsid w:val="0047018C"/>
    <w:rsid w:val="00470A8C"/>
    <w:rsid w:val="0047227B"/>
    <w:rsid w:val="00473739"/>
    <w:rsid w:val="00473B38"/>
    <w:rsid w:val="004753D6"/>
    <w:rsid w:val="00475AA4"/>
    <w:rsid w:val="00476E90"/>
    <w:rsid w:val="00477416"/>
    <w:rsid w:val="004778F2"/>
    <w:rsid w:val="00477C69"/>
    <w:rsid w:val="00477E36"/>
    <w:rsid w:val="00477FE3"/>
    <w:rsid w:val="004801E6"/>
    <w:rsid w:val="00481E30"/>
    <w:rsid w:val="00482554"/>
    <w:rsid w:val="004835A0"/>
    <w:rsid w:val="00483635"/>
    <w:rsid w:val="004845D8"/>
    <w:rsid w:val="00484C3A"/>
    <w:rsid w:val="00485679"/>
    <w:rsid w:val="004862E1"/>
    <w:rsid w:val="00486390"/>
    <w:rsid w:val="00487D25"/>
    <w:rsid w:val="00490B1E"/>
    <w:rsid w:val="00490DE6"/>
    <w:rsid w:val="004920AC"/>
    <w:rsid w:val="0049296C"/>
    <w:rsid w:val="00492B8C"/>
    <w:rsid w:val="00493748"/>
    <w:rsid w:val="00493EE0"/>
    <w:rsid w:val="00493F16"/>
    <w:rsid w:val="00494684"/>
    <w:rsid w:val="00494B2F"/>
    <w:rsid w:val="00495542"/>
    <w:rsid w:val="00495B0E"/>
    <w:rsid w:val="004A1116"/>
    <w:rsid w:val="004A1B71"/>
    <w:rsid w:val="004A1BE7"/>
    <w:rsid w:val="004A364A"/>
    <w:rsid w:val="004A3D6D"/>
    <w:rsid w:val="004A4A28"/>
    <w:rsid w:val="004A4AC3"/>
    <w:rsid w:val="004A53EA"/>
    <w:rsid w:val="004A5A08"/>
    <w:rsid w:val="004A5FED"/>
    <w:rsid w:val="004A6A23"/>
    <w:rsid w:val="004A6B35"/>
    <w:rsid w:val="004A6FF5"/>
    <w:rsid w:val="004A7C65"/>
    <w:rsid w:val="004B001F"/>
    <w:rsid w:val="004B02D1"/>
    <w:rsid w:val="004B0456"/>
    <w:rsid w:val="004B04E1"/>
    <w:rsid w:val="004B0DE6"/>
    <w:rsid w:val="004B23C0"/>
    <w:rsid w:val="004B2B38"/>
    <w:rsid w:val="004B32A3"/>
    <w:rsid w:val="004B38BE"/>
    <w:rsid w:val="004B3D19"/>
    <w:rsid w:val="004B41C2"/>
    <w:rsid w:val="004B56BD"/>
    <w:rsid w:val="004B6247"/>
    <w:rsid w:val="004B6633"/>
    <w:rsid w:val="004C053C"/>
    <w:rsid w:val="004C095A"/>
    <w:rsid w:val="004C0E71"/>
    <w:rsid w:val="004C25F4"/>
    <w:rsid w:val="004C3B9F"/>
    <w:rsid w:val="004C3E22"/>
    <w:rsid w:val="004C47ED"/>
    <w:rsid w:val="004C4E48"/>
    <w:rsid w:val="004C4E4C"/>
    <w:rsid w:val="004C608A"/>
    <w:rsid w:val="004C6692"/>
    <w:rsid w:val="004C69DC"/>
    <w:rsid w:val="004C6F25"/>
    <w:rsid w:val="004C7576"/>
    <w:rsid w:val="004D020C"/>
    <w:rsid w:val="004D03AD"/>
    <w:rsid w:val="004D0DAF"/>
    <w:rsid w:val="004D0ED6"/>
    <w:rsid w:val="004D1A60"/>
    <w:rsid w:val="004D1C4C"/>
    <w:rsid w:val="004D1C97"/>
    <w:rsid w:val="004D2FBF"/>
    <w:rsid w:val="004D3E95"/>
    <w:rsid w:val="004D4580"/>
    <w:rsid w:val="004D4988"/>
    <w:rsid w:val="004D5FB2"/>
    <w:rsid w:val="004D6490"/>
    <w:rsid w:val="004D688D"/>
    <w:rsid w:val="004D6BBE"/>
    <w:rsid w:val="004E246A"/>
    <w:rsid w:val="004E391C"/>
    <w:rsid w:val="004E415F"/>
    <w:rsid w:val="004E4EF5"/>
    <w:rsid w:val="004E54E3"/>
    <w:rsid w:val="004E6716"/>
    <w:rsid w:val="004E7063"/>
    <w:rsid w:val="004F01F1"/>
    <w:rsid w:val="004F027F"/>
    <w:rsid w:val="004F0F91"/>
    <w:rsid w:val="004F20B1"/>
    <w:rsid w:val="004F4FB2"/>
    <w:rsid w:val="004F6968"/>
    <w:rsid w:val="004F6AFF"/>
    <w:rsid w:val="004F70CB"/>
    <w:rsid w:val="004F7E87"/>
    <w:rsid w:val="005000C4"/>
    <w:rsid w:val="00500A48"/>
    <w:rsid w:val="00500C86"/>
    <w:rsid w:val="00500E17"/>
    <w:rsid w:val="00502D86"/>
    <w:rsid w:val="005031A1"/>
    <w:rsid w:val="00503ACC"/>
    <w:rsid w:val="00506C52"/>
    <w:rsid w:val="005075DE"/>
    <w:rsid w:val="00507C66"/>
    <w:rsid w:val="0051014F"/>
    <w:rsid w:val="0051020D"/>
    <w:rsid w:val="00510C56"/>
    <w:rsid w:val="00511160"/>
    <w:rsid w:val="00511607"/>
    <w:rsid w:val="0051179F"/>
    <w:rsid w:val="00511890"/>
    <w:rsid w:val="00512927"/>
    <w:rsid w:val="0051351F"/>
    <w:rsid w:val="00513730"/>
    <w:rsid w:val="00513CBB"/>
    <w:rsid w:val="005142E4"/>
    <w:rsid w:val="00514C05"/>
    <w:rsid w:val="00515082"/>
    <w:rsid w:val="00515272"/>
    <w:rsid w:val="005158A4"/>
    <w:rsid w:val="005165A1"/>
    <w:rsid w:val="005166D7"/>
    <w:rsid w:val="00516CCD"/>
    <w:rsid w:val="00517518"/>
    <w:rsid w:val="00517FC3"/>
    <w:rsid w:val="00520B7B"/>
    <w:rsid w:val="00520F97"/>
    <w:rsid w:val="0052167B"/>
    <w:rsid w:val="005224ED"/>
    <w:rsid w:val="005228B2"/>
    <w:rsid w:val="005231D7"/>
    <w:rsid w:val="005232E5"/>
    <w:rsid w:val="005235B3"/>
    <w:rsid w:val="005247E4"/>
    <w:rsid w:val="0052524E"/>
    <w:rsid w:val="005255CF"/>
    <w:rsid w:val="00525986"/>
    <w:rsid w:val="00525A69"/>
    <w:rsid w:val="00526B54"/>
    <w:rsid w:val="00526DA7"/>
    <w:rsid w:val="00526DB1"/>
    <w:rsid w:val="00526F0E"/>
    <w:rsid w:val="00527157"/>
    <w:rsid w:val="005279F2"/>
    <w:rsid w:val="00530301"/>
    <w:rsid w:val="00531B74"/>
    <w:rsid w:val="00533EFF"/>
    <w:rsid w:val="0053454E"/>
    <w:rsid w:val="00534A81"/>
    <w:rsid w:val="00534C2D"/>
    <w:rsid w:val="005372D7"/>
    <w:rsid w:val="005373F4"/>
    <w:rsid w:val="00537FCD"/>
    <w:rsid w:val="005401BA"/>
    <w:rsid w:val="00541035"/>
    <w:rsid w:val="00541538"/>
    <w:rsid w:val="005425FD"/>
    <w:rsid w:val="005431E5"/>
    <w:rsid w:val="0054362C"/>
    <w:rsid w:val="00544F4F"/>
    <w:rsid w:val="0054502D"/>
    <w:rsid w:val="005455C0"/>
    <w:rsid w:val="005457D9"/>
    <w:rsid w:val="00546D13"/>
    <w:rsid w:val="00547406"/>
    <w:rsid w:val="0055120F"/>
    <w:rsid w:val="00552CD4"/>
    <w:rsid w:val="00552E4F"/>
    <w:rsid w:val="00553E28"/>
    <w:rsid w:val="0055411A"/>
    <w:rsid w:val="005552F0"/>
    <w:rsid w:val="00555969"/>
    <w:rsid w:val="00557332"/>
    <w:rsid w:val="00557339"/>
    <w:rsid w:val="005573BF"/>
    <w:rsid w:val="0056029A"/>
    <w:rsid w:val="0056061C"/>
    <w:rsid w:val="005615FC"/>
    <w:rsid w:val="00564456"/>
    <w:rsid w:val="00564CC8"/>
    <w:rsid w:val="00565ABC"/>
    <w:rsid w:val="00566638"/>
    <w:rsid w:val="005670E7"/>
    <w:rsid w:val="005678A8"/>
    <w:rsid w:val="0057033F"/>
    <w:rsid w:val="00570527"/>
    <w:rsid w:val="00571098"/>
    <w:rsid w:val="00571981"/>
    <w:rsid w:val="00571C8A"/>
    <w:rsid w:val="00572349"/>
    <w:rsid w:val="00572654"/>
    <w:rsid w:val="00573BD1"/>
    <w:rsid w:val="0057493D"/>
    <w:rsid w:val="00574DA8"/>
    <w:rsid w:val="005756FC"/>
    <w:rsid w:val="0057599D"/>
    <w:rsid w:val="00576ECD"/>
    <w:rsid w:val="00577037"/>
    <w:rsid w:val="00577216"/>
    <w:rsid w:val="00577284"/>
    <w:rsid w:val="00577D7E"/>
    <w:rsid w:val="00577ECF"/>
    <w:rsid w:val="00580079"/>
    <w:rsid w:val="00580FB6"/>
    <w:rsid w:val="00581013"/>
    <w:rsid w:val="00582724"/>
    <w:rsid w:val="00583726"/>
    <w:rsid w:val="00583FF9"/>
    <w:rsid w:val="0058419C"/>
    <w:rsid w:val="005843E0"/>
    <w:rsid w:val="005855ED"/>
    <w:rsid w:val="00585FD6"/>
    <w:rsid w:val="005864E5"/>
    <w:rsid w:val="005866E4"/>
    <w:rsid w:val="00587C09"/>
    <w:rsid w:val="00587CBD"/>
    <w:rsid w:val="00591A31"/>
    <w:rsid w:val="00591E8A"/>
    <w:rsid w:val="0059203E"/>
    <w:rsid w:val="00592128"/>
    <w:rsid w:val="005943FF"/>
    <w:rsid w:val="005945DD"/>
    <w:rsid w:val="00595240"/>
    <w:rsid w:val="00596AC3"/>
    <w:rsid w:val="005A01F3"/>
    <w:rsid w:val="005A0D66"/>
    <w:rsid w:val="005A112D"/>
    <w:rsid w:val="005A30EB"/>
    <w:rsid w:val="005A35FF"/>
    <w:rsid w:val="005A4F5F"/>
    <w:rsid w:val="005A5598"/>
    <w:rsid w:val="005A7016"/>
    <w:rsid w:val="005A7391"/>
    <w:rsid w:val="005A7EE1"/>
    <w:rsid w:val="005B0DC6"/>
    <w:rsid w:val="005B213C"/>
    <w:rsid w:val="005B2338"/>
    <w:rsid w:val="005B245E"/>
    <w:rsid w:val="005B30C6"/>
    <w:rsid w:val="005B313B"/>
    <w:rsid w:val="005B367A"/>
    <w:rsid w:val="005B5444"/>
    <w:rsid w:val="005B5466"/>
    <w:rsid w:val="005B609F"/>
    <w:rsid w:val="005B6C6C"/>
    <w:rsid w:val="005C3F9F"/>
    <w:rsid w:val="005C4AB5"/>
    <w:rsid w:val="005C5E14"/>
    <w:rsid w:val="005C6324"/>
    <w:rsid w:val="005C6E31"/>
    <w:rsid w:val="005C6F20"/>
    <w:rsid w:val="005C77A0"/>
    <w:rsid w:val="005D0216"/>
    <w:rsid w:val="005D0824"/>
    <w:rsid w:val="005D0BA8"/>
    <w:rsid w:val="005D0C64"/>
    <w:rsid w:val="005D0CC5"/>
    <w:rsid w:val="005D1D96"/>
    <w:rsid w:val="005D21FD"/>
    <w:rsid w:val="005D3154"/>
    <w:rsid w:val="005D31B1"/>
    <w:rsid w:val="005D4613"/>
    <w:rsid w:val="005D508F"/>
    <w:rsid w:val="005D640F"/>
    <w:rsid w:val="005D7C7F"/>
    <w:rsid w:val="005E2A24"/>
    <w:rsid w:val="005E2AE0"/>
    <w:rsid w:val="005E2C54"/>
    <w:rsid w:val="005E3411"/>
    <w:rsid w:val="005E40CD"/>
    <w:rsid w:val="005E42D7"/>
    <w:rsid w:val="005E4739"/>
    <w:rsid w:val="005E4894"/>
    <w:rsid w:val="005E4935"/>
    <w:rsid w:val="005E4E05"/>
    <w:rsid w:val="005E534A"/>
    <w:rsid w:val="005E6691"/>
    <w:rsid w:val="005E77F3"/>
    <w:rsid w:val="005F009C"/>
    <w:rsid w:val="005F11C7"/>
    <w:rsid w:val="005F141C"/>
    <w:rsid w:val="005F5129"/>
    <w:rsid w:val="005F6D46"/>
    <w:rsid w:val="005F7765"/>
    <w:rsid w:val="005F7C1B"/>
    <w:rsid w:val="00600009"/>
    <w:rsid w:val="006000F1"/>
    <w:rsid w:val="00600152"/>
    <w:rsid w:val="00600E60"/>
    <w:rsid w:val="00602B34"/>
    <w:rsid w:val="006031D1"/>
    <w:rsid w:val="00603474"/>
    <w:rsid w:val="0060372F"/>
    <w:rsid w:val="00603A41"/>
    <w:rsid w:val="00606D36"/>
    <w:rsid w:val="006106DB"/>
    <w:rsid w:val="006114D4"/>
    <w:rsid w:val="00612CF5"/>
    <w:rsid w:val="006132A5"/>
    <w:rsid w:val="00613DB3"/>
    <w:rsid w:val="006147EC"/>
    <w:rsid w:val="00616C4B"/>
    <w:rsid w:val="006177B2"/>
    <w:rsid w:val="00620298"/>
    <w:rsid w:val="00621610"/>
    <w:rsid w:val="00621D61"/>
    <w:rsid w:val="00622400"/>
    <w:rsid w:val="00622833"/>
    <w:rsid w:val="006228B3"/>
    <w:rsid w:val="00622B26"/>
    <w:rsid w:val="006232C3"/>
    <w:rsid w:val="006236D0"/>
    <w:rsid w:val="006247FE"/>
    <w:rsid w:val="00626B93"/>
    <w:rsid w:val="006271FB"/>
    <w:rsid w:val="006310DC"/>
    <w:rsid w:val="0063116E"/>
    <w:rsid w:val="00631855"/>
    <w:rsid w:val="00632E37"/>
    <w:rsid w:val="006333C5"/>
    <w:rsid w:val="0063362B"/>
    <w:rsid w:val="006345FF"/>
    <w:rsid w:val="00634D96"/>
    <w:rsid w:val="00634E4D"/>
    <w:rsid w:val="0063510B"/>
    <w:rsid w:val="00635693"/>
    <w:rsid w:val="00635958"/>
    <w:rsid w:val="006379E2"/>
    <w:rsid w:val="00637C91"/>
    <w:rsid w:val="0064059E"/>
    <w:rsid w:val="0064150F"/>
    <w:rsid w:val="006433C0"/>
    <w:rsid w:val="00643796"/>
    <w:rsid w:val="00643878"/>
    <w:rsid w:val="00643D69"/>
    <w:rsid w:val="00644AA8"/>
    <w:rsid w:val="00645CC4"/>
    <w:rsid w:val="006463DC"/>
    <w:rsid w:val="006477C9"/>
    <w:rsid w:val="00647C15"/>
    <w:rsid w:val="00650317"/>
    <w:rsid w:val="00650D61"/>
    <w:rsid w:val="006540A7"/>
    <w:rsid w:val="0065446F"/>
    <w:rsid w:val="006555F7"/>
    <w:rsid w:val="00655F0D"/>
    <w:rsid w:val="00656C0A"/>
    <w:rsid w:val="006572F6"/>
    <w:rsid w:val="006573DD"/>
    <w:rsid w:val="006608E8"/>
    <w:rsid w:val="0066176E"/>
    <w:rsid w:val="00661949"/>
    <w:rsid w:val="006619E2"/>
    <w:rsid w:val="0066267A"/>
    <w:rsid w:val="00663063"/>
    <w:rsid w:val="0066413E"/>
    <w:rsid w:val="0066424D"/>
    <w:rsid w:val="00664554"/>
    <w:rsid w:val="006653A6"/>
    <w:rsid w:val="00665689"/>
    <w:rsid w:val="00665C08"/>
    <w:rsid w:val="0066732D"/>
    <w:rsid w:val="00667505"/>
    <w:rsid w:val="0067002E"/>
    <w:rsid w:val="006701A0"/>
    <w:rsid w:val="00670A6A"/>
    <w:rsid w:val="00670D19"/>
    <w:rsid w:val="0067112A"/>
    <w:rsid w:val="0067139A"/>
    <w:rsid w:val="00671724"/>
    <w:rsid w:val="0067183F"/>
    <w:rsid w:val="0067216E"/>
    <w:rsid w:val="0067280F"/>
    <w:rsid w:val="00673B69"/>
    <w:rsid w:val="00680085"/>
    <w:rsid w:val="00680206"/>
    <w:rsid w:val="00680DB9"/>
    <w:rsid w:val="00682499"/>
    <w:rsid w:val="00683653"/>
    <w:rsid w:val="00683B18"/>
    <w:rsid w:val="0068490B"/>
    <w:rsid w:val="00684A47"/>
    <w:rsid w:val="00684ED1"/>
    <w:rsid w:val="0068590E"/>
    <w:rsid w:val="00686758"/>
    <w:rsid w:val="00687052"/>
    <w:rsid w:val="006906F8"/>
    <w:rsid w:val="00691370"/>
    <w:rsid w:val="00691B37"/>
    <w:rsid w:val="00691D74"/>
    <w:rsid w:val="00691FB0"/>
    <w:rsid w:val="006928D3"/>
    <w:rsid w:val="006930AB"/>
    <w:rsid w:val="00694BE7"/>
    <w:rsid w:val="0069601C"/>
    <w:rsid w:val="0069607E"/>
    <w:rsid w:val="00696843"/>
    <w:rsid w:val="006A03C8"/>
    <w:rsid w:val="006A08AD"/>
    <w:rsid w:val="006A0A80"/>
    <w:rsid w:val="006A1149"/>
    <w:rsid w:val="006A1F2A"/>
    <w:rsid w:val="006A23FD"/>
    <w:rsid w:val="006A34E7"/>
    <w:rsid w:val="006A4989"/>
    <w:rsid w:val="006A4D14"/>
    <w:rsid w:val="006A6BAF"/>
    <w:rsid w:val="006A77AD"/>
    <w:rsid w:val="006B0020"/>
    <w:rsid w:val="006B020D"/>
    <w:rsid w:val="006B0617"/>
    <w:rsid w:val="006B096D"/>
    <w:rsid w:val="006B0C48"/>
    <w:rsid w:val="006B1438"/>
    <w:rsid w:val="006B1E56"/>
    <w:rsid w:val="006B241F"/>
    <w:rsid w:val="006B275D"/>
    <w:rsid w:val="006B2F48"/>
    <w:rsid w:val="006B3395"/>
    <w:rsid w:val="006B35FD"/>
    <w:rsid w:val="006B4668"/>
    <w:rsid w:val="006B4E6B"/>
    <w:rsid w:val="006B4FFA"/>
    <w:rsid w:val="006B5B6F"/>
    <w:rsid w:val="006B5D50"/>
    <w:rsid w:val="006B7006"/>
    <w:rsid w:val="006B7738"/>
    <w:rsid w:val="006C08CA"/>
    <w:rsid w:val="006C225B"/>
    <w:rsid w:val="006C232A"/>
    <w:rsid w:val="006C26DE"/>
    <w:rsid w:val="006C2A96"/>
    <w:rsid w:val="006C4277"/>
    <w:rsid w:val="006C4DDE"/>
    <w:rsid w:val="006C52A8"/>
    <w:rsid w:val="006C5EAC"/>
    <w:rsid w:val="006C624E"/>
    <w:rsid w:val="006C7CD6"/>
    <w:rsid w:val="006D00C0"/>
    <w:rsid w:val="006D02BD"/>
    <w:rsid w:val="006D02E5"/>
    <w:rsid w:val="006D0926"/>
    <w:rsid w:val="006D0C63"/>
    <w:rsid w:val="006D10FE"/>
    <w:rsid w:val="006D16BA"/>
    <w:rsid w:val="006D233C"/>
    <w:rsid w:val="006D2343"/>
    <w:rsid w:val="006D4008"/>
    <w:rsid w:val="006D5B78"/>
    <w:rsid w:val="006D5F5E"/>
    <w:rsid w:val="006D6596"/>
    <w:rsid w:val="006D6A71"/>
    <w:rsid w:val="006D74CE"/>
    <w:rsid w:val="006E012C"/>
    <w:rsid w:val="006E0627"/>
    <w:rsid w:val="006E1EEA"/>
    <w:rsid w:val="006E20B0"/>
    <w:rsid w:val="006E3874"/>
    <w:rsid w:val="006E39F3"/>
    <w:rsid w:val="006E3FFD"/>
    <w:rsid w:val="006E4C7A"/>
    <w:rsid w:val="006E4D2B"/>
    <w:rsid w:val="006E4E23"/>
    <w:rsid w:val="006E5F88"/>
    <w:rsid w:val="006E6D9B"/>
    <w:rsid w:val="006E78B3"/>
    <w:rsid w:val="006E7E37"/>
    <w:rsid w:val="006F08F2"/>
    <w:rsid w:val="006F0B1E"/>
    <w:rsid w:val="006F10AD"/>
    <w:rsid w:val="006F15A9"/>
    <w:rsid w:val="006F2B9B"/>
    <w:rsid w:val="006F3300"/>
    <w:rsid w:val="006F4521"/>
    <w:rsid w:val="006F502C"/>
    <w:rsid w:val="006F748E"/>
    <w:rsid w:val="00700231"/>
    <w:rsid w:val="0070117C"/>
    <w:rsid w:val="007021F6"/>
    <w:rsid w:val="00702D75"/>
    <w:rsid w:val="00704A0B"/>
    <w:rsid w:val="007056A8"/>
    <w:rsid w:val="007058FE"/>
    <w:rsid w:val="007067E5"/>
    <w:rsid w:val="007071BD"/>
    <w:rsid w:val="00707705"/>
    <w:rsid w:val="0071088C"/>
    <w:rsid w:val="00711F0B"/>
    <w:rsid w:val="0071232C"/>
    <w:rsid w:val="00713BB6"/>
    <w:rsid w:val="007143A0"/>
    <w:rsid w:val="007143B6"/>
    <w:rsid w:val="00714B62"/>
    <w:rsid w:val="00714DCF"/>
    <w:rsid w:val="00717F50"/>
    <w:rsid w:val="0072140D"/>
    <w:rsid w:val="00721D0C"/>
    <w:rsid w:val="00723247"/>
    <w:rsid w:val="0072364B"/>
    <w:rsid w:val="00723A34"/>
    <w:rsid w:val="00723D75"/>
    <w:rsid w:val="0072491D"/>
    <w:rsid w:val="007255E0"/>
    <w:rsid w:val="007261F3"/>
    <w:rsid w:val="00726F7C"/>
    <w:rsid w:val="00730BDA"/>
    <w:rsid w:val="00730E59"/>
    <w:rsid w:val="007315B7"/>
    <w:rsid w:val="007319FB"/>
    <w:rsid w:val="007323CF"/>
    <w:rsid w:val="00733AFB"/>
    <w:rsid w:val="00734CC7"/>
    <w:rsid w:val="00734E45"/>
    <w:rsid w:val="0073516F"/>
    <w:rsid w:val="0074034F"/>
    <w:rsid w:val="007403E9"/>
    <w:rsid w:val="0074062D"/>
    <w:rsid w:val="007407F7"/>
    <w:rsid w:val="00740D22"/>
    <w:rsid w:val="007411BF"/>
    <w:rsid w:val="00741772"/>
    <w:rsid w:val="007417A5"/>
    <w:rsid w:val="00741D34"/>
    <w:rsid w:val="00743046"/>
    <w:rsid w:val="0074456C"/>
    <w:rsid w:val="00747015"/>
    <w:rsid w:val="00750039"/>
    <w:rsid w:val="007509BF"/>
    <w:rsid w:val="00750E71"/>
    <w:rsid w:val="00751023"/>
    <w:rsid w:val="00751FF7"/>
    <w:rsid w:val="00752619"/>
    <w:rsid w:val="0075291B"/>
    <w:rsid w:val="00752A2F"/>
    <w:rsid w:val="007532ED"/>
    <w:rsid w:val="007533F8"/>
    <w:rsid w:val="00753F98"/>
    <w:rsid w:val="00754035"/>
    <w:rsid w:val="00754200"/>
    <w:rsid w:val="007550E2"/>
    <w:rsid w:val="00756CC8"/>
    <w:rsid w:val="007572C5"/>
    <w:rsid w:val="0075764D"/>
    <w:rsid w:val="00757724"/>
    <w:rsid w:val="00757B17"/>
    <w:rsid w:val="00757DC5"/>
    <w:rsid w:val="00760C64"/>
    <w:rsid w:val="00760D13"/>
    <w:rsid w:val="007611F3"/>
    <w:rsid w:val="00762121"/>
    <w:rsid w:val="00763875"/>
    <w:rsid w:val="00763F61"/>
    <w:rsid w:val="00764F95"/>
    <w:rsid w:val="0076604C"/>
    <w:rsid w:val="0076627B"/>
    <w:rsid w:val="007664F8"/>
    <w:rsid w:val="00766767"/>
    <w:rsid w:val="00766A14"/>
    <w:rsid w:val="007676AB"/>
    <w:rsid w:val="00767DB0"/>
    <w:rsid w:val="0077020F"/>
    <w:rsid w:val="00770376"/>
    <w:rsid w:val="00770CCD"/>
    <w:rsid w:val="00771A39"/>
    <w:rsid w:val="00771DCA"/>
    <w:rsid w:val="00772D1B"/>
    <w:rsid w:val="00773002"/>
    <w:rsid w:val="0077303C"/>
    <w:rsid w:val="007730A0"/>
    <w:rsid w:val="00773F96"/>
    <w:rsid w:val="0077456D"/>
    <w:rsid w:val="00774EDA"/>
    <w:rsid w:val="00774FCD"/>
    <w:rsid w:val="00775B90"/>
    <w:rsid w:val="00775FA1"/>
    <w:rsid w:val="00775FBA"/>
    <w:rsid w:val="0077614F"/>
    <w:rsid w:val="0077686C"/>
    <w:rsid w:val="007768CA"/>
    <w:rsid w:val="00776D95"/>
    <w:rsid w:val="00776FD2"/>
    <w:rsid w:val="00780E89"/>
    <w:rsid w:val="00781475"/>
    <w:rsid w:val="007818C2"/>
    <w:rsid w:val="0078211C"/>
    <w:rsid w:val="007822B0"/>
    <w:rsid w:val="007828C6"/>
    <w:rsid w:val="00782EF5"/>
    <w:rsid w:val="00783A7F"/>
    <w:rsid w:val="00783E21"/>
    <w:rsid w:val="00784BF0"/>
    <w:rsid w:val="00785838"/>
    <w:rsid w:val="00785962"/>
    <w:rsid w:val="00786892"/>
    <w:rsid w:val="00786F1D"/>
    <w:rsid w:val="00787370"/>
    <w:rsid w:val="007876C0"/>
    <w:rsid w:val="007916E4"/>
    <w:rsid w:val="00791C15"/>
    <w:rsid w:val="007935F9"/>
    <w:rsid w:val="007943F7"/>
    <w:rsid w:val="00795A99"/>
    <w:rsid w:val="00796204"/>
    <w:rsid w:val="00797065"/>
    <w:rsid w:val="007A0B26"/>
    <w:rsid w:val="007A1ECC"/>
    <w:rsid w:val="007A37BA"/>
    <w:rsid w:val="007A4AB6"/>
    <w:rsid w:val="007A4C95"/>
    <w:rsid w:val="007A4F63"/>
    <w:rsid w:val="007A5B6F"/>
    <w:rsid w:val="007A6635"/>
    <w:rsid w:val="007A6BF6"/>
    <w:rsid w:val="007A6EC2"/>
    <w:rsid w:val="007A7BE9"/>
    <w:rsid w:val="007A7F45"/>
    <w:rsid w:val="007B02F7"/>
    <w:rsid w:val="007B0787"/>
    <w:rsid w:val="007B0BE5"/>
    <w:rsid w:val="007B1146"/>
    <w:rsid w:val="007B1187"/>
    <w:rsid w:val="007B2AEA"/>
    <w:rsid w:val="007B2F9C"/>
    <w:rsid w:val="007B355D"/>
    <w:rsid w:val="007B61B3"/>
    <w:rsid w:val="007B659D"/>
    <w:rsid w:val="007B687D"/>
    <w:rsid w:val="007B705D"/>
    <w:rsid w:val="007B7102"/>
    <w:rsid w:val="007B7BF7"/>
    <w:rsid w:val="007C047C"/>
    <w:rsid w:val="007C052F"/>
    <w:rsid w:val="007C2A02"/>
    <w:rsid w:val="007C3CBF"/>
    <w:rsid w:val="007C40E2"/>
    <w:rsid w:val="007C4F2A"/>
    <w:rsid w:val="007C66C0"/>
    <w:rsid w:val="007C6DD8"/>
    <w:rsid w:val="007D08EF"/>
    <w:rsid w:val="007D0A05"/>
    <w:rsid w:val="007D10F4"/>
    <w:rsid w:val="007D2143"/>
    <w:rsid w:val="007D2960"/>
    <w:rsid w:val="007D3C17"/>
    <w:rsid w:val="007D4D6A"/>
    <w:rsid w:val="007D5086"/>
    <w:rsid w:val="007D561E"/>
    <w:rsid w:val="007D590D"/>
    <w:rsid w:val="007D5B1F"/>
    <w:rsid w:val="007D67E4"/>
    <w:rsid w:val="007D6A20"/>
    <w:rsid w:val="007D6CD7"/>
    <w:rsid w:val="007D7B98"/>
    <w:rsid w:val="007E0C94"/>
    <w:rsid w:val="007E1242"/>
    <w:rsid w:val="007E1435"/>
    <w:rsid w:val="007E18A4"/>
    <w:rsid w:val="007E2653"/>
    <w:rsid w:val="007E33C4"/>
    <w:rsid w:val="007E4411"/>
    <w:rsid w:val="007E4688"/>
    <w:rsid w:val="007E5DB1"/>
    <w:rsid w:val="007E6221"/>
    <w:rsid w:val="007E7A13"/>
    <w:rsid w:val="007E7DDC"/>
    <w:rsid w:val="007F082E"/>
    <w:rsid w:val="007F13BA"/>
    <w:rsid w:val="007F1E2A"/>
    <w:rsid w:val="007F2E95"/>
    <w:rsid w:val="007F365A"/>
    <w:rsid w:val="007F47F0"/>
    <w:rsid w:val="00800717"/>
    <w:rsid w:val="00800D39"/>
    <w:rsid w:val="00801643"/>
    <w:rsid w:val="00801E29"/>
    <w:rsid w:val="00802E87"/>
    <w:rsid w:val="00803517"/>
    <w:rsid w:val="008043BC"/>
    <w:rsid w:val="00804AE1"/>
    <w:rsid w:val="00804F0B"/>
    <w:rsid w:val="00807422"/>
    <w:rsid w:val="0080746D"/>
    <w:rsid w:val="0081041D"/>
    <w:rsid w:val="00810504"/>
    <w:rsid w:val="00810E69"/>
    <w:rsid w:val="00810F1C"/>
    <w:rsid w:val="00813171"/>
    <w:rsid w:val="008144F0"/>
    <w:rsid w:val="0081457E"/>
    <w:rsid w:val="00815373"/>
    <w:rsid w:val="00815C3F"/>
    <w:rsid w:val="008160D1"/>
    <w:rsid w:val="0081637B"/>
    <w:rsid w:val="008164E3"/>
    <w:rsid w:val="008177A9"/>
    <w:rsid w:val="00820336"/>
    <w:rsid w:val="00820AC6"/>
    <w:rsid w:val="00820F52"/>
    <w:rsid w:val="00821981"/>
    <w:rsid w:val="00823224"/>
    <w:rsid w:val="008235A0"/>
    <w:rsid w:val="0082384F"/>
    <w:rsid w:val="008275AA"/>
    <w:rsid w:val="0083038D"/>
    <w:rsid w:val="00830B29"/>
    <w:rsid w:val="00830DDA"/>
    <w:rsid w:val="00830E68"/>
    <w:rsid w:val="00830F67"/>
    <w:rsid w:val="00832172"/>
    <w:rsid w:val="00832638"/>
    <w:rsid w:val="0083310C"/>
    <w:rsid w:val="008332FA"/>
    <w:rsid w:val="008346BF"/>
    <w:rsid w:val="0083575C"/>
    <w:rsid w:val="00836898"/>
    <w:rsid w:val="0083696C"/>
    <w:rsid w:val="00837057"/>
    <w:rsid w:val="008376A0"/>
    <w:rsid w:val="008376AC"/>
    <w:rsid w:val="008379E1"/>
    <w:rsid w:val="008412B2"/>
    <w:rsid w:val="008415FE"/>
    <w:rsid w:val="00841EE8"/>
    <w:rsid w:val="00842334"/>
    <w:rsid w:val="00842451"/>
    <w:rsid w:val="0084306C"/>
    <w:rsid w:val="00843841"/>
    <w:rsid w:val="008443DE"/>
    <w:rsid w:val="0084479E"/>
    <w:rsid w:val="008456F2"/>
    <w:rsid w:val="00846567"/>
    <w:rsid w:val="00846AE3"/>
    <w:rsid w:val="00846BBB"/>
    <w:rsid w:val="008470F0"/>
    <w:rsid w:val="008534B0"/>
    <w:rsid w:val="00853AE1"/>
    <w:rsid w:val="00853E03"/>
    <w:rsid w:val="00856F87"/>
    <w:rsid w:val="00856FFF"/>
    <w:rsid w:val="00857A01"/>
    <w:rsid w:val="00860995"/>
    <w:rsid w:val="008614A4"/>
    <w:rsid w:val="008626F5"/>
    <w:rsid w:val="008628E9"/>
    <w:rsid w:val="0086434A"/>
    <w:rsid w:val="008645A5"/>
    <w:rsid w:val="0086501B"/>
    <w:rsid w:val="00865CD7"/>
    <w:rsid w:val="00865CF2"/>
    <w:rsid w:val="008665F3"/>
    <w:rsid w:val="008674C5"/>
    <w:rsid w:val="00870005"/>
    <w:rsid w:val="00870115"/>
    <w:rsid w:val="00871493"/>
    <w:rsid w:val="008727A6"/>
    <w:rsid w:val="00872E03"/>
    <w:rsid w:val="00874A87"/>
    <w:rsid w:val="00874C85"/>
    <w:rsid w:val="00874FA5"/>
    <w:rsid w:val="00875100"/>
    <w:rsid w:val="00875380"/>
    <w:rsid w:val="00875621"/>
    <w:rsid w:val="00876655"/>
    <w:rsid w:val="00876FD7"/>
    <w:rsid w:val="008807DA"/>
    <w:rsid w:val="00882629"/>
    <w:rsid w:val="00882930"/>
    <w:rsid w:val="00883331"/>
    <w:rsid w:val="00883553"/>
    <w:rsid w:val="00883A6C"/>
    <w:rsid w:val="00884369"/>
    <w:rsid w:val="0088485C"/>
    <w:rsid w:val="00885ADB"/>
    <w:rsid w:val="008901FC"/>
    <w:rsid w:val="008903A5"/>
    <w:rsid w:val="0089047B"/>
    <w:rsid w:val="00890F46"/>
    <w:rsid w:val="0089250A"/>
    <w:rsid w:val="00892844"/>
    <w:rsid w:val="00892C5B"/>
    <w:rsid w:val="00892E1B"/>
    <w:rsid w:val="0089393C"/>
    <w:rsid w:val="008948F4"/>
    <w:rsid w:val="00894D9F"/>
    <w:rsid w:val="0089590D"/>
    <w:rsid w:val="00895DB8"/>
    <w:rsid w:val="00896B69"/>
    <w:rsid w:val="00897BF0"/>
    <w:rsid w:val="008A03F2"/>
    <w:rsid w:val="008A0446"/>
    <w:rsid w:val="008A1478"/>
    <w:rsid w:val="008A1618"/>
    <w:rsid w:val="008A2546"/>
    <w:rsid w:val="008A3365"/>
    <w:rsid w:val="008A4051"/>
    <w:rsid w:val="008A431E"/>
    <w:rsid w:val="008A49B3"/>
    <w:rsid w:val="008A54D7"/>
    <w:rsid w:val="008A5A4B"/>
    <w:rsid w:val="008A61E0"/>
    <w:rsid w:val="008A6F16"/>
    <w:rsid w:val="008B0644"/>
    <w:rsid w:val="008B13B1"/>
    <w:rsid w:val="008B14D7"/>
    <w:rsid w:val="008B2A4B"/>
    <w:rsid w:val="008B3084"/>
    <w:rsid w:val="008B30B7"/>
    <w:rsid w:val="008B31A4"/>
    <w:rsid w:val="008B35D6"/>
    <w:rsid w:val="008B55B7"/>
    <w:rsid w:val="008B5684"/>
    <w:rsid w:val="008B6133"/>
    <w:rsid w:val="008B6924"/>
    <w:rsid w:val="008B7144"/>
    <w:rsid w:val="008B719C"/>
    <w:rsid w:val="008B743E"/>
    <w:rsid w:val="008B78A7"/>
    <w:rsid w:val="008B7B84"/>
    <w:rsid w:val="008C3594"/>
    <w:rsid w:val="008C3899"/>
    <w:rsid w:val="008C38B0"/>
    <w:rsid w:val="008C56AF"/>
    <w:rsid w:val="008C5A25"/>
    <w:rsid w:val="008C711F"/>
    <w:rsid w:val="008D0A98"/>
    <w:rsid w:val="008D0C69"/>
    <w:rsid w:val="008D18EA"/>
    <w:rsid w:val="008D1CD2"/>
    <w:rsid w:val="008D25F4"/>
    <w:rsid w:val="008D3317"/>
    <w:rsid w:val="008D3857"/>
    <w:rsid w:val="008D3A62"/>
    <w:rsid w:val="008D4722"/>
    <w:rsid w:val="008D4FE5"/>
    <w:rsid w:val="008D5645"/>
    <w:rsid w:val="008D6A2D"/>
    <w:rsid w:val="008D774A"/>
    <w:rsid w:val="008D7AA0"/>
    <w:rsid w:val="008D7DFA"/>
    <w:rsid w:val="008E0084"/>
    <w:rsid w:val="008E0862"/>
    <w:rsid w:val="008E0B4C"/>
    <w:rsid w:val="008E13CB"/>
    <w:rsid w:val="008E14A7"/>
    <w:rsid w:val="008E2A59"/>
    <w:rsid w:val="008E2FB9"/>
    <w:rsid w:val="008E3C5A"/>
    <w:rsid w:val="008E5CAB"/>
    <w:rsid w:val="008E6FE8"/>
    <w:rsid w:val="008F1C8D"/>
    <w:rsid w:val="008F3A86"/>
    <w:rsid w:val="008F45EC"/>
    <w:rsid w:val="008F5409"/>
    <w:rsid w:val="008F5B60"/>
    <w:rsid w:val="008F612E"/>
    <w:rsid w:val="008F6C07"/>
    <w:rsid w:val="008F731C"/>
    <w:rsid w:val="009019A2"/>
    <w:rsid w:val="009021EB"/>
    <w:rsid w:val="0090251D"/>
    <w:rsid w:val="00903397"/>
    <w:rsid w:val="00903A9E"/>
    <w:rsid w:val="00903F13"/>
    <w:rsid w:val="0090429A"/>
    <w:rsid w:val="0090454E"/>
    <w:rsid w:val="00905ABF"/>
    <w:rsid w:val="0090603D"/>
    <w:rsid w:val="0090621F"/>
    <w:rsid w:val="009064E9"/>
    <w:rsid w:val="00906C1E"/>
    <w:rsid w:val="009075F7"/>
    <w:rsid w:val="00911C6F"/>
    <w:rsid w:val="0091201D"/>
    <w:rsid w:val="00912841"/>
    <w:rsid w:val="00912C95"/>
    <w:rsid w:val="00912E45"/>
    <w:rsid w:val="00914603"/>
    <w:rsid w:val="00914B0F"/>
    <w:rsid w:val="00915344"/>
    <w:rsid w:val="00915A79"/>
    <w:rsid w:val="00915BAC"/>
    <w:rsid w:val="00917D7D"/>
    <w:rsid w:val="00917F5C"/>
    <w:rsid w:val="00920344"/>
    <w:rsid w:val="009203D2"/>
    <w:rsid w:val="00920C99"/>
    <w:rsid w:val="00922422"/>
    <w:rsid w:val="00923005"/>
    <w:rsid w:val="0092352A"/>
    <w:rsid w:val="0092393F"/>
    <w:rsid w:val="00923A78"/>
    <w:rsid w:val="00923EB4"/>
    <w:rsid w:val="009251A0"/>
    <w:rsid w:val="009253AA"/>
    <w:rsid w:val="00925584"/>
    <w:rsid w:val="009262FB"/>
    <w:rsid w:val="00926B45"/>
    <w:rsid w:val="0092728B"/>
    <w:rsid w:val="0092764B"/>
    <w:rsid w:val="009278A8"/>
    <w:rsid w:val="009278ED"/>
    <w:rsid w:val="00930D4B"/>
    <w:rsid w:val="00931168"/>
    <w:rsid w:val="009315D3"/>
    <w:rsid w:val="00932A97"/>
    <w:rsid w:val="00932CA7"/>
    <w:rsid w:val="00932D31"/>
    <w:rsid w:val="00933041"/>
    <w:rsid w:val="00933336"/>
    <w:rsid w:val="00934DE9"/>
    <w:rsid w:val="00934ECC"/>
    <w:rsid w:val="009362B2"/>
    <w:rsid w:val="00936366"/>
    <w:rsid w:val="009365B4"/>
    <w:rsid w:val="00936C17"/>
    <w:rsid w:val="00936DBF"/>
    <w:rsid w:val="00937994"/>
    <w:rsid w:val="00937CFE"/>
    <w:rsid w:val="00940BCF"/>
    <w:rsid w:val="0094258A"/>
    <w:rsid w:val="0094384A"/>
    <w:rsid w:val="00943BB9"/>
    <w:rsid w:val="009446CE"/>
    <w:rsid w:val="00944EB1"/>
    <w:rsid w:val="0094658D"/>
    <w:rsid w:val="00946897"/>
    <w:rsid w:val="0094759A"/>
    <w:rsid w:val="009520BC"/>
    <w:rsid w:val="00953FE2"/>
    <w:rsid w:val="00954836"/>
    <w:rsid w:val="00954C1E"/>
    <w:rsid w:val="00954DFC"/>
    <w:rsid w:val="00955C53"/>
    <w:rsid w:val="00956C80"/>
    <w:rsid w:val="00956D18"/>
    <w:rsid w:val="00956E5F"/>
    <w:rsid w:val="00957B09"/>
    <w:rsid w:val="00957B48"/>
    <w:rsid w:val="00960238"/>
    <w:rsid w:val="00961623"/>
    <w:rsid w:val="00961FA3"/>
    <w:rsid w:val="0096243F"/>
    <w:rsid w:val="00962662"/>
    <w:rsid w:val="0096304A"/>
    <w:rsid w:val="0096316F"/>
    <w:rsid w:val="00963867"/>
    <w:rsid w:val="00963B8F"/>
    <w:rsid w:val="00963F42"/>
    <w:rsid w:val="0096462B"/>
    <w:rsid w:val="00966871"/>
    <w:rsid w:val="00967466"/>
    <w:rsid w:val="00967E5D"/>
    <w:rsid w:val="00970488"/>
    <w:rsid w:val="00971234"/>
    <w:rsid w:val="00971BA8"/>
    <w:rsid w:val="00972BCA"/>
    <w:rsid w:val="00972F6C"/>
    <w:rsid w:val="00973128"/>
    <w:rsid w:val="00974424"/>
    <w:rsid w:val="00976DE8"/>
    <w:rsid w:val="00977650"/>
    <w:rsid w:val="00977692"/>
    <w:rsid w:val="00977941"/>
    <w:rsid w:val="009803D6"/>
    <w:rsid w:val="00980C8E"/>
    <w:rsid w:val="00981B84"/>
    <w:rsid w:val="00984842"/>
    <w:rsid w:val="00984BF6"/>
    <w:rsid w:val="00985B32"/>
    <w:rsid w:val="009864F7"/>
    <w:rsid w:val="009866E4"/>
    <w:rsid w:val="009876FA"/>
    <w:rsid w:val="00990428"/>
    <w:rsid w:val="009905FE"/>
    <w:rsid w:val="00991DAD"/>
    <w:rsid w:val="00991F82"/>
    <w:rsid w:val="009947AA"/>
    <w:rsid w:val="00994C06"/>
    <w:rsid w:val="0099600A"/>
    <w:rsid w:val="00996FD4"/>
    <w:rsid w:val="009A026F"/>
    <w:rsid w:val="009A1833"/>
    <w:rsid w:val="009A1854"/>
    <w:rsid w:val="009A264F"/>
    <w:rsid w:val="009A3A89"/>
    <w:rsid w:val="009A3FF8"/>
    <w:rsid w:val="009A4E15"/>
    <w:rsid w:val="009A5571"/>
    <w:rsid w:val="009A5AA5"/>
    <w:rsid w:val="009A6319"/>
    <w:rsid w:val="009A643B"/>
    <w:rsid w:val="009A6AE6"/>
    <w:rsid w:val="009A6B0C"/>
    <w:rsid w:val="009A75E2"/>
    <w:rsid w:val="009A7B92"/>
    <w:rsid w:val="009A7BFF"/>
    <w:rsid w:val="009A7E9E"/>
    <w:rsid w:val="009B07F5"/>
    <w:rsid w:val="009B1D25"/>
    <w:rsid w:val="009B20D1"/>
    <w:rsid w:val="009B2246"/>
    <w:rsid w:val="009B24A6"/>
    <w:rsid w:val="009B2E8A"/>
    <w:rsid w:val="009B2ED6"/>
    <w:rsid w:val="009B33CE"/>
    <w:rsid w:val="009B4AE5"/>
    <w:rsid w:val="009B5744"/>
    <w:rsid w:val="009B5F26"/>
    <w:rsid w:val="009B679C"/>
    <w:rsid w:val="009B6C1F"/>
    <w:rsid w:val="009B6D71"/>
    <w:rsid w:val="009B7132"/>
    <w:rsid w:val="009B73CA"/>
    <w:rsid w:val="009C1FE5"/>
    <w:rsid w:val="009C1FF4"/>
    <w:rsid w:val="009C32C2"/>
    <w:rsid w:val="009C4368"/>
    <w:rsid w:val="009C49F6"/>
    <w:rsid w:val="009C7782"/>
    <w:rsid w:val="009D08D3"/>
    <w:rsid w:val="009D0A76"/>
    <w:rsid w:val="009D0B4F"/>
    <w:rsid w:val="009D1D59"/>
    <w:rsid w:val="009D3198"/>
    <w:rsid w:val="009D3958"/>
    <w:rsid w:val="009D3EBF"/>
    <w:rsid w:val="009D414F"/>
    <w:rsid w:val="009D56A7"/>
    <w:rsid w:val="009D57A2"/>
    <w:rsid w:val="009D5FA4"/>
    <w:rsid w:val="009D6090"/>
    <w:rsid w:val="009D7A57"/>
    <w:rsid w:val="009E053A"/>
    <w:rsid w:val="009E0D64"/>
    <w:rsid w:val="009E0E63"/>
    <w:rsid w:val="009E0E79"/>
    <w:rsid w:val="009E1CB3"/>
    <w:rsid w:val="009E20F2"/>
    <w:rsid w:val="009E230D"/>
    <w:rsid w:val="009E2E2A"/>
    <w:rsid w:val="009E3112"/>
    <w:rsid w:val="009E5FBC"/>
    <w:rsid w:val="009E6208"/>
    <w:rsid w:val="009E6D69"/>
    <w:rsid w:val="009E728A"/>
    <w:rsid w:val="009E72D5"/>
    <w:rsid w:val="009E7C91"/>
    <w:rsid w:val="009F08AA"/>
    <w:rsid w:val="009F092A"/>
    <w:rsid w:val="009F109A"/>
    <w:rsid w:val="009F1779"/>
    <w:rsid w:val="009F2AA7"/>
    <w:rsid w:val="009F4A35"/>
    <w:rsid w:val="009F5E4F"/>
    <w:rsid w:val="009F6EA7"/>
    <w:rsid w:val="009F7A91"/>
    <w:rsid w:val="009F7EB6"/>
    <w:rsid w:val="00A00099"/>
    <w:rsid w:val="00A006C8"/>
    <w:rsid w:val="00A0188B"/>
    <w:rsid w:val="00A02997"/>
    <w:rsid w:val="00A02F09"/>
    <w:rsid w:val="00A041C0"/>
    <w:rsid w:val="00A04927"/>
    <w:rsid w:val="00A0591A"/>
    <w:rsid w:val="00A05D53"/>
    <w:rsid w:val="00A0627A"/>
    <w:rsid w:val="00A10BFD"/>
    <w:rsid w:val="00A1258A"/>
    <w:rsid w:val="00A13494"/>
    <w:rsid w:val="00A14D75"/>
    <w:rsid w:val="00A1501B"/>
    <w:rsid w:val="00A15421"/>
    <w:rsid w:val="00A15DF8"/>
    <w:rsid w:val="00A16002"/>
    <w:rsid w:val="00A16906"/>
    <w:rsid w:val="00A203F8"/>
    <w:rsid w:val="00A21015"/>
    <w:rsid w:val="00A2180D"/>
    <w:rsid w:val="00A23A46"/>
    <w:rsid w:val="00A23A9B"/>
    <w:rsid w:val="00A25A83"/>
    <w:rsid w:val="00A26585"/>
    <w:rsid w:val="00A265CE"/>
    <w:rsid w:val="00A26723"/>
    <w:rsid w:val="00A27158"/>
    <w:rsid w:val="00A275B0"/>
    <w:rsid w:val="00A27E33"/>
    <w:rsid w:val="00A30ED4"/>
    <w:rsid w:val="00A31756"/>
    <w:rsid w:val="00A31EA4"/>
    <w:rsid w:val="00A32B5D"/>
    <w:rsid w:val="00A33173"/>
    <w:rsid w:val="00A36DDE"/>
    <w:rsid w:val="00A37D33"/>
    <w:rsid w:val="00A37DC4"/>
    <w:rsid w:val="00A37E82"/>
    <w:rsid w:val="00A4008D"/>
    <w:rsid w:val="00A40194"/>
    <w:rsid w:val="00A40548"/>
    <w:rsid w:val="00A40B45"/>
    <w:rsid w:val="00A428C8"/>
    <w:rsid w:val="00A44B29"/>
    <w:rsid w:val="00A44CA0"/>
    <w:rsid w:val="00A45557"/>
    <w:rsid w:val="00A47714"/>
    <w:rsid w:val="00A477AE"/>
    <w:rsid w:val="00A47B0C"/>
    <w:rsid w:val="00A501D3"/>
    <w:rsid w:val="00A50FC1"/>
    <w:rsid w:val="00A519F2"/>
    <w:rsid w:val="00A5334C"/>
    <w:rsid w:val="00A54759"/>
    <w:rsid w:val="00A54D83"/>
    <w:rsid w:val="00A5609B"/>
    <w:rsid w:val="00A5769B"/>
    <w:rsid w:val="00A576B7"/>
    <w:rsid w:val="00A6159C"/>
    <w:rsid w:val="00A6491F"/>
    <w:rsid w:val="00A65201"/>
    <w:rsid w:val="00A65A42"/>
    <w:rsid w:val="00A65AE2"/>
    <w:rsid w:val="00A6636F"/>
    <w:rsid w:val="00A670E0"/>
    <w:rsid w:val="00A67942"/>
    <w:rsid w:val="00A67D2D"/>
    <w:rsid w:val="00A700F1"/>
    <w:rsid w:val="00A70430"/>
    <w:rsid w:val="00A707C7"/>
    <w:rsid w:val="00A7115B"/>
    <w:rsid w:val="00A72465"/>
    <w:rsid w:val="00A727F6"/>
    <w:rsid w:val="00A7289D"/>
    <w:rsid w:val="00A729C7"/>
    <w:rsid w:val="00A72B9B"/>
    <w:rsid w:val="00A73923"/>
    <w:rsid w:val="00A75EAB"/>
    <w:rsid w:val="00A76935"/>
    <w:rsid w:val="00A77292"/>
    <w:rsid w:val="00A807DB"/>
    <w:rsid w:val="00A80F97"/>
    <w:rsid w:val="00A810F5"/>
    <w:rsid w:val="00A81330"/>
    <w:rsid w:val="00A831F9"/>
    <w:rsid w:val="00A8379F"/>
    <w:rsid w:val="00A839DD"/>
    <w:rsid w:val="00A8563C"/>
    <w:rsid w:val="00A85F8C"/>
    <w:rsid w:val="00A906CF"/>
    <w:rsid w:val="00A90EFE"/>
    <w:rsid w:val="00A91B15"/>
    <w:rsid w:val="00A92033"/>
    <w:rsid w:val="00A92572"/>
    <w:rsid w:val="00A96755"/>
    <w:rsid w:val="00A96A20"/>
    <w:rsid w:val="00A96C51"/>
    <w:rsid w:val="00A97156"/>
    <w:rsid w:val="00A975F3"/>
    <w:rsid w:val="00A977C8"/>
    <w:rsid w:val="00A97B2E"/>
    <w:rsid w:val="00AA037C"/>
    <w:rsid w:val="00AA08E8"/>
    <w:rsid w:val="00AA095A"/>
    <w:rsid w:val="00AA2895"/>
    <w:rsid w:val="00AA2C24"/>
    <w:rsid w:val="00AA2E59"/>
    <w:rsid w:val="00AA51FD"/>
    <w:rsid w:val="00AB0AFD"/>
    <w:rsid w:val="00AB0F10"/>
    <w:rsid w:val="00AB23E5"/>
    <w:rsid w:val="00AB5CB4"/>
    <w:rsid w:val="00AB6400"/>
    <w:rsid w:val="00AC0777"/>
    <w:rsid w:val="00AC086B"/>
    <w:rsid w:val="00AC1D9F"/>
    <w:rsid w:val="00AC1E2A"/>
    <w:rsid w:val="00AC34C7"/>
    <w:rsid w:val="00AC4066"/>
    <w:rsid w:val="00AC4C75"/>
    <w:rsid w:val="00AC4E3D"/>
    <w:rsid w:val="00AC4F58"/>
    <w:rsid w:val="00AC5DBE"/>
    <w:rsid w:val="00AC6247"/>
    <w:rsid w:val="00AC630A"/>
    <w:rsid w:val="00AC6F05"/>
    <w:rsid w:val="00AC740B"/>
    <w:rsid w:val="00AC785C"/>
    <w:rsid w:val="00AC7A76"/>
    <w:rsid w:val="00AD01EC"/>
    <w:rsid w:val="00AD143E"/>
    <w:rsid w:val="00AD23D1"/>
    <w:rsid w:val="00AD3C2C"/>
    <w:rsid w:val="00AD460F"/>
    <w:rsid w:val="00AD4BB0"/>
    <w:rsid w:val="00AD5235"/>
    <w:rsid w:val="00AD61D7"/>
    <w:rsid w:val="00AD6CE7"/>
    <w:rsid w:val="00AD7D49"/>
    <w:rsid w:val="00AE0692"/>
    <w:rsid w:val="00AE1014"/>
    <w:rsid w:val="00AE11BA"/>
    <w:rsid w:val="00AE1904"/>
    <w:rsid w:val="00AE1EFA"/>
    <w:rsid w:val="00AE2FFB"/>
    <w:rsid w:val="00AE35F8"/>
    <w:rsid w:val="00AE403B"/>
    <w:rsid w:val="00AE44C4"/>
    <w:rsid w:val="00AE473F"/>
    <w:rsid w:val="00AE5767"/>
    <w:rsid w:val="00AE6861"/>
    <w:rsid w:val="00AE6B0D"/>
    <w:rsid w:val="00AE716B"/>
    <w:rsid w:val="00AE72C8"/>
    <w:rsid w:val="00AE742C"/>
    <w:rsid w:val="00AE7490"/>
    <w:rsid w:val="00AF1614"/>
    <w:rsid w:val="00AF1A13"/>
    <w:rsid w:val="00AF22DC"/>
    <w:rsid w:val="00AF26E2"/>
    <w:rsid w:val="00AF3067"/>
    <w:rsid w:val="00AF6BF8"/>
    <w:rsid w:val="00AF7E77"/>
    <w:rsid w:val="00AF7EA5"/>
    <w:rsid w:val="00B0027C"/>
    <w:rsid w:val="00B0050E"/>
    <w:rsid w:val="00B015AA"/>
    <w:rsid w:val="00B0239C"/>
    <w:rsid w:val="00B02530"/>
    <w:rsid w:val="00B0435E"/>
    <w:rsid w:val="00B044D6"/>
    <w:rsid w:val="00B046D9"/>
    <w:rsid w:val="00B05FCE"/>
    <w:rsid w:val="00B06341"/>
    <w:rsid w:val="00B07C3D"/>
    <w:rsid w:val="00B101AB"/>
    <w:rsid w:val="00B108AC"/>
    <w:rsid w:val="00B10A0D"/>
    <w:rsid w:val="00B11C6C"/>
    <w:rsid w:val="00B11F3D"/>
    <w:rsid w:val="00B125C0"/>
    <w:rsid w:val="00B1324D"/>
    <w:rsid w:val="00B1351A"/>
    <w:rsid w:val="00B1527B"/>
    <w:rsid w:val="00B1562E"/>
    <w:rsid w:val="00B1567D"/>
    <w:rsid w:val="00B20224"/>
    <w:rsid w:val="00B22898"/>
    <w:rsid w:val="00B2311A"/>
    <w:rsid w:val="00B2428C"/>
    <w:rsid w:val="00B27475"/>
    <w:rsid w:val="00B300F7"/>
    <w:rsid w:val="00B303BB"/>
    <w:rsid w:val="00B310C5"/>
    <w:rsid w:val="00B327E3"/>
    <w:rsid w:val="00B32AFC"/>
    <w:rsid w:val="00B334C2"/>
    <w:rsid w:val="00B33B26"/>
    <w:rsid w:val="00B34BCA"/>
    <w:rsid w:val="00B356BF"/>
    <w:rsid w:val="00B3656D"/>
    <w:rsid w:val="00B3701F"/>
    <w:rsid w:val="00B3721C"/>
    <w:rsid w:val="00B37F48"/>
    <w:rsid w:val="00B418E9"/>
    <w:rsid w:val="00B42C73"/>
    <w:rsid w:val="00B42E2C"/>
    <w:rsid w:val="00B4337B"/>
    <w:rsid w:val="00B44D8F"/>
    <w:rsid w:val="00B44E58"/>
    <w:rsid w:val="00B47BEF"/>
    <w:rsid w:val="00B50B0E"/>
    <w:rsid w:val="00B50E66"/>
    <w:rsid w:val="00B50F79"/>
    <w:rsid w:val="00B5179A"/>
    <w:rsid w:val="00B52ADC"/>
    <w:rsid w:val="00B53A91"/>
    <w:rsid w:val="00B54262"/>
    <w:rsid w:val="00B54B3B"/>
    <w:rsid w:val="00B54B82"/>
    <w:rsid w:val="00B55AEB"/>
    <w:rsid w:val="00B5622A"/>
    <w:rsid w:val="00B5660D"/>
    <w:rsid w:val="00B572BC"/>
    <w:rsid w:val="00B60624"/>
    <w:rsid w:val="00B60E31"/>
    <w:rsid w:val="00B610FB"/>
    <w:rsid w:val="00B63748"/>
    <w:rsid w:val="00B6400F"/>
    <w:rsid w:val="00B64500"/>
    <w:rsid w:val="00B655B3"/>
    <w:rsid w:val="00B65896"/>
    <w:rsid w:val="00B665C5"/>
    <w:rsid w:val="00B6715B"/>
    <w:rsid w:val="00B678E0"/>
    <w:rsid w:val="00B70080"/>
    <w:rsid w:val="00B71B98"/>
    <w:rsid w:val="00B71E1D"/>
    <w:rsid w:val="00B72AED"/>
    <w:rsid w:val="00B73AD9"/>
    <w:rsid w:val="00B746BC"/>
    <w:rsid w:val="00B74AE2"/>
    <w:rsid w:val="00B74CC7"/>
    <w:rsid w:val="00B74F8D"/>
    <w:rsid w:val="00B758A9"/>
    <w:rsid w:val="00B75BB6"/>
    <w:rsid w:val="00B76B71"/>
    <w:rsid w:val="00B76C2D"/>
    <w:rsid w:val="00B77031"/>
    <w:rsid w:val="00B77693"/>
    <w:rsid w:val="00B77810"/>
    <w:rsid w:val="00B77A96"/>
    <w:rsid w:val="00B77AED"/>
    <w:rsid w:val="00B8001A"/>
    <w:rsid w:val="00B8392E"/>
    <w:rsid w:val="00B83BE7"/>
    <w:rsid w:val="00B84ECF"/>
    <w:rsid w:val="00B85A6A"/>
    <w:rsid w:val="00B85D9A"/>
    <w:rsid w:val="00B86377"/>
    <w:rsid w:val="00B866F8"/>
    <w:rsid w:val="00B87069"/>
    <w:rsid w:val="00B905FA"/>
    <w:rsid w:val="00B90A5B"/>
    <w:rsid w:val="00B92DE6"/>
    <w:rsid w:val="00B937EB"/>
    <w:rsid w:val="00B9446F"/>
    <w:rsid w:val="00B95AE3"/>
    <w:rsid w:val="00B9620F"/>
    <w:rsid w:val="00B9644B"/>
    <w:rsid w:val="00B966D6"/>
    <w:rsid w:val="00B971F8"/>
    <w:rsid w:val="00B97EED"/>
    <w:rsid w:val="00BA02CC"/>
    <w:rsid w:val="00BA0617"/>
    <w:rsid w:val="00BA1506"/>
    <w:rsid w:val="00BA24C1"/>
    <w:rsid w:val="00BA31DB"/>
    <w:rsid w:val="00BA34A4"/>
    <w:rsid w:val="00BA3D79"/>
    <w:rsid w:val="00BA5826"/>
    <w:rsid w:val="00BA5C8E"/>
    <w:rsid w:val="00BA618A"/>
    <w:rsid w:val="00BA6A17"/>
    <w:rsid w:val="00BA719C"/>
    <w:rsid w:val="00BA7308"/>
    <w:rsid w:val="00BA73C9"/>
    <w:rsid w:val="00BA74FE"/>
    <w:rsid w:val="00BB0D73"/>
    <w:rsid w:val="00BB0E36"/>
    <w:rsid w:val="00BB1066"/>
    <w:rsid w:val="00BB1BD6"/>
    <w:rsid w:val="00BB20E0"/>
    <w:rsid w:val="00BB3A8F"/>
    <w:rsid w:val="00BB4230"/>
    <w:rsid w:val="00BB4320"/>
    <w:rsid w:val="00BB7548"/>
    <w:rsid w:val="00BB7914"/>
    <w:rsid w:val="00BB7DF5"/>
    <w:rsid w:val="00BC0172"/>
    <w:rsid w:val="00BC170A"/>
    <w:rsid w:val="00BC26EB"/>
    <w:rsid w:val="00BC315E"/>
    <w:rsid w:val="00BC32B6"/>
    <w:rsid w:val="00BC3401"/>
    <w:rsid w:val="00BC4651"/>
    <w:rsid w:val="00BC490A"/>
    <w:rsid w:val="00BC4FE0"/>
    <w:rsid w:val="00BC549E"/>
    <w:rsid w:val="00BC54A0"/>
    <w:rsid w:val="00BC5E1D"/>
    <w:rsid w:val="00BC7EAD"/>
    <w:rsid w:val="00BD0DE1"/>
    <w:rsid w:val="00BD0F9A"/>
    <w:rsid w:val="00BD13DA"/>
    <w:rsid w:val="00BD1510"/>
    <w:rsid w:val="00BD1EF3"/>
    <w:rsid w:val="00BD3F24"/>
    <w:rsid w:val="00BD40A8"/>
    <w:rsid w:val="00BD41F7"/>
    <w:rsid w:val="00BD5557"/>
    <w:rsid w:val="00BD748B"/>
    <w:rsid w:val="00BD7799"/>
    <w:rsid w:val="00BE00A0"/>
    <w:rsid w:val="00BE012D"/>
    <w:rsid w:val="00BE0D2A"/>
    <w:rsid w:val="00BE3A58"/>
    <w:rsid w:val="00BE516D"/>
    <w:rsid w:val="00BE51BF"/>
    <w:rsid w:val="00BE59CB"/>
    <w:rsid w:val="00BF22E5"/>
    <w:rsid w:val="00BF24F2"/>
    <w:rsid w:val="00BF3748"/>
    <w:rsid w:val="00BF39DB"/>
    <w:rsid w:val="00BF4339"/>
    <w:rsid w:val="00BF4402"/>
    <w:rsid w:val="00BF6298"/>
    <w:rsid w:val="00BF75CA"/>
    <w:rsid w:val="00C004C0"/>
    <w:rsid w:val="00C011A0"/>
    <w:rsid w:val="00C01C7C"/>
    <w:rsid w:val="00C02DAF"/>
    <w:rsid w:val="00C036F9"/>
    <w:rsid w:val="00C03C31"/>
    <w:rsid w:val="00C04735"/>
    <w:rsid w:val="00C0478F"/>
    <w:rsid w:val="00C05DF9"/>
    <w:rsid w:val="00C064C7"/>
    <w:rsid w:val="00C0675C"/>
    <w:rsid w:val="00C06828"/>
    <w:rsid w:val="00C076EF"/>
    <w:rsid w:val="00C106BF"/>
    <w:rsid w:val="00C117B5"/>
    <w:rsid w:val="00C11C93"/>
    <w:rsid w:val="00C12495"/>
    <w:rsid w:val="00C1431F"/>
    <w:rsid w:val="00C14431"/>
    <w:rsid w:val="00C16761"/>
    <w:rsid w:val="00C17AA9"/>
    <w:rsid w:val="00C23238"/>
    <w:rsid w:val="00C23716"/>
    <w:rsid w:val="00C246AA"/>
    <w:rsid w:val="00C2569D"/>
    <w:rsid w:val="00C25FD2"/>
    <w:rsid w:val="00C26584"/>
    <w:rsid w:val="00C26C2B"/>
    <w:rsid w:val="00C2721C"/>
    <w:rsid w:val="00C273BA"/>
    <w:rsid w:val="00C31B95"/>
    <w:rsid w:val="00C32E25"/>
    <w:rsid w:val="00C33599"/>
    <w:rsid w:val="00C344AD"/>
    <w:rsid w:val="00C3487F"/>
    <w:rsid w:val="00C34C76"/>
    <w:rsid w:val="00C37099"/>
    <w:rsid w:val="00C40E02"/>
    <w:rsid w:val="00C40F48"/>
    <w:rsid w:val="00C44014"/>
    <w:rsid w:val="00C44234"/>
    <w:rsid w:val="00C45420"/>
    <w:rsid w:val="00C47874"/>
    <w:rsid w:val="00C479C9"/>
    <w:rsid w:val="00C5006B"/>
    <w:rsid w:val="00C50A86"/>
    <w:rsid w:val="00C50F98"/>
    <w:rsid w:val="00C51513"/>
    <w:rsid w:val="00C51B41"/>
    <w:rsid w:val="00C51E7B"/>
    <w:rsid w:val="00C5320F"/>
    <w:rsid w:val="00C537CC"/>
    <w:rsid w:val="00C53E42"/>
    <w:rsid w:val="00C547BA"/>
    <w:rsid w:val="00C54E9C"/>
    <w:rsid w:val="00C56839"/>
    <w:rsid w:val="00C568CE"/>
    <w:rsid w:val="00C56A9B"/>
    <w:rsid w:val="00C57332"/>
    <w:rsid w:val="00C57D83"/>
    <w:rsid w:val="00C61ED8"/>
    <w:rsid w:val="00C644F5"/>
    <w:rsid w:val="00C64CB9"/>
    <w:rsid w:val="00C65126"/>
    <w:rsid w:val="00C65558"/>
    <w:rsid w:val="00C6590A"/>
    <w:rsid w:val="00C66AAD"/>
    <w:rsid w:val="00C730AE"/>
    <w:rsid w:val="00C7334E"/>
    <w:rsid w:val="00C73447"/>
    <w:rsid w:val="00C73DB1"/>
    <w:rsid w:val="00C741E9"/>
    <w:rsid w:val="00C74825"/>
    <w:rsid w:val="00C74CBC"/>
    <w:rsid w:val="00C76FAA"/>
    <w:rsid w:val="00C8163F"/>
    <w:rsid w:val="00C8180A"/>
    <w:rsid w:val="00C81A10"/>
    <w:rsid w:val="00C83671"/>
    <w:rsid w:val="00C84D87"/>
    <w:rsid w:val="00C851A9"/>
    <w:rsid w:val="00C852F9"/>
    <w:rsid w:val="00C875A6"/>
    <w:rsid w:val="00C87CDB"/>
    <w:rsid w:val="00C90CDD"/>
    <w:rsid w:val="00C93274"/>
    <w:rsid w:val="00C937D2"/>
    <w:rsid w:val="00C96571"/>
    <w:rsid w:val="00C96D2E"/>
    <w:rsid w:val="00C973FB"/>
    <w:rsid w:val="00C9745F"/>
    <w:rsid w:val="00C97BF4"/>
    <w:rsid w:val="00CA14B9"/>
    <w:rsid w:val="00CA3135"/>
    <w:rsid w:val="00CA4287"/>
    <w:rsid w:val="00CA42AC"/>
    <w:rsid w:val="00CA4A14"/>
    <w:rsid w:val="00CA52A1"/>
    <w:rsid w:val="00CA5739"/>
    <w:rsid w:val="00CA6A72"/>
    <w:rsid w:val="00CA6D31"/>
    <w:rsid w:val="00CA75BE"/>
    <w:rsid w:val="00CB01F4"/>
    <w:rsid w:val="00CB05F4"/>
    <w:rsid w:val="00CB0F37"/>
    <w:rsid w:val="00CB1653"/>
    <w:rsid w:val="00CB1C83"/>
    <w:rsid w:val="00CB2118"/>
    <w:rsid w:val="00CB23FA"/>
    <w:rsid w:val="00CB3FDC"/>
    <w:rsid w:val="00CB44EE"/>
    <w:rsid w:val="00CB5AF8"/>
    <w:rsid w:val="00CB5C00"/>
    <w:rsid w:val="00CB5EED"/>
    <w:rsid w:val="00CB6227"/>
    <w:rsid w:val="00CB7423"/>
    <w:rsid w:val="00CB7B28"/>
    <w:rsid w:val="00CC18E6"/>
    <w:rsid w:val="00CC35D1"/>
    <w:rsid w:val="00CC3D33"/>
    <w:rsid w:val="00CC429B"/>
    <w:rsid w:val="00CC504C"/>
    <w:rsid w:val="00CC50AD"/>
    <w:rsid w:val="00CC5345"/>
    <w:rsid w:val="00CC5589"/>
    <w:rsid w:val="00CC7C38"/>
    <w:rsid w:val="00CC7D8C"/>
    <w:rsid w:val="00CD01BA"/>
    <w:rsid w:val="00CD15AC"/>
    <w:rsid w:val="00CD168E"/>
    <w:rsid w:val="00CD186A"/>
    <w:rsid w:val="00CD1891"/>
    <w:rsid w:val="00CD312D"/>
    <w:rsid w:val="00CD3337"/>
    <w:rsid w:val="00CD343C"/>
    <w:rsid w:val="00CD3F15"/>
    <w:rsid w:val="00CD521A"/>
    <w:rsid w:val="00CD6756"/>
    <w:rsid w:val="00CD6803"/>
    <w:rsid w:val="00CD70E7"/>
    <w:rsid w:val="00CE098C"/>
    <w:rsid w:val="00CE0DD1"/>
    <w:rsid w:val="00CE10FD"/>
    <w:rsid w:val="00CE2098"/>
    <w:rsid w:val="00CE355A"/>
    <w:rsid w:val="00CE3E77"/>
    <w:rsid w:val="00CE4B1B"/>
    <w:rsid w:val="00CE4D39"/>
    <w:rsid w:val="00CE5DAC"/>
    <w:rsid w:val="00CE7932"/>
    <w:rsid w:val="00CF1ADB"/>
    <w:rsid w:val="00CF29CE"/>
    <w:rsid w:val="00CF2A16"/>
    <w:rsid w:val="00CF3A03"/>
    <w:rsid w:val="00CF3A95"/>
    <w:rsid w:val="00CF543D"/>
    <w:rsid w:val="00CF553A"/>
    <w:rsid w:val="00CF5D27"/>
    <w:rsid w:val="00CF64A2"/>
    <w:rsid w:val="00CF6835"/>
    <w:rsid w:val="00CF6893"/>
    <w:rsid w:val="00CF6DF3"/>
    <w:rsid w:val="00D004C3"/>
    <w:rsid w:val="00D01466"/>
    <w:rsid w:val="00D01F31"/>
    <w:rsid w:val="00D021D8"/>
    <w:rsid w:val="00D03132"/>
    <w:rsid w:val="00D03FBB"/>
    <w:rsid w:val="00D04777"/>
    <w:rsid w:val="00D056ED"/>
    <w:rsid w:val="00D05D29"/>
    <w:rsid w:val="00D060AF"/>
    <w:rsid w:val="00D06E05"/>
    <w:rsid w:val="00D07691"/>
    <w:rsid w:val="00D10A61"/>
    <w:rsid w:val="00D11313"/>
    <w:rsid w:val="00D11BC7"/>
    <w:rsid w:val="00D11E50"/>
    <w:rsid w:val="00D121C6"/>
    <w:rsid w:val="00D1229F"/>
    <w:rsid w:val="00D12777"/>
    <w:rsid w:val="00D12B0E"/>
    <w:rsid w:val="00D14520"/>
    <w:rsid w:val="00D14791"/>
    <w:rsid w:val="00D1760C"/>
    <w:rsid w:val="00D179BB"/>
    <w:rsid w:val="00D21121"/>
    <w:rsid w:val="00D212DE"/>
    <w:rsid w:val="00D21A79"/>
    <w:rsid w:val="00D21F14"/>
    <w:rsid w:val="00D22442"/>
    <w:rsid w:val="00D22511"/>
    <w:rsid w:val="00D241CE"/>
    <w:rsid w:val="00D2439D"/>
    <w:rsid w:val="00D24C07"/>
    <w:rsid w:val="00D24D5D"/>
    <w:rsid w:val="00D26730"/>
    <w:rsid w:val="00D27A6F"/>
    <w:rsid w:val="00D27AF4"/>
    <w:rsid w:val="00D27EA3"/>
    <w:rsid w:val="00D301BF"/>
    <w:rsid w:val="00D30ABC"/>
    <w:rsid w:val="00D30BA4"/>
    <w:rsid w:val="00D31AAF"/>
    <w:rsid w:val="00D32056"/>
    <w:rsid w:val="00D32835"/>
    <w:rsid w:val="00D333A2"/>
    <w:rsid w:val="00D33578"/>
    <w:rsid w:val="00D344FA"/>
    <w:rsid w:val="00D34F29"/>
    <w:rsid w:val="00D35D57"/>
    <w:rsid w:val="00D36595"/>
    <w:rsid w:val="00D36D3F"/>
    <w:rsid w:val="00D37231"/>
    <w:rsid w:val="00D40EF2"/>
    <w:rsid w:val="00D419B5"/>
    <w:rsid w:val="00D41AAE"/>
    <w:rsid w:val="00D4306E"/>
    <w:rsid w:val="00D43367"/>
    <w:rsid w:val="00D43DD5"/>
    <w:rsid w:val="00D44A96"/>
    <w:rsid w:val="00D44B12"/>
    <w:rsid w:val="00D469A2"/>
    <w:rsid w:val="00D50244"/>
    <w:rsid w:val="00D50259"/>
    <w:rsid w:val="00D51645"/>
    <w:rsid w:val="00D537E6"/>
    <w:rsid w:val="00D53E79"/>
    <w:rsid w:val="00D54249"/>
    <w:rsid w:val="00D546FF"/>
    <w:rsid w:val="00D5484C"/>
    <w:rsid w:val="00D55B60"/>
    <w:rsid w:val="00D55E74"/>
    <w:rsid w:val="00D56BAC"/>
    <w:rsid w:val="00D56C42"/>
    <w:rsid w:val="00D5721E"/>
    <w:rsid w:val="00D57388"/>
    <w:rsid w:val="00D578EC"/>
    <w:rsid w:val="00D57D48"/>
    <w:rsid w:val="00D57E10"/>
    <w:rsid w:val="00D60B71"/>
    <w:rsid w:val="00D61BCD"/>
    <w:rsid w:val="00D622AE"/>
    <w:rsid w:val="00D63224"/>
    <w:rsid w:val="00D63E75"/>
    <w:rsid w:val="00D657B7"/>
    <w:rsid w:val="00D67513"/>
    <w:rsid w:val="00D675A9"/>
    <w:rsid w:val="00D709A6"/>
    <w:rsid w:val="00D71E74"/>
    <w:rsid w:val="00D72251"/>
    <w:rsid w:val="00D7262A"/>
    <w:rsid w:val="00D749E2"/>
    <w:rsid w:val="00D753AB"/>
    <w:rsid w:val="00D76067"/>
    <w:rsid w:val="00D76A55"/>
    <w:rsid w:val="00D77642"/>
    <w:rsid w:val="00D776E1"/>
    <w:rsid w:val="00D779C8"/>
    <w:rsid w:val="00D77A13"/>
    <w:rsid w:val="00D8068F"/>
    <w:rsid w:val="00D8098A"/>
    <w:rsid w:val="00D824A4"/>
    <w:rsid w:val="00D840F8"/>
    <w:rsid w:val="00D8414B"/>
    <w:rsid w:val="00D84317"/>
    <w:rsid w:val="00D85256"/>
    <w:rsid w:val="00D85A95"/>
    <w:rsid w:val="00D870F4"/>
    <w:rsid w:val="00D87761"/>
    <w:rsid w:val="00D87ECF"/>
    <w:rsid w:val="00D91407"/>
    <w:rsid w:val="00D91FAF"/>
    <w:rsid w:val="00D922C1"/>
    <w:rsid w:val="00D92B93"/>
    <w:rsid w:val="00D93263"/>
    <w:rsid w:val="00D938B7"/>
    <w:rsid w:val="00D944EF"/>
    <w:rsid w:val="00D946FF"/>
    <w:rsid w:val="00D94F98"/>
    <w:rsid w:val="00D956F0"/>
    <w:rsid w:val="00D95E37"/>
    <w:rsid w:val="00D9667D"/>
    <w:rsid w:val="00D96E88"/>
    <w:rsid w:val="00DA0F93"/>
    <w:rsid w:val="00DA110E"/>
    <w:rsid w:val="00DA12FF"/>
    <w:rsid w:val="00DA17D7"/>
    <w:rsid w:val="00DA2768"/>
    <w:rsid w:val="00DA34DD"/>
    <w:rsid w:val="00DA4054"/>
    <w:rsid w:val="00DA518E"/>
    <w:rsid w:val="00DA5240"/>
    <w:rsid w:val="00DA53DE"/>
    <w:rsid w:val="00DA5BFF"/>
    <w:rsid w:val="00DA5DFD"/>
    <w:rsid w:val="00DA6783"/>
    <w:rsid w:val="00DA70E1"/>
    <w:rsid w:val="00DA75BF"/>
    <w:rsid w:val="00DA7713"/>
    <w:rsid w:val="00DA795B"/>
    <w:rsid w:val="00DB17B4"/>
    <w:rsid w:val="00DB1B99"/>
    <w:rsid w:val="00DB1E1E"/>
    <w:rsid w:val="00DB2667"/>
    <w:rsid w:val="00DB28DF"/>
    <w:rsid w:val="00DB36D5"/>
    <w:rsid w:val="00DB3A36"/>
    <w:rsid w:val="00DB4C7F"/>
    <w:rsid w:val="00DB4E24"/>
    <w:rsid w:val="00DB571F"/>
    <w:rsid w:val="00DB5851"/>
    <w:rsid w:val="00DB7A73"/>
    <w:rsid w:val="00DC03EA"/>
    <w:rsid w:val="00DC06FC"/>
    <w:rsid w:val="00DC0E29"/>
    <w:rsid w:val="00DC113E"/>
    <w:rsid w:val="00DC14A6"/>
    <w:rsid w:val="00DC17CD"/>
    <w:rsid w:val="00DC181D"/>
    <w:rsid w:val="00DC1DC6"/>
    <w:rsid w:val="00DC27D4"/>
    <w:rsid w:val="00DC2A2E"/>
    <w:rsid w:val="00DC467D"/>
    <w:rsid w:val="00DC4925"/>
    <w:rsid w:val="00DC68D0"/>
    <w:rsid w:val="00DC6935"/>
    <w:rsid w:val="00DD092F"/>
    <w:rsid w:val="00DD0959"/>
    <w:rsid w:val="00DD09CF"/>
    <w:rsid w:val="00DD0BC5"/>
    <w:rsid w:val="00DD163C"/>
    <w:rsid w:val="00DD1AE0"/>
    <w:rsid w:val="00DD2E20"/>
    <w:rsid w:val="00DD2E70"/>
    <w:rsid w:val="00DD30AE"/>
    <w:rsid w:val="00DD32DA"/>
    <w:rsid w:val="00DD3467"/>
    <w:rsid w:val="00DD3ABC"/>
    <w:rsid w:val="00DD5155"/>
    <w:rsid w:val="00DD5189"/>
    <w:rsid w:val="00DD5A7A"/>
    <w:rsid w:val="00DD5B0A"/>
    <w:rsid w:val="00DD6E2B"/>
    <w:rsid w:val="00DD7BC7"/>
    <w:rsid w:val="00DD7E13"/>
    <w:rsid w:val="00DE0CBE"/>
    <w:rsid w:val="00DE11CA"/>
    <w:rsid w:val="00DE19C4"/>
    <w:rsid w:val="00DE2A39"/>
    <w:rsid w:val="00DE3ECE"/>
    <w:rsid w:val="00DE4A09"/>
    <w:rsid w:val="00DE4EDF"/>
    <w:rsid w:val="00DE5170"/>
    <w:rsid w:val="00DE53CD"/>
    <w:rsid w:val="00DE57C6"/>
    <w:rsid w:val="00DE5FC1"/>
    <w:rsid w:val="00DE6294"/>
    <w:rsid w:val="00DE6601"/>
    <w:rsid w:val="00DE68D6"/>
    <w:rsid w:val="00DE6B5B"/>
    <w:rsid w:val="00DE6CA8"/>
    <w:rsid w:val="00DE6EC1"/>
    <w:rsid w:val="00DE71EF"/>
    <w:rsid w:val="00DE781D"/>
    <w:rsid w:val="00DE78D2"/>
    <w:rsid w:val="00DE7B85"/>
    <w:rsid w:val="00DE7BE9"/>
    <w:rsid w:val="00DF0976"/>
    <w:rsid w:val="00DF10F9"/>
    <w:rsid w:val="00DF1320"/>
    <w:rsid w:val="00DF1DCE"/>
    <w:rsid w:val="00DF3B05"/>
    <w:rsid w:val="00DF4992"/>
    <w:rsid w:val="00DF4ECF"/>
    <w:rsid w:val="00DF5789"/>
    <w:rsid w:val="00DF5861"/>
    <w:rsid w:val="00DF6A08"/>
    <w:rsid w:val="00E00028"/>
    <w:rsid w:val="00E00663"/>
    <w:rsid w:val="00E00F17"/>
    <w:rsid w:val="00E014CE"/>
    <w:rsid w:val="00E01C2F"/>
    <w:rsid w:val="00E022EA"/>
    <w:rsid w:val="00E02908"/>
    <w:rsid w:val="00E0296D"/>
    <w:rsid w:val="00E04DF5"/>
    <w:rsid w:val="00E0500E"/>
    <w:rsid w:val="00E06664"/>
    <w:rsid w:val="00E0673E"/>
    <w:rsid w:val="00E06916"/>
    <w:rsid w:val="00E073CB"/>
    <w:rsid w:val="00E07DA0"/>
    <w:rsid w:val="00E07EEF"/>
    <w:rsid w:val="00E07F9D"/>
    <w:rsid w:val="00E12D64"/>
    <w:rsid w:val="00E13164"/>
    <w:rsid w:val="00E15424"/>
    <w:rsid w:val="00E2016F"/>
    <w:rsid w:val="00E20606"/>
    <w:rsid w:val="00E20E32"/>
    <w:rsid w:val="00E21941"/>
    <w:rsid w:val="00E2199F"/>
    <w:rsid w:val="00E21BDB"/>
    <w:rsid w:val="00E2299D"/>
    <w:rsid w:val="00E229CF"/>
    <w:rsid w:val="00E232D4"/>
    <w:rsid w:val="00E23867"/>
    <w:rsid w:val="00E23A7D"/>
    <w:rsid w:val="00E23F99"/>
    <w:rsid w:val="00E24070"/>
    <w:rsid w:val="00E25D1F"/>
    <w:rsid w:val="00E260DB"/>
    <w:rsid w:val="00E270AF"/>
    <w:rsid w:val="00E3085C"/>
    <w:rsid w:val="00E30D95"/>
    <w:rsid w:val="00E31EFB"/>
    <w:rsid w:val="00E33D00"/>
    <w:rsid w:val="00E34257"/>
    <w:rsid w:val="00E34EF3"/>
    <w:rsid w:val="00E36352"/>
    <w:rsid w:val="00E370FB"/>
    <w:rsid w:val="00E408AA"/>
    <w:rsid w:val="00E40F80"/>
    <w:rsid w:val="00E42273"/>
    <w:rsid w:val="00E42BB7"/>
    <w:rsid w:val="00E447D9"/>
    <w:rsid w:val="00E45A83"/>
    <w:rsid w:val="00E50027"/>
    <w:rsid w:val="00E50161"/>
    <w:rsid w:val="00E510FE"/>
    <w:rsid w:val="00E514A5"/>
    <w:rsid w:val="00E51623"/>
    <w:rsid w:val="00E51956"/>
    <w:rsid w:val="00E51A29"/>
    <w:rsid w:val="00E52682"/>
    <w:rsid w:val="00E52C2C"/>
    <w:rsid w:val="00E52F02"/>
    <w:rsid w:val="00E53558"/>
    <w:rsid w:val="00E53D06"/>
    <w:rsid w:val="00E54997"/>
    <w:rsid w:val="00E549A6"/>
    <w:rsid w:val="00E55143"/>
    <w:rsid w:val="00E55AF3"/>
    <w:rsid w:val="00E567CD"/>
    <w:rsid w:val="00E6055A"/>
    <w:rsid w:val="00E606D8"/>
    <w:rsid w:val="00E617AE"/>
    <w:rsid w:val="00E61D75"/>
    <w:rsid w:val="00E624B9"/>
    <w:rsid w:val="00E649B6"/>
    <w:rsid w:val="00E651A6"/>
    <w:rsid w:val="00E65387"/>
    <w:rsid w:val="00E65C14"/>
    <w:rsid w:val="00E6646D"/>
    <w:rsid w:val="00E67665"/>
    <w:rsid w:val="00E713E1"/>
    <w:rsid w:val="00E71C13"/>
    <w:rsid w:val="00E72675"/>
    <w:rsid w:val="00E72863"/>
    <w:rsid w:val="00E736BF"/>
    <w:rsid w:val="00E74259"/>
    <w:rsid w:val="00E7538B"/>
    <w:rsid w:val="00E75EEF"/>
    <w:rsid w:val="00E800E4"/>
    <w:rsid w:val="00E80814"/>
    <w:rsid w:val="00E812AE"/>
    <w:rsid w:val="00E818D6"/>
    <w:rsid w:val="00E81C8B"/>
    <w:rsid w:val="00E8219A"/>
    <w:rsid w:val="00E84510"/>
    <w:rsid w:val="00E84E14"/>
    <w:rsid w:val="00E86902"/>
    <w:rsid w:val="00E8704F"/>
    <w:rsid w:val="00E87356"/>
    <w:rsid w:val="00E908E1"/>
    <w:rsid w:val="00E90D0A"/>
    <w:rsid w:val="00E9124C"/>
    <w:rsid w:val="00E93836"/>
    <w:rsid w:val="00E94841"/>
    <w:rsid w:val="00E9536A"/>
    <w:rsid w:val="00E9548B"/>
    <w:rsid w:val="00E96E19"/>
    <w:rsid w:val="00EA0404"/>
    <w:rsid w:val="00EA2F6C"/>
    <w:rsid w:val="00EA42EE"/>
    <w:rsid w:val="00EA500C"/>
    <w:rsid w:val="00EA5069"/>
    <w:rsid w:val="00EA581E"/>
    <w:rsid w:val="00EA642A"/>
    <w:rsid w:val="00EA7799"/>
    <w:rsid w:val="00EB00FC"/>
    <w:rsid w:val="00EB07D2"/>
    <w:rsid w:val="00EB11D0"/>
    <w:rsid w:val="00EB2868"/>
    <w:rsid w:val="00EB54CF"/>
    <w:rsid w:val="00EB5CA1"/>
    <w:rsid w:val="00EB65E4"/>
    <w:rsid w:val="00EB6B48"/>
    <w:rsid w:val="00EC0CAF"/>
    <w:rsid w:val="00EC236F"/>
    <w:rsid w:val="00EC3044"/>
    <w:rsid w:val="00EC3522"/>
    <w:rsid w:val="00EC3914"/>
    <w:rsid w:val="00EC3FF1"/>
    <w:rsid w:val="00EC476D"/>
    <w:rsid w:val="00EC4BA8"/>
    <w:rsid w:val="00EC5478"/>
    <w:rsid w:val="00EC6898"/>
    <w:rsid w:val="00EC74C6"/>
    <w:rsid w:val="00ED1061"/>
    <w:rsid w:val="00ED1590"/>
    <w:rsid w:val="00ED1CB9"/>
    <w:rsid w:val="00ED203B"/>
    <w:rsid w:val="00ED2244"/>
    <w:rsid w:val="00ED33CD"/>
    <w:rsid w:val="00ED3A1C"/>
    <w:rsid w:val="00ED3FFA"/>
    <w:rsid w:val="00ED42A9"/>
    <w:rsid w:val="00ED50AE"/>
    <w:rsid w:val="00ED676B"/>
    <w:rsid w:val="00ED72A6"/>
    <w:rsid w:val="00ED7B04"/>
    <w:rsid w:val="00EE0FB3"/>
    <w:rsid w:val="00EE1158"/>
    <w:rsid w:val="00EE2F92"/>
    <w:rsid w:val="00EE42AC"/>
    <w:rsid w:val="00EE44BC"/>
    <w:rsid w:val="00EE59BC"/>
    <w:rsid w:val="00EE6F84"/>
    <w:rsid w:val="00EE7E6A"/>
    <w:rsid w:val="00EF00AD"/>
    <w:rsid w:val="00EF116A"/>
    <w:rsid w:val="00EF1939"/>
    <w:rsid w:val="00EF3D60"/>
    <w:rsid w:val="00EF4D5F"/>
    <w:rsid w:val="00EF59A0"/>
    <w:rsid w:val="00EF72DD"/>
    <w:rsid w:val="00EF7C11"/>
    <w:rsid w:val="00F008E0"/>
    <w:rsid w:val="00F01216"/>
    <w:rsid w:val="00F01778"/>
    <w:rsid w:val="00F019A6"/>
    <w:rsid w:val="00F02906"/>
    <w:rsid w:val="00F05084"/>
    <w:rsid w:val="00F055B4"/>
    <w:rsid w:val="00F055EA"/>
    <w:rsid w:val="00F05994"/>
    <w:rsid w:val="00F103AF"/>
    <w:rsid w:val="00F109A2"/>
    <w:rsid w:val="00F10B4D"/>
    <w:rsid w:val="00F11A07"/>
    <w:rsid w:val="00F11DEF"/>
    <w:rsid w:val="00F1274D"/>
    <w:rsid w:val="00F13036"/>
    <w:rsid w:val="00F1394A"/>
    <w:rsid w:val="00F13B07"/>
    <w:rsid w:val="00F15736"/>
    <w:rsid w:val="00F15B8D"/>
    <w:rsid w:val="00F1610E"/>
    <w:rsid w:val="00F1667C"/>
    <w:rsid w:val="00F17BB4"/>
    <w:rsid w:val="00F20064"/>
    <w:rsid w:val="00F20F82"/>
    <w:rsid w:val="00F22765"/>
    <w:rsid w:val="00F227A3"/>
    <w:rsid w:val="00F22D19"/>
    <w:rsid w:val="00F22E12"/>
    <w:rsid w:val="00F24133"/>
    <w:rsid w:val="00F24294"/>
    <w:rsid w:val="00F250F7"/>
    <w:rsid w:val="00F25676"/>
    <w:rsid w:val="00F25BBB"/>
    <w:rsid w:val="00F266B7"/>
    <w:rsid w:val="00F26DC5"/>
    <w:rsid w:val="00F27561"/>
    <w:rsid w:val="00F27CD1"/>
    <w:rsid w:val="00F304E8"/>
    <w:rsid w:val="00F30695"/>
    <w:rsid w:val="00F32098"/>
    <w:rsid w:val="00F32491"/>
    <w:rsid w:val="00F34987"/>
    <w:rsid w:val="00F35144"/>
    <w:rsid w:val="00F35C4C"/>
    <w:rsid w:val="00F35F4E"/>
    <w:rsid w:val="00F3756D"/>
    <w:rsid w:val="00F4109B"/>
    <w:rsid w:val="00F4129F"/>
    <w:rsid w:val="00F41E6F"/>
    <w:rsid w:val="00F42894"/>
    <w:rsid w:val="00F44276"/>
    <w:rsid w:val="00F444D1"/>
    <w:rsid w:val="00F447E7"/>
    <w:rsid w:val="00F44932"/>
    <w:rsid w:val="00F45602"/>
    <w:rsid w:val="00F46D44"/>
    <w:rsid w:val="00F47840"/>
    <w:rsid w:val="00F51383"/>
    <w:rsid w:val="00F5182C"/>
    <w:rsid w:val="00F51E2F"/>
    <w:rsid w:val="00F5202D"/>
    <w:rsid w:val="00F522F6"/>
    <w:rsid w:val="00F52CDB"/>
    <w:rsid w:val="00F53FAF"/>
    <w:rsid w:val="00F547EC"/>
    <w:rsid w:val="00F54D95"/>
    <w:rsid w:val="00F55773"/>
    <w:rsid w:val="00F5618B"/>
    <w:rsid w:val="00F61330"/>
    <w:rsid w:val="00F614AA"/>
    <w:rsid w:val="00F61ED3"/>
    <w:rsid w:val="00F62C76"/>
    <w:rsid w:val="00F63331"/>
    <w:rsid w:val="00F635EF"/>
    <w:rsid w:val="00F639B3"/>
    <w:rsid w:val="00F63B57"/>
    <w:rsid w:val="00F64239"/>
    <w:rsid w:val="00F64D03"/>
    <w:rsid w:val="00F652B9"/>
    <w:rsid w:val="00F66644"/>
    <w:rsid w:val="00F66A64"/>
    <w:rsid w:val="00F679A9"/>
    <w:rsid w:val="00F67EA7"/>
    <w:rsid w:val="00F70E0B"/>
    <w:rsid w:val="00F71041"/>
    <w:rsid w:val="00F717BD"/>
    <w:rsid w:val="00F71C9B"/>
    <w:rsid w:val="00F71D97"/>
    <w:rsid w:val="00F72346"/>
    <w:rsid w:val="00F74136"/>
    <w:rsid w:val="00F7464C"/>
    <w:rsid w:val="00F810D2"/>
    <w:rsid w:val="00F81640"/>
    <w:rsid w:val="00F81A6A"/>
    <w:rsid w:val="00F822E2"/>
    <w:rsid w:val="00F8367A"/>
    <w:rsid w:val="00F85880"/>
    <w:rsid w:val="00F869AB"/>
    <w:rsid w:val="00F86F1D"/>
    <w:rsid w:val="00F8707D"/>
    <w:rsid w:val="00F8721D"/>
    <w:rsid w:val="00F877EA"/>
    <w:rsid w:val="00F903DD"/>
    <w:rsid w:val="00F90E90"/>
    <w:rsid w:val="00F91CED"/>
    <w:rsid w:val="00F95427"/>
    <w:rsid w:val="00F967CE"/>
    <w:rsid w:val="00F96AAC"/>
    <w:rsid w:val="00F96EB0"/>
    <w:rsid w:val="00F97BF5"/>
    <w:rsid w:val="00FA0ABD"/>
    <w:rsid w:val="00FA297B"/>
    <w:rsid w:val="00FA2F91"/>
    <w:rsid w:val="00FA40F7"/>
    <w:rsid w:val="00FA4F0B"/>
    <w:rsid w:val="00FA550D"/>
    <w:rsid w:val="00FA5FBE"/>
    <w:rsid w:val="00FA61EB"/>
    <w:rsid w:val="00FA656A"/>
    <w:rsid w:val="00FA69DD"/>
    <w:rsid w:val="00FA70D5"/>
    <w:rsid w:val="00FA7D74"/>
    <w:rsid w:val="00FB0868"/>
    <w:rsid w:val="00FB1FF0"/>
    <w:rsid w:val="00FB237E"/>
    <w:rsid w:val="00FB3368"/>
    <w:rsid w:val="00FB4A9D"/>
    <w:rsid w:val="00FB51FE"/>
    <w:rsid w:val="00FC1288"/>
    <w:rsid w:val="00FC1F9A"/>
    <w:rsid w:val="00FC242C"/>
    <w:rsid w:val="00FC2970"/>
    <w:rsid w:val="00FC2A95"/>
    <w:rsid w:val="00FC2E25"/>
    <w:rsid w:val="00FC34F9"/>
    <w:rsid w:val="00FC6938"/>
    <w:rsid w:val="00FD00DD"/>
    <w:rsid w:val="00FD0383"/>
    <w:rsid w:val="00FD0C40"/>
    <w:rsid w:val="00FD197B"/>
    <w:rsid w:val="00FD1BCF"/>
    <w:rsid w:val="00FD21AB"/>
    <w:rsid w:val="00FD3189"/>
    <w:rsid w:val="00FD4697"/>
    <w:rsid w:val="00FD5082"/>
    <w:rsid w:val="00FD58AB"/>
    <w:rsid w:val="00FD5CF8"/>
    <w:rsid w:val="00FD609A"/>
    <w:rsid w:val="00FD70A6"/>
    <w:rsid w:val="00FD76B6"/>
    <w:rsid w:val="00FD7DCD"/>
    <w:rsid w:val="00FE2CA9"/>
    <w:rsid w:val="00FE33B5"/>
    <w:rsid w:val="00FE4CAC"/>
    <w:rsid w:val="00FE7E7D"/>
    <w:rsid w:val="00FF0BBE"/>
    <w:rsid w:val="00FF1CD6"/>
    <w:rsid w:val="00FF20B8"/>
    <w:rsid w:val="00FF2600"/>
    <w:rsid w:val="00FF293E"/>
    <w:rsid w:val="00FF425A"/>
    <w:rsid w:val="00FF52CA"/>
    <w:rsid w:val="00FF540E"/>
    <w:rsid w:val="00FF5AE5"/>
    <w:rsid w:val="00FF6187"/>
    <w:rsid w:val="00FF6695"/>
    <w:rsid w:val="00FF70E6"/>
    <w:rsid w:val="00FF7F37"/>
    <w:rsid w:val="01757D6C"/>
    <w:rsid w:val="01B67A50"/>
    <w:rsid w:val="01C603F3"/>
    <w:rsid w:val="02350FD7"/>
    <w:rsid w:val="026D5A4E"/>
    <w:rsid w:val="027F08F6"/>
    <w:rsid w:val="02866093"/>
    <w:rsid w:val="02985DC6"/>
    <w:rsid w:val="029C3C3D"/>
    <w:rsid w:val="02AF35B9"/>
    <w:rsid w:val="02D7069C"/>
    <w:rsid w:val="02DB5B22"/>
    <w:rsid w:val="02E2117E"/>
    <w:rsid w:val="02EF31FC"/>
    <w:rsid w:val="03174F3D"/>
    <w:rsid w:val="031D5029"/>
    <w:rsid w:val="031F5CB1"/>
    <w:rsid w:val="03423A5A"/>
    <w:rsid w:val="035C6DF3"/>
    <w:rsid w:val="03745A07"/>
    <w:rsid w:val="038F6F0F"/>
    <w:rsid w:val="03A41A2E"/>
    <w:rsid w:val="03B67A42"/>
    <w:rsid w:val="03BC3FA3"/>
    <w:rsid w:val="03CD7699"/>
    <w:rsid w:val="03D05B32"/>
    <w:rsid w:val="0403263B"/>
    <w:rsid w:val="042947BD"/>
    <w:rsid w:val="0453546B"/>
    <w:rsid w:val="045A3333"/>
    <w:rsid w:val="048D3660"/>
    <w:rsid w:val="049F168E"/>
    <w:rsid w:val="04D75C17"/>
    <w:rsid w:val="04DF51E5"/>
    <w:rsid w:val="04F67264"/>
    <w:rsid w:val="05057FD0"/>
    <w:rsid w:val="054E0A7B"/>
    <w:rsid w:val="058118D7"/>
    <w:rsid w:val="05B6173B"/>
    <w:rsid w:val="05BA22D5"/>
    <w:rsid w:val="05BF087E"/>
    <w:rsid w:val="05EE13C9"/>
    <w:rsid w:val="05F525E4"/>
    <w:rsid w:val="05FE5366"/>
    <w:rsid w:val="060D2627"/>
    <w:rsid w:val="0620398B"/>
    <w:rsid w:val="063548D6"/>
    <w:rsid w:val="06361B7E"/>
    <w:rsid w:val="065E0D7E"/>
    <w:rsid w:val="068F508F"/>
    <w:rsid w:val="06B16195"/>
    <w:rsid w:val="077B122A"/>
    <w:rsid w:val="07AE5867"/>
    <w:rsid w:val="07CA6A37"/>
    <w:rsid w:val="07FA45B7"/>
    <w:rsid w:val="086E55FF"/>
    <w:rsid w:val="08724C55"/>
    <w:rsid w:val="08730E67"/>
    <w:rsid w:val="0880043F"/>
    <w:rsid w:val="08C23B9D"/>
    <w:rsid w:val="09931095"/>
    <w:rsid w:val="09CE6E57"/>
    <w:rsid w:val="09FC6A4A"/>
    <w:rsid w:val="0A3F353B"/>
    <w:rsid w:val="0AB67731"/>
    <w:rsid w:val="0AC72D79"/>
    <w:rsid w:val="0B162392"/>
    <w:rsid w:val="0B4E4A5D"/>
    <w:rsid w:val="0B7D1AED"/>
    <w:rsid w:val="0B9C2483"/>
    <w:rsid w:val="0C0B13B7"/>
    <w:rsid w:val="0C835496"/>
    <w:rsid w:val="0CE770D5"/>
    <w:rsid w:val="0CFB26C2"/>
    <w:rsid w:val="0D1D6ADC"/>
    <w:rsid w:val="0D305579"/>
    <w:rsid w:val="0D3C1AAA"/>
    <w:rsid w:val="0D680BE0"/>
    <w:rsid w:val="0DA447BB"/>
    <w:rsid w:val="0DDE6EB8"/>
    <w:rsid w:val="0DFF388F"/>
    <w:rsid w:val="0E232C28"/>
    <w:rsid w:val="0E2350DD"/>
    <w:rsid w:val="0E2E129C"/>
    <w:rsid w:val="0E574EDB"/>
    <w:rsid w:val="0E5A5605"/>
    <w:rsid w:val="0E5C4985"/>
    <w:rsid w:val="0E7A5896"/>
    <w:rsid w:val="0EBC177A"/>
    <w:rsid w:val="0ED308B1"/>
    <w:rsid w:val="0EEB6FFF"/>
    <w:rsid w:val="0F6760B8"/>
    <w:rsid w:val="0F6D010C"/>
    <w:rsid w:val="0F735BCE"/>
    <w:rsid w:val="10516577"/>
    <w:rsid w:val="105A72C5"/>
    <w:rsid w:val="107463E5"/>
    <w:rsid w:val="10C74658"/>
    <w:rsid w:val="10EF29DA"/>
    <w:rsid w:val="115B43B6"/>
    <w:rsid w:val="11D91672"/>
    <w:rsid w:val="11DF756D"/>
    <w:rsid w:val="11F25627"/>
    <w:rsid w:val="1234148C"/>
    <w:rsid w:val="12371A06"/>
    <w:rsid w:val="123C4ABE"/>
    <w:rsid w:val="13061A78"/>
    <w:rsid w:val="130F3B9D"/>
    <w:rsid w:val="133C6704"/>
    <w:rsid w:val="13630A49"/>
    <w:rsid w:val="13BD3F47"/>
    <w:rsid w:val="13D9596F"/>
    <w:rsid w:val="144731A8"/>
    <w:rsid w:val="145427FA"/>
    <w:rsid w:val="14926B19"/>
    <w:rsid w:val="14AC3604"/>
    <w:rsid w:val="14F21366"/>
    <w:rsid w:val="14FD37CF"/>
    <w:rsid w:val="155A1E17"/>
    <w:rsid w:val="1565422D"/>
    <w:rsid w:val="158445F0"/>
    <w:rsid w:val="158A5B65"/>
    <w:rsid w:val="164A6478"/>
    <w:rsid w:val="165E0F95"/>
    <w:rsid w:val="166516F8"/>
    <w:rsid w:val="16CB3D75"/>
    <w:rsid w:val="16FF3191"/>
    <w:rsid w:val="17077FD1"/>
    <w:rsid w:val="170A3665"/>
    <w:rsid w:val="17664E76"/>
    <w:rsid w:val="177C7763"/>
    <w:rsid w:val="17900032"/>
    <w:rsid w:val="17927295"/>
    <w:rsid w:val="17B14BF9"/>
    <w:rsid w:val="17C52E06"/>
    <w:rsid w:val="17CA36C8"/>
    <w:rsid w:val="17FB5A34"/>
    <w:rsid w:val="184360FD"/>
    <w:rsid w:val="189D479A"/>
    <w:rsid w:val="18BA03EC"/>
    <w:rsid w:val="18BD7169"/>
    <w:rsid w:val="18D1647F"/>
    <w:rsid w:val="18D86D91"/>
    <w:rsid w:val="1908025D"/>
    <w:rsid w:val="19D6028A"/>
    <w:rsid w:val="19D878BC"/>
    <w:rsid w:val="19E77C11"/>
    <w:rsid w:val="19EF538C"/>
    <w:rsid w:val="19EF6927"/>
    <w:rsid w:val="1A0924D1"/>
    <w:rsid w:val="1A1C0FE1"/>
    <w:rsid w:val="1A88384B"/>
    <w:rsid w:val="1AD872CD"/>
    <w:rsid w:val="1AE70EEC"/>
    <w:rsid w:val="1AEF3094"/>
    <w:rsid w:val="1AFA71C6"/>
    <w:rsid w:val="1B14076F"/>
    <w:rsid w:val="1B565609"/>
    <w:rsid w:val="1B5A4640"/>
    <w:rsid w:val="1BA81D0B"/>
    <w:rsid w:val="1BA82F7A"/>
    <w:rsid w:val="1C4D14DD"/>
    <w:rsid w:val="1C612B8E"/>
    <w:rsid w:val="1C9F1DD3"/>
    <w:rsid w:val="1CB50917"/>
    <w:rsid w:val="1CCB706C"/>
    <w:rsid w:val="1CEA7476"/>
    <w:rsid w:val="1CFA525B"/>
    <w:rsid w:val="1CFC2CF4"/>
    <w:rsid w:val="1D8A7DED"/>
    <w:rsid w:val="1DAF4EEB"/>
    <w:rsid w:val="1DBE44DB"/>
    <w:rsid w:val="1DE975C0"/>
    <w:rsid w:val="1DF3679B"/>
    <w:rsid w:val="1DFB7351"/>
    <w:rsid w:val="1E07540F"/>
    <w:rsid w:val="1EF676C0"/>
    <w:rsid w:val="1F0C32E7"/>
    <w:rsid w:val="1F4F1BB6"/>
    <w:rsid w:val="1F5910C8"/>
    <w:rsid w:val="1F5E0C8E"/>
    <w:rsid w:val="1F7603E0"/>
    <w:rsid w:val="1F812CE9"/>
    <w:rsid w:val="1F8B42E9"/>
    <w:rsid w:val="1F974EC1"/>
    <w:rsid w:val="1FBF47A2"/>
    <w:rsid w:val="1FFE72CB"/>
    <w:rsid w:val="20062169"/>
    <w:rsid w:val="200D799B"/>
    <w:rsid w:val="20113134"/>
    <w:rsid w:val="2017074E"/>
    <w:rsid w:val="2025071F"/>
    <w:rsid w:val="20407429"/>
    <w:rsid w:val="20C133F8"/>
    <w:rsid w:val="20F54E29"/>
    <w:rsid w:val="212030D7"/>
    <w:rsid w:val="212874CF"/>
    <w:rsid w:val="213825F5"/>
    <w:rsid w:val="217A0581"/>
    <w:rsid w:val="217E667A"/>
    <w:rsid w:val="218D656F"/>
    <w:rsid w:val="21F93FD6"/>
    <w:rsid w:val="220723E7"/>
    <w:rsid w:val="221657FC"/>
    <w:rsid w:val="22325497"/>
    <w:rsid w:val="224131F3"/>
    <w:rsid w:val="22486578"/>
    <w:rsid w:val="22575D40"/>
    <w:rsid w:val="226C09A9"/>
    <w:rsid w:val="229B4DEB"/>
    <w:rsid w:val="22B537C3"/>
    <w:rsid w:val="22BB54C1"/>
    <w:rsid w:val="22CB180A"/>
    <w:rsid w:val="232B2612"/>
    <w:rsid w:val="23482EEF"/>
    <w:rsid w:val="235653D0"/>
    <w:rsid w:val="235D2862"/>
    <w:rsid w:val="23A41D2F"/>
    <w:rsid w:val="23D42997"/>
    <w:rsid w:val="23DB32E7"/>
    <w:rsid w:val="23E915D2"/>
    <w:rsid w:val="24064469"/>
    <w:rsid w:val="240F3266"/>
    <w:rsid w:val="241B13FE"/>
    <w:rsid w:val="24466FD8"/>
    <w:rsid w:val="24661BDD"/>
    <w:rsid w:val="24716EF0"/>
    <w:rsid w:val="248E3FF4"/>
    <w:rsid w:val="249A411D"/>
    <w:rsid w:val="249D6CB2"/>
    <w:rsid w:val="24CE08C5"/>
    <w:rsid w:val="252B59D4"/>
    <w:rsid w:val="256C6F17"/>
    <w:rsid w:val="257819E3"/>
    <w:rsid w:val="26362C80"/>
    <w:rsid w:val="26C9354C"/>
    <w:rsid w:val="26DE5BEE"/>
    <w:rsid w:val="27273C38"/>
    <w:rsid w:val="27314368"/>
    <w:rsid w:val="273870AC"/>
    <w:rsid w:val="273C6F37"/>
    <w:rsid w:val="275B006D"/>
    <w:rsid w:val="27657964"/>
    <w:rsid w:val="27697725"/>
    <w:rsid w:val="277A4090"/>
    <w:rsid w:val="278A18F4"/>
    <w:rsid w:val="27E15995"/>
    <w:rsid w:val="286A13F2"/>
    <w:rsid w:val="28780AC6"/>
    <w:rsid w:val="288E5833"/>
    <w:rsid w:val="28DD322B"/>
    <w:rsid w:val="28F42A99"/>
    <w:rsid w:val="293526AA"/>
    <w:rsid w:val="293F675B"/>
    <w:rsid w:val="293F7FDE"/>
    <w:rsid w:val="295A2FA1"/>
    <w:rsid w:val="29A22701"/>
    <w:rsid w:val="29EC73A5"/>
    <w:rsid w:val="2A3A42FE"/>
    <w:rsid w:val="2AA10CE0"/>
    <w:rsid w:val="2AAD67A9"/>
    <w:rsid w:val="2B1271EB"/>
    <w:rsid w:val="2B2331EA"/>
    <w:rsid w:val="2B2E70E5"/>
    <w:rsid w:val="2B30453E"/>
    <w:rsid w:val="2B7E2F46"/>
    <w:rsid w:val="2BAE26FB"/>
    <w:rsid w:val="2BCD0AE0"/>
    <w:rsid w:val="2C134FE1"/>
    <w:rsid w:val="2C2514B1"/>
    <w:rsid w:val="2C3B6A04"/>
    <w:rsid w:val="2C3E2C4C"/>
    <w:rsid w:val="2C444745"/>
    <w:rsid w:val="2C5021B7"/>
    <w:rsid w:val="2C8E561B"/>
    <w:rsid w:val="2C932C69"/>
    <w:rsid w:val="2C9F2A67"/>
    <w:rsid w:val="2D1A5BEB"/>
    <w:rsid w:val="2D227DC7"/>
    <w:rsid w:val="2D2845BC"/>
    <w:rsid w:val="2D2E73A1"/>
    <w:rsid w:val="2D956272"/>
    <w:rsid w:val="2D9C188C"/>
    <w:rsid w:val="2D9D410D"/>
    <w:rsid w:val="2DC34A81"/>
    <w:rsid w:val="2DCF4D6D"/>
    <w:rsid w:val="2DD125B6"/>
    <w:rsid w:val="2E244107"/>
    <w:rsid w:val="2E510491"/>
    <w:rsid w:val="2E5A73E1"/>
    <w:rsid w:val="2E665884"/>
    <w:rsid w:val="2E974B67"/>
    <w:rsid w:val="2ED70F52"/>
    <w:rsid w:val="2EDD3BF4"/>
    <w:rsid w:val="2F1F789F"/>
    <w:rsid w:val="2F544FF2"/>
    <w:rsid w:val="2F6B678F"/>
    <w:rsid w:val="2FD70501"/>
    <w:rsid w:val="2FE07BE8"/>
    <w:rsid w:val="303D703D"/>
    <w:rsid w:val="308858C3"/>
    <w:rsid w:val="30DB62B6"/>
    <w:rsid w:val="30F73B34"/>
    <w:rsid w:val="31067F47"/>
    <w:rsid w:val="31167EA0"/>
    <w:rsid w:val="311878A1"/>
    <w:rsid w:val="311D4032"/>
    <w:rsid w:val="31327282"/>
    <w:rsid w:val="31637517"/>
    <w:rsid w:val="31AD08B7"/>
    <w:rsid w:val="31B27A3B"/>
    <w:rsid w:val="31ED2820"/>
    <w:rsid w:val="31F84007"/>
    <w:rsid w:val="32024F1D"/>
    <w:rsid w:val="322C3CB1"/>
    <w:rsid w:val="325038E7"/>
    <w:rsid w:val="328525EA"/>
    <w:rsid w:val="32CE29C2"/>
    <w:rsid w:val="32DF309E"/>
    <w:rsid w:val="32FA5B5D"/>
    <w:rsid w:val="3322684B"/>
    <w:rsid w:val="33625EAA"/>
    <w:rsid w:val="337F0FF3"/>
    <w:rsid w:val="339E298D"/>
    <w:rsid w:val="33C341A1"/>
    <w:rsid w:val="33DC34B5"/>
    <w:rsid w:val="33EF36DB"/>
    <w:rsid w:val="33FB645A"/>
    <w:rsid w:val="342D5594"/>
    <w:rsid w:val="34340A65"/>
    <w:rsid w:val="345C616D"/>
    <w:rsid w:val="345E27C4"/>
    <w:rsid w:val="34843BE5"/>
    <w:rsid w:val="348557BD"/>
    <w:rsid w:val="34AE30A3"/>
    <w:rsid w:val="34BD4B51"/>
    <w:rsid w:val="34C34E58"/>
    <w:rsid w:val="34D523DE"/>
    <w:rsid w:val="34E872EB"/>
    <w:rsid w:val="35075E5A"/>
    <w:rsid w:val="350E36C5"/>
    <w:rsid w:val="354C2118"/>
    <w:rsid w:val="3558300F"/>
    <w:rsid w:val="35610790"/>
    <w:rsid w:val="35612591"/>
    <w:rsid w:val="35887B8D"/>
    <w:rsid w:val="35AE4476"/>
    <w:rsid w:val="35B03D92"/>
    <w:rsid w:val="35CE11B2"/>
    <w:rsid w:val="35D97CAC"/>
    <w:rsid w:val="36154C88"/>
    <w:rsid w:val="36221A6C"/>
    <w:rsid w:val="36252C67"/>
    <w:rsid w:val="36386996"/>
    <w:rsid w:val="36601559"/>
    <w:rsid w:val="368F0B09"/>
    <w:rsid w:val="369A4027"/>
    <w:rsid w:val="369A739E"/>
    <w:rsid w:val="36B867F8"/>
    <w:rsid w:val="37395321"/>
    <w:rsid w:val="374227A0"/>
    <w:rsid w:val="37490E61"/>
    <w:rsid w:val="37683313"/>
    <w:rsid w:val="37831F3D"/>
    <w:rsid w:val="37853041"/>
    <w:rsid w:val="379E4C02"/>
    <w:rsid w:val="37C5232F"/>
    <w:rsid w:val="37CE7987"/>
    <w:rsid w:val="388C157E"/>
    <w:rsid w:val="38E928FC"/>
    <w:rsid w:val="38F94A57"/>
    <w:rsid w:val="392B2444"/>
    <w:rsid w:val="395846F2"/>
    <w:rsid w:val="39C74071"/>
    <w:rsid w:val="39E130BC"/>
    <w:rsid w:val="3A4B78A6"/>
    <w:rsid w:val="3A5A7B55"/>
    <w:rsid w:val="3ABE28CC"/>
    <w:rsid w:val="3B0C3412"/>
    <w:rsid w:val="3B257775"/>
    <w:rsid w:val="3B27770B"/>
    <w:rsid w:val="3B4646D5"/>
    <w:rsid w:val="3B4F0D0C"/>
    <w:rsid w:val="3B540375"/>
    <w:rsid w:val="3BDC7581"/>
    <w:rsid w:val="3C083874"/>
    <w:rsid w:val="3C1634E3"/>
    <w:rsid w:val="3C552BBD"/>
    <w:rsid w:val="3C6476E4"/>
    <w:rsid w:val="3C671A8F"/>
    <w:rsid w:val="3C7D6764"/>
    <w:rsid w:val="3CDD209D"/>
    <w:rsid w:val="3CEC6E4E"/>
    <w:rsid w:val="3D244AC1"/>
    <w:rsid w:val="3D9C262D"/>
    <w:rsid w:val="3DFB14A1"/>
    <w:rsid w:val="3E035B0F"/>
    <w:rsid w:val="3E1C107E"/>
    <w:rsid w:val="3E265A58"/>
    <w:rsid w:val="3E5842FE"/>
    <w:rsid w:val="3E5D4364"/>
    <w:rsid w:val="3E5E1696"/>
    <w:rsid w:val="3E8D1F7B"/>
    <w:rsid w:val="3EB571D9"/>
    <w:rsid w:val="3ECA596B"/>
    <w:rsid w:val="3ED67416"/>
    <w:rsid w:val="3F19380F"/>
    <w:rsid w:val="3F2006FA"/>
    <w:rsid w:val="3F2E38A2"/>
    <w:rsid w:val="3F551B15"/>
    <w:rsid w:val="3FBB6142"/>
    <w:rsid w:val="3FC75DC7"/>
    <w:rsid w:val="3FDE44DC"/>
    <w:rsid w:val="400E49F6"/>
    <w:rsid w:val="40291232"/>
    <w:rsid w:val="4031316B"/>
    <w:rsid w:val="407903DC"/>
    <w:rsid w:val="408706D3"/>
    <w:rsid w:val="40B44F66"/>
    <w:rsid w:val="40D05741"/>
    <w:rsid w:val="40DA0F23"/>
    <w:rsid w:val="40F55A84"/>
    <w:rsid w:val="40FA7E49"/>
    <w:rsid w:val="41771B49"/>
    <w:rsid w:val="41780CC1"/>
    <w:rsid w:val="41DF2AEE"/>
    <w:rsid w:val="421A2073"/>
    <w:rsid w:val="422148CB"/>
    <w:rsid w:val="426D1F05"/>
    <w:rsid w:val="429574BD"/>
    <w:rsid w:val="42B60A09"/>
    <w:rsid w:val="431247FD"/>
    <w:rsid w:val="434D6210"/>
    <w:rsid w:val="43507DFC"/>
    <w:rsid w:val="4357075F"/>
    <w:rsid w:val="43670FED"/>
    <w:rsid w:val="43732951"/>
    <w:rsid w:val="43A01BC0"/>
    <w:rsid w:val="43C1218D"/>
    <w:rsid w:val="43C33D49"/>
    <w:rsid w:val="43D24560"/>
    <w:rsid w:val="43EA39CC"/>
    <w:rsid w:val="43F80860"/>
    <w:rsid w:val="44523F0B"/>
    <w:rsid w:val="446077EA"/>
    <w:rsid w:val="447B7CC7"/>
    <w:rsid w:val="44CB1ED8"/>
    <w:rsid w:val="44D04950"/>
    <w:rsid w:val="45156827"/>
    <w:rsid w:val="451633F6"/>
    <w:rsid w:val="457E334B"/>
    <w:rsid w:val="45A831F7"/>
    <w:rsid w:val="45DE30BD"/>
    <w:rsid w:val="46080375"/>
    <w:rsid w:val="4632767D"/>
    <w:rsid w:val="4639421E"/>
    <w:rsid w:val="464512B9"/>
    <w:rsid w:val="46857785"/>
    <w:rsid w:val="46887A7D"/>
    <w:rsid w:val="46A63BDA"/>
    <w:rsid w:val="46C6375A"/>
    <w:rsid w:val="470914ED"/>
    <w:rsid w:val="4717429E"/>
    <w:rsid w:val="473079FD"/>
    <w:rsid w:val="477A7EBA"/>
    <w:rsid w:val="477B4092"/>
    <w:rsid w:val="48435459"/>
    <w:rsid w:val="48512772"/>
    <w:rsid w:val="48514EDE"/>
    <w:rsid w:val="485C4777"/>
    <w:rsid w:val="487D4232"/>
    <w:rsid w:val="48D616D5"/>
    <w:rsid w:val="490B4AEA"/>
    <w:rsid w:val="49514122"/>
    <w:rsid w:val="49D87443"/>
    <w:rsid w:val="49F17862"/>
    <w:rsid w:val="4A1608FD"/>
    <w:rsid w:val="4A2D0A01"/>
    <w:rsid w:val="4AB13666"/>
    <w:rsid w:val="4ADD5148"/>
    <w:rsid w:val="4AE41E96"/>
    <w:rsid w:val="4B3A109F"/>
    <w:rsid w:val="4B7F53EA"/>
    <w:rsid w:val="4B9107F9"/>
    <w:rsid w:val="4B9E34D5"/>
    <w:rsid w:val="4BB20856"/>
    <w:rsid w:val="4BCB2534"/>
    <w:rsid w:val="4BD166D8"/>
    <w:rsid w:val="4BE776C6"/>
    <w:rsid w:val="4BFE5865"/>
    <w:rsid w:val="4C011848"/>
    <w:rsid w:val="4C044814"/>
    <w:rsid w:val="4C1A2BA0"/>
    <w:rsid w:val="4C1D581B"/>
    <w:rsid w:val="4C29373A"/>
    <w:rsid w:val="4C2E6D51"/>
    <w:rsid w:val="4C4174A2"/>
    <w:rsid w:val="4C585A0F"/>
    <w:rsid w:val="4C7A4FA0"/>
    <w:rsid w:val="4CD11285"/>
    <w:rsid w:val="4CF96382"/>
    <w:rsid w:val="4D3C3A61"/>
    <w:rsid w:val="4D4D1254"/>
    <w:rsid w:val="4D4E063D"/>
    <w:rsid w:val="4D790B90"/>
    <w:rsid w:val="4DE04487"/>
    <w:rsid w:val="4DF254C6"/>
    <w:rsid w:val="4E380C6E"/>
    <w:rsid w:val="4E4C53B9"/>
    <w:rsid w:val="4E5530AA"/>
    <w:rsid w:val="4E5C1022"/>
    <w:rsid w:val="4E5F400D"/>
    <w:rsid w:val="4E73339F"/>
    <w:rsid w:val="4E9E788D"/>
    <w:rsid w:val="4F33111A"/>
    <w:rsid w:val="4F585C8E"/>
    <w:rsid w:val="4F7751AF"/>
    <w:rsid w:val="4F940184"/>
    <w:rsid w:val="4FEF57D7"/>
    <w:rsid w:val="50017646"/>
    <w:rsid w:val="500C4858"/>
    <w:rsid w:val="502B04BF"/>
    <w:rsid w:val="503D42C7"/>
    <w:rsid w:val="503E5DFA"/>
    <w:rsid w:val="506D7517"/>
    <w:rsid w:val="50E40C87"/>
    <w:rsid w:val="50FB6272"/>
    <w:rsid w:val="510328D8"/>
    <w:rsid w:val="51072832"/>
    <w:rsid w:val="51230246"/>
    <w:rsid w:val="514209A3"/>
    <w:rsid w:val="51736DAF"/>
    <w:rsid w:val="51A21C47"/>
    <w:rsid w:val="51A60B4C"/>
    <w:rsid w:val="51C439CB"/>
    <w:rsid w:val="51F356C8"/>
    <w:rsid w:val="51FC4FF6"/>
    <w:rsid w:val="52052024"/>
    <w:rsid w:val="520E1F51"/>
    <w:rsid w:val="520F6A58"/>
    <w:rsid w:val="52107A7E"/>
    <w:rsid w:val="52306A34"/>
    <w:rsid w:val="52535DFD"/>
    <w:rsid w:val="525C12CD"/>
    <w:rsid w:val="525F2EBE"/>
    <w:rsid w:val="5262211C"/>
    <w:rsid w:val="526C7972"/>
    <w:rsid w:val="5288688A"/>
    <w:rsid w:val="52BC29D7"/>
    <w:rsid w:val="52C35E78"/>
    <w:rsid w:val="530B5910"/>
    <w:rsid w:val="530C3352"/>
    <w:rsid w:val="531D707B"/>
    <w:rsid w:val="53341DDA"/>
    <w:rsid w:val="53497F05"/>
    <w:rsid w:val="534A2AB7"/>
    <w:rsid w:val="536236BC"/>
    <w:rsid w:val="5382152B"/>
    <w:rsid w:val="53871202"/>
    <w:rsid w:val="53AF6DF2"/>
    <w:rsid w:val="53C15842"/>
    <w:rsid w:val="53F00B8B"/>
    <w:rsid w:val="541C4E2F"/>
    <w:rsid w:val="542157DA"/>
    <w:rsid w:val="54284764"/>
    <w:rsid w:val="5470418F"/>
    <w:rsid w:val="54C47921"/>
    <w:rsid w:val="54C72897"/>
    <w:rsid w:val="54DE744F"/>
    <w:rsid w:val="54E50447"/>
    <w:rsid w:val="55456B70"/>
    <w:rsid w:val="555B1B85"/>
    <w:rsid w:val="55750D6B"/>
    <w:rsid w:val="559669A1"/>
    <w:rsid w:val="55C228D3"/>
    <w:rsid w:val="55C525F4"/>
    <w:rsid w:val="55FF5FDA"/>
    <w:rsid w:val="56017B32"/>
    <w:rsid w:val="560C4EB1"/>
    <w:rsid w:val="560D1E89"/>
    <w:rsid w:val="56242D6E"/>
    <w:rsid w:val="567E091F"/>
    <w:rsid w:val="56933E7B"/>
    <w:rsid w:val="56CB0123"/>
    <w:rsid w:val="57160908"/>
    <w:rsid w:val="57401D39"/>
    <w:rsid w:val="577416FB"/>
    <w:rsid w:val="5782176E"/>
    <w:rsid w:val="57A01920"/>
    <w:rsid w:val="57A22507"/>
    <w:rsid w:val="57BC2B32"/>
    <w:rsid w:val="57E93E2C"/>
    <w:rsid w:val="57F40DD1"/>
    <w:rsid w:val="57F956D1"/>
    <w:rsid w:val="57FC26EC"/>
    <w:rsid w:val="58085963"/>
    <w:rsid w:val="5829098B"/>
    <w:rsid w:val="58EA3588"/>
    <w:rsid w:val="58FA668E"/>
    <w:rsid w:val="59015042"/>
    <w:rsid w:val="594B0611"/>
    <w:rsid w:val="59FF561A"/>
    <w:rsid w:val="5A285312"/>
    <w:rsid w:val="5A6D1A7D"/>
    <w:rsid w:val="5A70455A"/>
    <w:rsid w:val="5A71640A"/>
    <w:rsid w:val="5A982F4B"/>
    <w:rsid w:val="5ACA6B16"/>
    <w:rsid w:val="5AED5059"/>
    <w:rsid w:val="5B055EEB"/>
    <w:rsid w:val="5B0B6244"/>
    <w:rsid w:val="5B2979FC"/>
    <w:rsid w:val="5B3D39D4"/>
    <w:rsid w:val="5B532804"/>
    <w:rsid w:val="5B96130A"/>
    <w:rsid w:val="5C4573A4"/>
    <w:rsid w:val="5C5D5374"/>
    <w:rsid w:val="5C6B2AB9"/>
    <w:rsid w:val="5C975A0D"/>
    <w:rsid w:val="5C992482"/>
    <w:rsid w:val="5C9F6CAA"/>
    <w:rsid w:val="5CCA41B3"/>
    <w:rsid w:val="5CD77D14"/>
    <w:rsid w:val="5CDF3D0B"/>
    <w:rsid w:val="5D4E6CEA"/>
    <w:rsid w:val="5D57303F"/>
    <w:rsid w:val="5D7A07D2"/>
    <w:rsid w:val="5DCC51F1"/>
    <w:rsid w:val="5E036F3A"/>
    <w:rsid w:val="5E236935"/>
    <w:rsid w:val="5E347057"/>
    <w:rsid w:val="5E425C3D"/>
    <w:rsid w:val="5E6A7CB4"/>
    <w:rsid w:val="5E9A1E1F"/>
    <w:rsid w:val="5EA24574"/>
    <w:rsid w:val="5EC048E4"/>
    <w:rsid w:val="5EEE3891"/>
    <w:rsid w:val="5EF36D0A"/>
    <w:rsid w:val="5F430A12"/>
    <w:rsid w:val="5F4657F5"/>
    <w:rsid w:val="5F70492E"/>
    <w:rsid w:val="5F941BE9"/>
    <w:rsid w:val="5FE90D26"/>
    <w:rsid w:val="60390B97"/>
    <w:rsid w:val="60661647"/>
    <w:rsid w:val="60B976A3"/>
    <w:rsid w:val="60D34072"/>
    <w:rsid w:val="60EC6207"/>
    <w:rsid w:val="613627E5"/>
    <w:rsid w:val="6162474A"/>
    <w:rsid w:val="61722B2B"/>
    <w:rsid w:val="61D70C94"/>
    <w:rsid w:val="62594DDD"/>
    <w:rsid w:val="626002DF"/>
    <w:rsid w:val="6271555C"/>
    <w:rsid w:val="628932D3"/>
    <w:rsid w:val="62AB1EEE"/>
    <w:rsid w:val="63293329"/>
    <w:rsid w:val="632A47AA"/>
    <w:rsid w:val="63366193"/>
    <w:rsid w:val="63466990"/>
    <w:rsid w:val="637412F7"/>
    <w:rsid w:val="639D7CBB"/>
    <w:rsid w:val="63A42748"/>
    <w:rsid w:val="63E56AA5"/>
    <w:rsid w:val="63F41D83"/>
    <w:rsid w:val="63F91396"/>
    <w:rsid w:val="640F0F63"/>
    <w:rsid w:val="642C1829"/>
    <w:rsid w:val="642C510C"/>
    <w:rsid w:val="64325DFA"/>
    <w:rsid w:val="647B1063"/>
    <w:rsid w:val="647C5B23"/>
    <w:rsid w:val="64B96D77"/>
    <w:rsid w:val="64E35139"/>
    <w:rsid w:val="65111481"/>
    <w:rsid w:val="652A3D62"/>
    <w:rsid w:val="65691016"/>
    <w:rsid w:val="65767563"/>
    <w:rsid w:val="658F77CF"/>
    <w:rsid w:val="659348BD"/>
    <w:rsid w:val="65C72DCF"/>
    <w:rsid w:val="65EE2AFE"/>
    <w:rsid w:val="65F02759"/>
    <w:rsid w:val="66300EA3"/>
    <w:rsid w:val="664B4A49"/>
    <w:rsid w:val="666530BD"/>
    <w:rsid w:val="668B7764"/>
    <w:rsid w:val="66AC046D"/>
    <w:rsid w:val="66E80A0E"/>
    <w:rsid w:val="67387A67"/>
    <w:rsid w:val="67575A8D"/>
    <w:rsid w:val="67681B58"/>
    <w:rsid w:val="67B12081"/>
    <w:rsid w:val="67BF6B6F"/>
    <w:rsid w:val="67C07A13"/>
    <w:rsid w:val="67DE26FC"/>
    <w:rsid w:val="67F46052"/>
    <w:rsid w:val="680622D3"/>
    <w:rsid w:val="68644FB0"/>
    <w:rsid w:val="6867292C"/>
    <w:rsid w:val="68EB1DD2"/>
    <w:rsid w:val="68F06AD4"/>
    <w:rsid w:val="69181BD9"/>
    <w:rsid w:val="69231DD9"/>
    <w:rsid w:val="6931512E"/>
    <w:rsid w:val="695F6E2D"/>
    <w:rsid w:val="696A0640"/>
    <w:rsid w:val="69992D2E"/>
    <w:rsid w:val="69A41AEF"/>
    <w:rsid w:val="69BC61FD"/>
    <w:rsid w:val="69C01116"/>
    <w:rsid w:val="69C67F6C"/>
    <w:rsid w:val="69F93FC7"/>
    <w:rsid w:val="6A0771B6"/>
    <w:rsid w:val="6A1F03EC"/>
    <w:rsid w:val="6A505E2F"/>
    <w:rsid w:val="6A894111"/>
    <w:rsid w:val="6AAE1F9D"/>
    <w:rsid w:val="6AD420B4"/>
    <w:rsid w:val="6B155E6C"/>
    <w:rsid w:val="6B8B0EDA"/>
    <w:rsid w:val="6BB45044"/>
    <w:rsid w:val="6BF42D98"/>
    <w:rsid w:val="6C325467"/>
    <w:rsid w:val="6C371D38"/>
    <w:rsid w:val="6C562244"/>
    <w:rsid w:val="6C696AEF"/>
    <w:rsid w:val="6C7527A8"/>
    <w:rsid w:val="6C9A5C8A"/>
    <w:rsid w:val="6C9B5D7E"/>
    <w:rsid w:val="6CC3286D"/>
    <w:rsid w:val="6CD00A4A"/>
    <w:rsid w:val="6CE358B6"/>
    <w:rsid w:val="6CE40709"/>
    <w:rsid w:val="6D21445E"/>
    <w:rsid w:val="6D346135"/>
    <w:rsid w:val="6D4754F7"/>
    <w:rsid w:val="6D4E1456"/>
    <w:rsid w:val="6D671AA5"/>
    <w:rsid w:val="6D8E3146"/>
    <w:rsid w:val="6DBA01AF"/>
    <w:rsid w:val="6E5505E5"/>
    <w:rsid w:val="6E761835"/>
    <w:rsid w:val="6E9A3775"/>
    <w:rsid w:val="6EB72CA6"/>
    <w:rsid w:val="6EE97800"/>
    <w:rsid w:val="6EF14DDF"/>
    <w:rsid w:val="6F1936B5"/>
    <w:rsid w:val="6F357F71"/>
    <w:rsid w:val="6F613C82"/>
    <w:rsid w:val="6F8B2BA3"/>
    <w:rsid w:val="6F92196C"/>
    <w:rsid w:val="6F9B1553"/>
    <w:rsid w:val="6F9E509F"/>
    <w:rsid w:val="6FA808C0"/>
    <w:rsid w:val="6FB87F9A"/>
    <w:rsid w:val="6FDE429D"/>
    <w:rsid w:val="701C5AC1"/>
    <w:rsid w:val="7056535F"/>
    <w:rsid w:val="708625C4"/>
    <w:rsid w:val="70A873C2"/>
    <w:rsid w:val="70B94E05"/>
    <w:rsid w:val="70BF3967"/>
    <w:rsid w:val="70C861EE"/>
    <w:rsid w:val="70E21403"/>
    <w:rsid w:val="70E96186"/>
    <w:rsid w:val="71483F36"/>
    <w:rsid w:val="714A72CE"/>
    <w:rsid w:val="71607375"/>
    <w:rsid w:val="71D168F3"/>
    <w:rsid w:val="721D69A0"/>
    <w:rsid w:val="72286570"/>
    <w:rsid w:val="722B259E"/>
    <w:rsid w:val="724D243B"/>
    <w:rsid w:val="72516958"/>
    <w:rsid w:val="72781833"/>
    <w:rsid w:val="727E5BD4"/>
    <w:rsid w:val="72B13D47"/>
    <w:rsid w:val="72FE4F4A"/>
    <w:rsid w:val="730C4052"/>
    <w:rsid w:val="73775D00"/>
    <w:rsid w:val="73BD4A44"/>
    <w:rsid w:val="73BF3D93"/>
    <w:rsid w:val="73DB1909"/>
    <w:rsid w:val="73E44651"/>
    <w:rsid w:val="742D247D"/>
    <w:rsid w:val="74922A45"/>
    <w:rsid w:val="74AC3F76"/>
    <w:rsid w:val="74DE3AC0"/>
    <w:rsid w:val="74E35816"/>
    <w:rsid w:val="74F3159E"/>
    <w:rsid w:val="75115158"/>
    <w:rsid w:val="752C0E9F"/>
    <w:rsid w:val="752F25FD"/>
    <w:rsid w:val="754438E2"/>
    <w:rsid w:val="756B2F29"/>
    <w:rsid w:val="757E794D"/>
    <w:rsid w:val="75B8697D"/>
    <w:rsid w:val="75E176F0"/>
    <w:rsid w:val="76051E1C"/>
    <w:rsid w:val="760859F0"/>
    <w:rsid w:val="760B6D06"/>
    <w:rsid w:val="762828AA"/>
    <w:rsid w:val="76483F8A"/>
    <w:rsid w:val="765D7838"/>
    <w:rsid w:val="7669422C"/>
    <w:rsid w:val="766D2537"/>
    <w:rsid w:val="76A2773F"/>
    <w:rsid w:val="76B00445"/>
    <w:rsid w:val="76B15B00"/>
    <w:rsid w:val="76B85F5D"/>
    <w:rsid w:val="76BB4582"/>
    <w:rsid w:val="76EC08E6"/>
    <w:rsid w:val="772877DD"/>
    <w:rsid w:val="773410EC"/>
    <w:rsid w:val="778854DC"/>
    <w:rsid w:val="778D031B"/>
    <w:rsid w:val="77903967"/>
    <w:rsid w:val="77A411C1"/>
    <w:rsid w:val="77C316A6"/>
    <w:rsid w:val="780A11D3"/>
    <w:rsid w:val="782567A5"/>
    <w:rsid w:val="784D7779"/>
    <w:rsid w:val="7859644F"/>
    <w:rsid w:val="789D3E57"/>
    <w:rsid w:val="78BF4C03"/>
    <w:rsid w:val="78E801F3"/>
    <w:rsid w:val="79030D1A"/>
    <w:rsid w:val="793346B0"/>
    <w:rsid w:val="79864A5B"/>
    <w:rsid w:val="799668CF"/>
    <w:rsid w:val="79A27982"/>
    <w:rsid w:val="79C73CD9"/>
    <w:rsid w:val="79CA729C"/>
    <w:rsid w:val="79CB7624"/>
    <w:rsid w:val="79DB5CC4"/>
    <w:rsid w:val="79EE7A68"/>
    <w:rsid w:val="7A806D0F"/>
    <w:rsid w:val="7AA64077"/>
    <w:rsid w:val="7AEE3F26"/>
    <w:rsid w:val="7B722069"/>
    <w:rsid w:val="7B985B8F"/>
    <w:rsid w:val="7BC24A25"/>
    <w:rsid w:val="7BCB7049"/>
    <w:rsid w:val="7C1750A0"/>
    <w:rsid w:val="7C251E94"/>
    <w:rsid w:val="7C330D65"/>
    <w:rsid w:val="7C592C47"/>
    <w:rsid w:val="7C656269"/>
    <w:rsid w:val="7CAB4D9F"/>
    <w:rsid w:val="7CBF4EBE"/>
    <w:rsid w:val="7CF94473"/>
    <w:rsid w:val="7D0C7BFF"/>
    <w:rsid w:val="7D144545"/>
    <w:rsid w:val="7D3354C1"/>
    <w:rsid w:val="7D4B6BE2"/>
    <w:rsid w:val="7D8446CF"/>
    <w:rsid w:val="7D8D75F7"/>
    <w:rsid w:val="7DB67EA0"/>
    <w:rsid w:val="7DDB7472"/>
    <w:rsid w:val="7DE06ED6"/>
    <w:rsid w:val="7E127936"/>
    <w:rsid w:val="7E2E0971"/>
    <w:rsid w:val="7E374363"/>
    <w:rsid w:val="7E494870"/>
    <w:rsid w:val="7E8933F6"/>
    <w:rsid w:val="7EC3172A"/>
    <w:rsid w:val="7ECE3578"/>
    <w:rsid w:val="7EF265F5"/>
    <w:rsid w:val="7F144E7E"/>
    <w:rsid w:val="7F3948E4"/>
    <w:rsid w:val="7F3A2A76"/>
    <w:rsid w:val="7F651B7D"/>
    <w:rsid w:val="7F6C1DC8"/>
    <w:rsid w:val="7FC655DB"/>
    <w:rsid w:val="7FCB445E"/>
    <w:rsid w:val="7FCB7FB6"/>
    <w:rsid w:val="7FE56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56"/>
    <w:qFormat/>
    <w:uiPriority w:val="0"/>
    <w:pPr>
      <w:widowControl w:val="0"/>
      <w:spacing w:line="360" w:lineRule="auto"/>
      <w:ind w:left="50" w:right="62" w:hanging="50" w:hangingChars="5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1"/>
    <w:qFormat/>
    <w:uiPriority w:val="0"/>
    <w:pPr>
      <w:keepNext/>
      <w:keepLines/>
      <w:pageBreakBefore/>
      <w:numPr>
        <w:ilvl w:val="0"/>
        <w:numId w:val="1"/>
      </w:numPr>
      <w:adjustRightInd w:val="0"/>
      <w:spacing w:before="340" w:after="330" w:line="900" w:lineRule="exact"/>
      <w:jc w:val="center"/>
      <w:outlineLvl w:val="0"/>
    </w:pPr>
    <w:rPr>
      <w:b/>
      <w:kern w:val="44"/>
      <w:sz w:val="32"/>
      <w:szCs w:val="20"/>
    </w:rPr>
  </w:style>
  <w:style w:type="paragraph" w:styleId="4">
    <w:name w:val="heading 2"/>
    <w:basedOn w:val="1"/>
    <w:next w:val="1"/>
    <w:qFormat/>
    <w:uiPriority w:val="0"/>
    <w:pPr>
      <w:keepNext/>
      <w:keepLines/>
      <w:spacing w:before="260" w:after="260" w:line="800" w:lineRule="exact"/>
      <w:jc w:val="center"/>
      <w:outlineLvl w:val="1"/>
    </w:pPr>
    <w:rPr>
      <w:b/>
      <w:bCs/>
      <w:sz w:val="30"/>
      <w:szCs w:val="32"/>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2"/>
      </w:numPr>
      <w:tabs>
        <w:tab w:val="left" w:pos="425"/>
      </w:tabs>
      <w:spacing w:before="280" w:after="290" w:line="376" w:lineRule="auto"/>
      <w:outlineLvl w:val="3"/>
    </w:pPr>
    <w:rPr>
      <w:rFonts w:ascii="Arial" w:hAnsi="Arial" w:eastAsia="黑体"/>
      <w:b/>
      <w:bCs/>
      <w:sz w:val="28"/>
      <w:szCs w:val="28"/>
    </w:rPr>
  </w:style>
  <w:style w:type="paragraph" w:styleId="6">
    <w:name w:val="heading 5"/>
    <w:basedOn w:val="7"/>
    <w:next w:val="8"/>
    <w:qFormat/>
    <w:uiPriority w:val="0"/>
    <w:pPr>
      <w:outlineLvl w:val="4"/>
    </w:pPr>
  </w:style>
  <w:style w:type="paragraph" w:styleId="9">
    <w:name w:val="heading 6"/>
    <w:basedOn w:val="7"/>
    <w:next w:val="8"/>
    <w:qFormat/>
    <w:uiPriority w:val="0"/>
    <w:pPr>
      <w:outlineLvl w:val="5"/>
    </w:pPr>
    <w:rPr>
      <w:i/>
    </w:rPr>
  </w:style>
  <w:style w:type="paragraph" w:styleId="10">
    <w:name w:val="heading 7"/>
    <w:basedOn w:val="7"/>
    <w:next w:val="8"/>
    <w:qFormat/>
    <w:uiPriority w:val="0"/>
    <w:pPr>
      <w:ind w:firstLine="360"/>
      <w:outlineLvl w:val="6"/>
    </w:pPr>
    <w:rPr>
      <w:smallCaps/>
      <w:sz w:val="23"/>
    </w:rPr>
  </w:style>
  <w:style w:type="paragraph" w:styleId="11">
    <w:name w:val="heading 8"/>
    <w:basedOn w:val="7"/>
    <w:next w:val="8"/>
    <w:qFormat/>
    <w:uiPriority w:val="0"/>
    <w:pPr>
      <w:ind w:firstLine="360"/>
      <w:outlineLvl w:val="7"/>
    </w:pPr>
    <w:rPr>
      <w:i/>
    </w:rPr>
  </w:style>
  <w:style w:type="paragraph" w:styleId="12">
    <w:name w:val="heading 9"/>
    <w:basedOn w:val="7"/>
    <w:next w:val="8"/>
    <w:qFormat/>
    <w:uiPriority w:val="0"/>
    <w:pPr>
      <w:outlineLvl w:val="8"/>
    </w:pPr>
  </w:style>
  <w:style w:type="character" w:default="1" w:styleId="71">
    <w:name w:val="Default Paragraph Font"/>
    <w:semiHidden/>
    <w:unhideWhenUsed/>
    <w:qFormat/>
    <w:uiPriority w:val="1"/>
  </w:style>
  <w:style w:type="table" w:default="1" w:styleId="69">
    <w:name w:val="Normal Table"/>
    <w:semiHidden/>
    <w:unhideWhenUsed/>
    <w:qFormat/>
    <w:uiPriority w:val="99"/>
    <w:tblPr>
      <w:tblCellMar>
        <w:top w:w="0" w:type="dxa"/>
        <w:left w:w="108" w:type="dxa"/>
        <w:bottom w:w="0" w:type="dxa"/>
        <w:right w:w="108" w:type="dxa"/>
      </w:tblCellMar>
    </w:tblPr>
  </w:style>
  <w:style w:type="paragraph" w:customStyle="1" w:styleId="7">
    <w:name w:val="Heading Base"/>
    <w:basedOn w:val="8"/>
    <w:next w:val="8"/>
    <w:qFormat/>
    <w:uiPriority w:val="0"/>
    <w:pPr>
      <w:keepNext/>
      <w:keepLines/>
      <w:widowControl/>
      <w:overflowPunct w:val="0"/>
      <w:autoSpaceDE w:val="0"/>
      <w:autoSpaceDN w:val="0"/>
      <w:spacing w:after="0" w:line="240" w:lineRule="atLeast"/>
      <w:jc w:val="left"/>
      <w:textAlignment w:val="baseline"/>
    </w:pPr>
    <w:rPr>
      <w:rFonts w:ascii="Garamond" w:hAnsi="Garamond"/>
      <w:kern w:val="20"/>
      <w:sz w:val="20"/>
    </w:rPr>
  </w:style>
  <w:style w:type="paragraph" w:styleId="8">
    <w:name w:val="Body Text"/>
    <w:basedOn w:val="1"/>
    <w:next w:val="1"/>
    <w:qFormat/>
    <w:uiPriority w:val="0"/>
    <w:pPr>
      <w:adjustRightInd w:val="0"/>
      <w:spacing w:after="120" w:line="312" w:lineRule="atLeast"/>
    </w:pPr>
    <w:rPr>
      <w:kern w:val="0"/>
      <w:sz w:val="24"/>
      <w:szCs w:val="20"/>
    </w:rPr>
  </w:style>
  <w:style w:type="paragraph" w:styleId="13">
    <w:name w:val="List 3"/>
    <w:basedOn w:val="14"/>
    <w:qFormat/>
    <w:uiPriority w:val="0"/>
    <w:pPr>
      <w:widowControl/>
      <w:overflowPunct w:val="0"/>
      <w:autoSpaceDE w:val="0"/>
      <w:autoSpaceDN w:val="0"/>
      <w:spacing w:after="240" w:line="240" w:lineRule="atLeast"/>
      <w:ind w:left="1440" w:hanging="360"/>
    </w:pPr>
    <w:rPr>
      <w:rFonts w:ascii="Garamond" w:hAnsi="Garamond"/>
      <w:kern w:val="18"/>
      <w:sz w:val="20"/>
    </w:rPr>
  </w:style>
  <w:style w:type="paragraph" w:styleId="14">
    <w:name w:val="List"/>
    <w:basedOn w:val="1"/>
    <w:qFormat/>
    <w:uiPriority w:val="0"/>
    <w:pPr>
      <w:adjustRightInd w:val="0"/>
      <w:spacing w:line="312" w:lineRule="atLeast"/>
      <w:ind w:left="420" w:hanging="420"/>
      <w:textAlignment w:val="baseline"/>
    </w:pPr>
    <w:rPr>
      <w:kern w:val="0"/>
      <w:szCs w:val="20"/>
    </w:rPr>
  </w:style>
  <w:style w:type="paragraph" w:styleId="15">
    <w:name w:val="List Number 2"/>
    <w:basedOn w:val="16"/>
    <w:qFormat/>
    <w:uiPriority w:val="0"/>
    <w:pPr>
      <w:ind w:left="1080"/>
    </w:pPr>
  </w:style>
  <w:style w:type="paragraph" w:styleId="16">
    <w:name w:val="List Number"/>
    <w:basedOn w:val="1"/>
    <w:qFormat/>
    <w:uiPriority w:val="0"/>
    <w:pPr>
      <w:widowControl/>
      <w:overflowPunct w:val="0"/>
      <w:autoSpaceDE w:val="0"/>
      <w:autoSpaceDN w:val="0"/>
      <w:spacing w:after="240" w:line="240" w:lineRule="atLeast"/>
      <w:ind w:left="720" w:right="720" w:hanging="360" w:firstLineChars="0"/>
    </w:pPr>
    <w:rPr>
      <w:rFonts w:ascii="Garamond" w:hAnsi="Garamond"/>
      <w:kern w:val="18"/>
      <w:sz w:val="20"/>
    </w:rPr>
  </w:style>
  <w:style w:type="paragraph" w:styleId="17">
    <w:name w:val="List Bullet 4"/>
    <w:basedOn w:val="18"/>
    <w:qFormat/>
    <w:uiPriority w:val="0"/>
    <w:pPr>
      <w:ind w:left="1800"/>
    </w:pPr>
  </w:style>
  <w:style w:type="paragraph" w:styleId="18">
    <w:name w:val="List Bullet"/>
    <w:basedOn w:val="14"/>
    <w:qFormat/>
    <w:uiPriority w:val="0"/>
    <w:pPr>
      <w:widowControl/>
      <w:overflowPunct w:val="0"/>
      <w:autoSpaceDE w:val="0"/>
      <w:autoSpaceDN w:val="0"/>
      <w:spacing w:after="240" w:line="240" w:lineRule="atLeast"/>
      <w:ind w:left="720" w:right="720" w:hanging="360" w:firstLineChars="0"/>
    </w:pPr>
    <w:rPr>
      <w:rFonts w:ascii="Garamond" w:hAnsi="Garamond"/>
      <w:kern w:val="18"/>
      <w:sz w:val="20"/>
    </w:rPr>
  </w:style>
  <w:style w:type="paragraph" w:styleId="19">
    <w:name w:val="Normal Indent"/>
    <w:basedOn w:val="1"/>
    <w:next w:val="1"/>
    <w:link w:val="133"/>
    <w:qFormat/>
    <w:uiPriority w:val="0"/>
    <w:pPr>
      <w:ind w:firstLine="420" w:firstLineChars="200"/>
    </w:pPr>
    <w:rPr>
      <w:sz w:val="24"/>
      <w:szCs w:val="20"/>
    </w:rPr>
  </w:style>
  <w:style w:type="paragraph" w:styleId="20">
    <w:name w:val="caption"/>
    <w:basedOn w:val="1"/>
    <w:next w:val="1"/>
    <w:qFormat/>
    <w:uiPriority w:val="0"/>
    <w:rPr>
      <w:i/>
      <w:spacing w:val="5"/>
    </w:rPr>
  </w:style>
  <w:style w:type="paragraph" w:styleId="21">
    <w:name w:val="envelope address"/>
    <w:basedOn w:val="8"/>
    <w:qFormat/>
    <w:uiPriority w:val="0"/>
    <w:pPr>
      <w:framePr w:w="7920" w:h="1987" w:hRule="exact" w:hSpace="187" w:vSpace="187" w:wrap="around" w:vAnchor="margin" w:hAnchor="page" w:xAlign="center" w:yAlign="bottom"/>
      <w:widowControl/>
      <w:overflowPunct w:val="0"/>
      <w:autoSpaceDE w:val="0"/>
      <w:autoSpaceDN w:val="0"/>
      <w:spacing w:after="0" w:line="220" w:lineRule="atLeast"/>
      <w:ind w:left="2880"/>
      <w:jc w:val="left"/>
      <w:textAlignment w:val="baseline"/>
    </w:pPr>
    <w:rPr>
      <w:rFonts w:ascii="Garamond" w:hAnsi="Garamond"/>
      <w:kern w:val="18"/>
      <w:sz w:val="20"/>
    </w:rPr>
  </w:style>
  <w:style w:type="paragraph" w:styleId="22">
    <w:name w:val="Document Map"/>
    <w:basedOn w:val="1"/>
    <w:semiHidden/>
    <w:qFormat/>
    <w:uiPriority w:val="0"/>
    <w:pPr>
      <w:shd w:val="clear" w:color="auto" w:fill="000080"/>
    </w:pPr>
  </w:style>
  <w:style w:type="paragraph" w:styleId="23">
    <w:name w:val="annotation text"/>
    <w:basedOn w:val="1"/>
    <w:link w:val="132"/>
    <w:qFormat/>
    <w:uiPriority w:val="0"/>
    <w:pPr>
      <w:jc w:val="left"/>
    </w:pPr>
  </w:style>
  <w:style w:type="paragraph" w:styleId="24">
    <w:name w:val="Salutation"/>
    <w:basedOn w:val="1"/>
    <w:next w:val="1"/>
    <w:qFormat/>
    <w:uiPriority w:val="0"/>
  </w:style>
  <w:style w:type="paragraph" w:styleId="25">
    <w:name w:val="Body Text 3"/>
    <w:basedOn w:val="1"/>
    <w:qFormat/>
    <w:uiPriority w:val="0"/>
    <w:pPr>
      <w:spacing w:after="120"/>
    </w:pPr>
    <w:rPr>
      <w:sz w:val="16"/>
      <w:szCs w:val="16"/>
    </w:rPr>
  </w:style>
  <w:style w:type="paragraph" w:styleId="26">
    <w:name w:val="Closing"/>
    <w:basedOn w:val="8"/>
    <w:next w:val="27"/>
    <w:qFormat/>
    <w:uiPriority w:val="0"/>
    <w:pPr>
      <w:keepNext/>
      <w:widowControl/>
      <w:overflowPunct w:val="0"/>
      <w:autoSpaceDE w:val="0"/>
      <w:autoSpaceDN w:val="0"/>
      <w:spacing w:line="240" w:lineRule="atLeast"/>
      <w:ind w:left="4560"/>
      <w:jc w:val="left"/>
      <w:textAlignment w:val="baseline"/>
    </w:pPr>
    <w:rPr>
      <w:rFonts w:ascii="Garamond" w:hAnsi="Garamond"/>
      <w:kern w:val="18"/>
      <w:sz w:val="20"/>
    </w:rPr>
  </w:style>
  <w:style w:type="paragraph" w:customStyle="1" w:styleId="27">
    <w:name w:val="Signature Company Name"/>
    <w:basedOn w:val="28"/>
    <w:next w:val="29"/>
    <w:qFormat/>
    <w:uiPriority w:val="0"/>
    <w:pPr>
      <w:spacing w:before="0"/>
    </w:pPr>
    <w:rPr>
      <w:caps/>
      <w:sz w:val="21"/>
    </w:rPr>
  </w:style>
  <w:style w:type="paragraph" w:styleId="28">
    <w:name w:val="Signature"/>
    <w:basedOn w:val="8"/>
    <w:qFormat/>
    <w:uiPriority w:val="0"/>
    <w:pPr>
      <w:keepNext/>
      <w:widowControl/>
      <w:overflowPunct w:val="0"/>
      <w:autoSpaceDE w:val="0"/>
      <w:autoSpaceDN w:val="0"/>
      <w:spacing w:before="660" w:after="0" w:line="240" w:lineRule="atLeast"/>
      <w:ind w:left="4560"/>
      <w:jc w:val="left"/>
      <w:textAlignment w:val="baseline"/>
    </w:pPr>
    <w:rPr>
      <w:rFonts w:ascii="Garamond" w:hAnsi="Garamond"/>
      <w:kern w:val="18"/>
      <w:sz w:val="20"/>
    </w:rPr>
  </w:style>
  <w:style w:type="paragraph" w:customStyle="1" w:styleId="29">
    <w:name w:val="Signature Name"/>
    <w:basedOn w:val="28"/>
    <w:next w:val="30"/>
    <w:qFormat/>
    <w:uiPriority w:val="0"/>
    <w:pPr>
      <w:spacing w:before="880"/>
    </w:pPr>
  </w:style>
  <w:style w:type="paragraph" w:customStyle="1" w:styleId="30">
    <w:name w:val="Signature Job Title"/>
    <w:basedOn w:val="28"/>
    <w:next w:val="31"/>
    <w:qFormat/>
    <w:uiPriority w:val="0"/>
    <w:pPr>
      <w:spacing w:before="0"/>
    </w:pPr>
  </w:style>
  <w:style w:type="paragraph" w:customStyle="1" w:styleId="31">
    <w:name w:val="Reference Initials"/>
    <w:basedOn w:val="8"/>
    <w:next w:val="32"/>
    <w:qFormat/>
    <w:uiPriority w:val="0"/>
    <w:pPr>
      <w:keepNext/>
      <w:keepLines/>
      <w:widowControl/>
      <w:overflowPunct w:val="0"/>
      <w:autoSpaceDE w:val="0"/>
      <w:autoSpaceDN w:val="0"/>
      <w:spacing w:before="220" w:after="0" w:line="240" w:lineRule="atLeast"/>
      <w:jc w:val="left"/>
      <w:textAlignment w:val="baseline"/>
    </w:pPr>
    <w:rPr>
      <w:rFonts w:ascii="Garamond" w:hAnsi="Garamond"/>
      <w:kern w:val="18"/>
      <w:sz w:val="20"/>
    </w:rPr>
  </w:style>
  <w:style w:type="paragraph" w:customStyle="1" w:styleId="32">
    <w:name w:val="Enclosure"/>
    <w:basedOn w:val="8"/>
    <w:next w:val="33"/>
    <w:qFormat/>
    <w:uiPriority w:val="0"/>
    <w:pPr>
      <w:keepNext/>
      <w:keepLines/>
      <w:widowControl/>
      <w:overflowPunct w:val="0"/>
      <w:autoSpaceDE w:val="0"/>
      <w:autoSpaceDN w:val="0"/>
      <w:spacing w:after="240" w:line="240" w:lineRule="atLeast"/>
      <w:textAlignment w:val="baseline"/>
    </w:pPr>
    <w:rPr>
      <w:rFonts w:ascii="Garamond" w:hAnsi="Garamond"/>
      <w:kern w:val="18"/>
      <w:sz w:val="20"/>
    </w:rPr>
  </w:style>
  <w:style w:type="paragraph" w:customStyle="1" w:styleId="33">
    <w:name w:val="CC"/>
    <w:basedOn w:val="8"/>
    <w:qFormat/>
    <w:uiPriority w:val="0"/>
    <w:pPr>
      <w:keepLines/>
      <w:widowControl/>
      <w:overflowPunct w:val="0"/>
      <w:autoSpaceDE w:val="0"/>
      <w:autoSpaceDN w:val="0"/>
      <w:spacing w:after="240" w:line="240" w:lineRule="atLeast"/>
      <w:ind w:left="360" w:hanging="360"/>
      <w:jc w:val="left"/>
      <w:textAlignment w:val="baseline"/>
    </w:pPr>
    <w:rPr>
      <w:rFonts w:ascii="Garamond" w:hAnsi="Garamond"/>
      <w:kern w:val="18"/>
      <w:sz w:val="20"/>
    </w:rPr>
  </w:style>
  <w:style w:type="paragraph" w:styleId="34">
    <w:name w:val="List Bullet 3"/>
    <w:basedOn w:val="18"/>
    <w:qFormat/>
    <w:uiPriority w:val="0"/>
    <w:pPr>
      <w:ind w:left="1440"/>
    </w:pPr>
  </w:style>
  <w:style w:type="paragraph" w:styleId="35">
    <w:name w:val="Body Text Indent"/>
    <w:basedOn w:val="1"/>
    <w:next w:val="1"/>
    <w:qFormat/>
    <w:uiPriority w:val="0"/>
    <w:pPr>
      <w:spacing w:after="120"/>
      <w:ind w:left="420" w:leftChars="200"/>
    </w:pPr>
  </w:style>
  <w:style w:type="paragraph" w:styleId="36">
    <w:name w:val="List Number 3"/>
    <w:basedOn w:val="16"/>
    <w:qFormat/>
    <w:uiPriority w:val="0"/>
    <w:pPr>
      <w:ind w:left="1440"/>
    </w:pPr>
  </w:style>
  <w:style w:type="paragraph" w:styleId="37">
    <w:name w:val="List 2"/>
    <w:basedOn w:val="14"/>
    <w:qFormat/>
    <w:uiPriority w:val="0"/>
    <w:pPr>
      <w:widowControl/>
      <w:overflowPunct w:val="0"/>
      <w:autoSpaceDE w:val="0"/>
      <w:autoSpaceDN w:val="0"/>
      <w:spacing w:after="240" w:line="240" w:lineRule="atLeast"/>
      <w:ind w:left="1080" w:hanging="360"/>
    </w:pPr>
    <w:rPr>
      <w:rFonts w:ascii="Garamond" w:hAnsi="Garamond"/>
      <w:kern w:val="18"/>
      <w:sz w:val="20"/>
    </w:rPr>
  </w:style>
  <w:style w:type="paragraph" w:styleId="38">
    <w:name w:val="List Continue"/>
    <w:basedOn w:val="14"/>
    <w:qFormat/>
    <w:uiPriority w:val="0"/>
    <w:pPr>
      <w:widowControl/>
      <w:overflowPunct w:val="0"/>
      <w:autoSpaceDE w:val="0"/>
      <w:autoSpaceDN w:val="0"/>
      <w:spacing w:after="240" w:line="240" w:lineRule="atLeast"/>
      <w:ind w:left="720" w:right="720" w:firstLine="0"/>
    </w:pPr>
    <w:rPr>
      <w:rFonts w:ascii="Garamond" w:hAnsi="Garamond"/>
      <w:kern w:val="18"/>
      <w:sz w:val="20"/>
    </w:rPr>
  </w:style>
  <w:style w:type="paragraph" w:styleId="39">
    <w:name w:val="Block Text"/>
    <w:basedOn w:val="1"/>
    <w:qFormat/>
    <w:uiPriority w:val="0"/>
    <w:pPr>
      <w:adjustRightInd w:val="0"/>
      <w:spacing w:line="312" w:lineRule="atLeast"/>
      <w:ind w:left="113" w:right="113"/>
      <w:jc w:val="center"/>
      <w:textAlignment w:val="baseline"/>
    </w:pPr>
    <w:rPr>
      <w:rFonts w:eastAsia="隶书"/>
      <w:kern w:val="0"/>
      <w:sz w:val="28"/>
      <w:szCs w:val="20"/>
    </w:rPr>
  </w:style>
  <w:style w:type="paragraph" w:styleId="40">
    <w:name w:val="List Bullet 2"/>
    <w:basedOn w:val="18"/>
    <w:qFormat/>
    <w:uiPriority w:val="0"/>
    <w:pPr>
      <w:ind w:left="1080"/>
    </w:pPr>
  </w:style>
  <w:style w:type="paragraph" w:styleId="41">
    <w:name w:val="toc 3"/>
    <w:basedOn w:val="1"/>
    <w:next w:val="1"/>
    <w:semiHidden/>
    <w:qFormat/>
    <w:uiPriority w:val="0"/>
    <w:pPr>
      <w:ind w:left="840" w:leftChars="400"/>
    </w:pPr>
  </w:style>
  <w:style w:type="paragraph" w:styleId="42">
    <w:name w:val="Plain Text"/>
    <w:basedOn w:val="1"/>
    <w:link w:val="140"/>
    <w:qFormat/>
    <w:uiPriority w:val="0"/>
    <w:rPr>
      <w:rFonts w:ascii="宋体" w:hAnsi="Courier New" w:cs="Courier New"/>
      <w:szCs w:val="21"/>
    </w:rPr>
  </w:style>
  <w:style w:type="paragraph" w:styleId="43">
    <w:name w:val="List Bullet 5"/>
    <w:basedOn w:val="18"/>
    <w:qFormat/>
    <w:uiPriority w:val="0"/>
    <w:pPr>
      <w:ind w:left="2160"/>
    </w:pPr>
  </w:style>
  <w:style w:type="paragraph" w:styleId="44">
    <w:name w:val="List Number 4"/>
    <w:basedOn w:val="16"/>
    <w:qFormat/>
    <w:uiPriority w:val="0"/>
    <w:pPr>
      <w:ind w:left="1800"/>
    </w:pPr>
  </w:style>
  <w:style w:type="paragraph" w:styleId="45">
    <w:name w:val="Date"/>
    <w:basedOn w:val="1"/>
    <w:next w:val="1"/>
    <w:link w:val="135"/>
    <w:qFormat/>
    <w:uiPriority w:val="0"/>
    <w:pPr>
      <w:ind w:left="100" w:leftChars="2500"/>
    </w:pPr>
    <w:rPr>
      <w:b/>
      <w:spacing w:val="40"/>
      <w:sz w:val="44"/>
      <w:szCs w:val="44"/>
    </w:rPr>
  </w:style>
  <w:style w:type="paragraph" w:styleId="46">
    <w:name w:val="Body Text Indent 2"/>
    <w:basedOn w:val="1"/>
    <w:qFormat/>
    <w:uiPriority w:val="0"/>
    <w:pPr>
      <w:spacing w:after="120" w:line="480" w:lineRule="auto"/>
      <w:ind w:left="420" w:leftChars="200"/>
    </w:pPr>
  </w:style>
  <w:style w:type="paragraph" w:styleId="47">
    <w:name w:val="List Continue 5"/>
    <w:basedOn w:val="38"/>
    <w:qFormat/>
    <w:uiPriority w:val="0"/>
    <w:pPr>
      <w:ind w:left="2160"/>
    </w:pPr>
  </w:style>
  <w:style w:type="paragraph" w:styleId="48">
    <w:name w:val="Balloon Text"/>
    <w:basedOn w:val="1"/>
    <w:semiHidden/>
    <w:qFormat/>
    <w:uiPriority w:val="0"/>
    <w:rPr>
      <w:sz w:val="18"/>
      <w:szCs w:val="18"/>
    </w:rPr>
  </w:style>
  <w:style w:type="paragraph" w:styleId="49">
    <w:name w:val="footer"/>
    <w:basedOn w:val="1"/>
    <w:link w:val="147"/>
    <w:qFormat/>
    <w:uiPriority w:val="99"/>
    <w:pPr>
      <w:tabs>
        <w:tab w:val="center" w:pos="4153"/>
        <w:tab w:val="right" w:pos="8306"/>
      </w:tabs>
      <w:snapToGrid w:val="0"/>
      <w:jc w:val="left"/>
    </w:pPr>
    <w:rPr>
      <w:sz w:val="18"/>
      <w:szCs w:val="18"/>
    </w:rPr>
  </w:style>
  <w:style w:type="paragraph" w:styleId="50">
    <w:name w:val="envelope return"/>
    <w:basedOn w:val="8"/>
    <w:qFormat/>
    <w:uiPriority w:val="0"/>
    <w:pPr>
      <w:widowControl/>
      <w:overflowPunct w:val="0"/>
      <w:autoSpaceDE w:val="0"/>
      <w:autoSpaceDN w:val="0"/>
      <w:spacing w:after="0" w:line="240" w:lineRule="atLeast"/>
      <w:jc w:val="left"/>
      <w:textAlignment w:val="baseline"/>
    </w:pPr>
    <w:rPr>
      <w:rFonts w:ascii="Garamond" w:hAnsi="Garamond"/>
      <w:caps/>
      <w:spacing w:val="30"/>
      <w:sz w:val="15"/>
    </w:rPr>
  </w:style>
  <w:style w:type="paragraph" w:styleId="5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2">
    <w:name w:val="toc 1"/>
    <w:basedOn w:val="1"/>
    <w:next w:val="1"/>
    <w:semiHidden/>
    <w:qFormat/>
    <w:uiPriority w:val="0"/>
  </w:style>
  <w:style w:type="paragraph" w:styleId="53">
    <w:name w:val="List Continue 4"/>
    <w:basedOn w:val="38"/>
    <w:qFormat/>
    <w:uiPriority w:val="0"/>
    <w:pPr>
      <w:ind w:left="1800"/>
    </w:pPr>
  </w:style>
  <w:style w:type="paragraph" w:styleId="54">
    <w:name w:val="index heading"/>
    <w:basedOn w:val="1"/>
    <w:next w:val="55"/>
    <w:qFormat/>
    <w:uiPriority w:val="0"/>
  </w:style>
  <w:style w:type="paragraph" w:styleId="55">
    <w:name w:val="index 1"/>
    <w:basedOn w:val="1"/>
    <w:next w:val="1"/>
    <w:qFormat/>
    <w:uiPriority w:val="0"/>
    <w:pPr>
      <w:spacing w:line="240" w:lineRule="auto"/>
      <w:ind w:left="0" w:right="0" w:firstLine="0" w:firstLineChars="0"/>
    </w:pPr>
    <w:rPr>
      <w:rFonts w:ascii="Calibri" w:hAnsi="Calibri" w:cs="Calibri"/>
      <w:szCs w:val="21"/>
    </w:rPr>
  </w:style>
  <w:style w:type="paragraph" w:styleId="56">
    <w:name w:val="List Number 5"/>
    <w:basedOn w:val="16"/>
    <w:qFormat/>
    <w:uiPriority w:val="0"/>
    <w:pPr>
      <w:ind w:left="2160"/>
    </w:pPr>
  </w:style>
  <w:style w:type="paragraph" w:styleId="57">
    <w:name w:val="footnote text"/>
    <w:basedOn w:val="1"/>
    <w:qFormat/>
    <w:uiPriority w:val="99"/>
    <w:pPr>
      <w:adjustRightInd w:val="0"/>
      <w:spacing w:line="312" w:lineRule="atLeast"/>
      <w:jc w:val="left"/>
      <w:textAlignment w:val="baseline"/>
    </w:pPr>
    <w:rPr>
      <w:kern w:val="0"/>
      <w:sz w:val="18"/>
      <w:szCs w:val="20"/>
    </w:rPr>
  </w:style>
  <w:style w:type="paragraph" w:styleId="58">
    <w:name w:val="List 5"/>
    <w:basedOn w:val="14"/>
    <w:qFormat/>
    <w:uiPriority w:val="0"/>
    <w:pPr>
      <w:widowControl/>
      <w:overflowPunct w:val="0"/>
      <w:autoSpaceDE w:val="0"/>
      <w:autoSpaceDN w:val="0"/>
      <w:spacing w:after="240" w:line="240" w:lineRule="atLeast"/>
      <w:ind w:left="2160" w:hanging="360"/>
    </w:pPr>
    <w:rPr>
      <w:rFonts w:ascii="Garamond" w:hAnsi="Garamond"/>
      <w:kern w:val="18"/>
      <w:sz w:val="20"/>
    </w:rPr>
  </w:style>
  <w:style w:type="paragraph" w:styleId="59">
    <w:name w:val="Body Text Indent 3"/>
    <w:basedOn w:val="1"/>
    <w:qFormat/>
    <w:uiPriority w:val="0"/>
    <w:pPr>
      <w:spacing w:after="120"/>
      <w:ind w:left="420" w:leftChars="200"/>
    </w:pPr>
    <w:rPr>
      <w:sz w:val="16"/>
      <w:szCs w:val="16"/>
    </w:rPr>
  </w:style>
  <w:style w:type="paragraph" w:styleId="60">
    <w:name w:val="toc 2"/>
    <w:basedOn w:val="1"/>
    <w:next w:val="1"/>
    <w:semiHidden/>
    <w:qFormat/>
    <w:uiPriority w:val="0"/>
    <w:pPr>
      <w:ind w:left="420" w:leftChars="200"/>
    </w:pPr>
  </w:style>
  <w:style w:type="paragraph" w:styleId="61">
    <w:name w:val="Body Text 2"/>
    <w:basedOn w:val="1"/>
    <w:qFormat/>
    <w:uiPriority w:val="0"/>
    <w:pPr>
      <w:spacing w:after="120" w:line="480" w:lineRule="auto"/>
    </w:pPr>
  </w:style>
  <w:style w:type="paragraph" w:styleId="62">
    <w:name w:val="List 4"/>
    <w:basedOn w:val="14"/>
    <w:qFormat/>
    <w:uiPriority w:val="0"/>
    <w:pPr>
      <w:widowControl/>
      <w:overflowPunct w:val="0"/>
      <w:autoSpaceDE w:val="0"/>
      <w:autoSpaceDN w:val="0"/>
      <w:spacing w:after="240" w:line="240" w:lineRule="atLeast"/>
      <w:ind w:left="1800" w:hanging="360"/>
    </w:pPr>
    <w:rPr>
      <w:rFonts w:ascii="Garamond" w:hAnsi="Garamond"/>
      <w:kern w:val="18"/>
      <w:sz w:val="20"/>
    </w:rPr>
  </w:style>
  <w:style w:type="paragraph" w:styleId="63">
    <w:name w:val="List Continue 2"/>
    <w:basedOn w:val="38"/>
    <w:qFormat/>
    <w:uiPriority w:val="0"/>
    <w:pPr>
      <w:ind w:left="1080"/>
    </w:pPr>
  </w:style>
  <w:style w:type="paragraph" w:styleId="6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65">
    <w:name w:val="List Continue 3"/>
    <w:basedOn w:val="38"/>
    <w:qFormat/>
    <w:uiPriority w:val="0"/>
    <w:pPr>
      <w:ind w:left="1440"/>
    </w:pPr>
  </w:style>
  <w:style w:type="paragraph" w:styleId="66">
    <w:name w:val="annotation subject"/>
    <w:basedOn w:val="23"/>
    <w:next w:val="23"/>
    <w:link w:val="141"/>
    <w:qFormat/>
    <w:uiPriority w:val="0"/>
    <w:rPr>
      <w:b/>
      <w:bCs/>
    </w:rPr>
  </w:style>
  <w:style w:type="paragraph" w:styleId="67">
    <w:name w:val="Body Text First Indent"/>
    <w:basedOn w:val="8"/>
    <w:qFormat/>
    <w:uiPriority w:val="0"/>
    <w:pPr>
      <w:adjustRightInd/>
      <w:spacing w:line="240" w:lineRule="auto"/>
      <w:ind w:firstLine="420" w:firstLineChars="100"/>
    </w:pPr>
    <w:rPr>
      <w:kern w:val="2"/>
      <w:sz w:val="21"/>
      <w:szCs w:val="24"/>
    </w:rPr>
  </w:style>
  <w:style w:type="paragraph" w:styleId="68">
    <w:name w:val="Body Text First Indent 2"/>
    <w:basedOn w:val="35"/>
    <w:qFormat/>
    <w:uiPriority w:val="0"/>
    <w:pPr>
      <w:ind w:firstLine="420" w:firstLineChars="200"/>
    </w:pPr>
  </w:style>
  <w:style w:type="table" w:styleId="70">
    <w:name w:val="Table Grid"/>
    <w:basedOn w:val="6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2">
    <w:name w:val="Strong"/>
    <w:basedOn w:val="71"/>
    <w:qFormat/>
    <w:uiPriority w:val="0"/>
    <w:rPr>
      <w:b/>
    </w:rPr>
  </w:style>
  <w:style w:type="character" w:styleId="73">
    <w:name w:val="page number"/>
    <w:basedOn w:val="71"/>
    <w:qFormat/>
    <w:uiPriority w:val="0"/>
  </w:style>
  <w:style w:type="character" w:styleId="74">
    <w:name w:val="Emphasis"/>
    <w:qFormat/>
    <w:uiPriority w:val="0"/>
    <w:rPr>
      <w:caps/>
      <w:sz w:val="18"/>
    </w:rPr>
  </w:style>
  <w:style w:type="character" w:styleId="75">
    <w:name w:val="line number"/>
    <w:qFormat/>
    <w:uiPriority w:val="0"/>
    <w:rPr>
      <w:rFonts w:ascii="Garamond" w:hAnsi="Garamond"/>
      <w:sz w:val="21"/>
    </w:rPr>
  </w:style>
  <w:style w:type="character" w:styleId="76">
    <w:name w:val="Hyperlink"/>
    <w:qFormat/>
    <w:uiPriority w:val="0"/>
    <w:rPr>
      <w:color w:val="0000FF"/>
      <w:u w:val="single"/>
    </w:rPr>
  </w:style>
  <w:style w:type="character" w:styleId="77">
    <w:name w:val="annotation reference"/>
    <w:qFormat/>
    <w:uiPriority w:val="0"/>
    <w:rPr>
      <w:sz w:val="21"/>
      <w:szCs w:val="21"/>
    </w:rPr>
  </w:style>
  <w:style w:type="paragraph" w:customStyle="1" w:styleId="78">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Char1 Char Char Char Char"/>
    <w:basedOn w:val="1"/>
    <w:qFormat/>
    <w:uiPriority w:val="0"/>
  </w:style>
  <w:style w:type="paragraph" w:customStyle="1" w:styleId="80">
    <w:name w:val="Picture"/>
    <w:basedOn w:val="1"/>
    <w:next w:val="20"/>
    <w:qFormat/>
    <w:uiPriority w:val="0"/>
    <w:pPr>
      <w:keepNext/>
      <w:widowControl/>
      <w:overflowPunct w:val="0"/>
      <w:autoSpaceDE w:val="0"/>
      <w:autoSpaceDN w:val="0"/>
      <w:adjustRightInd w:val="0"/>
      <w:textAlignment w:val="baseline"/>
    </w:pPr>
    <w:rPr>
      <w:rFonts w:ascii="Garamond" w:hAnsi="Garamond"/>
      <w:kern w:val="18"/>
      <w:sz w:val="20"/>
      <w:szCs w:val="20"/>
    </w:rPr>
  </w:style>
  <w:style w:type="paragraph" w:customStyle="1" w:styleId="81">
    <w:name w:val="段"/>
    <w:next w:val="1"/>
    <w:link w:val="146"/>
    <w:qFormat/>
    <w:uiPriority w:val="0"/>
    <w:pPr>
      <w:autoSpaceDE w:val="0"/>
      <w:autoSpaceDN w:val="0"/>
      <w:spacing w:line="360" w:lineRule="auto"/>
      <w:ind w:left="50" w:right="62" w:firstLine="200" w:firstLineChars="200"/>
      <w:jc w:val="both"/>
    </w:pPr>
    <w:rPr>
      <w:rFonts w:ascii="宋体" w:hAnsi="Times New Roman" w:eastAsia="宋体" w:cs="Times New Roman"/>
      <w:sz w:val="21"/>
      <w:lang w:val="en-US" w:eastAsia="zh-CN" w:bidi="ar-SA"/>
    </w:rPr>
  </w:style>
  <w:style w:type="paragraph" w:customStyle="1" w:styleId="82">
    <w:name w:val="标题 3 + 宋体"/>
    <w:basedOn w:val="4"/>
    <w:qFormat/>
    <w:uiPriority w:val="0"/>
    <w:pPr>
      <w:spacing w:beforeLines="50" w:afterLines="50" w:line="416" w:lineRule="auto"/>
      <w:jc w:val="both"/>
    </w:pPr>
    <w:rPr>
      <w:rFonts w:ascii="宋体" w:hAnsi="宋体" w:cs="Arial"/>
      <w:kern w:val="0"/>
      <w:sz w:val="28"/>
    </w:rPr>
  </w:style>
  <w:style w:type="paragraph" w:customStyle="1" w:styleId="83">
    <w:name w:val="Header First"/>
    <w:basedOn w:val="51"/>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spacing w:after="880" w:line="240" w:lineRule="atLeast"/>
      <w:jc w:val="left"/>
      <w:textAlignment w:val="baseline"/>
    </w:pPr>
    <w:rPr>
      <w:rFonts w:ascii="Garamond" w:hAnsi="Garamond"/>
      <w:smallCaps/>
      <w:kern w:val="18"/>
      <w:sz w:val="20"/>
      <w:szCs w:val="20"/>
    </w:rPr>
  </w:style>
  <w:style w:type="paragraph" w:customStyle="1" w:styleId="84">
    <w:name w:val="列出段落21"/>
    <w:basedOn w:val="1"/>
    <w:qFormat/>
    <w:uiPriority w:val="0"/>
    <w:pPr>
      <w:spacing w:line="240" w:lineRule="auto"/>
      <w:ind w:left="0" w:right="0" w:firstLine="420" w:firstLineChars="200"/>
    </w:pPr>
    <w:rPr>
      <w:rFonts w:ascii="Calibri" w:hAnsi="Calibri"/>
      <w:szCs w:val="21"/>
    </w:rPr>
  </w:style>
  <w:style w:type="paragraph" w:customStyle="1" w:styleId="85">
    <w:name w:val="_Style 35"/>
    <w:basedOn w:val="1"/>
    <w:qFormat/>
    <w:uiPriority w:val="0"/>
    <w:pPr>
      <w:widowControl/>
      <w:spacing w:after="160" w:line="240" w:lineRule="exact"/>
      <w:jc w:val="left"/>
    </w:pPr>
    <w:rPr>
      <w:szCs w:val="20"/>
    </w:rPr>
  </w:style>
  <w:style w:type="paragraph" w:customStyle="1" w:styleId="86">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8">
    <w:name w:val="Attention Line"/>
    <w:basedOn w:val="1"/>
    <w:next w:val="24"/>
    <w:qFormat/>
    <w:uiPriority w:val="0"/>
    <w:pPr>
      <w:widowControl/>
      <w:spacing w:before="220"/>
      <w:ind w:left="840" w:right="-360"/>
      <w:jc w:val="left"/>
    </w:pPr>
    <w:rPr>
      <w:rFonts w:eastAsia="Times New Roman"/>
      <w:kern w:val="0"/>
      <w:sz w:val="20"/>
      <w:szCs w:val="20"/>
      <w:lang w:eastAsia="en-US"/>
    </w:rPr>
  </w:style>
  <w:style w:type="paragraph" w:customStyle="1" w:styleId="89">
    <w:name w:val="Char2"/>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90">
    <w:name w:val="Block Quotation"/>
    <w:basedOn w:val="8"/>
    <w:qFormat/>
    <w:uiPriority w:val="0"/>
    <w:pPr>
      <w:keepLines/>
      <w:widowControl/>
      <w:overflowPunct w:val="0"/>
      <w:autoSpaceDE w:val="0"/>
      <w:autoSpaceDN w:val="0"/>
      <w:spacing w:after="240" w:line="240" w:lineRule="atLeast"/>
      <w:ind w:left="720" w:right="720" w:firstLine="360"/>
      <w:textAlignment w:val="baseline"/>
    </w:pPr>
    <w:rPr>
      <w:rFonts w:ascii="Garamond" w:hAnsi="Garamond"/>
      <w:kern w:val="18"/>
      <w:sz w:val="20"/>
    </w:rPr>
  </w:style>
  <w:style w:type="paragraph" w:customStyle="1" w:styleId="91">
    <w:name w:val="默认段落字体 Para Char Char Char Char Char Char Char"/>
    <w:basedOn w:val="1"/>
    <w:qFormat/>
    <w:uiPriority w:val="0"/>
    <w:rPr>
      <w:rFonts w:ascii="Tahoma" w:hAnsi="Tahoma"/>
      <w:sz w:val="24"/>
      <w:szCs w:val="20"/>
    </w:rPr>
  </w:style>
  <w:style w:type="paragraph" w:customStyle="1" w:styleId="92">
    <w:name w:val="Company Name"/>
    <w:basedOn w:val="8"/>
    <w:next w:val="8"/>
    <w:qFormat/>
    <w:uiPriority w:val="0"/>
    <w:pPr>
      <w:keepLines/>
      <w:framePr w:w="8640" w:h="1440" w:wrap="notBeside" w:vAnchor="page" w:hAnchor="margin" w:xAlign="center" w:y="889"/>
      <w:widowControl/>
      <w:overflowPunct w:val="0"/>
      <w:autoSpaceDE w:val="0"/>
      <w:autoSpaceDN w:val="0"/>
      <w:spacing w:after="40" w:line="240" w:lineRule="atLeast"/>
      <w:jc w:val="center"/>
      <w:textAlignment w:val="baseline"/>
    </w:pPr>
    <w:rPr>
      <w:rFonts w:ascii="Garamond" w:hAnsi="Garamond"/>
      <w:caps/>
      <w:spacing w:val="75"/>
      <w:kern w:val="18"/>
      <w:sz w:val="21"/>
    </w:rPr>
  </w:style>
  <w:style w:type="paragraph" w:customStyle="1" w:styleId="93">
    <w:name w:val="Char1 Char Char Char Char2"/>
    <w:basedOn w:val="1"/>
    <w:qFormat/>
    <w:uiPriority w:val="0"/>
    <w:pPr>
      <w:spacing w:line="240" w:lineRule="auto"/>
      <w:ind w:left="0" w:right="0" w:firstLine="0" w:firstLineChars="0"/>
    </w:pPr>
    <w:rPr>
      <w:szCs w:val="20"/>
    </w:rPr>
  </w:style>
  <w:style w:type="paragraph" w:customStyle="1" w:styleId="94">
    <w:name w:val="Char Char3"/>
    <w:basedOn w:val="1"/>
    <w:qFormat/>
    <w:uiPriority w:val="0"/>
  </w:style>
  <w:style w:type="paragraph" w:customStyle="1" w:styleId="95">
    <w:name w:val="Char Char1 Char"/>
    <w:basedOn w:val="1"/>
    <w:qFormat/>
    <w:uiPriority w:val="0"/>
  </w:style>
  <w:style w:type="paragraph" w:customStyle="1" w:styleId="96">
    <w:name w:val="标题1"/>
    <w:basedOn w:val="1"/>
    <w:qFormat/>
    <w:uiPriority w:val="0"/>
    <w:pPr>
      <w:widowControl/>
      <w:jc w:val="center"/>
    </w:pPr>
    <w:rPr>
      <w:rFonts w:ascii="黑体" w:eastAsia="黑体"/>
      <w:b/>
      <w:kern w:val="0"/>
      <w:sz w:val="44"/>
      <w:szCs w:val="20"/>
    </w:rPr>
  </w:style>
  <w:style w:type="paragraph" w:customStyle="1" w:styleId="97">
    <w:name w:val="Char Char Char Char Char Char1"/>
    <w:basedOn w:val="1"/>
    <w:qFormat/>
    <w:uiPriority w:val="0"/>
    <w:rPr>
      <w:rFonts w:ascii="Tahoma" w:hAnsi="Tahoma"/>
      <w:sz w:val="24"/>
      <w:szCs w:val="20"/>
    </w:rPr>
  </w:style>
  <w:style w:type="paragraph" w:customStyle="1" w:styleId="98">
    <w:name w:val="Subject Line"/>
    <w:basedOn w:val="8"/>
    <w:next w:val="8"/>
    <w:qFormat/>
    <w:uiPriority w:val="0"/>
    <w:pPr>
      <w:widowControl/>
      <w:overflowPunct w:val="0"/>
      <w:autoSpaceDE w:val="0"/>
      <w:autoSpaceDN w:val="0"/>
      <w:spacing w:after="180" w:line="240" w:lineRule="atLeast"/>
      <w:ind w:left="360" w:hanging="360"/>
      <w:jc w:val="left"/>
      <w:textAlignment w:val="baseline"/>
    </w:pPr>
    <w:rPr>
      <w:rFonts w:ascii="Garamond" w:hAnsi="Garamond"/>
      <w:caps/>
      <w:kern w:val="18"/>
      <w:sz w:val="21"/>
    </w:rPr>
  </w:style>
  <w:style w:type="paragraph" w:customStyle="1" w:styleId="99">
    <w:name w:val="xl31"/>
    <w:basedOn w:val="1"/>
    <w:qFormat/>
    <w:uiPriority w:val="0"/>
    <w:pPr>
      <w:widowControl/>
      <w:spacing w:before="100" w:beforeAutospacing="1" w:after="100" w:afterAutospacing="1"/>
      <w:jc w:val="center"/>
    </w:pPr>
    <w:rPr>
      <w:kern w:val="0"/>
      <w:sz w:val="36"/>
      <w:szCs w:val="36"/>
    </w:rPr>
  </w:style>
  <w:style w:type="paragraph" w:customStyle="1" w:styleId="100">
    <w:name w:val="Char Char Char"/>
    <w:basedOn w:val="1"/>
    <w:qFormat/>
    <w:uiPriority w:val="0"/>
    <w:rPr>
      <w:rFonts w:ascii="Tahoma" w:hAnsi="Tahoma"/>
      <w:sz w:val="24"/>
      <w:szCs w:val="20"/>
    </w:rPr>
  </w:style>
  <w:style w:type="paragraph" w:customStyle="1" w:styleId="101">
    <w:name w:val="Inside Address"/>
    <w:basedOn w:val="8"/>
    <w:qFormat/>
    <w:uiPriority w:val="0"/>
    <w:pPr>
      <w:widowControl/>
      <w:overflowPunct w:val="0"/>
      <w:autoSpaceDE w:val="0"/>
      <w:autoSpaceDN w:val="0"/>
      <w:spacing w:after="0" w:line="240" w:lineRule="atLeast"/>
      <w:jc w:val="left"/>
      <w:textAlignment w:val="baseline"/>
    </w:pPr>
    <w:rPr>
      <w:rFonts w:ascii="Garamond" w:hAnsi="Garamond"/>
      <w:kern w:val="18"/>
      <w:sz w:val="20"/>
    </w:rPr>
  </w:style>
  <w:style w:type="paragraph" w:customStyle="1" w:styleId="102">
    <w:name w:val="Char Char15 Char Char"/>
    <w:basedOn w:val="1"/>
    <w:qFormat/>
    <w:uiPriority w:val="0"/>
    <w:pPr>
      <w:spacing w:line="240" w:lineRule="auto"/>
      <w:ind w:left="0" w:right="0" w:firstLine="0" w:firstLineChars="0"/>
    </w:pPr>
    <w:rPr>
      <w:szCs w:val="20"/>
    </w:rPr>
  </w:style>
  <w:style w:type="paragraph" w:customStyle="1" w:styleId="103">
    <w:name w:val="Char Char Char1"/>
    <w:basedOn w:val="1"/>
    <w:qFormat/>
    <w:uiPriority w:val="0"/>
    <w:rPr>
      <w:rFonts w:ascii="Tahoma" w:hAnsi="Tahoma"/>
      <w:sz w:val="24"/>
      <w:szCs w:val="20"/>
    </w:rPr>
  </w:style>
  <w:style w:type="paragraph" w:customStyle="1" w:styleId="104">
    <w:name w:val="Char Char1 Char Char Char Char Char Char Char Char Char Char"/>
    <w:basedOn w:val="1"/>
    <w:qFormat/>
    <w:uiPriority w:val="0"/>
    <w:rPr>
      <w:rFonts w:ascii="Tahoma" w:hAnsi="Tahoma"/>
      <w:sz w:val="24"/>
      <w:szCs w:val="20"/>
    </w:rPr>
  </w:style>
  <w:style w:type="paragraph" w:customStyle="1" w:styleId="105">
    <w:name w:val="Return Address"/>
    <w:qFormat/>
    <w:uiPriority w:val="0"/>
    <w:pPr>
      <w:tabs>
        <w:tab w:val="left" w:pos="2160"/>
      </w:tabs>
      <w:overflowPunct w:val="0"/>
      <w:autoSpaceDE w:val="0"/>
      <w:autoSpaceDN w:val="0"/>
      <w:adjustRightInd w:val="0"/>
      <w:spacing w:line="240" w:lineRule="atLeast"/>
      <w:ind w:left="50" w:right="-240" w:hanging="50" w:hangingChars="50"/>
      <w:jc w:val="center"/>
      <w:textAlignment w:val="baseline"/>
    </w:pPr>
    <w:rPr>
      <w:rFonts w:ascii="Garamond" w:hAnsi="Garamond" w:eastAsia="宋体" w:cs="Times New Roman"/>
      <w:caps/>
      <w:spacing w:val="30"/>
      <w:sz w:val="14"/>
      <w:lang w:val="en-US" w:eastAsia="zh-CN" w:bidi="ar-SA"/>
    </w:rPr>
  </w:style>
  <w:style w:type="paragraph" w:customStyle="1" w:styleId="106">
    <w:name w:val="表格文字"/>
    <w:basedOn w:val="1"/>
    <w:qFormat/>
    <w:uiPriority w:val="0"/>
    <w:pPr>
      <w:spacing w:before="25" w:after="25" w:line="300" w:lineRule="auto"/>
    </w:pPr>
    <w:rPr>
      <w:rFonts w:ascii="Times" w:hAnsi="Times"/>
      <w:spacing w:val="10"/>
      <w:kern w:val="0"/>
      <w:sz w:val="24"/>
      <w:szCs w:val="20"/>
    </w:rPr>
  </w:style>
  <w:style w:type="paragraph" w:customStyle="1" w:styleId="107">
    <w:name w:val="Footnote Base"/>
    <w:basedOn w:val="8"/>
    <w:qFormat/>
    <w:uiPriority w:val="0"/>
    <w:pPr>
      <w:keepLines/>
      <w:widowControl/>
      <w:overflowPunct w:val="0"/>
      <w:autoSpaceDE w:val="0"/>
      <w:autoSpaceDN w:val="0"/>
      <w:spacing w:after="240" w:line="240" w:lineRule="atLeast"/>
      <w:textAlignment w:val="baseline"/>
    </w:pPr>
    <w:rPr>
      <w:rFonts w:ascii="Garamond" w:hAnsi="Garamond"/>
      <w:kern w:val="18"/>
      <w:sz w:val="16"/>
    </w:rPr>
  </w:style>
  <w:style w:type="paragraph" w:customStyle="1" w:styleId="108">
    <w:name w:val="Char1 Char Char Char Char1"/>
    <w:basedOn w:val="1"/>
    <w:qFormat/>
    <w:uiPriority w:val="0"/>
    <w:pPr>
      <w:widowControl/>
      <w:spacing w:after="160" w:line="240" w:lineRule="exact"/>
      <w:jc w:val="left"/>
    </w:pPr>
    <w:rPr>
      <w:szCs w:val="20"/>
    </w:rPr>
  </w:style>
  <w:style w:type="paragraph" w:customStyle="1" w:styleId="109">
    <w:name w:val="Char1 Char Char Char1"/>
    <w:basedOn w:val="1"/>
    <w:qFormat/>
    <w:uiPriority w:val="0"/>
    <w:pPr>
      <w:widowControl/>
      <w:spacing w:after="160" w:line="240" w:lineRule="exact"/>
      <w:jc w:val="left"/>
    </w:pPr>
    <w:rPr>
      <w:rFonts w:ascii="Verdana" w:hAnsi="Verdana" w:eastAsia="仿宋_GB2312"/>
      <w:kern w:val="0"/>
      <w:sz w:val="28"/>
      <w:szCs w:val="20"/>
      <w:lang w:eastAsia="en-US"/>
    </w:rPr>
  </w:style>
  <w:style w:type="paragraph" w:customStyle="1" w:styleId="110">
    <w:name w:val="Char Char Char Char Char Char"/>
    <w:basedOn w:val="1"/>
    <w:qFormat/>
    <w:uiPriority w:val="0"/>
    <w:rPr>
      <w:rFonts w:ascii="Tahoma" w:hAnsi="Tahoma"/>
      <w:sz w:val="24"/>
      <w:szCs w:val="20"/>
    </w:rPr>
  </w:style>
  <w:style w:type="paragraph" w:customStyle="1" w:styleId="111">
    <w:name w:val="p0"/>
    <w:basedOn w:val="1"/>
    <w:qFormat/>
    <w:uiPriority w:val="0"/>
    <w:pPr>
      <w:widowControl/>
    </w:pPr>
    <w:rPr>
      <w:kern w:val="0"/>
      <w:szCs w:val="21"/>
    </w:rPr>
  </w:style>
  <w:style w:type="paragraph" w:customStyle="1" w:styleId="112">
    <w:name w:val="Char Char7"/>
    <w:basedOn w:val="1"/>
    <w:qFormat/>
    <w:uiPriority w:val="0"/>
    <w:pPr>
      <w:spacing w:line="240" w:lineRule="auto"/>
      <w:ind w:left="0" w:right="0" w:firstLine="0" w:firstLineChars="0"/>
    </w:pPr>
  </w:style>
  <w:style w:type="paragraph" w:customStyle="1" w:styleId="113">
    <w:name w:val="Char1 Char Char"/>
    <w:basedOn w:val="1"/>
    <w:qFormat/>
    <w:uiPriority w:val="0"/>
    <w:pPr>
      <w:widowControl/>
      <w:spacing w:after="160" w:line="240" w:lineRule="exact"/>
      <w:ind w:left="0" w:right="0" w:firstLine="0" w:firstLineChars="0"/>
      <w:jc w:val="left"/>
    </w:pPr>
    <w:rPr>
      <w:szCs w:val="20"/>
    </w:rPr>
  </w:style>
  <w:style w:type="paragraph" w:customStyle="1" w:styleId="114">
    <w:name w:val="Char Char Char Char"/>
    <w:basedOn w:val="1"/>
    <w:qFormat/>
    <w:uiPriority w:val="0"/>
    <w:rPr>
      <w:szCs w:val="20"/>
    </w:rPr>
  </w:style>
  <w:style w:type="paragraph" w:customStyle="1" w:styleId="115">
    <w:name w:val="Char1 Char Char Char Char3"/>
    <w:basedOn w:val="1"/>
    <w:qFormat/>
    <w:uiPriority w:val="0"/>
    <w:rPr>
      <w:szCs w:val="20"/>
    </w:rPr>
  </w:style>
  <w:style w:type="paragraph" w:customStyle="1" w:styleId="116">
    <w:name w:val="列出段落1"/>
    <w:basedOn w:val="1"/>
    <w:qFormat/>
    <w:uiPriority w:val="0"/>
    <w:pPr>
      <w:ind w:firstLine="420" w:firstLineChars="200"/>
    </w:pPr>
    <w:rPr>
      <w:rFonts w:ascii="Calibri" w:hAnsi="Calibri"/>
      <w:szCs w:val="22"/>
    </w:rPr>
  </w:style>
  <w:style w:type="paragraph" w:customStyle="1" w:styleId="117">
    <w:name w:val="Header Odd"/>
    <w:basedOn w:val="51"/>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spacing w:after="660" w:line="240" w:lineRule="atLeast"/>
      <w:jc w:val="left"/>
      <w:textAlignment w:val="baseline"/>
    </w:pPr>
    <w:rPr>
      <w:rFonts w:ascii="Garamond" w:hAnsi="Garamond"/>
      <w:smallCaps/>
      <w:kern w:val="18"/>
      <w:sz w:val="20"/>
      <w:szCs w:val="20"/>
    </w:rPr>
  </w:style>
  <w:style w:type="paragraph" w:customStyle="1" w:styleId="118">
    <w:name w:val="Char Char8 Char Char"/>
    <w:basedOn w:val="1"/>
    <w:qFormat/>
    <w:uiPriority w:val="0"/>
    <w:pPr>
      <w:widowControl/>
      <w:spacing w:after="160" w:line="240" w:lineRule="exact"/>
      <w:jc w:val="left"/>
    </w:pPr>
    <w:rPr>
      <w:szCs w:val="20"/>
    </w:rPr>
  </w:style>
  <w:style w:type="paragraph" w:customStyle="1" w:styleId="119">
    <w:name w:val="Thyssen Standard"/>
    <w:basedOn w:val="1"/>
    <w:qFormat/>
    <w:uiPriority w:val="0"/>
    <w:pPr>
      <w:widowControl/>
      <w:spacing w:before="120" w:after="120" w:line="300" w:lineRule="atLeast"/>
    </w:pPr>
    <w:rPr>
      <w:rFonts w:ascii="TKTypeRegular" w:hAnsi="TKTypeRegular" w:eastAsia="Times New Roman"/>
      <w:kern w:val="0"/>
      <w:sz w:val="22"/>
      <w:szCs w:val="20"/>
      <w:lang w:eastAsia="en-US"/>
    </w:rPr>
  </w:style>
  <w:style w:type="paragraph" w:customStyle="1" w:styleId="120">
    <w:name w:val="Header Even"/>
    <w:basedOn w:val="51"/>
    <w:qFormat/>
    <w:uiPriority w:val="0"/>
    <w:pPr>
      <w:keepLines/>
      <w:widowControl/>
      <w:pBdr>
        <w:bottom w:val="none" w:color="auto" w:sz="0" w:space="0"/>
      </w:pBdr>
      <w:tabs>
        <w:tab w:val="center" w:pos="4320"/>
        <w:tab w:val="right" w:pos="8640"/>
        <w:tab w:val="clear" w:pos="4153"/>
        <w:tab w:val="clear" w:pos="8306"/>
      </w:tabs>
      <w:overflowPunct w:val="0"/>
      <w:autoSpaceDE w:val="0"/>
      <w:autoSpaceDN w:val="0"/>
      <w:adjustRightInd w:val="0"/>
      <w:snapToGrid/>
      <w:spacing w:after="660" w:line="240" w:lineRule="atLeast"/>
      <w:jc w:val="left"/>
      <w:textAlignment w:val="baseline"/>
    </w:pPr>
    <w:rPr>
      <w:rFonts w:ascii="Garamond" w:hAnsi="Garamond"/>
      <w:smallCaps/>
      <w:kern w:val="18"/>
      <w:sz w:val="20"/>
      <w:szCs w:val="20"/>
    </w:rPr>
  </w:style>
  <w:style w:type="paragraph" w:customStyle="1" w:styleId="12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22">
    <w:name w:val="Header Base"/>
    <w:basedOn w:val="8"/>
    <w:qFormat/>
    <w:uiPriority w:val="0"/>
    <w:pPr>
      <w:keepLines/>
      <w:widowControl/>
      <w:tabs>
        <w:tab w:val="center" w:pos="4320"/>
        <w:tab w:val="right" w:pos="8640"/>
      </w:tabs>
      <w:overflowPunct w:val="0"/>
      <w:autoSpaceDE w:val="0"/>
      <w:autoSpaceDN w:val="0"/>
      <w:spacing w:after="0" w:line="240" w:lineRule="atLeast"/>
      <w:jc w:val="left"/>
      <w:textAlignment w:val="baseline"/>
    </w:pPr>
    <w:rPr>
      <w:rFonts w:ascii="Garamond" w:hAnsi="Garamond"/>
      <w:kern w:val="18"/>
      <w:sz w:val="20"/>
    </w:rPr>
  </w:style>
  <w:style w:type="paragraph" w:customStyle="1" w:styleId="123">
    <w:name w:val="Body Text Keep"/>
    <w:basedOn w:val="8"/>
    <w:qFormat/>
    <w:uiPriority w:val="0"/>
    <w:pPr>
      <w:keepNext/>
      <w:widowControl/>
      <w:overflowPunct w:val="0"/>
      <w:autoSpaceDE w:val="0"/>
      <w:autoSpaceDN w:val="0"/>
      <w:spacing w:after="240" w:line="240" w:lineRule="atLeast"/>
      <w:ind w:firstLine="360"/>
      <w:textAlignment w:val="baseline"/>
    </w:pPr>
    <w:rPr>
      <w:rFonts w:ascii="Garamond" w:hAnsi="Garamond"/>
      <w:kern w:val="18"/>
      <w:sz w:val="20"/>
    </w:rPr>
  </w:style>
  <w:style w:type="paragraph" w:customStyle="1" w:styleId="124">
    <w:name w:val="Char"/>
    <w:basedOn w:val="1"/>
    <w:qFormat/>
    <w:uiPriority w:val="0"/>
    <w:rPr>
      <w:rFonts w:ascii="Tahoma" w:hAnsi="Tahoma"/>
      <w:sz w:val="24"/>
      <w:szCs w:val="20"/>
    </w:rPr>
  </w:style>
  <w:style w:type="paragraph" w:customStyle="1" w:styleId="125">
    <w:name w:val="Char1"/>
    <w:basedOn w:val="1"/>
    <w:qFormat/>
    <w:uiPriority w:val="0"/>
    <w:rPr>
      <w:rFonts w:ascii="Tahoma" w:hAnsi="Tahoma"/>
      <w:sz w:val="24"/>
      <w:szCs w:val="20"/>
    </w:rPr>
  </w:style>
  <w:style w:type="paragraph" w:customStyle="1" w:styleId="126">
    <w:name w:val="正文格式"/>
    <w:basedOn w:val="1"/>
    <w:qFormat/>
    <w:uiPriority w:val="0"/>
    <w:pPr>
      <w:ind w:firstLine="420" w:firstLineChars="200"/>
    </w:pPr>
    <w:rPr>
      <w:sz w:val="28"/>
      <w:szCs w:val="20"/>
    </w:rPr>
  </w:style>
  <w:style w:type="paragraph" w:customStyle="1" w:styleId="127">
    <w:name w:val="WW-正文缩进"/>
    <w:basedOn w:val="1"/>
    <w:qFormat/>
    <w:uiPriority w:val="0"/>
    <w:pPr>
      <w:suppressAutoHyphens/>
      <w:autoSpaceDE w:val="0"/>
      <w:ind w:firstLine="420"/>
      <w:jc w:val="left"/>
      <w:textAlignment w:val="baseline"/>
    </w:pPr>
    <w:rPr>
      <w:rFonts w:ascii="宋体" w:hAnsi="宋体"/>
      <w:kern w:val="1"/>
      <w:sz w:val="34"/>
      <w:szCs w:val="20"/>
      <w:lang w:eastAsia="ar-SA"/>
    </w:rPr>
  </w:style>
  <w:style w:type="paragraph" w:customStyle="1" w:styleId="128">
    <w:name w:val="题注5"/>
    <w:basedOn w:val="1"/>
    <w:next w:val="20"/>
    <w:qFormat/>
    <w:uiPriority w:val="0"/>
    <w:pPr>
      <w:numPr>
        <w:ilvl w:val="0"/>
        <w:numId w:val="3"/>
      </w:numPr>
      <w:tabs>
        <w:tab w:val="left" w:pos="540"/>
        <w:tab w:val="clear" w:pos="420"/>
      </w:tabs>
      <w:ind w:left="540" w:right="0" w:hanging="540" w:hangingChars="225"/>
    </w:pPr>
    <w:rPr>
      <w:rFonts w:ascii="宋体" w:hAnsi="宋体"/>
      <w:color w:val="000000"/>
      <w:sz w:val="24"/>
    </w:rPr>
  </w:style>
  <w:style w:type="paragraph" w:customStyle="1" w:styleId="129">
    <w:name w:val="题注4"/>
    <w:basedOn w:val="1"/>
    <w:next w:val="20"/>
    <w:qFormat/>
    <w:uiPriority w:val="0"/>
    <w:pPr>
      <w:ind w:left="-132" w:leftChars="-64" w:right="-50" w:rightChars="-50" w:hanging="2"/>
      <w:jc w:val="center"/>
    </w:pPr>
    <w:rPr>
      <w:b/>
      <w:color w:val="FF0000"/>
    </w:rPr>
  </w:style>
  <w:style w:type="character" w:customStyle="1" w:styleId="130">
    <w:name w:val="Superscript"/>
    <w:qFormat/>
    <w:uiPriority w:val="0"/>
    <w:rPr>
      <w:vertAlign w:val="superscript"/>
    </w:rPr>
  </w:style>
  <w:style w:type="character" w:customStyle="1" w:styleId="131">
    <w:name w:val="font41"/>
    <w:qFormat/>
    <w:uiPriority w:val="0"/>
    <w:rPr>
      <w:rFonts w:hint="default" w:ascii="Times New Roman" w:hAnsi="Times New Roman" w:cs="Times New Roman"/>
      <w:color w:val="000000"/>
      <w:sz w:val="24"/>
      <w:szCs w:val="24"/>
      <w:u w:val="none"/>
    </w:rPr>
  </w:style>
  <w:style w:type="character" w:customStyle="1" w:styleId="132">
    <w:name w:val="批注文字 Char"/>
    <w:link w:val="23"/>
    <w:qFormat/>
    <w:uiPriority w:val="0"/>
    <w:rPr>
      <w:kern w:val="2"/>
      <w:sz w:val="21"/>
      <w:szCs w:val="24"/>
    </w:rPr>
  </w:style>
  <w:style w:type="character" w:customStyle="1" w:styleId="133">
    <w:name w:val="正文缩进 Char"/>
    <w:link w:val="19"/>
    <w:qFormat/>
    <w:locked/>
    <w:uiPriority w:val="0"/>
    <w:rPr>
      <w:rFonts w:eastAsia="宋体"/>
      <w:kern w:val="2"/>
      <w:sz w:val="24"/>
      <w:lang w:val="en-US" w:eastAsia="zh-CN" w:bidi="ar-SA"/>
    </w:rPr>
  </w:style>
  <w:style w:type="character" w:customStyle="1" w:styleId="134">
    <w:name w:val="font81"/>
    <w:qFormat/>
    <w:uiPriority w:val="0"/>
    <w:rPr>
      <w:rFonts w:hint="eastAsia" w:ascii="宋体" w:hAnsi="宋体" w:eastAsia="宋体"/>
      <w:color w:val="000000"/>
      <w:sz w:val="22"/>
      <w:szCs w:val="22"/>
      <w:u w:val="none"/>
    </w:rPr>
  </w:style>
  <w:style w:type="character" w:customStyle="1" w:styleId="135">
    <w:name w:val="日期 Char"/>
    <w:link w:val="45"/>
    <w:qFormat/>
    <w:uiPriority w:val="0"/>
    <w:rPr>
      <w:rFonts w:eastAsia="宋体"/>
      <w:b/>
      <w:spacing w:val="40"/>
      <w:kern w:val="2"/>
      <w:sz w:val="44"/>
      <w:szCs w:val="44"/>
      <w:lang w:val="en-US" w:eastAsia="zh-CN" w:bidi="ar-SA"/>
    </w:rPr>
  </w:style>
  <w:style w:type="character" w:customStyle="1" w:styleId="136">
    <w:name w:val="正文缩进1 Char1"/>
    <w:qFormat/>
    <w:locked/>
    <w:uiPriority w:val="0"/>
    <w:rPr>
      <w:rFonts w:eastAsia="宋体"/>
      <w:sz w:val="21"/>
      <w:lang w:val="en-US" w:eastAsia="zh-CN" w:bidi="ar-SA"/>
    </w:rPr>
  </w:style>
  <w:style w:type="character" w:customStyle="1" w:styleId="137">
    <w:name w:val="font61"/>
    <w:qFormat/>
    <w:uiPriority w:val="0"/>
    <w:rPr>
      <w:rFonts w:hint="eastAsia" w:ascii="宋体" w:hAnsi="宋体" w:eastAsia="宋体"/>
      <w:color w:val="000000"/>
      <w:sz w:val="18"/>
      <w:szCs w:val="18"/>
      <w:u w:val="none"/>
      <w:vertAlign w:val="superscript"/>
    </w:rPr>
  </w:style>
  <w:style w:type="character" w:customStyle="1" w:styleId="138">
    <w:name w:val="普通文字 Char1"/>
    <w:qFormat/>
    <w:uiPriority w:val="0"/>
    <w:rPr>
      <w:rFonts w:ascii="宋体" w:hAnsi="Courier New" w:eastAsia="宋体"/>
      <w:kern w:val="2"/>
      <w:sz w:val="21"/>
      <w:lang w:val="en-US" w:eastAsia="zh-CN" w:bidi="ar-SA"/>
    </w:rPr>
  </w:style>
  <w:style w:type="character" w:customStyle="1" w:styleId="139">
    <w:name w:val="普通文字 Char Char Char"/>
    <w:qFormat/>
    <w:uiPriority w:val="0"/>
    <w:rPr>
      <w:rFonts w:ascii="宋体" w:hAnsi="Courier New" w:eastAsia="宋体"/>
      <w:kern w:val="2"/>
      <w:sz w:val="21"/>
      <w:lang w:val="en-US" w:eastAsia="zh-CN" w:bidi="ar-SA"/>
    </w:rPr>
  </w:style>
  <w:style w:type="character" w:customStyle="1" w:styleId="140">
    <w:name w:val="纯文本 Char1"/>
    <w:link w:val="42"/>
    <w:qFormat/>
    <w:uiPriority w:val="0"/>
    <w:rPr>
      <w:rFonts w:ascii="宋体" w:hAnsi="Courier New" w:eastAsia="宋体" w:cs="Courier New"/>
      <w:kern w:val="2"/>
      <w:sz w:val="21"/>
      <w:szCs w:val="21"/>
      <w:lang w:val="en-US" w:eastAsia="zh-CN" w:bidi="ar-SA"/>
    </w:rPr>
  </w:style>
  <w:style w:type="character" w:customStyle="1" w:styleId="141">
    <w:name w:val="批注主题 Char"/>
    <w:link w:val="66"/>
    <w:qFormat/>
    <w:uiPriority w:val="0"/>
    <w:rPr>
      <w:b/>
      <w:bCs/>
      <w:kern w:val="2"/>
      <w:sz w:val="21"/>
      <w:szCs w:val="24"/>
    </w:rPr>
  </w:style>
  <w:style w:type="character" w:customStyle="1" w:styleId="142">
    <w:name w:val="font71"/>
    <w:qFormat/>
    <w:uiPriority w:val="0"/>
    <w:rPr>
      <w:rFonts w:hint="default" w:ascii="Times New Roman" w:hAnsi="Times New Roman" w:cs="Times New Roman"/>
      <w:color w:val="000000"/>
      <w:sz w:val="24"/>
      <w:szCs w:val="24"/>
      <w:u w:val="none"/>
    </w:rPr>
  </w:style>
  <w:style w:type="character" w:customStyle="1" w:styleId="143">
    <w:name w:val="纯文本 Char"/>
    <w:qFormat/>
    <w:uiPriority w:val="0"/>
    <w:rPr>
      <w:rFonts w:ascii="宋体" w:hAnsi="Courier New" w:eastAsia="宋体" w:cs="Courier New"/>
      <w:kern w:val="2"/>
      <w:sz w:val="21"/>
      <w:szCs w:val="21"/>
      <w:lang w:val="en-US" w:eastAsia="zh-CN" w:bidi="ar-SA"/>
    </w:rPr>
  </w:style>
  <w:style w:type="character" w:customStyle="1" w:styleId="144">
    <w:name w:val="Lead-in Emphasis"/>
    <w:qFormat/>
    <w:uiPriority w:val="0"/>
    <w:rPr>
      <w:caps/>
      <w:sz w:val="18"/>
    </w:rPr>
  </w:style>
  <w:style w:type="character" w:customStyle="1" w:styleId="145">
    <w:name w:val="纯文本 Char Char Char"/>
    <w:qFormat/>
    <w:uiPriority w:val="0"/>
    <w:rPr>
      <w:rFonts w:ascii="宋体" w:hAnsi="Courier New" w:eastAsia="仿宋_GB2312"/>
      <w:kern w:val="2"/>
      <w:sz w:val="30"/>
      <w:lang w:val="en-US" w:eastAsia="zh-CN" w:bidi="ar-SA"/>
    </w:rPr>
  </w:style>
  <w:style w:type="character" w:customStyle="1" w:styleId="146">
    <w:name w:val="段 Char"/>
    <w:link w:val="81"/>
    <w:qFormat/>
    <w:uiPriority w:val="0"/>
    <w:rPr>
      <w:rFonts w:ascii="宋体"/>
      <w:sz w:val="21"/>
      <w:lang w:val="en-US" w:eastAsia="zh-CN" w:bidi="ar-SA"/>
    </w:rPr>
  </w:style>
  <w:style w:type="character" w:customStyle="1" w:styleId="147">
    <w:name w:val="页脚 Char"/>
    <w:link w:val="49"/>
    <w:qFormat/>
    <w:uiPriority w:val="99"/>
    <w:rPr>
      <w:kern w:val="2"/>
      <w:sz w:val="18"/>
      <w:szCs w:val="18"/>
    </w:rPr>
  </w:style>
  <w:style w:type="character" w:customStyle="1" w:styleId="148">
    <w:name w:val="Slogan"/>
    <w:qFormat/>
    <w:uiPriority w:val="0"/>
    <w:rPr>
      <w:i/>
      <w:spacing w:val="70"/>
    </w:rPr>
  </w:style>
  <w:style w:type="character" w:customStyle="1" w:styleId="149">
    <w:name w:val="font21"/>
    <w:qFormat/>
    <w:uiPriority w:val="0"/>
    <w:rPr>
      <w:rFonts w:hint="eastAsia" w:ascii="宋体" w:hAnsi="宋体" w:eastAsia="宋体"/>
      <w:color w:val="000000"/>
      <w:sz w:val="24"/>
      <w:szCs w:val="24"/>
      <w:u w:val="none"/>
    </w:rPr>
  </w:style>
  <w:style w:type="character" w:customStyle="1" w:styleId="150">
    <w:name w:val="font91"/>
    <w:qFormat/>
    <w:uiPriority w:val="0"/>
    <w:rPr>
      <w:rFonts w:hint="eastAsia" w:ascii="宋体" w:hAnsi="宋体" w:eastAsia="宋体"/>
      <w:color w:val="000000"/>
      <w:sz w:val="18"/>
      <w:szCs w:val="18"/>
      <w:u w:val="none"/>
    </w:rPr>
  </w:style>
  <w:style w:type="character" w:customStyle="1" w:styleId="151">
    <w:name w:val="font01"/>
    <w:qFormat/>
    <w:uiPriority w:val="0"/>
    <w:rPr>
      <w:rFonts w:hint="eastAsia" w:ascii="宋体" w:hAnsi="宋体" w:eastAsia="宋体"/>
      <w:color w:val="000000"/>
      <w:sz w:val="24"/>
      <w:szCs w:val="24"/>
      <w:u w:val="none"/>
    </w:rPr>
  </w:style>
  <w:style w:type="character" w:customStyle="1" w:styleId="152">
    <w:name w:val="font51"/>
    <w:qFormat/>
    <w:uiPriority w:val="0"/>
    <w:rPr>
      <w:rFonts w:hint="eastAsia" w:ascii="宋体" w:hAnsi="宋体" w:eastAsia="宋体"/>
      <w:color w:val="000000"/>
      <w:sz w:val="18"/>
      <w:szCs w:val="18"/>
      <w:u w:val="none"/>
    </w:rPr>
  </w:style>
  <w:style w:type="character" w:customStyle="1" w:styleId="153">
    <w:name w:val="font11"/>
    <w:basedOn w:val="71"/>
    <w:qFormat/>
    <w:uiPriority w:val="0"/>
    <w:rPr>
      <w:rFonts w:hint="eastAsia" w:ascii="宋体" w:hAnsi="宋体" w:eastAsia="宋体" w:cs="宋体"/>
      <w:color w:val="000000"/>
      <w:sz w:val="20"/>
      <w:szCs w:val="20"/>
      <w:u w:val="none"/>
    </w:rPr>
  </w:style>
  <w:style w:type="paragraph" w:customStyle="1" w:styleId="154">
    <w:name w:val="Default Text"/>
    <w:link w:val="160"/>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55">
    <w:name w:val="样式1"/>
    <w:basedOn w:val="1"/>
    <w:qFormat/>
    <w:uiPriority w:val="0"/>
    <w:pPr>
      <w:tabs>
        <w:tab w:val="left" w:pos="709"/>
      </w:tabs>
      <w:spacing w:line="240" w:lineRule="auto"/>
      <w:ind w:left="709" w:hanging="709"/>
    </w:pPr>
    <w:rPr>
      <w:rFonts w:ascii="宋体" w:hAnsi="宋体"/>
      <w:szCs w:val="21"/>
    </w:rPr>
  </w:style>
  <w:style w:type="character" w:customStyle="1" w:styleId="156">
    <w:name w:val="NormalCharacter"/>
    <w:link w:val="1"/>
    <w:semiHidden/>
    <w:qFormat/>
    <w:uiPriority w:val="0"/>
    <w:rPr>
      <w:rFonts w:ascii="Times New Roman" w:hAnsi="Times New Roman" w:eastAsia="宋体" w:cs="Times New Roman"/>
      <w:kern w:val="2"/>
      <w:sz w:val="21"/>
      <w:szCs w:val="24"/>
      <w:lang w:val="en-US" w:eastAsia="zh-CN" w:bidi="ar-SA"/>
    </w:rPr>
  </w:style>
  <w:style w:type="paragraph" w:customStyle="1" w:styleId="157">
    <w:name w:val="子标题"/>
    <w:basedOn w:val="1"/>
    <w:qFormat/>
    <w:uiPriority w:val="0"/>
    <w:pPr>
      <w:ind w:firstLine="200" w:firstLineChars="200"/>
      <w:jc w:val="center"/>
    </w:pPr>
    <w:rPr>
      <w:rFonts w:eastAsia="新宋体"/>
      <w:sz w:val="28"/>
    </w:rPr>
  </w:style>
  <w:style w:type="paragraph" w:customStyle="1" w:styleId="158">
    <w:name w:val="缺省文本"/>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styleId="159">
    <w:name w:val="List Paragraph"/>
    <w:basedOn w:val="1"/>
    <w:unhideWhenUsed/>
    <w:qFormat/>
    <w:uiPriority w:val="99"/>
    <w:pPr>
      <w:ind w:firstLine="420" w:firstLineChars="200"/>
    </w:pPr>
  </w:style>
  <w:style w:type="character" w:customStyle="1" w:styleId="160">
    <w:name w:val="Default Text Char Char"/>
    <w:link w:val="154"/>
    <w:qFormat/>
    <w:uiPriority w:val="0"/>
    <w:rPr>
      <w:rFonts w:ascii="Times New Roman" w:hAnsi="Times New Roman"/>
      <w:color w:val="000000"/>
      <w:sz w:val="24"/>
      <w:szCs w:val="24"/>
    </w:rPr>
  </w:style>
  <w:style w:type="character" w:customStyle="1" w:styleId="161">
    <w:name w:val="标题 1 Char"/>
    <w:link w:val="3"/>
    <w:qFormat/>
    <w:uiPriority w:val="0"/>
    <w:rPr>
      <w:rFonts w:ascii="Times New Roman" w:hAnsi="Times New Roman"/>
      <w:b/>
      <w:kern w:val="44"/>
      <w:sz w:val="32"/>
    </w:rPr>
  </w:style>
  <w:style w:type="paragraph" w:customStyle="1" w:styleId="162">
    <w:name w:val="Body text|1"/>
    <w:basedOn w:val="1"/>
    <w:qFormat/>
    <w:uiPriority w:val="0"/>
    <w:pPr>
      <w:widowControl w:val="0"/>
      <w:shd w:val="clear" w:color="auto" w:fill="auto"/>
      <w:spacing w:line="473" w:lineRule="auto"/>
      <w:ind w:firstLine="360"/>
    </w:pPr>
    <w:rPr>
      <w:rFonts w:ascii="宋体" w:hAnsi="宋体" w:eastAsia="宋体" w:cs="宋体"/>
      <w:sz w:val="19"/>
      <w:szCs w:val="19"/>
      <w:u w:val="none"/>
      <w:shd w:val="clear" w:color="auto" w:fill="auto"/>
      <w:lang w:val="zh-TW" w:eastAsia="zh-TW" w:bidi="zh-TW"/>
    </w:rPr>
  </w:style>
  <w:style w:type="paragraph" w:customStyle="1" w:styleId="163">
    <w:name w:val="WPSOffice手动目录 1"/>
    <w:qFormat/>
    <w:uiPriority w:val="0"/>
    <w:pPr>
      <w:ind w:leftChars="0"/>
    </w:pPr>
    <w:rPr>
      <w:rFonts w:ascii="Times New Roman" w:hAnsi="Times New Roman" w:eastAsia="宋体" w:cs="Times New Roman"/>
      <w:sz w:val="20"/>
      <w:szCs w:val="20"/>
    </w:rPr>
  </w:style>
  <w:style w:type="paragraph" w:customStyle="1" w:styleId="16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5">
    <w:name w:val="样式 左侧:  0.74 厘米"/>
    <w:basedOn w:val="1"/>
    <w:qFormat/>
    <w:uiPriority w:val="0"/>
    <w:pPr>
      <w:spacing w:line="360" w:lineRule="auto"/>
      <w:ind w:left="620" w:hanging="200" w:hangingChars="200"/>
    </w:pPr>
    <w:rPr>
      <w:rFonts w:ascii="Times New Roman" w:hAnsi="Times New Roman"/>
      <w:kern w:val="0"/>
      <w:sz w:val="20"/>
      <w:szCs w:val="20"/>
    </w:rPr>
  </w:style>
  <w:style w:type="paragraph" w:customStyle="1" w:styleId="166">
    <w:name w:val="正文缩进1"/>
    <w:basedOn w:val="1"/>
    <w:qFormat/>
    <w:uiPriority w:val="0"/>
    <w:pPr>
      <w:autoSpaceDE w:val="0"/>
      <w:autoSpaceDN w:val="0"/>
      <w:adjustRightInd w:val="0"/>
      <w:ind w:firstLine="420"/>
      <w:jc w:val="left"/>
    </w:pPr>
    <w:rPr>
      <w:rFonts w:ascii="宋体" w:hAnsi="Calibri" w:eastAsia="宋体" w:cs="Times New Roman"/>
      <w:sz w:val="24"/>
      <w:szCs w:val="22"/>
    </w:rPr>
  </w:style>
  <w:style w:type="paragraph" w:customStyle="1" w:styleId="167">
    <w:name w:val="章节题目"/>
    <w:basedOn w:val="168"/>
    <w:next w:val="1"/>
    <w:unhideWhenUsed/>
    <w:qFormat/>
    <w:uiPriority w:val="0"/>
    <w:pPr>
      <w:spacing w:before="720" w:after="400" w:line="540" w:lineRule="atLeast"/>
      <w:ind w:right="2160"/>
    </w:pPr>
    <w:rPr>
      <w:rFonts w:hint="eastAsia" w:ascii="Times New Roman" w:hAnsi="Times New Roman" w:eastAsia="Times New Roman"/>
      <w:spacing w:val="-40"/>
      <w:sz w:val="60"/>
    </w:rPr>
  </w:style>
  <w:style w:type="paragraph" w:customStyle="1" w:styleId="168">
    <w:name w:val="基准标题"/>
    <w:basedOn w:val="1"/>
    <w:next w:val="8"/>
    <w:unhideWhenUsed/>
    <w:qFormat/>
    <w:uiPriority w:val="0"/>
    <w:pPr>
      <w:keepNext/>
      <w:keepLines/>
      <w:spacing w:before="140" w:line="220" w:lineRule="atLeast"/>
    </w:pPr>
    <w:rPr>
      <w:rFonts w:hint="default" w:ascii="Arial" w:hAnsi="Arial" w:eastAsia="宋体"/>
      <w:spacing w:val="-4"/>
      <w:kern w:val="28"/>
      <w:sz w:val="22"/>
    </w:rPr>
  </w:style>
  <w:style w:type="paragraph" w:customStyle="1" w:styleId="16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table" w:customStyle="1" w:styleId="170">
    <w:name w:val="Table Normal"/>
    <w:unhideWhenUsed/>
    <w:qFormat/>
    <w:uiPriority w:val="0"/>
    <w:tblPr>
      <w:tblCellMar>
        <w:top w:w="0" w:type="dxa"/>
        <w:left w:w="0" w:type="dxa"/>
        <w:bottom w:w="0" w:type="dxa"/>
        <w:right w:w="0" w:type="dxa"/>
      </w:tblCellMar>
    </w:tblPr>
  </w:style>
  <w:style w:type="paragraph" w:customStyle="1" w:styleId="171">
    <w:name w:val="WPSOffice手动目录 2"/>
    <w:qFormat/>
    <w:uiPriority w:val="0"/>
    <w:pPr>
      <w:ind w:leftChars="200"/>
    </w:pPr>
    <w:rPr>
      <w:rFonts w:ascii="Times New Roman" w:hAnsi="Times New Roman" w:eastAsia="宋体" w:cs="Times New Roman"/>
      <w:sz w:val="20"/>
      <w:szCs w:val="20"/>
    </w:rPr>
  </w:style>
  <w:style w:type="paragraph" w:customStyle="1" w:styleId="172">
    <w:name w:val="WPSOffice手动目录 3"/>
    <w:qFormat/>
    <w:uiPriority w:val="0"/>
    <w:pPr>
      <w:ind w:leftChars="400"/>
    </w:pPr>
    <w:rPr>
      <w:rFonts w:ascii="Times New Roman" w:hAnsi="Times New Roman" w:eastAsia="宋体" w:cs="Times New Roman"/>
      <w:sz w:val="20"/>
      <w:szCs w:val="20"/>
    </w:rPr>
  </w:style>
  <w:style w:type="paragraph" w:customStyle="1" w:styleId="173">
    <w:name w:val="BodyText"/>
    <w:basedOn w:val="1"/>
    <w:qFormat/>
    <w:uiPriority w:val="0"/>
    <w:pPr>
      <w:tabs>
        <w:tab w:val="left" w:pos="9214"/>
      </w:tabs>
      <w:spacing w:after="120" w:line="400" w:lineRule="atLeast"/>
      <w:ind w:right="-58" w:firstLine="600"/>
      <w:textAlignment w:val="bottom"/>
    </w:pPr>
    <w:rPr>
      <w:rFonts w:ascii="宋体"/>
      <w:kern w:val="0"/>
      <w:sz w:val="24"/>
      <w:szCs w:val="20"/>
    </w:rPr>
  </w:style>
  <w:style w:type="paragraph" w:customStyle="1" w:styleId="174">
    <w:name w:val="样式 首行缩进:  2 字符"/>
    <w:basedOn w:val="1"/>
    <w:qFormat/>
    <w:uiPriority w:val="0"/>
    <w:pPr>
      <w:spacing w:line="400" w:lineRule="exact"/>
      <w:ind w:firstLine="200" w:firstLineChars="200"/>
    </w:pPr>
    <w:rPr>
      <w:rFonts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0.png"/><Relationship Id="rId8" Type="http://schemas.openxmlformats.org/officeDocument/2006/relationships/footer" Target="footer1.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3.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90</Pages>
  <Words>33766</Words>
  <Characters>37744</Characters>
  <Lines>167</Lines>
  <Paragraphs>47</Paragraphs>
  <TotalTime>7</TotalTime>
  <ScaleCrop>false</ScaleCrop>
  <LinksUpToDate>false</LinksUpToDate>
  <CharactersWithSpaces>41444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2017-09-14T10:07:00Z</dcterms:created>
  <dc:creator>Administrator</dc:creator>
  <cp:lastModifiedBy>姚鑫</cp:lastModifiedBy>
  <cp:lastPrinted>2022-08-09T09:20:00Z</cp:lastPrinted>
  <dcterms:modified xsi:type="dcterms:W3CDTF">2022-12-22T09:51:27Z</dcterms:modified>
  <dc:title>2017年中山市政府绩效管理咨询服务项目</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D764F634E8EB41A791F78E0A736AED0B</vt:lpwstr>
  </property>
</Properties>
</file>