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rPr>
          <w:rFonts w:hAnsi="宋体"/>
          <w:color w:val="auto"/>
          <w:highlight w:val="none"/>
        </w:rPr>
      </w:pPr>
    </w:p>
    <w:p>
      <w:pPr>
        <w:autoSpaceDE w:val="0"/>
        <w:autoSpaceDN w:val="0"/>
        <w:adjustRightInd w:val="0"/>
        <w:snapToGrid w:val="0"/>
        <w:spacing w:line="360" w:lineRule="auto"/>
        <w:jc w:val="center"/>
        <w:textAlignment w:val="bottom"/>
        <w:rPr>
          <w:rFonts w:hint="eastAsia" w:ascii="宋体" w:hAnsi="宋体" w:cs="宋体"/>
          <w:b/>
          <w:kern w:val="0"/>
          <w:sz w:val="32"/>
          <w:szCs w:val="32"/>
          <w:highlight w:val="none"/>
          <w:lang w:eastAsia="zh-CN"/>
        </w:rPr>
      </w:pPr>
      <w:r>
        <w:rPr>
          <w:rFonts w:hint="eastAsia" w:ascii="宋体" w:hAnsi="宋体" w:cs="宋体"/>
          <w:b/>
          <w:kern w:val="0"/>
          <w:sz w:val="32"/>
          <w:szCs w:val="32"/>
          <w:highlight w:val="none"/>
          <w:lang w:eastAsia="zh-CN"/>
        </w:rPr>
        <w:t>浙江理工大学消防管网改造及安全防护设施、电梯更新项目</w:t>
      </w:r>
    </w:p>
    <w:p>
      <w:pPr>
        <w:autoSpaceDE w:val="0"/>
        <w:autoSpaceDN w:val="0"/>
        <w:adjustRightInd w:val="0"/>
        <w:snapToGrid w:val="0"/>
        <w:spacing w:line="360" w:lineRule="auto"/>
        <w:jc w:val="center"/>
        <w:textAlignment w:val="bottom"/>
        <w:rPr>
          <w:rFonts w:hint="eastAsia" w:ascii="宋体" w:hAnsi="宋体" w:cs="宋体"/>
          <w:b/>
          <w:kern w:val="0"/>
          <w:sz w:val="32"/>
          <w:szCs w:val="32"/>
          <w:highlight w:val="none"/>
          <w:lang w:eastAsia="zh-CN"/>
        </w:rPr>
      </w:pPr>
      <w:r>
        <w:rPr>
          <w:rFonts w:hint="eastAsia" w:ascii="宋体" w:hAnsi="宋体" w:cs="宋体"/>
          <w:b/>
          <w:kern w:val="0"/>
          <w:sz w:val="32"/>
          <w:szCs w:val="32"/>
          <w:highlight w:val="none"/>
          <w:lang w:eastAsia="zh-CN"/>
        </w:rPr>
        <w:t>监理服务</w:t>
      </w:r>
    </w:p>
    <w:p>
      <w:pPr>
        <w:pStyle w:val="66"/>
        <w:rPr>
          <w:rFonts w:hint="eastAsia"/>
          <w:highlight w:val="none"/>
          <w:lang w:eastAsia="zh-CN"/>
        </w:rPr>
      </w:pPr>
    </w:p>
    <w:p>
      <w:pPr>
        <w:pStyle w:val="66"/>
        <w:rPr>
          <w:rFonts w:hint="eastAsia"/>
          <w:highlight w:val="none"/>
          <w:lang w:eastAsia="zh-CN"/>
        </w:rPr>
      </w:pPr>
    </w:p>
    <w:p>
      <w:pPr>
        <w:tabs>
          <w:tab w:val="left" w:pos="0"/>
        </w:tabs>
        <w:adjustRightInd w:val="0"/>
        <w:snapToGrid w:val="0"/>
        <w:spacing w:line="360" w:lineRule="auto"/>
        <w:ind w:firstLine="201" w:firstLineChars="20"/>
        <w:jc w:val="center"/>
        <w:rPr>
          <w:rFonts w:ascii="宋体" w:hAnsi="宋体" w:cs="宋体"/>
          <w:b/>
          <w:sz w:val="100"/>
          <w:szCs w:val="100"/>
          <w:highlight w:val="none"/>
        </w:rPr>
      </w:pPr>
      <w:r>
        <w:rPr>
          <w:rFonts w:hint="eastAsia" w:ascii="宋体" w:hAnsi="宋体" w:cs="宋体"/>
          <w:b/>
          <w:sz w:val="100"/>
          <w:szCs w:val="100"/>
          <w:highlight w:val="none"/>
        </w:rPr>
        <w:t>采购文件</w:t>
      </w:r>
    </w:p>
    <w:p>
      <w:pPr>
        <w:tabs>
          <w:tab w:val="left" w:pos="0"/>
        </w:tabs>
        <w:adjustRightInd w:val="0"/>
        <w:snapToGrid w:val="0"/>
        <w:spacing w:line="360" w:lineRule="auto"/>
        <w:ind w:firstLine="64" w:firstLineChars="20"/>
        <w:jc w:val="center"/>
        <w:rPr>
          <w:rFonts w:ascii="宋体" w:hAnsi="宋体" w:cs="宋体"/>
          <w:b/>
          <w:sz w:val="160"/>
          <w:szCs w:val="100"/>
          <w:highlight w:val="none"/>
        </w:rPr>
      </w:pPr>
      <w:r>
        <w:rPr>
          <w:rFonts w:hint="eastAsia" w:ascii="宋体" w:hAnsi="宋体" w:cs="宋体"/>
          <w:b/>
          <w:kern w:val="0"/>
          <w:sz w:val="32"/>
          <w:highlight w:val="none"/>
        </w:rPr>
        <w:t>（线上电子招投标）</w:t>
      </w:r>
    </w:p>
    <w:p>
      <w:pPr>
        <w:adjustRightInd w:val="0"/>
        <w:snapToGrid w:val="0"/>
        <w:spacing w:line="360" w:lineRule="auto"/>
        <w:jc w:val="center"/>
        <w:rPr>
          <w:rFonts w:ascii="宋体" w:hAnsi="宋体" w:cs="宋体"/>
          <w:b/>
          <w:sz w:val="30"/>
          <w:szCs w:val="30"/>
          <w:highlight w:val="none"/>
        </w:rPr>
      </w:pPr>
      <w:r>
        <w:rPr>
          <w:rFonts w:hint="eastAsia" w:ascii="宋体" w:hAnsi="宋体" w:cs="宋体"/>
          <w:kern w:val="0"/>
          <w:sz w:val="24"/>
          <w:highlight w:val="none"/>
        </w:rPr>
        <w:fldChar w:fldCharType="begin"/>
      </w:r>
      <w:r>
        <w:rPr>
          <w:rFonts w:hint="eastAsia" w:ascii="宋体" w:hAnsi="宋体" w:cs="宋体"/>
          <w:kern w:val="0"/>
          <w:sz w:val="24"/>
          <w:highlight w:val="none"/>
        </w:rPr>
        <w:instrText xml:space="preserve"> INCLUDEPICTURE  "D:\\Program%252525252525252525252525252525252520Files%252525252525252525252525252525252520(x86)\\Tencent\\ACER\\Documents\\Tencent%252525252525252525252525252525252520Files\\731289318\\Image\\Group\\JIEF%25252525252525252525252525252525255bIF7A8MK059L~WLO%252525252525252525252525252525252525H0.jpg" \* MERGEFORMATINET </w:instrText>
      </w:r>
      <w:r>
        <w:rPr>
          <w:rFonts w:hint="eastAsia" w:ascii="宋体" w:hAnsi="宋体" w:cs="宋体"/>
          <w:kern w:val="0"/>
          <w:sz w:val="24"/>
          <w:highlight w:val="none"/>
        </w:rPr>
        <w:fldChar w:fldCharType="separate"/>
      </w:r>
      <w:r>
        <w:rPr>
          <w:rFonts w:hint="eastAsia" w:ascii="宋体" w:hAnsi="宋体" w:cs="宋体"/>
          <w:kern w:val="0"/>
          <w:sz w:val="24"/>
          <w:highlight w:val="none"/>
        </w:rPr>
        <w:drawing>
          <wp:inline distT="0" distB="0" distL="114300" distR="114300">
            <wp:extent cx="1781175" cy="136207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r:link="rId15" cstate="print"/>
                    <a:stretch>
                      <a:fillRect/>
                    </a:stretch>
                  </pic:blipFill>
                  <pic:spPr>
                    <a:xfrm>
                      <a:off x="0" y="0"/>
                      <a:ext cx="1781175" cy="1362075"/>
                    </a:xfrm>
                    <a:prstGeom prst="rect">
                      <a:avLst/>
                    </a:prstGeom>
                    <a:noFill/>
                    <a:ln>
                      <a:noFill/>
                    </a:ln>
                  </pic:spPr>
                </pic:pic>
              </a:graphicData>
            </a:graphic>
          </wp:inline>
        </w:drawing>
      </w:r>
      <w:r>
        <w:rPr>
          <w:rFonts w:hint="eastAsia" w:ascii="宋体" w:hAnsi="宋体" w:cs="宋体"/>
          <w:kern w:val="0"/>
          <w:sz w:val="24"/>
          <w:highlight w:val="none"/>
        </w:rPr>
        <w:fldChar w:fldCharType="end"/>
      </w:r>
    </w:p>
    <w:p>
      <w:pPr>
        <w:adjustRightInd w:val="0"/>
        <w:snapToGrid w:val="0"/>
        <w:spacing w:line="360" w:lineRule="auto"/>
        <w:rPr>
          <w:rFonts w:ascii="宋体" w:hAnsi="宋体" w:cs="宋体"/>
          <w:b/>
          <w:bCs/>
          <w:sz w:val="30"/>
          <w:szCs w:val="30"/>
          <w:highlight w:val="none"/>
        </w:rPr>
      </w:pPr>
    </w:p>
    <w:p>
      <w:pPr>
        <w:adjustRightInd w:val="0"/>
        <w:snapToGrid w:val="0"/>
        <w:spacing w:line="360" w:lineRule="auto"/>
        <w:ind w:firstLine="2108" w:firstLineChars="700"/>
        <w:rPr>
          <w:rFonts w:ascii="宋体" w:hAnsi="宋体" w:cs="宋体"/>
          <w:b/>
          <w:bCs/>
          <w:sz w:val="30"/>
          <w:szCs w:val="30"/>
          <w:highlight w:val="none"/>
        </w:rPr>
      </w:pPr>
      <w:r>
        <w:rPr>
          <w:rFonts w:hint="eastAsia" w:ascii="宋体" w:hAnsi="宋体" w:cs="宋体"/>
          <w:b/>
          <w:bCs/>
          <w:sz w:val="30"/>
          <w:szCs w:val="30"/>
          <w:highlight w:val="none"/>
        </w:rPr>
        <w:t>采购方式：公开招标</w:t>
      </w:r>
    </w:p>
    <w:p>
      <w:pPr>
        <w:adjustRightInd w:val="0"/>
        <w:snapToGrid w:val="0"/>
        <w:spacing w:line="360" w:lineRule="auto"/>
        <w:ind w:firstLine="2108" w:firstLineChars="700"/>
        <w:rPr>
          <w:rFonts w:hint="eastAsia" w:ascii="宋体" w:hAnsi="宋体" w:eastAsia="宋体" w:cs="宋体"/>
          <w:b/>
          <w:bCs/>
          <w:sz w:val="30"/>
          <w:szCs w:val="30"/>
          <w:highlight w:val="none"/>
          <w:lang w:eastAsia="zh-CN"/>
        </w:rPr>
      </w:pPr>
      <w:r>
        <w:rPr>
          <w:rFonts w:hint="eastAsia" w:ascii="宋体" w:hAnsi="宋体" w:cs="宋体"/>
          <w:b/>
          <w:bCs/>
          <w:sz w:val="30"/>
          <w:szCs w:val="30"/>
          <w:highlight w:val="none"/>
        </w:rPr>
        <w:t>项目编号：</w:t>
      </w:r>
      <w:r>
        <w:rPr>
          <w:rFonts w:hint="eastAsia" w:ascii="宋体" w:hAnsi="宋体" w:cs="宋体"/>
          <w:b/>
          <w:bCs/>
          <w:sz w:val="30"/>
          <w:szCs w:val="30"/>
          <w:highlight w:val="none"/>
          <w:lang w:eastAsia="zh-CN"/>
        </w:rPr>
        <w:t>CTZB-2024040071</w:t>
      </w:r>
    </w:p>
    <w:p>
      <w:pPr>
        <w:adjustRightInd w:val="0"/>
        <w:snapToGrid w:val="0"/>
        <w:spacing w:line="360" w:lineRule="auto"/>
        <w:rPr>
          <w:rFonts w:ascii="宋体" w:hAnsi="宋体" w:cs="宋体"/>
          <w:b/>
          <w:bCs/>
          <w:sz w:val="30"/>
          <w:szCs w:val="30"/>
          <w:highlight w:val="none"/>
        </w:rPr>
      </w:pPr>
    </w:p>
    <w:p>
      <w:pPr>
        <w:pStyle w:val="23"/>
        <w:rPr>
          <w:rFonts w:ascii="宋体" w:hAnsi="宋体" w:eastAsia="宋体" w:cs="宋体"/>
          <w:highlight w:val="none"/>
        </w:rPr>
      </w:pPr>
    </w:p>
    <w:p>
      <w:pPr>
        <w:pStyle w:val="24"/>
        <w:rPr>
          <w:rFonts w:hAnsi="宋体"/>
          <w:color w:val="auto"/>
          <w:highlight w:val="none"/>
        </w:rPr>
      </w:pPr>
    </w:p>
    <w:p>
      <w:pPr>
        <w:pStyle w:val="24"/>
        <w:rPr>
          <w:rFonts w:hAnsi="宋体"/>
          <w:color w:val="auto"/>
          <w:highlight w:val="none"/>
        </w:rPr>
      </w:pPr>
    </w:p>
    <w:p>
      <w:pPr>
        <w:pStyle w:val="24"/>
        <w:rPr>
          <w:rFonts w:hAnsi="宋体"/>
          <w:color w:val="auto"/>
          <w:highlight w:val="none"/>
        </w:rPr>
      </w:pPr>
    </w:p>
    <w:p>
      <w:pPr>
        <w:pStyle w:val="24"/>
        <w:rPr>
          <w:rFonts w:hAnsi="宋体"/>
          <w:color w:val="auto"/>
          <w:highlight w:val="none"/>
        </w:rPr>
      </w:pPr>
    </w:p>
    <w:p>
      <w:pPr>
        <w:pStyle w:val="24"/>
        <w:rPr>
          <w:rFonts w:hAnsi="宋体"/>
          <w:color w:val="auto"/>
          <w:highlight w:val="none"/>
        </w:rPr>
      </w:pPr>
    </w:p>
    <w:p>
      <w:pPr>
        <w:pStyle w:val="52"/>
        <w:rPr>
          <w:rFonts w:ascii="宋体" w:hAnsi="宋体" w:cs="宋体"/>
          <w:highlight w:val="none"/>
        </w:rPr>
      </w:pPr>
    </w:p>
    <w:tbl>
      <w:tblPr>
        <w:tblStyle w:val="56"/>
        <w:tblW w:w="6595" w:type="dxa"/>
        <w:jc w:val="center"/>
        <w:tblLayout w:type="fixed"/>
        <w:tblCellMar>
          <w:top w:w="0" w:type="dxa"/>
          <w:left w:w="108" w:type="dxa"/>
          <w:bottom w:w="0" w:type="dxa"/>
          <w:right w:w="108" w:type="dxa"/>
        </w:tblCellMar>
      </w:tblPr>
      <w:tblGrid>
        <w:gridCol w:w="2220"/>
        <w:gridCol w:w="4375"/>
      </w:tblGrid>
      <w:tr>
        <w:trPr>
          <w:jc w:val="center"/>
        </w:trPr>
        <w:tc>
          <w:tcPr>
            <w:tcW w:w="2220" w:type="dxa"/>
            <w:vAlign w:val="center"/>
          </w:tcPr>
          <w:p>
            <w:pPr>
              <w:keepNext w:val="0"/>
              <w:keepLines w:val="0"/>
              <w:suppressLineNumbers w:val="0"/>
              <w:adjustRightInd w:val="0"/>
              <w:snapToGrid w:val="0"/>
              <w:spacing w:before="0" w:beforeAutospacing="0" w:after="0" w:afterAutospacing="0" w:line="360" w:lineRule="auto"/>
              <w:ind w:left="0" w:right="0"/>
              <w:jc w:val="distribute"/>
              <w:rPr>
                <w:rFonts w:hint="default" w:ascii="宋体" w:hAnsi="宋体" w:cs="宋体"/>
                <w:b/>
                <w:bCs/>
                <w:sz w:val="30"/>
                <w:szCs w:val="30"/>
                <w:highlight w:val="none"/>
              </w:rPr>
            </w:pPr>
            <w:r>
              <w:rPr>
                <w:rFonts w:hint="eastAsia" w:ascii="宋体" w:hAnsi="宋体" w:cs="宋体"/>
                <w:b/>
                <w:sz w:val="30"/>
                <w:szCs w:val="30"/>
                <w:highlight w:val="none"/>
              </w:rPr>
              <w:t>采</w:t>
            </w:r>
            <w:r>
              <w:rPr>
                <w:rFonts w:hint="eastAsia" w:ascii="宋体" w:hAnsi="宋体" w:cs="宋体"/>
                <w:b/>
                <w:sz w:val="30"/>
                <w:szCs w:val="30"/>
                <w:highlight w:val="none"/>
                <w:lang w:val="en-US" w:eastAsia="zh-CN"/>
              </w:rPr>
              <w:t xml:space="preserve"> </w:t>
            </w:r>
            <w:r>
              <w:rPr>
                <w:rFonts w:hint="eastAsia" w:ascii="宋体" w:hAnsi="宋体" w:cs="宋体"/>
                <w:b/>
                <w:sz w:val="30"/>
                <w:szCs w:val="30"/>
                <w:highlight w:val="none"/>
              </w:rPr>
              <w:t>购</w:t>
            </w:r>
            <w:r>
              <w:rPr>
                <w:rFonts w:hint="eastAsia" w:ascii="宋体" w:hAnsi="宋体" w:cs="宋体"/>
                <w:b/>
                <w:sz w:val="30"/>
                <w:szCs w:val="30"/>
                <w:highlight w:val="none"/>
                <w:lang w:val="en-US" w:eastAsia="zh-CN"/>
              </w:rPr>
              <w:t xml:space="preserve"> </w:t>
            </w:r>
            <w:r>
              <w:rPr>
                <w:rFonts w:hint="eastAsia" w:ascii="宋体" w:hAnsi="宋体" w:cs="宋体"/>
                <w:b/>
                <w:sz w:val="30"/>
                <w:szCs w:val="30"/>
                <w:highlight w:val="none"/>
              </w:rPr>
              <w:t>人：</w:t>
            </w:r>
          </w:p>
        </w:tc>
        <w:tc>
          <w:tcPr>
            <w:tcW w:w="4375" w:type="dxa"/>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宋体" w:hAnsi="宋体" w:eastAsia="宋体" w:cs="宋体"/>
                <w:b/>
                <w:bCs/>
                <w:sz w:val="30"/>
                <w:szCs w:val="30"/>
                <w:highlight w:val="none"/>
                <w:lang w:eastAsia="zh-CN"/>
              </w:rPr>
            </w:pPr>
            <w:r>
              <w:rPr>
                <w:rFonts w:hint="eastAsia" w:ascii="宋体" w:hAnsi="宋体" w:cs="宋体"/>
                <w:b/>
                <w:sz w:val="30"/>
                <w:szCs w:val="30"/>
                <w:highlight w:val="none"/>
                <w:lang w:eastAsia="zh-CN"/>
              </w:rPr>
              <w:t>浙江理工大学</w:t>
            </w:r>
          </w:p>
        </w:tc>
      </w:tr>
      <w:tr>
        <w:tblPrEx>
          <w:tblCellMar>
            <w:top w:w="0" w:type="dxa"/>
            <w:left w:w="108" w:type="dxa"/>
            <w:bottom w:w="0" w:type="dxa"/>
            <w:right w:w="108" w:type="dxa"/>
          </w:tblCellMar>
        </w:tblPrEx>
        <w:trPr>
          <w:jc w:val="center"/>
        </w:trPr>
        <w:tc>
          <w:tcPr>
            <w:tcW w:w="2220" w:type="dxa"/>
            <w:vAlign w:val="center"/>
          </w:tcPr>
          <w:p>
            <w:pPr>
              <w:keepNext w:val="0"/>
              <w:keepLines w:val="0"/>
              <w:suppressLineNumbers w:val="0"/>
              <w:adjustRightInd w:val="0"/>
              <w:snapToGrid w:val="0"/>
              <w:spacing w:before="0" w:beforeAutospacing="0" w:after="0" w:afterAutospacing="0" w:line="360" w:lineRule="auto"/>
              <w:ind w:left="0" w:right="0"/>
              <w:jc w:val="distribute"/>
              <w:rPr>
                <w:rFonts w:hint="default" w:ascii="宋体" w:hAnsi="宋体" w:cs="宋体"/>
                <w:b/>
                <w:bCs/>
                <w:sz w:val="30"/>
                <w:szCs w:val="30"/>
                <w:highlight w:val="none"/>
              </w:rPr>
            </w:pPr>
            <w:r>
              <w:rPr>
                <w:rFonts w:hint="eastAsia" w:ascii="宋体" w:hAnsi="宋体" w:cs="宋体"/>
                <w:b/>
                <w:sz w:val="30"/>
                <w:szCs w:val="30"/>
                <w:highlight w:val="none"/>
              </w:rPr>
              <w:t>采购代理机构：</w:t>
            </w:r>
          </w:p>
        </w:tc>
        <w:tc>
          <w:tcPr>
            <w:tcW w:w="4375" w:type="dxa"/>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宋体" w:hAnsi="宋体" w:cs="宋体"/>
                <w:b/>
                <w:bCs/>
                <w:sz w:val="30"/>
                <w:szCs w:val="30"/>
                <w:highlight w:val="none"/>
              </w:rPr>
            </w:pPr>
            <w:r>
              <w:rPr>
                <w:rFonts w:hint="eastAsia" w:ascii="宋体" w:hAnsi="宋体" w:cs="宋体"/>
                <w:b/>
                <w:sz w:val="30"/>
                <w:szCs w:val="30"/>
                <w:highlight w:val="none"/>
              </w:rPr>
              <w:t>浙江省成套招标代理有限公司</w:t>
            </w:r>
          </w:p>
        </w:tc>
      </w:tr>
      <w:tr>
        <w:tblPrEx>
          <w:tblCellMar>
            <w:top w:w="0" w:type="dxa"/>
            <w:left w:w="108" w:type="dxa"/>
            <w:bottom w:w="0" w:type="dxa"/>
            <w:right w:w="108" w:type="dxa"/>
          </w:tblCellMar>
        </w:tblPrEx>
        <w:trPr>
          <w:jc w:val="center"/>
        </w:trPr>
        <w:tc>
          <w:tcPr>
            <w:tcW w:w="6595" w:type="dxa"/>
            <w:gridSpan w:val="2"/>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b/>
                <w:sz w:val="30"/>
                <w:szCs w:val="30"/>
                <w:highlight w:val="none"/>
              </w:rPr>
            </w:pPr>
            <w:r>
              <w:rPr>
                <w:rFonts w:hint="eastAsia" w:ascii="宋体" w:hAnsi="宋体" w:cs="宋体"/>
                <w:b/>
                <w:sz w:val="30"/>
                <w:szCs w:val="30"/>
                <w:highlight w:val="none"/>
              </w:rPr>
              <w:t>日        期：二〇二</w:t>
            </w:r>
            <w:r>
              <w:rPr>
                <w:rFonts w:hint="eastAsia" w:ascii="宋体" w:hAnsi="宋体" w:cs="宋体"/>
                <w:b/>
                <w:sz w:val="30"/>
                <w:szCs w:val="30"/>
                <w:highlight w:val="none"/>
                <w:lang w:val="en-US" w:eastAsia="zh-CN"/>
              </w:rPr>
              <w:t>四</w:t>
            </w:r>
            <w:r>
              <w:rPr>
                <w:rFonts w:hint="eastAsia" w:ascii="宋体" w:hAnsi="宋体" w:cs="宋体"/>
                <w:b/>
                <w:sz w:val="30"/>
                <w:szCs w:val="30"/>
                <w:highlight w:val="none"/>
              </w:rPr>
              <w:t>年</w:t>
            </w:r>
            <w:r>
              <w:rPr>
                <w:rFonts w:hint="eastAsia" w:ascii="宋体" w:hAnsi="宋体" w:cs="宋体"/>
                <w:b/>
                <w:sz w:val="30"/>
                <w:szCs w:val="30"/>
                <w:highlight w:val="none"/>
                <w:lang w:val="en-US" w:eastAsia="zh-CN"/>
              </w:rPr>
              <w:t>四</w:t>
            </w:r>
            <w:r>
              <w:rPr>
                <w:rFonts w:hint="eastAsia" w:ascii="宋体" w:hAnsi="宋体" w:cs="宋体"/>
                <w:b/>
                <w:sz w:val="30"/>
                <w:szCs w:val="30"/>
                <w:highlight w:val="none"/>
              </w:rPr>
              <w:t>月</w:t>
            </w:r>
          </w:p>
        </w:tc>
      </w:tr>
    </w:tbl>
    <w:p>
      <w:pPr>
        <w:snapToGrid w:val="0"/>
        <w:spacing w:line="360" w:lineRule="auto"/>
        <w:rPr>
          <w:rFonts w:ascii="宋体" w:hAnsi="宋体" w:cs="宋体"/>
          <w:b/>
          <w:bCs/>
          <w:sz w:val="44"/>
          <w:szCs w:val="44"/>
          <w:highlight w:val="none"/>
        </w:rPr>
      </w:pPr>
      <w:r>
        <w:rPr>
          <w:rFonts w:hint="eastAsia" w:ascii="宋体" w:hAnsi="宋体" w:cs="宋体"/>
          <w:b/>
          <w:bCs/>
          <w:sz w:val="44"/>
          <w:szCs w:val="44"/>
          <w:highlight w:val="none"/>
        </w:rPr>
        <w:br w:type="page"/>
      </w:r>
    </w:p>
    <w:p>
      <w:pPr>
        <w:snapToGrid w:val="0"/>
        <w:spacing w:line="360" w:lineRule="auto"/>
        <w:jc w:val="center"/>
        <w:rPr>
          <w:rFonts w:ascii="宋体" w:hAnsi="宋体" w:cs="宋体"/>
          <w:b/>
          <w:bCs/>
          <w:sz w:val="44"/>
          <w:szCs w:val="44"/>
          <w:highlight w:val="none"/>
        </w:rPr>
      </w:pPr>
      <w:r>
        <w:rPr>
          <w:rFonts w:hint="eastAsia" w:ascii="宋体" w:hAnsi="宋体" w:cs="宋体"/>
          <w:b/>
          <w:bCs/>
          <w:sz w:val="44"/>
          <w:szCs w:val="44"/>
          <w:highlight w:val="none"/>
        </w:rPr>
        <w:t>目录</w:t>
      </w:r>
    </w:p>
    <w:p>
      <w:pPr>
        <w:pStyle w:val="2"/>
        <w:tabs>
          <w:tab w:val="right" w:leader="dot" w:pos="9072"/>
          <w:tab w:val="clear" w:pos="9403"/>
        </w:tabs>
        <w:rPr>
          <w:highlight w:val="none"/>
        </w:rPr>
      </w:pPr>
      <w:r>
        <w:rPr>
          <w:rFonts w:hint="eastAsia" w:ascii="宋体" w:hAnsi="宋体" w:cs="宋体"/>
          <w:sz w:val="24"/>
          <w:highlight w:val="none"/>
        </w:rPr>
        <w:fldChar w:fldCharType="begin"/>
      </w:r>
      <w:r>
        <w:rPr>
          <w:rFonts w:hint="eastAsia" w:ascii="宋体" w:hAnsi="宋体" w:cs="宋体"/>
          <w:sz w:val="24"/>
          <w:highlight w:val="none"/>
        </w:rPr>
        <w:instrText xml:space="preserve"> TOC \o "1-2" \h \z </w:instrText>
      </w:r>
      <w:r>
        <w:rPr>
          <w:rFonts w:hint="eastAsia" w:ascii="宋体" w:hAnsi="宋体" w:cs="宋体"/>
          <w:sz w:val="24"/>
          <w:highlight w:val="none"/>
        </w:rPr>
        <w:fldChar w:fldCharType="separate"/>
      </w:r>
      <w:r>
        <w:rPr>
          <w:rFonts w:hint="eastAsia" w:ascii="宋体" w:hAnsi="宋体" w:cs="宋体"/>
          <w:highlight w:val="none"/>
        </w:rPr>
        <w:fldChar w:fldCharType="begin"/>
      </w:r>
      <w:r>
        <w:rPr>
          <w:rFonts w:hint="eastAsia" w:ascii="宋体" w:hAnsi="宋体" w:cs="宋体"/>
          <w:highlight w:val="none"/>
        </w:rPr>
        <w:instrText xml:space="preserve"> HYPERLINK \l _Toc26585 </w:instrText>
      </w:r>
      <w:r>
        <w:rPr>
          <w:rFonts w:hint="eastAsia" w:ascii="宋体" w:hAnsi="宋体" w:cs="宋体"/>
          <w:highlight w:val="none"/>
        </w:rPr>
        <w:fldChar w:fldCharType="separate"/>
      </w:r>
      <w:r>
        <w:rPr>
          <w:rFonts w:hint="eastAsia" w:ascii="宋体" w:hAnsi="宋体" w:cs="宋体"/>
          <w:bCs/>
          <w:kern w:val="44"/>
          <w:szCs w:val="44"/>
          <w:highlight w:val="none"/>
        </w:rPr>
        <w:t>第一章 招标公告</w:t>
      </w:r>
      <w:r>
        <w:rPr>
          <w:highlight w:val="none"/>
        </w:rPr>
        <w:tab/>
      </w:r>
      <w:r>
        <w:rPr>
          <w:highlight w:val="none"/>
        </w:rPr>
        <w:fldChar w:fldCharType="begin"/>
      </w:r>
      <w:r>
        <w:rPr>
          <w:highlight w:val="none"/>
        </w:rPr>
        <w:instrText xml:space="preserve"> PAGEREF _Toc26585 \h </w:instrText>
      </w:r>
      <w:r>
        <w:rPr>
          <w:highlight w:val="none"/>
        </w:rPr>
        <w:fldChar w:fldCharType="separate"/>
      </w:r>
      <w:r>
        <w:rPr>
          <w:highlight w:val="none"/>
        </w:rPr>
        <w:t>3</w:t>
      </w:r>
      <w:r>
        <w:rPr>
          <w:highlight w:val="none"/>
        </w:rPr>
        <w:fldChar w:fldCharType="end"/>
      </w:r>
      <w:r>
        <w:rPr>
          <w:rFonts w:hint="eastAsia" w:ascii="宋体" w:hAnsi="宋体" w:cs="宋体"/>
          <w:highlight w:val="none"/>
        </w:rPr>
        <w:fldChar w:fldCharType="end"/>
      </w:r>
    </w:p>
    <w:p>
      <w:pPr>
        <w:pStyle w:val="2"/>
        <w:tabs>
          <w:tab w:val="right" w:leader="dot" w:pos="9072"/>
          <w:tab w:val="clear" w:pos="9403"/>
        </w:tabs>
        <w:rPr>
          <w:highlight w:val="none"/>
        </w:rPr>
      </w:pPr>
      <w:r>
        <w:rPr>
          <w:rFonts w:hint="eastAsia" w:ascii="宋体" w:hAnsi="宋体" w:cs="宋体"/>
          <w:bCs/>
          <w:highlight w:val="none"/>
        </w:rPr>
        <w:fldChar w:fldCharType="begin"/>
      </w:r>
      <w:r>
        <w:rPr>
          <w:rFonts w:hint="eastAsia" w:ascii="宋体" w:hAnsi="宋体" w:cs="宋体"/>
          <w:bCs/>
          <w:highlight w:val="none"/>
        </w:rPr>
        <w:instrText xml:space="preserve"> HYPERLINK \l _Toc22221 </w:instrText>
      </w:r>
      <w:r>
        <w:rPr>
          <w:rFonts w:hint="eastAsia" w:ascii="宋体" w:hAnsi="宋体" w:cs="宋体"/>
          <w:bCs/>
          <w:highlight w:val="none"/>
        </w:rPr>
        <w:fldChar w:fldCharType="separate"/>
      </w:r>
      <w:r>
        <w:rPr>
          <w:rFonts w:hint="eastAsia" w:ascii="宋体" w:hAnsi="宋体" w:cs="宋体"/>
          <w:highlight w:val="none"/>
        </w:rPr>
        <w:t>第二章 采购内容及技术要求</w:t>
      </w:r>
      <w:r>
        <w:rPr>
          <w:highlight w:val="none"/>
        </w:rPr>
        <w:tab/>
      </w:r>
      <w:r>
        <w:rPr>
          <w:highlight w:val="none"/>
        </w:rPr>
        <w:fldChar w:fldCharType="begin"/>
      </w:r>
      <w:r>
        <w:rPr>
          <w:highlight w:val="none"/>
        </w:rPr>
        <w:instrText xml:space="preserve"> PAGEREF _Toc22221 \h </w:instrText>
      </w:r>
      <w:r>
        <w:rPr>
          <w:highlight w:val="none"/>
        </w:rPr>
        <w:fldChar w:fldCharType="separate"/>
      </w:r>
      <w:r>
        <w:rPr>
          <w:highlight w:val="none"/>
        </w:rPr>
        <w:t>6</w:t>
      </w:r>
      <w:r>
        <w:rPr>
          <w:highlight w:val="none"/>
        </w:rPr>
        <w:fldChar w:fldCharType="end"/>
      </w:r>
      <w:r>
        <w:rPr>
          <w:rFonts w:hint="eastAsia" w:ascii="宋体" w:hAnsi="宋体" w:cs="宋体"/>
          <w:bCs/>
          <w:highlight w:val="none"/>
        </w:rPr>
        <w:fldChar w:fldCharType="end"/>
      </w:r>
    </w:p>
    <w:p>
      <w:pPr>
        <w:pStyle w:val="2"/>
        <w:tabs>
          <w:tab w:val="right" w:leader="dot" w:pos="9072"/>
          <w:tab w:val="clear" w:pos="9403"/>
        </w:tabs>
        <w:rPr>
          <w:highlight w:val="none"/>
        </w:rPr>
      </w:pPr>
      <w:r>
        <w:rPr>
          <w:rFonts w:hint="eastAsia" w:ascii="宋体" w:hAnsi="宋体" w:cs="宋体"/>
          <w:bCs/>
          <w:highlight w:val="none"/>
        </w:rPr>
        <w:fldChar w:fldCharType="begin"/>
      </w:r>
      <w:r>
        <w:rPr>
          <w:rFonts w:hint="eastAsia" w:ascii="宋体" w:hAnsi="宋体" w:cs="宋体"/>
          <w:bCs/>
          <w:highlight w:val="none"/>
        </w:rPr>
        <w:instrText xml:space="preserve"> HYPERLINK \l _Toc18923 </w:instrText>
      </w:r>
      <w:r>
        <w:rPr>
          <w:rFonts w:hint="eastAsia" w:ascii="宋体" w:hAnsi="宋体" w:cs="宋体"/>
          <w:bCs/>
          <w:highlight w:val="none"/>
        </w:rPr>
        <w:fldChar w:fldCharType="separate"/>
      </w:r>
      <w:r>
        <w:rPr>
          <w:rFonts w:hint="eastAsia" w:ascii="宋体" w:hAnsi="宋体" w:cs="宋体"/>
          <w:highlight w:val="none"/>
        </w:rPr>
        <w:t>第三章 评标办法</w:t>
      </w:r>
      <w:r>
        <w:rPr>
          <w:highlight w:val="none"/>
        </w:rPr>
        <w:tab/>
      </w:r>
      <w:r>
        <w:rPr>
          <w:highlight w:val="none"/>
        </w:rPr>
        <w:fldChar w:fldCharType="begin"/>
      </w:r>
      <w:r>
        <w:rPr>
          <w:highlight w:val="none"/>
        </w:rPr>
        <w:instrText xml:space="preserve"> PAGEREF _Toc18923 \h </w:instrText>
      </w:r>
      <w:r>
        <w:rPr>
          <w:highlight w:val="none"/>
        </w:rPr>
        <w:fldChar w:fldCharType="separate"/>
      </w:r>
      <w:r>
        <w:rPr>
          <w:highlight w:val="none"/>
        </w:rPr>
        <w:t>9</w:t>
      </w:r>
      <w:r>
        <w:rPr>
          <w:highlight w:val="none"/>
        </w:rPr>
        <w:fldChar w:fldCharType="end"/>
      </w:r>
      <w:r>
        <w:rPr>
          <w:rFonts w:hint="eastAsia" w:ascii="宋体" w:hAnsi="宋体" w:cs="宋体"/>
          <w:bCs/>
          <w:highlight w:val="none"/>
        </w:rPr>
        <w:fldChar w:fldCharType="end"/>
      </w:r>
    </w:p>
    <w:p>
      <w:pPr>
        <w:pStyle w:val="2"/>
        <w:tabs>
          <w:tab w:val="right" w:leader="dot" w:pos="9072"/>
          <w:tab w:val="clear" w:pos="9403"/>
        </w:tabs>
        <w:rPr>
          <w:highlight w:val="none"/>
        </w:rPr>
      </w:pPr>
      <w:r>
        <w:rPr>
          <w:rFonts w:hint="eastAsia" w:ascii="宋体" w:hAnsi="宋体" w:cs="宋体"/>
          <w:bCs/>
          <w:highlight w:val="none"/>
        </w:rPr>
        <w:fldChar w:fldCharType="begin"/>
      </w:r>
      <w:r>
        <w:rPr>
          <w:rFonts w:hint="eastAsia" w:ascii="宋体" w:hAnsi="宋体" w:cs="宋体"/>
          <w:bCs/>
          <w:highlight w:val="none"/>
        </w:rPr>
        <w:instrText xml:space="preserve"> HYPERLINK \l _Toc29070 </w:instrText>
      </w:r>
      <w:r>
        <w:rPr>
          <w:rFonts w:hint="eastAsia" w:ascii="宋体" w:hAnsi="宋体" w:cs="宋体"/>
          <w:bCs/>
          <w:highlight w:val="none"/>
        </w:rPr>
        <w:fldChar w:fldCharType="separate"/>
      </w:r>
      <w:r>
        <w:rPr>
          <w:rFonts w:hint="eastAsia" w:ascii="宋体" w:hAnsi="宋体" w:cs="宋体"/>
          <w:highlight w:val="none"/>
        </w:rPr>
        <w:t>第四章 采购合同</w:t>
      </w:r>
      <w:r>
        <w:rPr>
          <w:highlight w:val="none"/>
        </w:rPr>
        <w:tab/>
      </w:r>
      <w:r>
        <w:rPr>
          <w:highlight w:val="none"/>
        </w:rPr>
        <w:fldChar w:fldCharType="begin"/>
      </w:r>
      <w:r>
        <w:rPr>
          <w:highlight w:val="none"/>
        </w:rPr>
        <w:instrText xml:space="preserve"> PAGEREF _Toc29070 \h </w:instrText>
      </w:r>
      <w:r>
        <w:rPr>
          <w:highlight w:val="none"/>
        </w:rPr>
        <w:fldChar w:fldCharType="separate"/>
      </w:r>
      <w:r>
        <w:rPr>
          <w:highlight w:val="none"/>
        </w:rPr>
        <w:t>17</w:t>
      </w:r>
      <w:r>
        <w:rPr>
          <w:highlight w:val="none"/>
        </w:rPr>
        <w:fldChar w:fldCharType="end"/>
      </w:r>
      <w:r>
        <w:rPr>
          <w:rFonts w:hint="eastAsia" w:ascii="宋体" w:hAnsi="宋体" w:cs="宋体"/>
          <w:bCs/>
          <w:highlight w:val="none"/>
        </w:rPr>
        <w:fldChar w:fldCharType="end"/>
      </w:r>
    </w:p>
    <w:p>
      <w:pPr>
        <w:pStyle w:val="2"/>
        <w:tabs>
          <w:tab w:val="right" w:leader="dot" w:pos="9072"/>
          <w:tab w:val="clear" w:pos="9403"/>
        </w:tabs>
        <w:rPr>
          <w:highlight w:val="none"/>
        </w:rPr>
      </w:pPr>
      <w:r>
        <w:rPr>
          <w:rFonts w:hint="eastAsia" w:ascii="宋体" w:hAnsi="宋体" w:cs="宋体"/>
          <w:bCs/>
          <w:highlight w:val="none"/>
        </w:rPr>
        <w:fldChar w:fldCharType="begin"/>
      </w:r>
      <w:r>
        <w:rPr>
          <w:rFonts w:hint="eastAsia" w:ascii="宋体" w:hAnsi="宋体" w:cs="宋体"/>
          <w:bCs/>
          <w:highlight w:val="none"/>
        </w:rPr>
        <w:instrText xml:space="preserve"> HYPERLINK \l _Toc17596 </w:instrText>
      </w:r>
      <w:r>
        <w:rPr>
          <w:rFonts w:hint="eastAsia" w:ascii="宋体" w:hAnsi="宋体" w:cs="宋体"/>
          <w:bCs/>
          <w:highlight w:val="none"/>
        </w:rPr>
        <w:fldChar w:fldCharType="separate"/>
      </w:r>
      <w:r>
        <w:rPr>
          <w:rFonts w:hint="eastAsia" w:ascii="宋体" w:hAnsi="宋体" w:cs="宋体"/>
          <w:bCs/>
          <w:kern w:val="44"/>
          <w:szCs w:val="44"/>
          <w:highlight w:val="none"/>
        </w:rPr>
        <w:t>第</w:t>
      </w:r>
      <w:r>
        <w:rPr>
          <w:rFonts w:hint="eastAsia" w:ascii="宋体" w:hAnsi="宋体" w:cs="宋体"/>
          <w:bCs/>
          <w:kern w:val="44"/>
          <w:szCs w:val="44"/>
          <w:highlight w:val="none"/>
          <w:lang w:val="en-US" w:eastAsia="zh-CN"/>
        </w:rPr>
        <w:t>五</w:t>
      </w:r>
      <w:r>
        <w:rPr>
          <w:rFonts w:hint="eastAsia" w:ascii="宋体" w:hAnsi="宋体" w:cs="宋体"/>
          <w:bCs/>
          <w:kern w:val="44"/>
          <w:szCs w:val="44"/>
          <w:highlight w:val="none"/>
        </w:rPr>
        <w:t xml:space="preserve">章 </w:t>
      </w:r>
      <w:r>
        <w:rPr>
          <w:rFonts w:hint="eastAsia"/>
          <w:highlight w:val="none"/>
        </w:rPr>
        <w:t xml:space="preserve"> </w:t>
      </w:r>
      <w:r>
        <w:rPr>
          <w:rFonts w:hint="eastAsia" w:ascii="宋体" w:hAnsi="宋体" w:cs="宋体"/>
          <w:bCs/>
          <w:kern w:val="44"/>
          <w:szCs w:val="44"/>
          <w:highlight w:val="none"/>
        </w:rPr>
        <w:t>投标人须知前附表</w:t>
      </w:r>
      <w:r>
        <w:rPr>
          <w:highlight w:val="none"/>
        </w:rPr>
        <w:tab/>
      </w:r>
      <w:r>
        <w:rPr>
          <w:highlight w:val="none"/>
        </w:rPr>
        <w:fldChar w:fldCharType="begin"/>
      </w:r>
      <w:r>
        <w:rPr>
          <w:highlight w:val="none"/>
        </w:rPr>
        <w:instrText xml:space="preserve"> PAGEREF _Toc17596 \h </w:instrText>
      </w:r>
      <w:r>
        <w:rPr>
          <w:highlight w:val="none"/>
        </w:rPr>
        <w:fldChar w:fldCharType="separate"/>
      </w:r>
      <w:r>
        <w:rPr>
          <w:highlight w:val="none"/>
        </w:rPr>
        <w:t>39</w:t>
      </w:r>
      <w:r>
        <w:rPr>
          <w:highlight w:val="none"/>
        </w:rPr>
        <w:fldChar w:fldCharType="end"/>
      </w:r>
      <w:r>
        <w:rPr>
          <w:rFonts w:hint="eastAsia" w:ascii="宋体" w:hAnsi="宋体" w:cs="宋体"/>
          <w:bCs/>
          <w:highlight w:val="none"/>
        </w:rPr>
        <w:fldChar w:fldCharType="end"/>
      </w:r>
    </w:p>
    <w:p>
      <w:pPr>
        <w:pStyle w:val="2"/>
        <w:tabs>
          <w:tab w:val="right" w:leader="dot" w:pos="9072"/>
          <w:tab w:val="clear" w:pos="9403"/>
        </w:tabs>
        <w:rPr>
          <w:highlight w:val="none"/>
        </w:rPr>
      </w:pPr>
      <w:r>
        <w:rPr>
          <w:rFonts w:hint="eastAsia" w:ascii="宋体" w:hAnsi="宋体" w:cs="宋体"/>
          <w:bCs/>
          <w:highlight w:val="none"/>
        </w:rPr>
        <w:fldChar w:fldCharType="begin"/>
      </w:r>
      <w:r>
        <w:rPr>
          <w:rFonts w:hint="eastAsia" w:ascii="宋体" w:hAnsi="宋体" w:cs="宋体"/>
          <w:bCs/>
          <w:highlight w:val="none"/>
        </w:rPr>
        <w:instrText xml:space="preserve"> HYPERLINK \l _Toc11888 </w:instrText>
      </w:r>
      <w:r>
        <w:rPr>
          <w:rFonts w:hint="eastAsia" w:ascii="宋体" w:hAnsi="宋体" w:cs="宋体"/>
          <w:bCs/>
          <w:highlight w:val="none"/>
        </w:rPr>
        <w:fldChar w:fldCharType="separate"/>
      </w:r>
      <w:r>
        <w:rPr>
          <w:rFonts w:hint="eastAsia" w:ascii="宋体" w:hAnsi="宋体" w:cs="宋体"/>
          <w:highlight w:val="none"/>
        </w:rPr>
        <w:t>第六章 投标人须知</w:t>
      </w:r>
      <w:r>
        <w:rPr>
          <w:highlight w:val="none"/>
        </w:rPr>
        <w:tab/>
      </w:r>
      <w:r>
        <w:rPr>
          <w:highlight w:val="none"/>
        </w:rPr>
        <w:fldChar w:fldCharType="begin"/>
      </w:r>
      <w:r>
        <w:rPr>
          <w:highlight w:val="none"/>
        </w:rPr>
        <w:instrText xml:space="preserve"> PAGEREF _Toc11888 \h </w:instrText>
      </w:r>
      <w:r>
        <w:rPr>
          <w:highlight w:val="none"/>
        </w:rPr>
        <w:fldChar w:fldCharType="separate"/>
      </w:r>
      <w:r>
        <w:rPr>
          <w:highlight w:val="none"/>
        </w:rPr>
        <w:t>44</w:t>
      </w:r>
      <w:r>
        <w:rPr>
          <w:highlight w:val="none"/>
        </w:rPr>
        <w:fldChar w:fldCharType="end"/>
      </w:r>
      <w:r>
        <w:rPr>
          <w:rFonts w:hint="eastAsia" w:ascii="宋体" w:hAnsi="宋体" w:cs="宋体"/>
          <w:bCs/>
          <w:highlight w:val="none"/>
        </w:rPr>
        <w:fldChar w:fldCharType="end"/>
      </w:r>
    </w:p>
    <w:p>
      <w:pPr>
        <w:pStyle w:val="2"/>
        <w:tabs>
          <w:tab w:val="right" w:leader="dot" w:pos="9072"/>
          <w:tab w:val="clear" w:pos="9403"/>
        </w:tabs>
        <w:rPr>
          <w:highlight w:val="none"/>
        </w:rPr>
      </w:pPr>
      <w:r>
        <w:rPr>
          <w:rFonts w:hint="eastAsia" w:ascii="宋体" w:hAnsi="宋体" w:cs="宋体"/>
          <w:bCs/>
          <w:highlight w:val="none"/>
        </w:rPr>
        <w:fldChar w:fldCharType="begin"/>
      </w:r>
      <w:r>
        <w:rPr>
          <w:rFonts w:hint="eastAsia" w:ascii="宋体" w:hAnsi="宋体" w:cs="宋体"/>
          <w:bCs/>
          <w:highlight w:val="none"/>
        </w:rPr>
        <w:instrText xml:space="preserve"> HYPERLINK \l _Toc7278 </w:instrText>
      </w:r>
      <w:r>
        <w:rPr>
          <w:rFonts w:hint="eastAsia" w:ascii="宋体" w:hAnsi="宋体" w:cs="宋体"/>
          <w:bCs/>
          <w:highlight w:val="none"/>
        </w:rPr>
        <w:fldChar w:fldCharType="separate"/>
      </w:r>
      <w:r>
        <w:rPr>
          <w:rFonts w:hint="eastAsia" w:ascii="宋体" w:hAnsi="宋体" w:cs="宋体"/>
          <w:highlight w:val="none"/>
        </w:rPr>
        <w:t>第七章 投标文件格式</w:t>
      </w:r>
      <w:r>
        <w:rPr>
          <w:highlight w:val="none"/>
        </w:rPr>
        <w:tab/>
      </w:r>
      <w:r>
        <w:rPr>
          <w:highlight w:val="none"/>
        </w:rPr>
        <w:fldChar w:fldCharType="begin"/>
      </w:r>
      <w:r>
        <w:rPr>
          <w:highlight w:val="none"/>
        </w:rPr>
        <w:instrText xml:space="preserve"> PAGEREF _Toc7278 \h </w:instrText>
      </w:r>
      <w:r>
        <w:rPr>
          <w:highlight w:val="none"/>
        </w:rPr>
        <w:fldChar w:fldCharType="separate"/>
      </w:r>
      <w:r>
        <w:rPr>
          <w:highlight w:val="none"/>
        </w:rPr>
        <w:t>57</w:t>
      </w:r>
      <w:r>
        <w:rPr>
          <w:highlight w:val="none"/>
        </w:rPr>
        <w:fldChar w:fldCharType="end"/>
      </w:r>
      <w:r>
        <w:rPr>
          <w:rFonts w:hint="eastAsia" w:ascii="宋体" w:hAnsi="宋体" w:cs="宋体"/>
          <w:bCs/>
          <w:highlight w:val="none"/>
        </w:rPr>
        <w:fldChar w:fldCharType="end"/>
      </w:r>
    </w:p>
    <w:p>
      <w:pPr>
        <w:spacing w:line="360" w:lineRule="auto"/>
        <w:rPr>
          <w:rFonts w:ascii="宋体" w:hAnsi="宋体" w:cs="宋体"/>
          <w:b/>
          <w:bCs/>
          <w:sz w:val="24"/>
          <w:highlight w:val="none"/>
        </w:rPr>
      </w:pPr>
      <w:r>
        <w:rPr>
          <w:rFonts w:hint="eastAsia" w:ascii="宋体" w:hAnsi="宋体" w:cs="宋体"/>
          <w:bCs/>
          <w:highlight w:val="none"/>
        </w:rPr>
        <w:fldChar w:fldCharType="end"/>
      </w:r>
    </w:p>
    <w:p>
      <w:pPr>
        <w:spacing w:line="360" w:lineRule="auto"/>
        <w:rPr>
          <w:rFonts w:ascii="宋体" w:hAnsi="宋体" w:cs="宋体"/>
          <w:b/>
          <w:bCs/>
          <w:sz w:val="24"/>
          <w:highlight w:val="none"/>
        </w:rPr>
      </w:pPr>
    </w:p>
    <w:p>
      <w:pPr>
        <w:pStyle w:val="3"/>
        <w:rPr>
          <w:rFonts w:ascii="宋体" w:hAnsi="宋体" w:cs="宋体"/>
          <w:bCs/>
          <w:color w:val="auto"/>
          <w:kern w:val="44"/>
          <w:sz w:val="30"/>
          <w:szCs w:val="44"/>
          <w:highlight w:val="none"/>
        </w:rPr>
      </w:pPr>
      <w:r>
        <w:rPr>
          <w:rFonts w:hint="eastAsia" w:ascii="宋体" w:hAnsi="宋体" w:cs="宋体"/>
          <w:b w:val="0"/>
          <w:bCs/>
          <w:color w:val="auto"/>
          <w:sz w:val="24"/>
          <w:highlight w:val="none"/>
        </w:rPr>
        <w:br w:type="page"/>
      </w:r>
      <w:bookmarkStart w:id="0" w:name="_Toc9042"/>
      <w:bookmarkStart w:id="1" w:name="_Toc26585"/>
      <w:r>
        <w:rPr>
          <w:rFonts w:hint="eastAsia" w:ascii="宋体" w:hAnsi="宋体" w:cs="宋体"/>
          <w:bCs/>
          <w:color w:val="auto"/>
          <w:kern w:val="44"/>
          <w:sz w:val="30"/>
          <w:szCs w:val="44"/>
          <w:highlight w:val="none"/>
        </w:rPr>
        <w:t>第一章</w:t>
      </w:r>
      <w:bookmarkEnd w:id="0"/>
      <w:r>
        <w:rPr>
          <w:rFonts w:hint="eastAsia" w:ascii="宋体" w:hAnsi="宋体" w:cs="宋体"/>
          <w:bCs/>
          <w:color w:val="auto"/>
          <w:kern w:val="44"/>
          <w:sz w:val="30"/>
          <w:szCs w:val="44"/>
          <w:highlight w:val="none"/>
        </w:rPr>
        <w:t xml:space="preserve"> 招标公告</w:t>
      </w:r>
      <w:bookmarkEnd w:id="1"/>
    </w:p>
    <w:p>
      <w:pPr>
        <w:pBdr>
          <w:top w:val="single" w:color="auto" w:sz="4" w:space="1"/>
          <w:left w:val="single" w:color="auto" w:sz="4" w:space="4"/>
          <w:bottom w:val="single" w:color="auto" w:sz="4" w:space="1"/>
          <w:right w:val="single" w:color="auto" w:sz="4" w:space="4"/>
        </w:pBdr>
        <w:spacing w:line="360" w:lineRule="auto"/>
        <w:ind w:firstLine="422" w:firstLineChars="200"/>
        <w:rPr>
          <w:rFonts w:ascii="宋体" w:hAnsi="宋体" w:cs="宋体"/>
          <w:b/>
          <w:bCs/>
          <w:szCs w:val="21"/>
          <w:highlight w:val="none"/>
        </w:rPr>
      </w:pPr>
      <w:bookmarkStart w:id="2" w:name="_Toc35393790"/>
      <w:bookmarkStart w:id="3" w:name="_Toc28359079"/>
      <w:bookmarkStart w:id="4" w:name="_Toc28359002"/>
      <w:bookmarkStart w:id="5" w:name="_Toc35393621"/>
      <w:bookmarkStart w:id="6" w:name="_Hlk24379207"/>
      <w:r>
        <w:rPr>
          <w:rFonts w:hint="eastAsia" w:ascii="宋体" w:hAnsi="宋体" w:cs="宋体"/>
          <w:b/>
          <w:bCs/>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szCs w:val="21"/>
          <w:highlight w:val="none"/>
        </w:rPr>
      </w:pPr>
      <w:r>
        <w:rPr>
          <w:rFonts w:hint="eastAsia" w:ascii="宋体" w:hAnsi="宋体" w:cs="宋体"/>
          <w:szCs w:val="21"/>
          <w:highlight w:val="none"/>
          <w:u w:val="single"/>
          <w:lang w:eastAsia="zh-CN"/>
        </w:rPr>
        <w:t>浙江理工大学消防管网改造及安全防护设施、电梯更新项目监理服务</w:t>
      </w:r>
      <w:r>
        <w:rPr>
          <w:rFonts w:hint="eastAsia" w:ascii="宋体" w:hAnsi="宋体" w:cs="宋体"/>
          <w:szCs w:val="21"/>
          <w:highlight w:val="none"/>
        </w:rPr>
        <w:t>的潜在供应商应在</w:t>
      </w:r>
      <w:r>
        <w:rPr>
          <w:rFonts w:hint="eastAsia" w:ascii="宋体" w:hAnsi="宋体" w:cs="宋体"/>
          <w:szCs w:val="21"/>
          <w:highlight w:val="none"/>
          <w:u w:val="single"/>
        </w:rPr>
        <w:t>浙江政府采购网（</w:t>
      </w:r>
      <w:r>
        <w:rPr>
          <w:highlight w:val="none"/>
        </w:rPr>
        <w:fldChar w:fldCharType="begin"/>
      </w:r>
      <w:r>
        <w:rPr>
          <w:highlight w:val="none"/>
        </w:rPr>
        <w:instrText xml:space="preserve"> HYPERLINK "http://zfcg.czt.zj.gov.cn/）获取（下载）采购文件，并于2023年" </w:instrText>
      </w:r>
      <w:r>
        <w:rPr>
          <w:highlight w:val="none"/>
        </w:rPr>
        <w:fldChar w:fldCharType="separate"/>
      </w:r>
      <w:r>
        <w:rPr>
          <w:rStyle w:val="63"/>
          <w:rFonts w:hint="eastAsia" w:ascii="宋体" w:hAnsi="宋体" w:cs="宋体"/>
          <w:color w:val="auto"/>
          <w:szCs w:val="21"/>
          <w:highlight w:val="none"/>
        </w:rPr>
        <w:t>http://zfcg.czt.zj.gov.cn/）获取</w:t>
      </w:r>
      <w:r>
        <w:rPr>
          <w:rStyle w:val="63"/>
          <w:rFonts w:hint="eastAsia" w:ascii="宋体" w:hAnsi="宋体" w:cs="宋体"/>
          <w:color w:val="auto"/>
          <w:kern w:val="0"/>
          <w:szCs w:val="21"/>
          <w:highlight w:val="none"/>
        </w:rPr>
        <w:t>（下载）</w:t>
      </w:r>
      <w:r>
        <w:rPr>
          <w:rStyle w:val="63"/>
          <w:rFonts w:hint="eastAsia" w:ascii="宋体" w:hAnsi="宋体" w:cs="宋体"/>
          <w:color w:val="auto"/>
          <w:szCs w:val="21"/>
          <w:highlight w:val="none"/>
        </w:rPr>
        <w:t>采购文件，并于</w:t>
      </w:r>
      <w:r>
        <w:rPr>
          <w:rStyle w:val="63"/>
          <w:rFonts w:hint="eastAsia" w:ascii="宋体" w:hAnsi="宋体" w:cs="宋体"/>
          <w:color w:val="auto"/>
          <w:szCs w:val="21"/>
          <w:highlight w:val="none"/>
          <w:lang w:eastAsia="zh-CN"/>
        </w:rPr>
        <w:t>2024</w:t>
      </w:r>
      <w:r>
        <w:rPr>
          <w:rStyle w:val="63"/>
          <w:rFonts w:hint="eastAsia" w:ascii="宋体" w:hAnsi="宋体" w:cs="宋体"/>
          <w:bCs/>
          <w:color w:val="auto"/>
          <w:szCs w:val="21"/>
          <w:highlight w:val="none"/>
        </w:rPr>
        <w:t>年</w:t>
      </w:r>
      <w:r>
        <w:rPr>
          <w:rStyle w:val="63"/>
          <w:rFonts w:hint="eastAsia" w:ascii="宋体" w:hAnsi="宋体" w:cs="宋体"/>
          <w:bCs/>
          <w:color w:val="auto"/>
          <w:szCs w:val="21"/>
          <w:highlight w:val="none"/>
        </w:rPr>
        <w:fldChar w:fldCharType="end"/>
      </w:r>
      <w:r>
        <w:rPr>
          <w:rFonts w:hint="eastAsia" w:ascii="宋体" w:hAnsi="宋体" w:cs="宋体"/>
          <w:bCs/>
          <w:szCs w:val="21"/>
          <w:highlight w:val="none"/>
          <w:u w:val="single"/>
          <w:lang w:val="en-US" w:eastAsia="zh-CN"/>
        </w:rPr>
        <w:t>5</w:t>
      </w:r>
      <w:r>
        <w:rPr>
          <w:rFonts w:hint="eastAsia" w:ascii="宋体" w:hAnsi="宋体" w:cs="宋体"/>
          <w:bCs/>
          <w:szCs w:val="21"/>
          <w:highlight w:val="none"/>
          <w:u w:val="single"/>
        </w:rPr>
        <w:t>月</w:t>
      </w:r>
      <w:r>
        <w:rPr>
          <w:rFonts w:hint="eastAsia" w:ascii="宋体" w:hAnsi="宋体" w:cs="宋体"/>
          <w:bCs/>
          <w:szCs w:val="21"/>
          <w:highlight w:val="none"/>
          <w:u w:val="single"/>
          <w:lang w:val="en-US" w:eastAsia="zh-CN"/>
        </w:rPr>
        <w:t>17</w:t>
      </w:r>
      <w:r>
        <w:rPr>
          <w:rFonts w:hint="eastAsia" w:ascii="宋体" w:hAnsi="宋体" w:cs="宋体"/>
          <w:bCs/>
          <w:szCs w:val="21"/>
          <w:highlight w:val="none"/>
          <w:u w:val="single"/>
        </w:rPr>
        <w:t>日</w:t>
      </w:r>
      <w:r>
        <w:rPr>
          <w:rFonts w:hint="eastAsia" w:ascii="宋体" w:hAnsi="宋体" w:cs="宋体"/>
          <w:bCs/>
          <w:szCs w:val="21"/>
          <w:highlight w:val="none"/>
          <w:u w:val="single"/>
          <w:lang w:val="en-US" w:eastAsia="zh-CN"/>
        </w:rPr>
        <w:t>9:30</w:t>
      </w:r>
      <w:r>
        <w:rPr>
          <w:rFonts w:hint="eastAsia" w:ascii="宋体" w:hAnsi="宋体" w:cs="宋体"/>
          <w:bCs/>
          <w:szCs w:val="21"/>
          <w:highlight w:val="none"/>
        </w:rPr>
        <w:t>（北京时间）前提交（上传）投标文件</w:t>
      </w:r>
      <w:r>
        <w:rPr>
          <w:rFonts w:hint="eastAsia" w:ascii="宋体" w:hAnsi="宋体" w:cs="宋体"/>
          <w:szCs w:val="21"/>
          <w:highlight w:val="none"/>
        </w:rPr>
        <w:t>。</w:t>
      </w:r>
    </w:p>
    <w:p>
      <w:pPr>
        <w:widowControl/>
        <w:adjustRightInd w:val="0"/>
        <w:snapToGrid w:val="0"/>
        <w:spacing w:line="360" w:lineRule="auto"/>
        <w:ind w:firstLine="316" w:firstLineChars="150"/>
        <w:jc w:val="left"/>
        <w:rPr>
          <w:rFonts w:ascii="宋体" w:hAnsi="宋体" w:cs="宋体"/>
          <w:b/>
          <w:bCs/>
          <w:kern w:val="0"/>
          <w:szCs w:val="21"/>
          <w:highlight w:val="none"/>
        </w:rPr>
      </w:pPr>
      <w:r>
        <w:rPr>
          <w:rFonts w:hint="eastAsia" w:ascii="宋体" w:hAnsi="宋体" w:cs="宋体"/>
          <w:b/>
          <w:bCs/>
          <w:kern w:val="0"/>
          <w:szCs w:val="21"/>
          <w:highlight w:val="none"/>
        </w:rPr>
        <w:t>一、项目基本情况</w:t>
      </w:r>
      <w:bookmarkEnd w:id="2"/>
      <w:bookmarkEnd w:id="3"/>
      <w:bookmarkEnd w:id="4"/>
      <w:bookmarkEnd w:id="5"/>
    </w:p>
    <w:p>
      <w:pPr>
        <w:widowControl/>
        <w:adjustRightInd w:val="0"/>
        <w:snapToGrid w:val="0"/>
        <w:spacing w:line="360" w:lineRule="auto"/>
        <w:ind w:firstLine="420" w:firstLineChars="200"/>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项目编号：</w:t>
      </w:r>
      <w:r>
        <w:rPr>
          <w:rFonts w:hint="eastAsia" w:ascii="宋体" w:hAnsi="宋体" w:cs="宋体"/>
          <w:kern w:val="0"/>
          <w:szCs w:val="21"/>
          <w:highlight w:val="none"/>
          <w:lang w:eastAsia="zh-CN"/>
        </w:rPr>
        <w:t>CTZB-2024040071</w:t>
      </w:r>
    </w:p>
    <w:p>
      <w:pPr>
        <w:widowControl/>
        <w:adjustRightInd w:val="0"/>
        <w:snapToGrid w:val="0"/>
        <w:spacing w:line="360" w:lineRule="auto"/>
        <w:ind w:firstLine="420" w:firstLineChars="200"/>
        <w:jc w:val="left"/>
        <w:rPr>
          <w:rFonts w:hint="eastAsia" w:ascii="宋体" w:hAnsi="宋体" w:eastAsia="宋体" w:cs="宋体"/>
          <w:szCs w:val="21"/>
          <w:highlight w:val="none"/>
          <w:lang w:eastAsia="zh-CN"/>
        </w:rPr>
      </w:pPr>
      <w:r>
        <w:rPr>
          <w:rFonts w:hint="eastAsia" w:ascii="宋体" w:hAnsi="宋体" w:cs="宋体"/>
          <w:kern w:val="0"/>
          <w:szCs w:val="21"/>
          <w:highlight w:val="none"/>
        </w:rPr>
        <w:t>项目名称：</w:t>
      </w:r>
      <w:r>
        <w:rPr>
          <w:rFonts w:hint="eastAsia" w:ascii="宋体" w:hAnsi="宋体" w:cs="宋体"/>
          <w:kern w:val="0"/>
          <w:szCs w:val="21"/>
          <w:highlight w:val="none"/>
          <w:lang w:eastAsia="zh-CN"/>
        </w:rPr>
        <w:t>浙江理工大学消防管网改造及安全防护设施、电梯更新项目监理服务</w:t>
      </w:r>
    </w:p>
    <w:bookmarkEnd w:id="6"/>
    <w:p>
      <w:pPr>
        <w:widowControl/>
        <w:adjustRightInd w:val="0"/>
        <w:snapToGrid w:val="0"/>
        <w:spacing w:line="360" w:lineRule="auto"/>
        <w:ind w:firstLine="420" w:firstLineChars="200"/>
        <w:jc w:val="left"/>
        <w:rPr>
          <w:rFonts w:hint="default" w:ascii="宋体" w:hAnsi="宋体" w:eastAsia="宋体" w:cs="宋体"/>
          <w:kern w:val="0"/>
          <w:szCs w:val="21"/>
          <w:highlight w:val="none"/>
          <w:lang w:val="en-US" w:eastAsia="zh-CN"/>
        </w:rPr>
      </w:pPr>
      <w:r>
        <w:rPr>
          <w:rFonts w:hint="eastAsia" w:ascii="宋体" w:hAnsi="宋体" w:cs="宋体"/>
          <w:kern w:val="0"/>
          <w:szCs w:val="21"/>
          <w:highlight w:val="none"/>
        </w:rPr>
        <w:t>预算金额（元）：</w:t>
      </w:r>
      <w:r>
        <w:rPr>
          <w:rFonts w:hint="eastAsia" w:ascii="宋体" w:hAnsi="宋体" w:cs="宋体"/>
          <w:kern w:val="0"/>
          <w:szCs w:val="21"/>
          <w:highlight w:val="none"/>
          <w:lang w:val="en-US" w:eastAsia="zh-CN"/>
        </w:rPr>
        <w:t>367000</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最高限价（元）：</w:t>
      </w:r>
      <w:r>
        <w:rPr>
          <w:rFonts w:hint="eastAsia" w:ascii="宋体" w:hAnsi="宋体" w:cs="宋体"/>
          <w:kern w:val="0"/>
          <w:szCs w:val="21"/>
          <w:highlight w:val="none"/>
          <w:lang w:val="en-US" w:eastAsia="zh-CN"/>
        </w:rPr>
        <w:t>367000</w:t>
      </w:r>
    </w:p>
    <w:p>
      <w:pPr>
        <w:widowControl/>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kern w:val="0"/>
          <w:szCs w:val="21"/>
          <w:highlight w:val="none"/>
        </w:rPr>
        <w:t>采购需求：</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数量：1</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简要规格描述或项目基本概况介绍</w:t>
      </w:r>
      <w:r>
        <w:rPr>
          <w:rFonts w:hint="eastAsia" w:ascii="宋体" w:hAnsi="宋体" w:cs="宋体"/>
          <w:szCs w:val="21"/>
          <w:highlight w:val="none"/>
        </w:rPr>
        <w:t>、用途：</w:t>
      </w:r>
      <w:r>
        <w:rPr>
          <w:rFonts w:hint="eastAsia" w:ascii="宋体" w:hAnsi="宋体" w:cs="宋体"/>
          <w:szCs w:val="21"/>
        </w:rPr>
        <w:t>浙江理工大学消防管网改造、安全防护设施、学生宿舍烟感安装及电梯更新项目监理服务。</w:t>
      </w:r>
      <w:r>
        <w:rPr>
          <w:rFonts w:hint="eastAsia" w:ascii="宋体" w:hAnsi="宋体" w:cs="宋体"/>
          <w:szCs w:val="21"/>
          <w:highlight w:val="none"/>
        </w:rPr>
        <w:t>具体详见采购文件第二章</w:t>
      </w:r>
      <w:r>
        <w:rPr>
          <w:rFonts w:hint="eastAsia" w:ascii="宋体" w:hAnsi="宋体" w:cs="宋体"/>
          <w:kern w:val="0"/>
          <w:szCs w:val="21"/>
          <w:highlight w:val="none"/>
        </w:rPr>
        <w:t>。</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合同履行期限</w:t>
      </w: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监理服务期自监理合同签订生效之日起，包含施工准备期、施工期和缺陷责任期三个阶段至缺陷责任期满结束。</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本项目（是）接受联合体投标。</w:t>
      </w:r>
    </w:p>
    <w:p>
      <w:pPr>
        <w:widowControl/>
        <w:adjustRightInd w:val="0"/>
        <w:snapToGrid w:val="0"/>
        <w:spacing w:line="360" w:lineRule="auto"/>
        <w:ind w:firstLine="422" w:firstLineChars="200"/>
        <w:jc w:val="left"/>
        <w:rPr>
          <w:rFonts w:ascii="宋体" w:hAnsi="宋体" w:cs="宋体"/>
          <w:b/>
          <w:bCs/>
          <w:kern w:val="0"/>
          <w:szCs w:val="21"/>
          <w:highlight w:val="none"/>
        </w:rPr>
      </w:pPr>
      <w:bookmarkStart w:id="7" w:name="_Toc35393791"/>
      <w:bookmarkStart w:id="8" w:name="_Toc35393622"/>
      <w:bookmarkStart w:id="9" w:name="_Toc28359003"/>
      <w:bookmarkStart w:id="10" w:name="_Toc28359080"/>
      <w:r>
        <w:rPr>
          <w:rFonts w:hint="eastAsia" w:ascii="宋体" w:hAnsi="宋体" w:cs="宋体"/>
          <w:b/>
          <w:bCs/>
          <w:kern w:val="0"/>
          <w:szCs w:val="21"/>
          <w:highlight w:val="none"/>
        </w:rPr>
        <w:t>二、申请人的资格要求：</w:t>
      </w:r>
      <w:bookmarkEnd w:id="7"/>
      <w:bookmarkEnd w:id="8"/>
      <w:bookmarkEnd w:id="9"/>
      <w:bookmarkEnd w:id="10"/>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bCs/>
          <w:kern w:val="0"/>
          <w:szCs w:val="21"/>
          <w:highlight w:val="none"/>
        </w:rPr>
        <w:t>1.</w:t>
      </w:r>
      <w:r>
        <w:rPr>
          <w:rFonts w:hint="eastAsia" w:ascii="宋体" w:hAnsi="宋体" w:cs="宋体"/>
          <w:kern w:val="0"/>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2.落实政府采购政策需满足的资格要求：</w:t>
      </w:r>
      <w:r>
        <w:rPr>
          <w:rFonts w:hint="eastAsia" w:ascii="宋体" w:hAnsi="宋体" w:cs="宋体"/>
          <w:b/>
          <w:szCs w:val="21"/>
          <w:highlight w:val="none"/>
        </w:rPr>
        <w:t>供应商为中小企业/小微企业</w:t>
      </w:r>
      <w:r>
        <w:rPr>
          <w:rFonts w:hint="eastAsia" w:ascii="宋体" w:hAnsi="宋体" w:cs="宋体"/>
          <w:kern w:val="0"/>
          <w:szCs w:val="21"/>
          <w:highlight w:val="none"/>
        </w:rPr>
        <w:t>（</w:t>
      </w:r>
      <w:r>
        <w:rPr>
          <w:rFonts w:hint="eastAsia" w:ascii="宋体" w:hAnsi="宋体" w:cs="宋体"/>
          <w:bCs/>
          <w:highlight w:val="none"/>
        </w:rPr>
        <w:t>监狱企业、残疾人福利性单位</w:t>
      </w:r>
      <w:r>
        <w:rPr>
          <w:rFonts w:hint="eastAsia" w:ascii="宋体" w:hAnsi="宋体" w:cs="宋体"/>
          <w:bCs/>
          <w:kern w:val="0"/>
          <w:szCs w:val="21"/>
          <w:highlight w:val="none"/>
        </w:rPr>
        <w:t>视同小型、微型企业</w:t>
      </w:r>
      <w:r>
        <w:rPr>
          <w:rFonts w:hint="eastAsia" w:ascii="宋体" w:hAnsi="宋体" w:cs="宋体"/>
          <w:kern w:val="0"/>
          <w:szCs w:val="21"/>
          <w:highlight w:val="none"/>
        </w:rPr>
        <w:t>）</w:t>
      </w:r>
      <w:r>
        <w:rPr>
          <w:rFonts w:hint="eastAsia" w:ascii="宋体" w:hAnsi="宋体" w:cs="宋体"/>
          <w:b/>
          <w:szCs w:val="21"/>
          <w:highlight w:val="none"/>
        </w:rPr>
        <w:t>。</w:t>
      </w:r>
    </w:p>
    <w:p>
      <w:pPr>
        <w:widowControl/>
        <w:adjustRightInd w:val="0"/>
        <w:snapToGrid w:val="0"/>
        <w:spacing w:line="360" w:lineRule="auto"/>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3.本项目的特定资格要求：</w:t>
      </w:r>
    </w:p>
    <w:p>
      <w:pPr>
        <w:widowControl/>
        <w:adjustRightInd w:val="0"/>
        <w:snapToGrid w:val="0"/>
        <w:spacing w:line="360" w:lineRule="auto"/>
        <w:ind w:firstLine="420" w:firstLineChars="200"/>
        <w:jc w:val="left"/>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3.1供应商具有</w:t>
      </w:r>
      <w:r>
        <w:rPr>
          <w:rFonts w:hint="eastAsia" w:ascii="宋体" w:hAnsi="宋体" w:cs="宋体"/>
          <w:kern w:val="0"/>
          <w:szCs w:val="21"/>
          <w:highlight w:val="none"/>
        </w:rPr>
        <w:t>工程监理综合资质</w:t>
      </w:r>
      <w:r>
        <w:rPr>
          <w:rFonts w:hint="eastAsia" w:ascii="宋体" w:hAnsi="宋体" w:cs="宋体"/>
          <w:kern w:val="0"/>
          <w:szCs w:val="21"/>
          <w:highlight w:val="none"/>
          <w:lang w:eastAsia="zh-CN"/>
        </w:rPr>
        <w:t>或房屋建筑工程监理乙级及以上资质；</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lang w:val="en-US" w:eastAsia="zh-CN"/>
        </w:rPr>
        <w:t>3.2</w:t>
      </w:r>
      <w:r>
        <w:rPr>
          <w:rFonts w:hint="eastAsia" w:ascii="宋体" w:hAnsi="宋体" w:cs="宋体"/>
          <w:kern w:val="0"/>
          <w:szCs w:val="21"/>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widowControl/>
        <w:adjustRightInd w:val="0"/>
        <w:snapToGrid w:val="0"/>
        <w:spacing w:line="360" w:lineRule="auto"/>
        <w:ind w:firstLine="422" w:firstLineChars="200"/>
        <w:jc w:val="left"/>
        <w:rPr>
          <w:rFonts w:ascii="宋体" w:hAnsi="宋体" w:cs="宋体"/>
          <w:b/>
          <w:bCs/>
          <w:kern w:val="0"/>
          <w:szCs w:val="21"/>
          <w:highlight w:val="none"/>
        </w:rPr>
      </w:pPr>
      <w:bookmarkStart w:id="11" w:name="_Toc28359081"/>
      <w:bookmarkStart w:id="12" w:name="_Toc35393623"/>
      <w:bookmarkStart w:id="13" w:name="_Toc28359004"/>
      <w:bookmarkStart w:id="14" w:name="_Toc35393792"/>
      <w:r>
        <w:rPr>
          <w:rFonts w:hint="eastAsia" w:ascii="宋体" w:hAnsi="宋体" w:cs="宋体"/>
          <w:b/>
          <w:bCs/>
          <w:kern w:val="0"/>
          <w:szCs w:val="21"/>
          <w:highlight w:val="none"/>
        </w:rPr>
        <w:t>三、获取采购文件</w:t>
      </w:r>
      <w:bookmarkEnd w:id="11"/>
      <w:bookmarkEnd w:id="12"/>
      <w:bookmarkEnd w:id="13"/>
      <w:bookmarkEnd w:id="14"/>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1.时间：/至</w:t>
      </w:r>
      <w:r>
        <w:rPr>
          <w:rFonts w:hint="eastAsia" w:ascii="宋体" w:hAnsi="宋体" w:cs="宋体"/>
          <w:kern w:val="0"/>
          <w:szCs w:val="21"/>
          <w:highlight w:val="none"/>
          <w:lang w:eastAsia="zh-CN"/>
        </w:rPr>
        <w:t>2024</w:t>
      </w:r>
      <w:r>
        <w:rPr>
          <w:rFonts w:hint="eastAsia" w:ascii="宋体" w:hAnsi="宋体" w:cs="宋体"/>
          <w:kern w:val="0"/>
          <w:szCs w:val="21"/>
          <w:highlight w:val="none"/>
        </w:rPr>
        <w:t>年</w:t>
      </w:r>
      <w:r>
        <w:rPr>
          <w:rFonts w:hint="eastAsia" w:ascii="宋体" w:hAnsi="宋体" w:cs="宋体"/>
          <w:kern w:val="0"/>
          <w:szCs w:val="21"/>
          <w:highlight w:val="none"/>
          <w:lang w:val="en-US" w:eastAsia="zh-CN"/>
        </w:rPr>
        <w:t>5</w:t>
      </w:r>
      <w:r>
        <w:rPr>
          <w:rFonts w:hint="eastAsia" w:ascii="宋体" w:hAnsi="宋体" w:cs="宋体"/>
          <w:kern w:val="0"/>
          <w:szCs w:val="21"/>
          <w:highlight w:val="none"/>
        </w:rPr>
        <w:t>月</w:t>
      </w:r>
      <w:r>
        <w:rPr>
          <w:rFonts w:hint="eastAsia" w:ascii="宋体" w:hAnsi="宋体" w:cs="宋体"/>
          <w:kern w:val="0"/>
          <w:szCs w:val="21"/>
          <w:highlight w:val="none"/>
          <w:lang w:val="en-US" w:eastAsia="zh-CN"/>
        </w:rPr>
        <w:t>17</w:t>
      </w:r>
      <w:r>
        <w:rPr>
          <w:rFonts w:hint="eastAsia" w:ascii="宋体" w:hAnsi="宋体" w:cs="宋体"/>
          <w:kern w:val="0"/>
          <w:szCs w:val="21"/>
          <w:highlight w:val="none"/>
        </w:rPr>
        <w:t>日，每天上午00:00至12:00，下午12:00至23:59（北京时间，线上获取法定节假日均可，线下获取文件法定节假日除外）；</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2.地点（网址）：浙</w:t>
      </w:r>
      <w:r>
        <w:rPr>
          <w:rFonts w:hint="eastAsia" w:ascii="宋体" w:hAnsi="宋体" w:cs="宋体"/>
          <w:szCs w:val="21"/>
          <w:highlight w:val="none"/>
        </w:rPr>
        <w:t>江政府采购网（https://zfcg.czt.zj.gov.cn/）；</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3.方式：</w:t>
      </w:r>
      <w:r>
        <w:rPr>
          <w:rFonts w:hint="eastAsia" w:ascii="宋体" w:hAnsi="宋体" w:cs="宋体"/>
          <w:szCs w:val="21"/>
          <w:highlight w:val="none"/>
        </w:rPr>
        <w:t>供应商通过“浙江政府采购网”在线获取（招标公告下方选取“潜在供应商”处“获取采购文件”），不提供纸制版采购文件；供应商只有在“浙江政府采购网”完成获取采购文件申请并下载了采购文件后才视作依法获取采购文件。通过本公告下方“游客，浏览采购文件”下载的采购文件仅供浏览，不视作依法获取采购文件。</w:t>
      </w:r>
    </w:p>
    <w:p>
      <w:pPr>
        <w:widowControl/>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kern w:val="0"/>
          <w:szCs w:val="21"/>
          <w:highlight w:val="none"/>
        </w:rPr>
        <w:t>4.售价（元）：</w:t>
      </w:r>
      <w:r>
        <w:rPr>
          <w:rFonts w:hint="eastAsia" w:ascii="宋体" w:hAnsi="宋体" w:cs="宋体"/>
          <w:szCs w:val="21"/>
          <w:highlight w:val="none"/>
        </w:rPr>
        <w:t>0</w:t>
      </w:r>
    </w:p>
    <w:p>
      <w:pPr>
        <w:widowControl/>
        <w:adjustRightInd w:val="0"/>
        <w:snapToGrid w:val="0"/>
        <w:spacing w:line="360" w:lineRule="auto"/>
        <w:ind w:firstLine="422" w:firstLineChars="200"/>
        <w:jc w:val="left"/>
        <w:rPr>
          <w:rFonts w:ascii="宋体" w:hAnsi="宋体" w:cs="宋体"/>
          <w:b/>
          <w:bCs/>
          <w:kern w:val="0"/>
          <w:szCs w:val="21"/>
          <w:highlight w:val="none"/>
        </w:rPr>
      </w:pPr>
      <w:bookmarkStart w:id="15" w:name="_Toc35393624"/>
      <w:bookmarkStart w:id="16" w:name="_Toc28359005"/>
      <w:bookmarkStart w:id="17" w:name="_Toc28359082"/>
      <w:bookmarkStart w:id="18" w:name="_Toc35393793"/>
      <w:r>
        <w:rPr>
          <w:rFonts w:hint="eastAsia" w:ascii="宋体" w:hAnsi="宋体" w:cs="宋体"/>
          <w:b/>
          <w:bCs/>
          <w:kern w:val="0"/>
          <w:szCs w:val="21"/>
          <w:highlight w:val="none"/>
        </w:rPr>
        <w:t>四、</w:t>
      </w:r>
      <w:bookmarkEnd w:id="15"/>
      <w:bookmarkEnd w:id="16"/>
      <w:bookmarkEnd w:id="17"/>
      <w:bookmarkEnd w:id="18"/>
      <w:r>
        <w:rPr>
          <w:rFonts w:hint="eastAsia" w:ascii="宋体" w:hAnsi="宋体" w:cs="宋体"/>
          <w:b/>
          <w:bCs/>
          <w:kern w:val="0"/>
          <w:szCs w:val="21"/>
          <w:highlight w:val="none"/>
        </w:rPr>
        <w:t>提交投标文件截止时间、开标时间和地点</w:t>
      </w:r>
    </w:p>
    <w:p>
      <w:pPr>
        <w:widowControl/>
        <w:adjustRightInd w:val="0"/>
        <w:snapToGrid w:val="0"/>
        <w:spacing w:line="360" w:lineRule="auto"/>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1.递交投标文件截止时间：</w:t>
      </w:r>
      <w:r>
        <w:rPr>
          <w:rFonts w:hint="eastAsia" w:ascii="宋体" w:hAnsi="宋体" w:cs="宋体"/>
          <w:bCs/>
          <w:kern w:val="0"/>
          <w:szCs w:val="21"/>
          <w:highlight w:val="none"/>
          <w:lang w:eastAsia="zh-CN"/>
        </w:rPr>
        <w:t>2024</w:t>
      </w:r>
      <w:r>
        <w:rPr>
          <w:rFonts w:hint="eastAsia" w:ascii="宋体" w:hAnsi="宋体" w:cs="宋体"/>
          <w:bCs/>
          <w:kern w:val="0"/>
          <w:szCs w:val="21"/>
          <w:highlight w:val="none"/>
        </w:rPr>
        <w:t>年</w:t>
      </w:r>
      <w:r>
        <w:rPr>
          <w:rFonts w:hint="eastAsia" w:ascii="宋体" w:hAnsi="宋体" w:cs="宋体"/>
          <w:bCs/>
          <w:kern w:val="0"/>
          <w:szCs w:val="21"/>
          <w:highlight w:val="none"/>
          <w:lang w:val="en-US" w:eastAsia="zh-CN"/>
        </w:rPr>
        <w:t>5</w:t>
      </w:r>
      <w:r>
        <w:rPr>
          <w:rFonts w:hint="eastAsia" w:ascii="宋体" w:hAnsi="宋体" w:cs="宋体"/>
          <w:bCs/>
          <w:kern w:val="0"/>
          <w:szCs w:val="21"/>
          <w:highlight w:val="none"/>
        </w:rPr>
        <w:t>月</w:t>
      </w:r>
      <w:r>
        <w:rPr>
          <w:rFonts w:hint="eastAsia" w:ascii="宋体" w:hAnsi="宋体" w:cs="宋体"/>
          <w:bCs/>
          <w:kern w:val="0"/>
          <w:szCs w:val="21"/>
          <w:highlight w:val="none"/>
          <w:lang w:val="en-US" w:eastAsia="zh-CN"/>
        </w:rPr>
        <w:t>17</w:t>
      </w:r>
      <w:r>
        <w:rPr>
          <w:rFonts w:hint="eastAsia" w:ascii="宋体" w:hAnsi="宋体" w:cs="宋体"/>
          <w:bCs/>
          <w:kern w:val="0"/>
          <w:szCs w:val="21"/>
          <w:highlight w:val="none"/>
        </w:rPr>
        <w:t>日</w:t>
      </w:r>
      <w:r>
        <w:rPr>
          <w:rFonts w:hint="eastAsia" w:ascii="宋体" w:hAnsi="宋体" w:cs="宋体"/>
          <w:bCs/>
          <w:kern w:val="0"/>
          <w:szCs w:val="21"/>
          <w:highlight w:val="none"/>
          <w:lang w:val="en-US" w:eastAsia="zh-CN"/>
        </w:rPr>
        <w:t>9:30</w:t>
      </w:r>
      <w:r>
        <w:rPr>
          <w:rFonts w:hint="eastAsia" w:ascii="宋体" w:hAnsi="宋体" w:cs="宋体"/>
          <w:bCs/>
          <w:kern w:val="0"/>
          <w:szCs w:val="21"/>
          <w:highlight w:val="none"/>
        </w:rPr>
        <w:t>（北京时间）</w:t>
      </w:r>
    </w:p>
    <w:p>
      <w:pPr>
        <w:widowControl/>
        <w:adjustRightInd w:val="0"/>
        <w:snapToGrid w:val="0"/>
        <w:spacing w:line="360" w:lineRule="auto"/>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2.投标地点（网址）：政府采购云平台（https://www.zcygov.cn）</w:t>
      </w:r>
    </w:p>
    <w:p>
      <w:pPr>
        <w:widowControl/>
        <w:adjustRightInd w:val="0"/>
        <w:snapToGrid w:val="0"/>
        <w:spacing w:line="360" w:lineRule="auto"/>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3.开标时间：</w:t>
      </w:r>
      <w:r>
        <w:rPr>
          <w:rFonts w:hint="eastAsia" w:ascii="宋体" w:hAnsi="宋体" w:cs="宋体"/>
          <w:bCs/>
          <w:kern w:val="0"/>
          <w:szCs w:val="21"/>
          <w:highlight w:val="none"/>
          <w:lang w:eastAsia="zh-CN"/>
        </w:rPr>
        <w:t>2024</w:t>
      </w:r>
      <w:r>
        <w:rPr>
          <w:rFonts w:hint="eastAsia" w:ascii="宋体" w:hAnsi="宋体" w:cs="宋体"/>
          <w:bCs/>
          <w:kern w:val="0"/>
          <w:szCs w:val="21"/>
          <w:highlight w:val="none"/>
        </w:rPr>
        <w:t>年</w:t>
      </w:r>
      <w:r>
        <w:rPr>
          <w:rFonts w:hint="eastAsia" w:ascii="宋体" w:hAnsi="宋体" w:cs="宋体"/>
          <w:bCs/>
          <w:kern w:val="0"/>
          <w:szCs w:val="21"/>
          <w:highlight w:val="none"/>
          <w:lang w:val="en-US" w:eastAsia="zh-CN"/>
        </w:rPr>
        <w:t>5</w:t>
      </w:r>
      <w:r>
        <w:rPr>
          <w:rFonts w:hint="eastAsia" w:ascii="宋体" w:hAnsi="宋体" w:cs="宋体"/>
          <w:bCs/>
          <w:kern w:val="0"/>
          <w:szCs w:val="21"/>
          <w:highlight w:val="none"/>
        </w:rPr>
        <w:t>月</w:t>
      </w:r>
      <w:r>
        <w:rPr>
          <w:rFonts w:hint="eastAsia" w:ascii="宋体" w:hAnsi="宋体" w:cs="宋体"/>
          <w:bCs/>
          <w:kern w:val="0"/>
          <w:szCs w:val="21"/>
          <w:highlight w:val="none"/>
          <w:lang w:val="en-US" w:eastAsia="zh-CN"/>
        </w:rPr>
        <w:t>17</w:t>
      </w:r>
      <w:r>
        <w:rPr>
          <w:rFonts w:hint="eastAsia" w:ascii="宋体" w:hAnsi="宋体" w:cs="宋体"/>
          <w:bCs/>
          <w:kern w:val="0"/>
          <w:szCs w:val="21"/>
          <w:highlight w:val="none"/>
        </w:rPr>
        <w:t>日</w:t>
      </w:r>
      <w:r>
        <w:rPr>
          <w:rFonts w:hint="eastAsia" w:ascii="宋体" w:hAnsi="宋体" w:cs="宋体"/>
          <w:bCs/>
          <w:kern w:val="0"/>
          <w:szCs w:val="21"/>
          <w:highlight w:val="none"/>
          <w:lang w:val="en-US" w:eastAsia="zh-CN"/>
        </w:rPr>
        <w:t>9:30</w:t>
      </w:r>
      <w:r>
        <w:rPr>
          <w:rFonts w:hint="eastAsia" w:ascii="宋体" w:hAnsi="宋体" w:cs="宋体"/>
          <w:bCs/>
          <w:kern w:val="0"/>
          <w:szCs w:val="21"/>
          <w:highlight w:val="none"/>
        </w:rPr>
        <w:t>（北京时间）</w:t>
      </w:r>
    </w:p>
    <w:p>
      <w:pPr>
        <w:widowControl/>
        <w:adjustRightInd w:val="0"/>
        <w:snapToGrid w:val="0"/>
        <w:spacing w:line="360" w:lineRule="auto"/>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4.开标地点（网址）：在政府采购云平台（https://www.zcygov.cn）上开启投标文件</w:t>
      </w:r>
    </w:p>
    <w:p>
      <w:pPr>
        <w:widowControl/>
        <w:adjustRightInd w:val="0"/>
        <w:snapToGrid w:val="0"/>
        <w:spacing w:line="360" w:lineRule="auto"/>
        <w:ind w:firstLine="422" w:firstLineChars="200"/>
        <w:jc w:val="left"/>
        <w:rPr>
          <w:rFonts w:ascii="宋体" w:hAnsi="宋体" w:cs="宋体"/>
          <w:b/>
          <w:bCs/>
          <w:kern w:val="0"/>
          <w:szCs w:val="21"/>
          <w:highlight w:val="none"/>
        </w:rPr>
      </w:pPr>
      <w:bookmarkStart w:id="19" w:name="_Toc28359007"/>
      <w:bookmarkStart w:id="20" w:name="_Toc28359084"/>
      <w:bookmarkStart w:id="21" w:name="_Toc35393794"/>
      <w:bookmarkStart w:id="22" w:name="_Toc35393625"/>
      <w:r>
        <w:rPr>
          <w:rFonts w:hint="eastAsia" w:ascii="宋体" w:hAnsi="宋体" w:cs="宋体"/>
          <w:b/>
          <w:bCs/>
          <w:kern w:val="0"/>
          <w:szCs w:val="21"/>
          <w:highlight w:val="none"/>
        </w:rPr>
        <w:t>五、公告期限</w:t>
      </w:r>
      <w:bookmarkEnd w:id="19"/>
      <w:bookmarkEnd w:id="20"/>
      <w:bookmarkEnd w:id="21"/>
      <w:bookmarkEnd w:id="22"/>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自本公告发布之日起5个工作日。</w:t>
      </w:r>
    </w:p>
    <w:p>
      <w:pPr>
        <w:widowControl/>
        <w:adjustRightInd w:val="0"/>
        <w:snapToGrid w:val="0"/>
        <w:spacing w:line="360" w:lineRule="auto"/>
        <w:ind w:firstLine="422" w:firstLineChars="200"/>
        <w:jc w:val="left"/>
        <w:rPr>
          <w:rFonts w:ascii="宋体" w:hAnsi="宋体" w:cs="宋体"/>
          <w:b/>
          <w:bCs/>
          <w:kern w:val="0"/>
          <w:szCs w:val="21"/>
          <w:highlight w:val="none"/>
        </w:rPr>
      </w:pPr>
      <w:bookmarkStart w:id="23" w:name="_Toc35393795"/>
      <w:bookmarkStart w:id="24" w:name="_Toc35393626"/>
      <w:r>
        <w:rPr>
          <w:rFonts w:hint="eastAsia" w:ascii="宋体" w:hAnsi="宋体" w:cs="宋体"/>
          <w:b/>
          <w:bCs/>
          <w:kern w:val="0"/>
          <w:szCs w:val="21"/>
          <w:highlight w:val="none"/>
        </w:rPr>
        <w:t>六、其他补充事宜</w:t>
      </w:r>
      <w:bookmarkEnd w:id="23"/>
      <w:bookmarkEnd w:id="24"/>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1.《浙江省财政厅关于进一步发挥政府采购政策功能全力推动经济稳进提质的通知》 （浙财采监（2022）3号）、《浙江省财政厅关于进一步促进政府采购公平竞争打造最优营商环境的通知》（浙财采监（2021）22号）</w:t>
      </w:r>
      <w:r>
        <w:rPr>
          <w:rFonts w:hint="eastAsia" w:ascii="宋体" w:hAnsi="宋体" w:cs="仿宋"/>
          <w:color w:val="000000"/>
          <w:szCs w:val="21"/>
          <w:highlight w:val="none"/>
        </w:rPr>
        <w:t>、《浙江省财政厅关于进一步加大政府采购支持中小企业力度助力扎实稳住经济的通知》 （浙财采监（2022）8号）已分别于2022年1月29日、2022年2月1日和2022年7月1日开始实施</w:t>
      </w:r>
      <w:r>
        <w:rPr>
          <w:rFonts w:hint="eastAsia" w:ascii="宋体" w:hAnsi="宋体" w:cs="宋体"/>
          <w:kern w:val="0"/>
          <w:szCs w:val="21"/>
          <w:highlight w:val="none"/>
        </w:rPr>
        <w:t>，此前有关规定与上述文件内容不一致的，按上述文件要求执行。</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adjustRightInd w:val="0"/>
        <w:snapToGrid w:val="0"/>
        <w:spacing w:line="360" w:lineRule="auto"/>
        <w:ind w:firstLine="420" w:firstLineChars="200"/>
        <w:jc w:val="left"/>
        <w:rPr>
          <w:rFonts w:ascii="宋体" w:hAnsi="宋体" w:cs="宋体"/>
          <w:bCs/>
          <w:kern w:val="0"/>
          <w:szCs w:val="21"/>
          <w:highlight w:val="none"/>
        </w:rPr>
      </w:pPr>
      <w:r>
        <w:rPr>
          <w:rFonts w:hint="eastAsia" w:ascii="宋体" w:hAnsi="宋体" w:cs="宋体"/>
          <w:kern w:val="0"/>
          <w:szCs w:val="21"/>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adjustRightInd w:val="0"/>
        <w:snapToGrid w:val="0"/>
        <w:spacing w:line="360" w:lineRule="auto"/>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4.其他事项</w:t>
      </w:r>
    </w:p>
    <w:p>
      <w:pPr>
        <w:widowControl/>
        <w:adjustRightInd w:val="0"/>
        <w:snapToGrid w:val="0"/>
        <w:spacing w:line="360" w:lineRule="auto"/>
        <w:ind w:firstLine="420" w:firstLineChars="200"/>
        <w:jc w:val="left"/>
        <w:rPr>
          <w:rFonts w:hint="eastAsia" w:ascii="宋体" w:hAnsi="宋体" w:eastAsia="宋体" w:cs="宋体"/>
          <w:kern w:val="0"/>
          <w:szCs w:val="21"/>
          <w:highlight w:val="none"/>
          <w:lang w:eastAsia="zh-CN"/>
        </w:rPr>
      </w:pPr>
      <w:r>
        <w:rPr>
          <w:rFonts w:hint="eastAsia" w:ascii="宋体" w:hAnsi="宋体" w:cs="宋体"/>
          <w:szCs w:val="21"/>
          <w:highlight w:val="none"/>
        </w:rPr>
        <w:t>（1）</w:t>
      </w:r>
      <w:r>
        <w:rPr>
          <w:rFonts w:hint="eastAsia" w:ascii="宋体" w:hAnsi="宋体" w:cs="宋体"/>
          <w:kern w:val="0"/>
          <w:szCs w:val="21"/>
          <w:highlight w:val="none"/>
        </w:rPr>
        <w:t>采购项目需要落实的政府采购政策：</w:t>
      </w:r>
      <w:r>
        <w:rPr>
          <w:rFonts w:hint="eastAsia" w:ascii="宋体" w:hAnsi="宋体" w:cs="宋体"/>
          <w:color w:val="auto"/>
          <w:kern w:val="0"/>
          <w:szCs w:val="21"/>
          <w:highlight w:val="none"/>
        </w:rPr>
        <w:t>本项目对符合《政府采购促进中小企业发展管理办法》规定的中小企业、监狱企业、残疾人福利性单位给予政策扶持</w:t>
      </w:r>
      <w:r>
        <w:rPr>
          <w:rFonts w:hint="eastAsia" w:ascii="宋体" w:hAnsi="宋体" w:cs="宋体"/>
          <w:color w:val="auto"/>
          <w:kern w:val="0"/>
          <w:szCs w:val="21"/>
          <w:highlight w:val="none"/>
          <w:lang w:eastAsia="zh-CN"/>
        </w:rPr>
        <w:t>。</w:t>
      </w:r>
    </w:p>
    <w:p>
      <w:pPr>
        <w:widowControl/>
        <w:adjustRightInd w:val="0"/>
        <w:snapToGrid w:val="0"/>
        <w:spacing w:line="360" w:lineRule="auto"/>
        <w:ind w:firstLine="420" w:firstLineChars="200"/>
        <w:jc w:val="left"/>
        <w:rPr>
          <w:rFonts w:ascii="宋体" w:hAnsi="宋体" w:cs="宋体"/>
          <w:bCs/>
          <w:kern w:val="0"/>
          <w:highlight w:val="none"/>
        </w:rPr>
      </w:pPr>
      <w:r>
        <w:rPr>
          <w:rFonts w:hint="eastAsia" w:ascii="宋体" w:hAnsi="宋体" w:cs="宋体"/>
          <w:bCs/>
          <w:kern w:val="0"/>
          <w:highlight w:val="none"/>
        </w:rPr>
        <w:t>（2）本项目采取电子招投标，电子招投标有关事项说明：</w:t>
      </w:r>
    </w:p>
    <w:p>
      <w:pPr>
        <w:widowControl/>
        <w:spacing w:line="360" w:lineRule="auto"/>
        <w:ind w:firstLine="384"/>
        <w:jc w:val="left"/>
        <w:rPr>
          <w:rFonts w:ascii="宋体" w:hAnsi="宋体" w:cs="Arial"/>
          <w:kern w:val="0"/>
          <w:szCs w:val="21"/>
          <w:highlight w:val="none"/>
        </w:rPr>
      </w:pPr>
      <w:r>
        <w:rPr>
          <w:rFonts w:ascii="宋体" w:hAnsi="宋体" w:cs="Arial"/>
          <w:kern w:val="0"/>
          <w:szCs w:val="21"/>
          <w:highlight w:val="none"/>
        </w:rPr>
        <w:t>A.本项目通过“浙江政府采购网（http://zfcg.czt.zj.gov.cn）”实行电子投标，供应商须安装客户端软件，并按照采购文件和电子交易平台的要求制作投标文件。</w:t>
      </w:r>
    </w:p>
    <w:p>
      <w:pPr>
        <w:widowControl/>
        <w:spacing w:line="360" w:lineRule="auto"/>
        <w:ind w:firstLine="384"/>
        <w:jc w:val="left"/>
        <w:rPr>
          <w:rFonts w:ascii="宋体" w:hAnsi="宋体" w:cs="Arial"/>
          <w:kern w:val="0"/>
          <w:szCs w:val="21"/>
          <w:highlight w:val="none"/>
        </w:rPr>
      </w:pPr>
      <w:r>
        <w:rPr>
          <w:rFonts w:ascii="宋体" w:hAnsi="宋体" w:cs="Arial"/>
          <w:kern w:val="0"/>
          <w:szCs w:val="21"/>
          <w:highlight w:val="none"/>
        </w:rPr>
        <w:t>客户端软件下载方式：供应商可通过“浙江政府采购网-下载专区-电子交易客户端”进行下载。</w:t>
      </w:r>
    </w:p>
    <w:p>
      <w:pPr>
        <w:widowControl/>
        <w:spacing w:line="360" w:lineRule="auto"/>
        <w:ind w:firstLine="384"/>
        <w:jc w:val="left"/>
        <w:rPr>
          <w:rFonts w:ascii="宋体" w:hAnsi="宋体" w:cs="Arial"/>
          <w:kern w:val="0"/>
          <w:szCs w:val="21"/>
          <w:highlight w:val="none"/>
        </w:rPr>
      </w:pPr>
      <w:r>
        <w:rPr>
          <w:rFonts w:hint="eastAsia" w:ascii="宋体" w:hAnsi="宋体" w:cs="Arial"/>
          <w:kern w:val="0"/>
          <w:szCs w:val="21"/>
          <w:highlight w:val="none"/>
        </w:rPr>
        <w:t>B.</w:t>
      </w:r>
      <w:r>
        <w:rPr>
          <w:rFonts w:ascii="宋体" w:hAnsi="宋体" w:cs="Arial"/>
          <w:kern w:val="0"/>
          <w:szCs w:val="21"/>
          <w:highlight w:val="none"/>
        </w:rPr>
        <w:t>供应商须申领CA，并在浙江政府采购网完成绑定方可进行投标文件的编制，CA相关操作可参考“浙江政府采购网-下载专区-电子交易客户端-CA驱动和申领流程”。</w:t>
      </w:r>
    </w:p>
    <w:p>
      <w:pPr>
        <w:widowControl/>
        <w:adjustRightInd w:val="0"/>
        <w:snapToGrid w:val="0"/>
        <w:spacing w:line="360" w:lineRule="auto"/>
        <w:ind w:firstLine="420" w:firstLineChars="200"/>
        <w:jc w:val="left"/>
        <w:rPr>
          <w:rFonts w:ascii="宋体" w:hAnsi="宋体" w:cs="Arial"/>
          <w:kern w:val="0"/>
          <w:szCs w:val="21"/>
          <w:highlight w:val="none"/>
        </w:rPr>
      </w:pPr>
      <w:r>
        <w:rPr>
          <w:rFonts w:hint="eastAsia" w:ascii="宋体" w:hAnsi="宋体" w:cs="Arial"/>
          <w:kern w:val="0"/>
          <w:szCs w:val="21"/>
          <w:highlight w:val="none"/>
        </w:rPr>
        <w:t>C.供应商登录浙江政府采购网（http://zfcg.czt.zj.gov.cn/）进入政采云系统“项目采购”模块“获取采购文件”菜单，进行网上获取采购文件。通过本公告下方“游客，浏览采购文件”下载的采购文件仅供浏览。</w:t>
      </w:r>
      <w:r>
        <w:rPr>
          <w:rFonts w:hint="eastAsia" w:ascii="宋体" w:hAnsi="宋体" w:cs="Arial"/>
          <w:kern w:val="0"/>
          <w:szCs w:val="21"/>
          <w:highlight w:val="none"/>
        </w:rPr>
        <w:br w:type="textWrapping"/>
      </w:r>
      <w:r>
        <w:rPr>
          <w:rFonts w:hint="eastAsia" w:ascii="宋体" w:hAnsi="宋体" w:cs="Arial"/>
          <w:kern w:val="0"/>
          <w:szCs w:val="21"/>
          <w:highlight w:val="none"/>
        </w:rPr>
        <w:t xml:space="preserve">    </w:t>
      </w:r>
      <w:r>
        <w:rPr>
          <w:rFonts w:hint="eastAsia" w:ascii="宋体" w:hAnsi="宋体" w:cs="宋体"/>
          <w:bCs/>
          <w:kern w:val="0"/>
          <w:highlight w:val="none"/>
        </w:rPr>
        <w:t>D中标供应商应在合同签订前完成政府采购云平台（https://www.zcygov.cn/）全部注册步骤并成为正式注册入库供应商，否则将导致合同款无法正常支付，责任由中标供应商承担。请供应商尽早完成注册。https://middle.zcygov.cn/settle-front/#/registry。（供应商注册页面）</w:t>
      </w:r>
    </w:p>
    <w:p>
      <w:pPr>
        <w:snapToGrid w:val="0"/>
        <w:spacing w:line="360" w:lineRule="auto"/>
        <w:ind w:firstLine="422" w:firstLineChars="200"/>
        <w:rPr>
          <w:rFonts w:ascii="宋体" w:hAnsi="宋体" w:cs="宋体"/>
          <w:b/>
          <w:bCs/>
          <w:szCs w:val="21"/>
          <w:highlight w:val="none"/>
        </w:rPr>
      </w:pPr>
      <w:bookmarkStart w:id="25" w:name="_Toc28359085"/>
      <w:bookmarkStart w:id="26" w:name="_Toc28359008"/>
      <w:bookmarkStart w:id="27" w:name="_Toc35393627"/>
      <w:bookmarkStart w:id="28" w:name="_Toc35393796"/>
      <w:r>
        <w:rPr>
          <w:rFonts w:hint="eastAsia" w:ascii="宋体" w:hAnsi="宋体" w:cs="宋体"/>
          <w:b/>
          <w:bCs/>
          <w:kern w:val="0"/>
          <w:szCs w:val="21"/>
          <w:highlight w:val="none"/>
        </w:rPr>
        <w:t>七、</w:t>
      </w:r>
      <w:bookmarkEnd w:id="25"/>
      <w:bookmarkEnd w:id="26"/>
      <w:bookmarkEnd w:id="27"/>
      <w:bookmarkEnd w:id="28"/>
      <w:r>
        <w:rPr>
          <w:rFonts w:hint="eastAsia" w:ascii="宋体" w:hAnsi="宋体" w:cs="宋体"/>
          <w:b/>
          <w:bCs/>
          <w:szCs w:val="21"/>
          <w:highlight w:val="none"/>
        </w:rPr>
        <w:t>对本次采购提出询问、质疑、投诉，请按以下方式联系</w:t>
      </w:r>
    </w:p>
    <w:p>
      <w:pPr>
        <w:widowControl/>
        <w:snapToGrid w:val="0"/>
        <w:spacing w:line="360" w:lineRule="auto"/>
        <w:ind w:firstLine="420" w:firstLineChars="200"/>
        <w:rPr>
          <w:rFonts w:ascii="宋体" w:hAnsi="宋体" w:cs="宋体"/>
          <w:kern w:val="0"/>
          <w:szCs w:val="21"/>
          <w:highlight w:val="none"/>
        </w:rPr>
      </w:pPr>
      <w:r>
        <w:rPr>
          <w:rFonts w:hint="eastAsia" w:ascii="宋体" w:hAnsi="宋体" w:cs="宋体"/>
          <w:szCs w:val="21"/>
          <w:highlight w:val="none"/>
        </w:rPr>
        <w:t>1.采购人信息</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名称：</w:t>
      </w:r>
      <w:r>
        <w:rPr>
          <w:rFonts w:hint="eastAsia" w:ascii="宋体" w:hAnsi="宋体" w:cs="宋体"/>
          <w:kern w:val="0"/>
          <w:szCs w:val="21"/>
          <w:highlight w:val="none"/>
          <w:lang w:eastAsia="zh-CN"/>
        </w:rPr>
        <w:t>浙江理工大学</w:t>
      </w:r>
      <w:r>
        <w:rPr>
          <w:rFonts w:hint="eastAsia" w:ascii="宋体" w:hAnsi="宋体" w:cs="宋体"/>
          <w:kern w:val="0"/>
          <w:szCs w:val="21"/>
          <w:highlight w:val="none"/>
        </w:rPr>
        <w:t> </w:t>
      </w:r>
    </w:p>
    <w:p>
      <w:pPr>
        <w:spacing w:line="360" w:lineRule="auto"/>
        <w:ind w:firstLine="420" w:firstLineChars="200"/>
        <w:rPr>
          <w:rFonts w:hint="eastAsia" w:ascii="宋体" w:hAnsi="宋体" w:eastAsia="宋体" w:cs="宋体"/>
          <w:kern w:val="0"/>
          <w:szCs w:val="21"/>
          <w:highlight w:val="none"/>
          <w:lang w:eastAsia="zh-CN"/>
        </w:rPr>
      </w:pPr>
      <w:r>
        <w:rPr>
          <w:rFonts w:hint="eastAsia" w:ascii="宋体" w:hAnsi="宋体" w:cs="宋体"/>
          <w:kern w:val="0"/>
          <w:szCs w:val="21"/>
          <w:highlight w:val="none"/>
        </w:rPr>
        <w:t>地址：</w:t>
      </w:r>
      <w:r>
        <w:rPr>
          <w:rFonts w:hint="eastAsia" w:ascii="宋体" w:hAnsi="宋体" w:cs="宋体"/>
          <w:kern w:val="0"/>
          <w:szCs w:val="21"/>
          <w:highlight w:val="none"/>
          <w:lang w:eastAsia="zh-CN"/>
        </w:rPr>
        <w:t>杭州市钱塘区2号大街928号</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项目联系人（询问）：</w:t>
      </w:r>
      <w:r>
        <w:rPr>
          <w:rFonts w:hint="eastAsia" w:ascii="宋体" w:hAnsi="宋体" w:cs="宋体"/>
          <w:kern w:val="0"/>
          <w:szCs w:val="21"/>
          <w:highlight w:val="none"/>
          <w:lang w:val="en-US" w:eastAsia="zh-CN"/>
        </w:rPr>
        <w:t>来老师</w:t>
      </w:r>
      <w:r>
        <w:rPr>
          <w:rFonts w:hint="eastAsia" w:ascii="宋体" w:hAnsi="宋体" w:cs="宋体"/>
          <w:kern w:val="0"/>
          <w:szCs w:val="21"/>
          <w:highlight w:val="none"/>
        </w:rPr>
        <w:t xml:space="preserve"> </w:t>
      </w:r>
    </w:p>
    <w:p>
      <w:pPr>
        <w:spacing w:line="360" w:lineRule="auto"/>
        <w:ind w:firstLine="420" w:firstLineChars="200"/>
        <w:rPr>
          <w:rFonts w:hint="eastAsia" w:ascii="宋体" w:hAnsi="宋体" w:eastAsia="宋体" w:cs="宋体"/>
          <w:kern w:val="0"/>
          <w:szCs w:val="21"/>
          <w:highlight w:val="none"/>
          <w:lang w:eastAsia="zh-CN"/>
        </w:rPr>
      </w:pPr>
      <w:r>
        <w:rPr>
          <w:rFonts w:hint="eastAsia" w:ascii="宋体" w:hAnsi="宋体" w:cs="宋体"/>
          <w:kern w:val="0"/>
          <w:szCs w:val="21"/>
          <w:highlight w:val="none"/>
        </w:rPr>
        <w:t>项目联系方式（询问）：</w:t>
      </w:r>
      <w:r>
        <w:rPr>
          <w:rFonts w:hint="eastAsia" w:ascii="宋体" w:hAnsi="宋体" w:cs="宋体"/>
          <w:kern w:val="0"/>
          <w:szCs w:val="21"/>
          <w:highlight w:val="none"/>
          <w:lang w:eastAsia="zh-CN"/>
        </w:rPr>
        <w:t>0571-86843097</w:t>
      </w:r>
    </w:p>
    <w:p>
      <w:pPr>
        <w:spacing w:line="360" w:lineRule="auto"/>
        <w:ind w:firstLine="420" w:firstLineChars="200"/>
        <w:rPr>
          <w:rFonts w:hint="eastAsia" w:ascii="宋体" w:hAnsi="宋体" w:eastAsia="宋体" w:cs="宋体"/>
          <w:kern w:val="0"/>
          <w:szCs w:val="21"/>
          <w:highlight w:val="none"/>
          <w:lang w:eastAsia="zh-CN"/>
        </w:rPr>
      </w:pPr>
      <w:r>
        <w:rPr>
          <w:rFonts w:hint="eastAsia" w:ascii="宋体" w:hAnsi="宋体" w:cs="宋体"/>
          <w:kern w:val="0"/>
          <w:szCs w:val="21"/>
          <w:highlight w:val="none"/>
        </w:rPr>
        <w:t>质疑联系人：</w:t>
      </w:r>
      <w:r>
        <w:rPr>
          <w:rFonts w:hint="eastAsia" w:ascii="宋体" w:hAnsi="宋体" w:cs="宋体"/>
          <w:bCs/>
          <w:kern w:val="0"/>
          <w:highlight w:val="none"/>
          <w:lang w:val="en-US" w:eastAsia="zh-CN"/>
        </w:rPr>
        <w:t>王老师</w:t>
      </w:r>
    </w:p>
    <w:p>
      <w:pPr>
        <w:widowControl/>
        <w:adjustRightInd w:val="0"/>
        <w:snapToGrid w:val="0"/>
        <w:spacing w:line="360" w:lineRule="auto"/>
        <w:ind w:firstLine="420" w:firstLineChars="200"/>
        <w:jc w:val="left"/>
        <w:rPr>
          <w:rFonts w:hint="eastAsia" w:ascii="宋体" w:hAnsi="宋体" w:eastAsia="宋体" w:cs="宋体"/>
          <w:szCs w:val="21"/>
          <w:highlight w:val="none"/>
          <w:lang w:eastAsia="zh-CN"/>
        </w:rPr>
      </w:pPr>
      <w:r>
        <w:rPr>
          <w:rFonts w:hint="eastAsia" w:ascii="宋体" w:hAnsi="宋体" w:cs="宋体"/>
          <w:kern w:val="0"/>
          <w:szCs w:val="21"/>
          <w:highlight w:val="none"/>
        </w:rPr>
        <w:t>质疑联系方式：</w:t>
      </w:r>
      <w:r>
        <w:rPr>
          <w:rFonts w:hint="eastAsia" w:ascii="宋体" w:hAnsi="宋体" w:cs="宋体"/>
          <w:kern w:val="0"/>
          <w:szCs w:val="21"/>
          <w:highlight w:val="none"/>
          <w:lang w:eastAsia="zh-CN"/>
        </w:rPr>
        <w:t>0571-86843950</w:t>
      </w:r>
    </w:p>
    <w:p>
      <w:pPr>
        <w:widowControl/>
        <w:adjustRightInd w:val="0"/>
        <w:snapToGrid w:val="0"/>
        <w:spacing w:line="360" w:lineRule="auto"/>
        <w:ind w:firstLine="420" w:firstLineChars="200"/>
        <w:jc w:val="left"/>
        <w:rPr>
          <w:rFonts w:ascii="宋体" w:hAnsi="宋体" w:cs="宋体"/>
          <w:bCs/>
          <w:kern w:val="0"/>
          <w:highlight w:val="none"/>
        </w:rPr>
      </w:pPr>
      <w:r>
        <w:rPr>
          <w:rFonts w:hint="eastAsia" w:ascii="宋体" w:hAnsi="宋体" w:cs="宋体"/>
          <w:bCs/>
          <w:kern w:val="0"/>
          <w:highlight w:val="none"/>
        </w:rPr>
        <w:t>2.采购代理机构信息</w:t>
      </w:r>
    </w:p>
    <w:p>
      <w:pPr>
        <w:widowControl/>
        <w:adjustRightInd w:val="0"/>
        <w:snapToGrid w:val="0"/>
        <w:spacing w:line="360" w:lineRule="auto"/>
        <w:ind w:firstLine="420" w:firstLineChars="200"/>
        <w:jc w:val="left"/>
        <w:rPr>
          <w:rFonts w:ascii="宋体" w:hAnsi="宋体" w:cs="宋体"/>
          <w:bCs/>
          <w:kern w:val="0"/>
          <w:highlight w:val="none"/>
        </w:rPr>
      </w:pPr>
      <w:r>
        <w:rPr>
          <w:rFonts w:hint="eastAsia" w:ascii="宋体" w:hAnsi="宋体" w:cs="宋体"/>
          <w:bCs/>
          <w:kern w:val="0"/>
          <w:highlight w:val="none"/>
        </w:rPr>
        <w:t>名称：浙江省成套招标代理有限公司</w:t>
      </w:r>
    </w:p>
    <w:p>
      <w:pPr>
        <w:widowControl/>
        <w:adjustRightInd w:val="0"/>
        <w:snapToGrid w:val="0"/>
        <w:spacing w:line="360" w:lineRule="auto"/>
        <w:ind w:firstLine="420" w:firstLineChars="200"/>
        <w:jc w:val="left"/>
        <w:rPr>
          <w:rFonts w:ascii="宋体" w:hAnsi="宋体" w:cs="宋体"/>
          <w:bCs/>
          <w:kern w:val="0"/>
          <w:highlight w:val="none"/>
        </w:rPr>
      </w:pPr>
      <w:r>
        <w:rPr>
          <w:rFonts w:hint="eastAsia" w:ascii="宋体" w:hAnsi="宋体" w:cs="宋体"/>
          <w:bCs/>
          <w:kern w:val="0"/>
          <w:highlight w:val="none"/>
        </w:rPr>
        <w:t>地址：杭州市文晖路42号现代置业大厦西楼18层1801室</w:t>
      </w:r>
    </w:p>
    <w:p>
      <w:pPr>
        <w:widowControl/>
        <w:adjustRightInd w:val="0"/>
        <w:snapToGrid w:val="0"/>
        <w:spacing w:line="360" w:lineRule="auto"/>
        <w:ind w:firstLine="420" w:firstLineChars="200"/>
        <w:jc w:val="left"/>
        <w:rPr>
          <w:rFonts w:ascii="宋体" w:hAnsi="宋体" w:cs="宋体"/>
          <w:bCs/>
          <w:kern w:val="0"/>
          <w:highlight w:val="none"/>
        </w:rPr>
      </w:pPr>
      <w:r>
        <w:rPr>
          <w:rFonts w:hint="eastAsia" w:ascii="宋体" w:hAnsi="宋体" w:cs="宋体"/>
          <w:bCs/>
          <w:kern w:val="0"/>
          <w:highlight w:val="none"/>
        </w:rPr>
        <w:t>传真：</w:t>
      </w:r>
      <w:r>
        <w:rPr>
          <w:rFonts w:hint="eastAsia" w:ascii="宋体" w:hAnsi="宋体" w:cs="宋体"/>
          <w:kern w:val="0"/>
          <w:szCs w:val="21"/>
          <w:highlight w:val="none"/>
        </w:rPr>
        <w:t>4008-266-163转07285</w:t>
      </w:r>
    </w:p>
    <w:p>
      <w:pPr>
        <w:widowControl/>
        <w:adjustRightInd w:val="0"/>
        <w:snapToGrid w:val="0"/>
        <w:spacing w:line="360" w:lineRule="auto"/>
        <w:ind w:firstLine="420" w:firstLineChars="200"/>
        <w:jc w:val="left"/>
        <w:rPr>
          <w:rFonts w:hint="eastAsia" w:ascii="宋体" w:hAnsi="宋体" w:eastAsia="宋体" w:cs="宋体"/>
          <w:bCs/>
          <w:kern w:val="0"/>
          <w:highlight w:val="none"/>
          <w:lang w:eastAsia="zh-CN"/>
        </w:rPr>
      </w:pPr>
      <w:r>
        <w:rPr>
          <w:rFonts w:hint="eastAsia" w:ascii="宋体" w:hAnsi="宋体" w:cs="宋体"/>
          <w:bCs/>
          <w:kern w:val="0"/>
          <w:highlight w:val="none"/>
        </w:rPr>
        <w:t>项目联系人（询问）：</w:t>
      </w:r>
      <w:r>
        <w:rPr>
          <w:rFonts w:hint="eastAsia" w:ascii="宋体" w:hAnsi="宋体" w:cs="宋体"/>
          <w:bCs/>
          <w:kern w:val="0"/>
          <w:highlight w:val="none"/>
          <w:lang w:eastAsia="zh-CN"/>
        </w:rPr>
        <w:t>汪利锋</w:t>
      </w:r>
    </w:p>
    <w:p>
      <w:pPr>
        <w:widowControl/>
        <w:adjustRightInd w:val="0"/>
        <w:snapToGrid w:val="0"/>
        <w:spacing w:line="360" w:lineRule="auto"/>
        <w:ind w:firstLine="420" w:firstLineChars="200"/>
        <w:jc w:val="left"/>
        <w:rPr>
          <w:rFonts w:hint="eastAsia" w:ascii="宋体" w:hAnsi="宋体" w:eastAsia="宋体" w:cs="宋体"/>
          <w:bCs/>
          <w:kern w:val="0"/>
          <w:highlight w:val="none"/>
          <w:lang w:eastAsia="zh-CN"/>
        </w:rPr>
      </w:pPr>
      <w:r>
        <w:rPr>
          <w:rFonts w:hint="eastAsia" w:ascii="宋体" w:hAnsi="宋体" w:cs="宋体"/>
          <w:bCs/>
          <w:kern w:val="0"/>
          <w:highlight w:val="none"/>
        </w:rPr>
        <w:t>项目联系方式（询问）：0571-85830273，</w:t>
      </w:r>
      <w:r>
        <w:rPr>
          <w:rFonts w:hint="eastAsia" w:ascii="宋体" w:hAnsi="宋体" w:cs="宋体"/>
          <w:bCs/>
          <w:kern w:val="0"/>
          <w:highlight w:val="none"/>
          <w:lang w:eastAsia="zh-CN"/>
        </w:rPr>
        <w:t>15168318003</w:t>
      </w:r>
    </w:p>
    <w:p>
      <w:pPr>
        <w:widowControl/>
        <w:adjustRightInd w:val="0"/>
        <w:snapToGrid w:val="0"/>
        <w:spacing w:line="360" w:lineRule="auto"/>
        <w:ind w:firstLine="420" w:firstLineChars="200"/>
        <w:jc w:val="left"/>
        <w:rPr>
          <w:rFonts w:ascii="宋体" w:hAnsi="宋体" w:cs="宋体"/>
          <w:bCs/>
          <w:kern w:val="0"/>
          <w:highlight w:val="none"/>
        </w:rPr>
      </w:pPr>
      <w:r>
        <w:rPr>
          <w:rFonts w:hint="eastAsia" w:ascii="宋体" w:hAnsi="宋体" w:cs="宋体"/>
          <w:bCs/>
          <w:kern w:val="0"/>
          <w:highlight w:val="none"/>
        </w:rPr>
        <w:t>质疑联系人：冯东东</w:t>
      </w:r>
    </w:p>
    <w:p>
      <w:pPr>
        <w:widowControl/>
        <w:adjustRightInd w:val="0"/>
        <w:snapToGrid w:val="0"/>
        <w:spacing w:line="360" w:lineRule="auto"/>
        <w:ind w:firstLine="420" w:firstLineChars="200"/>
        <w:jc w:val="left"/>
        <w:rPr>
          <w:rFonts w:hint="eastAsia" w:ascii="宋体" w:hAnsi="宋体" w:cs="宋体"/>
          <w:bCs/>
          <w:kern w:val="0"/>
          <w:highlight w:val="none"/>
        </w:rPr>
      </w:pPr>
      <w:r>
        <w:rPr>
          <w:rFonts w:hint="eastAsia" w:ascii="宋体" w:hAnsi="宋体" w:cs="宋体"/>
          <w:bCs/>
          <w:kern w:val="0"/>
          <w:highlight w:val="none"/>
        </w:rPr>
        <w:t>质疑联系方式：0571-85331293</w:t>
      </w:r>
    </w:p>
    <w:p>
      <w:pPr>
        <w:snapToGrid w:val="0"/>
        <w:spacing w:line="360" w:lineRule="auto"/>
        <w:ind w:firstLine="420" w:firstLineChars="200"/>
        <w:rPr>
          <w:rStyle w:val="403"/>
          <w:rFonts w:hint="eastAsia" w:ascii="宋体" w:hAnsi="宋体"/>
          <w:kern w:val="0"/>
          <w:szCs w:val="21"/>
        </w:rPr>
      </w:pPr>
      <w:r>
        <w:rPr>
          <w:rFonts w:hint="eastAsia" w:ascii="宋体" w:hAnsi="宋体" w:cs="宋体"/>
          <w:bCs/>
          <w:kern w:val="0"/>
          <w:highlight w:val="none"/>
        </w:rPr>
        <w:t>3.</w:t>
      </w:r>
      <w:r>
        <w:rPr>
          <w:rStyle w:val="403"/>
          <w:rFonts w:ascii="宋体" w:hAnsi="宋体"/>
          <w:kern w:val="0"/>
          <w:szCs w:val="21"/>
        </w:rPr>
        <w:t>采购监管部门：</w:t>
      </w:r>
      <w:r>
        <w:rPr>
          <w:rStyle w:val="403"/>
          <w:rFonts w:hint="eastAsia" w:ascii="宋体" w:hAnsi="宋体"/>
          <w:kern w:val="0"/>
          <w:szCs w:val="21"/>
        </w:rPr>
        <w:t xml:space="preserve">浙江理工大学纪检监察室 </w:t>
      </w:r>
    </w:p>
    <w:p>
      <w:pPr>
        <w:snapToGrid w:val="0"/>
        <w:spacing w:line="360" w:lineRule="auto"/>
        <w:ind w:firstLine="420" w:firstLineChars="200"/>
        <w:rPr>
          <w:rStyle w:val="403"/>
          <w:rFonts w:ascii="宋体" w:hAnsi="宋体"/>
          <w:kern w:val="0"/>
          <w:szCs w:val="21"/>
        </w:rPr>
      </w:pPr>
      <w:r>
        <w:rPr>
          <w:rStyle w:val="403"/>
          <w:rFonts w:ascii="宋体" w:hAnsi="宋体"/>
          <w:kern w:val="0"/>
          <w:szCs w:val="21"/>
        </w:rPr>
        <w:t>地址：</w:t>
      </w:r>
      <w:r>
        <w:rPr>
          <w:rStyle w:val="403"/>
          <w:rFonts w:ascii="宋体" w:hAnsi="宋体" w:cs="宋体"/>
          <w:bCs/>
          <w:kern w:val="0"/>
          <w:szCs w:val="21"/>
        </w:rPr>
        <w:t>杭州市钱塘区2号大街928号</w:t>
      </w:r>
    </w:p>
    <w:p>
      <w:pPr>
        <w:snapToGrid w:val="0"/>
        <w:spacing w:line="360" w:lineRule="auto"/>
        <w:ind w:firstLine="420" w:firstLineChars="200"/>
        <w:rPr>
          <w:rStyle w:val="403"/>
          <w:rFonts w:ascii="宋体" w:hAnsi="宋体"/>
          <w:kern w:val="0"/>
          <w:szCs w:val="21"/>
        </w:rPr>
      </w:pPr>
      <w:r>
        <w:rPr>
          <w:rStyle w:val="403"/>
          <w:rFonts w:ascii="宋体" w:hAnsi="宋体"/>
          <w:kern w:val="0"/>
          <w:szCs w:val="21"/>
        </w:rPr>
        <w:t>联系人：</w:t>
      </w:r>
      <w:r>
        <w:rPr>
          <w:rStyle w:val="403"/>
          <w:rFonts w:hint="eastAsia" w:ascii="宋体" w:hAnsi="宋体"/>
          <w:kern w:val="0"/>
          <w:szCs w:val="21"/>
        </w:rPr>
        <w:t>潘老师</w:t>
      </w:r>
      <w:r>
        <w:rPr>
          <w:rStyle w:val="403"/>
          <w:rFonts w:ascii="宋体" w:hAnsi="宋体"/>
          <w:kern w:val="0"/>
          <w:szCs w:val="21"/>
        </w:rPr>
        <w:t> </w:t>
      </w:r>
    </w:p>
    <w:p>
      <w:pPr>
        <w:snapToGrid w:val="0"/>
        <w:spacing w:line="360" w:lineRule="auto"/>
        <w:ind w:firstLine="420" w:firstLineChars="200"/>
        <w:rPr>
          <w:rStyle w:val="403"/>
          <w:rFonts w:ascii="宋体" w:hAnsi="宋体"/>
          <w:kern w:val="0"/>
          <w:szCs w:val="21"/>
        </w:rPr>
      </w:pPr>
      <w:r>
        <w:rPr>
          <w:rStyle w:val="403"/>
          <w:rFonts w:ascii="宋体" w:hAnsi="宋体"/>
          <w:kern w:val="0"/>
          <w:szCs w:val="21"/>
        </w:rPr>
        <w:t>监督投诉电话：</w:t>
      </w:r>
      <w:r>
        <w:rPr>
          <w:rStyle w:val="403"/>
          <w:rFonts w:hint="eastAsia" w:ascii="宋体" w:hAnsi="宋体"/>
          <w:kern w:val="0"/>
          <w:szCs w:val="21"/>
        </w:rPr>
        <w:t>0571-86843028</w:t>
      </w:r>
    </w:p>
    <w:p>
      <w:pPr>
        <w:spacing w:line="360" w:lineRule="auto"/>
        <w:ind w:firstLine="422" w:firstLineChars="200"/>
        <w:rPr>
          <w:rFonts w:hint="eastAsia" w:ascii="宋体" w:hAnsi="宋体" w:cs="宋体"/>
          <w:kern w:val="0"/>
          <w:szCs w:val="21"/>
        </w:rPr>
      </w:pPr>
      <w:r>
        <w:rPr>
          <w:rFonts w:hint="eastAsia" w:ascii="宋体" w:hAnsi="宋体" w:cs="宋体"/>
          <w:b/>
          <w:bCs/>
          <w:kern w:val="0"/>
          <w:szCs w:val="21"/>
        </w:rPr>
        <w:t>预算金额未达100万元的采购项目，由采购人处理采购争议。</w:t>
      </w:r>
    </w:p>
    <w:p>
      <w:pPr>
        <w:widowControl/>
        <w:adjustRightInd w:val="0"/>
        <w:snapToGrid w:val="0"/>
        <w:spacing w:line="360" w:lineRule="auto"/>
        <w:ind w:firstLine="420" w:firstLineChars="200"/>
        <w:jc w:val="left"/>
        <w:rPr>
          <w:rFonts w:hint="eastAsia" w:ascii="宋体" w:hAnsi="宋体" w:cs="宋体"/>
          <w:kern w:val="0"/>
          <w:szCs w:val="21"/>
          <w:highlight w:val="none"/>
        </w:rPr>
      </w:pP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CA问题联系电话（人工）：汇信CA 400-888-4636；天谷CA 400-087-8198。</w:t>
      </w:r>
    </w:p>
    <w:p>
      <w:pPr>
        <w:pStyle w:val="3"/>
        <w:rPr>
          <w:rFonts w:ascii="宋体" w:hAnsi="宋体" w:cs="宋体"/>
          <w:color w:val="auto"/>
          <w:highlight w:val="none"/>
        </w:rPr>
      </w:pPr>
      <w:r>
        <w:rPr>
          <w:rFonts w:hint="eastAsia" w:ascii="宋体" w:hAnsi="宋体" w:cs="宋体"/>
          <w:color w:val="auto"/>
          <w:kern w:val="0"/>
          <w:szCs w:val="21"/>
          <w:highlight w:val="none"/>
        </w:rPr>
        <w:br w:type="page"/>
      </w:r>
      <w:bookmarkStart w:id="29" w:name="_Toc22221"/>
      <w:r>
        <w:rPr>
          <w:rFonts w:hint="eastAsia" w:ascii="宋体" w:hAnsi="宋体" w:cs="宋体"/>
          <w:color w:val="auto"/>
          <w:highlight w:val="none"/>
        </w:rPr>
        <w:t>第二章 采购内容及技术要求</w:t>
      </w:r>
      <w:bookmarkEnd w:id="29"/>
    </w:p>
    <w:p>
      <w:pPr>
        <w:adjustRightInd w:val="0"/>
        <w:snapToGrid w:val="0"/>
        <w:spacing w:line="360" w:lineRule="auto"/>
        <w:ind w:firstLine="422" w:firstLineChars="200"/>
        <w:outlineLvl w:val="1"/>
        <w:rPr>
          <w:rFonts w:hint="eastAsia" w:ascii="宋体" w:hAnsi="宋体" w:cs="宋体"/>
          <w:b/>
          <w:bCs/>
          <w:szCs w:val="21"/>
        </w:rPr>
      </w:pPr>
      <w:r>
        <w:rPr>
          <w:rFonts w:hint="eastAsia" w:ascii="宋体" w:hAnsi="宋体" w:cs="宋体"/>
          <w:b/>
          <w:bCs/>
          <w:szCs w:val="21"/>
        </w:rPr>
        <w:t>1.项目概况：</w:t>
      </w:r>
    </w:p>
    <w:p>
      <w:pPr>
        <w:spacing w:line="360" w:lineRule="auto"/>
        <w:ind w:firstLine="420" w:firstLineChars="200"/>
        <w:rPr>
          <w:rFonts w:hint="eastAsia" w:ascii="宋体" w:hAnsi="宋体" w:cs="宋体"/>
          <w:szCs w:val="21"/>
        </w:rPr>
      </w:pPr>
      <w:r>
        <w:rPr>
          <w:rFonts w:hint="eastAsia" w:ascii="宋体" w:hAnsi="宋体" w:cs="宋体"/>
          <w:szCs w:val="21"/>
        </w:rPr>
        <w:t>1.1项目名称：</w:t>
      </w:r>
      <w:r>
        <w:rPr>
          <w:rFonts w:hint="eastAsia" w:ascii="宋体" w:hAnsi="宋体" w:cs="宋体"/>
          <w:szCs w:val="21"/>
          <w:lang w:eastAsia="zh-CN"/>
        </w:rPr>
        <w:t>浙江理工大学消防管网改造及安全防护设施、电梯更新项目监理服务</w:t>
      </w:r>
      <w:r>
        <w:rPr>
          <w:rFonts w:hint="eastAsia" w:ascii="宋体" w:hAnsi="宋体" w:cs="宋体"/>
          <w:szCs w:val="21"/>
          <w:lang w:val="en-US" w:eastAsia="zh-CN"/>
        </w:rPr>
        <w:t>，</w:t>
      </w:r>
      <w:r>
        <w:rPr>
          <w:rFonts w:hint="eastAsia" w:ascii="宋体" w:hAnsi="宋体" w:cs="宋体"/>
          <w:szCs w:val="21"/>
        </w:rPr>
        <w:t>含浙江理工大学下沙校区和生活区消防管网改造工程、学生宿舍烟感安装工程、生活区安全防护设施更换改造工程及生活区电梯改造更新工程等项目的监理服务（具体以采购人需求为准）。</w:t>
      </w:r>
    </w:p>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rPr>
        <w:t>1.2监理服务期限：</w:t>
      </w:r>
      <w:r>
        <w:rPr>
          <w:rFonts w:hint="eastAsia" w:ascii="宋体" w:hAnsi="宋体" w:cs="宋体"/>
          <w:kern w:val="0"/>
          <w:szCs w:val="21"/>
          <w:lang w:eastAsia="zh-CN" w:bidi="ar"/>
        </w:rPr>
        <w:t>监理服务期自监理合同签订生效之日起，包含施工准备期、施工期和缺陷责任期三个阶段至缺陷责任期满结束。</w:t>
      </w:r>
    </w:p>
    <w:p>
      <w:pPr>
        <w:spacing w:line="360" w:lineRule="auto"/>
        <w:ind w:firstLine="420" w:firstLineChars="200"/>
        <w:rPr>
          <w:rFonts w:hint="eastAsia" w:ascii="宋体" w:hAnsi="宋体" w:cs="宋体"/>
          <w:b/>
          <w:bCs/>
          <w:szCs w:val="21"/>
        </w:rPr>
      </w:pPr>
      <w:r>
        <w:rPr>
          <w:rFonts w:hint="eastAsia" w:ascii="宋体" w:hAnsi="宋体" w:cs="宋体"/>
          <w:szCs w:val="21"/>
        </w:rPr>
        <w:t>▲2</w:t>
      </w:r>
      <w:r>
        <w:rPr>
          <w:rFonts w:hint="eastAsia" w:ascii="宋体" w:hAnsi="宋体" w:cs="宋体"/>
          <w:b/>
          <w:bCs/>
          <w:szCs w:val="21"/>
        </w:rPr>
        <w:t>.监理费计算：工程合计预算约2131万元，监理费最高限价为36.7万元。</w:t>
      </w:r>
    </w:p>
    <w:p>
      <w:pPr>
        <w:spacing w:line="360" w:lineRule="auto"/>
        <w:ind w:firstLine="422" w:firstLineChars="200"/>
        <w:rPr>
          <w:rFonts w:hint="eastAsia" w:ascii="宋体" w:hAnsi="宋体" w:cs="宋体"/>
          <w:b/>
          <w:bCs/>
          <w:szCs w:val="21"/>
        </w:rPr>
      </w:pPr>
      <w:r>
        <w:rPr>
          <w:rFonts w:hint="eastAsia" w:ascii="宋体" w:hAnsi="宋体" w:cs="宋体"/>
          <w:b/>
          <w:bCs/>
          <w:szCs w:val="21"/>
        </w:rPr>
        <w:t>3.监理工作目标：</w:t>
      </w:r>
    </w:p>
    <w:p>
      <w:pPr>
        <w:spacing w:line="360" w:lineRule="auto"/>
        <w:ind w:firstLine="420" w:firstLineChars="200"/>
        <w:rPr>
          <w:rFonts w:hint="eastAsia" w:ascii="宋体" w:hAnsi="宋体" w:cs="宋体"/>
          <w:szCs w:val="21"/>
        </w:rPr>
      </w:pPr>
      <w:r>
        <w:rPr>
          <w:rFonts w:hint="eastAsia" w:ascii="宋体" w:hAnsi="宋体" w:cs="宋体"/>
          <w:szCs w:val="21"/>
        </w:rPr>
        <w:t>3.1质量控制目标：各分项工程质量均达到招投标文件及合同规定的验收合格标准，确保一次性验收合格；</w:t>
      </w:r>
    </w:p>
    <w:p>
      <w:pPr>
        <w:spacing w:line="360" w:lineRule="auto"/>
        <w:ind w:firstLine="420" w:firstLineChars="200"/>
        <w:rPr>
          <w:rFonts w:hint="eastAsia" w:ascii="宋体" w:hAnsi="宋体" w:cs="宋体"/>
          <w:szCs w:val="21"/>
        </w:rPr>
      </w:pPr>
      <w:r>
        <w:rPr>
          <w:rFonts w:hint="eastAsia" w:ascii="宋体" w:hAnsi="宋体" w:cs="宋体"/>
          <w:szCs w:val="21"/>
        </w:rPr>
        <w:t>3.2进度控制目标：各分项工程控制工期不超过合同要求工期；</w:t>
      </w:r>
    </w:p>
    <w:p>
      <w:pPr>
        <w:spacing w:line="360" w:lineRule="auto"/>
        <w:ind w:firstLine="420" w:firstLineChars="200"/>
        <w:rPr>
          <w:rFonts w:hint="eastAsia" w:ascii="宋体" w:hAnsi="宋体" w:cs="宋体"/>
          <w:szCs w:val="21"/>
        </w:rPr>
      </w:pPr>
      <w:r>
        <w:rPr>
          <w:rFonts w:hint="eastAsia" w:ascii="宋体" w:hAnsi="宋体" w:cs="宋体"/>
          <w:szCs w:val="21"/>
        </w:rPr>
        <w:t>3.3投资控制目标：各分项工程竣工结算控制在批准的预算内，设备采购造价不超过合同总价，防止不必要的索赔；</w:t>
      </w:r>
    </w:p>
    <w:p>
      <w:pPr>
        <w:spacing w:line="360" w:lineRule="auto"/>
        <w:ind w:firstLine="420" w:firstLineChars="200"/>
        <w:rPr>
          <w:rFonts w:hint="eastAsia" w:ascii="宋体" w:hAnsi="宋体" w:cs="宋体"/>
          <w:szCs w:val="21"/>
        </w:rPr>
      </w:pPr>
      <w:r>
        <w:rPr>
          <w:rFonts w:hint="eastAsia" w:ascii="宋体" w:hAnsi="宋体" w:cs="宋体"/>
          <w:szCs w:val="21"/>
        </w:rPr>
        <w:t>3.4安全生产管理目标：确保安装、施工过程的安全、文明，无重大安全责任事故。</w:t>
      </w:r>
    </w:p>
    <w:p>
      <w:pPr>
        <w:spacing w:line="360" w:lineRule="auto"/>
        <w:ind w:firstLine="422" w:firstLineChars="200"/>
        <w:rPr>
          <w:rFonts w:hint="eastAsia" w:ascii="宋体" w:hAnsi="宋体" w:cs="宋体"/>
          <w:b/>
          <w:bCs/>
          <w:szCs w:val="21"/>
        </w:rPr>
      </w:pPr>
      <w:r>
        <w:rPr>
          <w:rFonts w:hint="eastAsia" w:ascii="宋体" w:hAnsi="宋体" w:cs="宋体"/>
          <w:b/>
          <w:bCs/>
          <w:szCs w:val="21"/>
        </w:rPr>
        <w:t>4.服务内容和要求：</w:t>
      </w:r>
    </w:p>
    <w:p>
      <w:pPr>
        <w:spacing w:line="360" w:lineRule="auto"/>
        <w:ind w:firstLine="420" w:firstLineChars="200"/>
        <w:rPr>
          <w:rFonts w:hint="eastAsia" w:ascii="宋体" w:hAnsi="宋体" w:cs="宋体"/>
          <w:szCs w:val="21"/>
        </w:rPr>
      </w:pPr>
      <w:r>
        <w:rPr>
          <w:rFonts w:hint="eastAsia" w:ascii="宋体" w:hAnsi="宋体" w:cs="宋体"/>
          <w:szCs w:val="21"/>
        </w:rPr>
        <w:t>4.1服务内容：按照《建设工程监理规范》（GB50319-2013）规范要求，主要做好本次采购范围涉及的各分项工程的全过程监理服务，含1）施工设计阶段，方案及施工图于现行规范、标准的符合性审查，并按照采购人要求，提出合理化意见建议；2）施工阶段，项目工程质量、进度、费用控制、安全文明生产监督、档案资料等管理；3）质保阶段，质保期内的质量保修服务监督落实；4）采购人与施工单位项目合同签订过程中的专业审核及咨询服务，合同、信息等方面协调管理；5）施工组织协调及采购人交办的与工程相关的其它事项。具体内容包括但不仅限于：</w:t>
      </w:r>
    </w:p>
    <w:p>
      <w:pPr>
        <w:spacing w:line="360" w:lineRule="auto"/>
        <w:ind w:firstLine="420" w:firstLineChars="200"/>
        <w:rPr>
          <w:rFonts w:hint="eastAsia" w:ascii="宋体" w:hAnsi="宋体" w:cs="宋体"/>
          <w:szCs w:val="21"/>
        </w:rPr>
      </w:pPr>
      <w:r>
        <w:rPr>
          <w:rFonts w:hint="eastAsia" w:ascii="宋体" w:hAnsi="宋体" w:cs="宋体"/>
          <w:szCs w:val="21"/>
        </w:rPr>
        <w:t>（1）协助采购人审核施工图的设计和概(预)算,主持组织图纸会审,编制图纸会审纪要，对设计方案提出合理化建议；协助采购人进行施工招投标工作，协助采购人做好工程前期的有关工作。</w:t>
      </w:r>
    </w:p>
    <w:p>
      <w:pPr>
        <w:snapToGrid w:val="0"/>
        <w:spacing w:line="360" w:lineRule="auto"/>
        <w:ind w:firstLine="420" w:firstLineChars="200"/>
        <w:rPr>
          <w:rFonts w:hint="eastAsia" w:ascii="宋体" w:hAnsi="宋体" w:cs="宋体"/>
          <w:szCs w:val="21"/>
        </w:rPr>
      </w:pPr>
      <w:r>
        <w:rPr>
          <w:rFonts w:hint="eastAsia" w:ascii="宋体" w:hAnsi="宋体" w:cs="宋体"/>
          <w:szCs w:val="21"/>
        </w:rPr>
        <w:t>（2）参与采购人与承包商签定施工承包合同,主持审查施工进度计划及各阶段提交的各种详细计划和变更计划，并在实施过程中督查承包商严格按合同和施工规范、工程技术标准、设计要求进行设备采购和施工，监督承包商现场施工管理。</w:t>
      </w:r>
    </w:p>
    <w:p>
      <w:pPr>
        <w:pStyle w:val="66"/>
        <w:spacing w:line="360" w:lineRule="auto"/>
        <w:rPr>
          <w:rFonts w:hint="eastAsia" w:ascii="宋体" w:hAnsi="宋体" w:cs="宋体"/>
          <w:szCs w:val="21"/>
        </w:rPr>
      </w:pPr>
      <w:r>
        <w:rPr>
          <w:rFonts w:hint="eastAsia" w:ascii="宋体" w:hAnsi="宋体" w:cs="宋体"/>
          <w:szCs w:val="21"/>
        </w:rPr>
        <w:t>（3）协助采购人做好开工前准备，在施工方进场后开工前对施工场地的地形、地貌、标高进行核查，对周边房屋、道路、管线等安全鉴定情况进行确认，审批开工报告，复核灰线，经同意下达开工令。</w:t>
      </w:r>
    </w:p>
    <w:p>
      <w:pPr>
        <w:snapToGrid w:val="0"/>
        <w:spacing w:line="360" w:lineRule="auto"/>
        <w:ind w:firstLine="420" w:firstLineChars="200"/>
        <w:rPr>
          <w:rFonts w:hint="eastAsia" w:ascii="宋体" w:hAnsi="宋体" w:cs="宋体"/>
          <w:szCs w:val="21"/>
        </w:rPr>
      </w:pPr>
      <w:r>
        <w:rPr>
          <w:rFonts w:hint="eastAsia" w:ascii="宋体" w:hAnsi="宋体" w:cs="宋体"/>
          <w:szCs w:val="21"/>
        </w:rPr>
        <w:t>（4）审批施工组织设计，审查和检查施工技术措施、质量保证体系及安全防护措施，提出合理的整改意见和建议。</w:t>
      </w:r>
    </w:p>
    <w:p>
      <w:pPr>
        <w:snapToGrid w:val="0"/>
        <w:spacing w:line="360" w:lineRule="auto"/>
        <w:ind w:firstLine="420" w:firstLineChars="200"/>
        <w:rPr>
          <w:rFonts w:hint="eastAsia" w:ascii="宋体" w:hAnsi="宋体" w:cs="宋体"/>
          <w:szCs w:val="21"/>
        </w:rPr>
      </w:pPr>
      <w:r>
        <w:rPr>
          <w:rFonts w:hint="eastAsia" w:ascii="宋体" w:hAnsi="宋体" w:cs="宋体"/>
          <w:szCs w:val="21"/>
        </w:rPr>
        <w:t>（5）审查承包商采购清单，检查验收工程使用材料、构件、设备的规格、质量与数量，并按相关规范及采购人要求办理材料、构件及设备等的入场手续。督促承包商编制材料的供需计划，协助安排甲供材料的供应计划。</w:t>
      </w:r>
    </w:p>
    <w:p>
      <w:pPr>
        <w:snapToGrid w:val="0"/>
        <w:spacing w:line="360" w:lineRule="auto"/>
        <w:ind w:firstLine="420" w:firstLineChars="200"/>
        <w:rPr>
          <w:rFonts w:hint="eastAsia" w:ascii="宋体" w:hAnsi="宋体" w:cs="宋体"/>
          <w:szCs w:val="21"/>
        </w:rPr>
      </w:pPr>
      <w:r>
        <w:rPr>
          <w:rFonts w:hint="eastAsia" w:ascii="宋体" w:hAnsi="宋体" w:cs="宋体"/>
          <w:szCs w:val="21"/>
        </w:rPr>
        <w:t>（6）主持施工图交底，参与设计变更的签证，复核施工变更工程量、单价及价款并对施工变更的量、价签证。编制完成工程量统计表，对实际完成量和计划完成量比较分析，发现偏差，应提出调整建议，并向建设单位书面报告。</w:t>
      </w:r>
    </w:p>
    <w:p>
      <w:pPr>
        <w:snapToGrid w:val="0"/>
        <w:spacing w:line="360" w:lineRule="auto"/>
        <w:ind w:firstLine="420" w:firstLineChars="200"/>
        <w:rPr>
          <w:rFonts w:hint="eastAsia" w:ascii="宋体" w:hAnsi="宋体" w:cs="宋体"/>
          <w:szCs w:val="21"/>
        </w:rPr>
      </w:pPr>
      <w:r>
        <w:rPr>
          <w:rFonts w:hint="eastAsia" w:ascii="宋体" w:hAnsi="宋体" w:cs="宋体"/>
          <w:szCs w:val="21"/>
        </w:rPr>
        <w:t>（7）定期召开监理例会，根据需要主持召开工程协调会议及综合管理协调会议，并做好会议纪要，调解有关工程建设各种合同争议，处理索赔事项。</w:t>
      </w:r>
    </w:p>
    <w:p>
      <w:pPr>
        <w:snapToGrid w:val="0"/>
        <w:spacing w:line="360" w:lineRule="auto"/>
        <w:ind w:firstLine="420" w:firstLineChars="200"/>
        <w:rPr>
          <w:rFonts w:hint="eastAsia" w:ascii="宋体" w:hAnsi="宋体" w:cs="宋体"/>
          <w:szCs w:val="21"/>
        </w:rPr>
      </w:pPr>
      <w:r>
        <w:rPr>
          <w:rFonts w:hint="eastAsia" w:ascii="宋体" w:hAnsi="宋体" w:cs="宋体"/>
          <w:szCs w:val="21"/>
        </w:rPr>
        <w:t>（8）检查、审核、监督施工单位的安全防护措施和文明施工,检查督促工程进度、施工质量。做好材料设备验收，工序签证、隐蔽工程验收，做好各分部工程的验收。</w:t>
      </w:r>
    </w:p>
    <w:p>
      <w:pPr>
        <w:snapToGrid w:val="0"/>
        <w:spacing w:line="360" w:lineRule="auto"/>
        <w:ind w:firstLine="420" w:firstLineChars="200"/>
        <w:rPr>
          <w:rFonts w:hint="eastAsia" w:ascii="宋体" w:hAnsi="宋体" w:cs="宋体"/>
          <w:szCs w:val="21"/>
        </w:rPr>
      </w:pPr>
      <w:r>
        <w:rPr>
          <w:rFonts w:hint="eastAsia" w:ascii="宋体" w:hAnsi="宋体" w:cs="宋体"/>
          <w:szCs w:val="21"/>
        </w:rPr>
        <w:t>（9）督促施工单位及时整理技术资料及竣工验收资料，及时整理并提交采购人工程档案资料至采购人、杭州市城建档案馆接受认可为止。</w:t>
      </w:r>
    </w:p>
    <w:p>
      <w:pPr>
        <w:snapToGrid w:val="0"/>
        <w:spacing w:line="360" w:lineRule="auto"/>
        <w:ind w:firstLine="420" w:firstLineChars="200"/>
        <w:rPr>
          <w:rFonts w:hint="eastAsia" w:ascii="宋体" w:hAnsi="宋体" w:cs="宋体"/>
          <w:szCs w:val="21"/>
        </w:rPr>
      </w:pPr>
      <w:r>
        <w:rPr>
          <w:rFonts w:hint="eastAsia" w:ascii="宋体" w:hAnsi="宋体" w:cs="宋体"/>
          <w:szCs w:val="21"/>
        </w:rPr>
        <w:t>（10）协助采购人对工程投资进行控制，至竣工决算、审计完成止；对施工单位提出的付款申请进行审核，监督承包商按照政府相关规定支付农民工工资等各项费用。</w:t>
      </w:r>
    </w:p>
    <w:p>
      <w:pPr>
        <w:snapToGrid w:val="0"/>
        <w:spacing w:line="360" w:lineRule="auto"/>
        <w:ind w:firstLine="420" w:firstLineChars="200"/>
        <w:rPr>
          <w:rFonts w:hint="eastAsia" w:ascii="宋体" w:hAnsi="宋体" w:cs="宋体"/>
          <w:szCs w:val="21"/>
        </w:rPr>
      </w:pPr>
      <w:r>
        <w:rPr>
          <w:rFonts w:hint="eastAsia" w:ascii="宋体" w:hAnsi="宋体" w:cs="宋体"/>
          <w:szCs w:val="21"/>
        </w:rPr>
        <w:t>（11）参加审核工程结算，协助采购人审核工程造价，努力降低工程费用。</w:t>
      </w:r>
    </w:p>
    <w:p>
      <w:pPr>
        <w:snapToGrid w:val="0"/>
        <w:spacing w:line="360" w:lineRule="auto"/>
        <w:ind w:firstLine="420" w:firstLineChars="200"/>
        <w:rPr>
          <w:rFonts w:hint="eastAsia" w:ascii="宋体" w:hAnsi="宋体" w:cs="宋体"/>
          <w:szCs w:val="21"/>
        </w:rPr>
      </w:pPr>
      <w:r>
        <w:rPr>
          <w:rFonts w:hint="eastAsia" w:ascii="宋体" w:hAnsi="宋体" w:cs="宋体"/>
          <w:szCs w:val="21"/>
        </w:rPr>
        <w:t>（12）按照相关政府管理部门和采购人要求及时提供完整的监理资料，定期编制监理日报、周报、月报。</w:t>
      </w:r>
    </w:p>
    <w:p>
      <w:pPr>
        <w:snapToGrid w:val="0"/>
        <w:spacing w:line="360" w:lineRule="auto"/>
        <w:ind w:firstLine="420" w:firstLineChars="200"/>
        <w:rPr>
          <w:rFonts w:hint="eastAsia" w:ascii="宋体" w:hAnsi="宋体" w:cs="宋体"/>
          <w:szCs w:val="21"/>
        </w:rPr>
      </w:pPr>
      <w:r>
        <w:rPr>
          <w:rFonts w:hint="eastAsia" w:ascii="宋体" w:hAnsi="宋体" w:cs="宋体"/>
          <w:szCs w:val="21"/>
        </w:rPr>
        <w:t>（13）组织工程竣工预验收，参与采购人组织进行竣工验收。</w:t>
      </w:r>
    </w:p>
    <w:p>
      <w:pPr>
        <w:snapToGrid w:val="0"/>
        <w:spacing w:line="360" w:lineRule="auto"/>
        <w:ind w:firstLine="420" w:firstLineChars="200"/>
        <w:rPr>
          <w:rFonts w:hint="eastAsia" w:ascii="宋体" w:hAnsi="宋体" w:cs="宋体"/>
          <w:szCs w:val="21"/>
        </w:rPr>
      </w:pPr>
      <w:r>
        <w:rPr>
          <w:rFonts w:hint="eastAsia" w:ascii="宋体" w:hAnsi="宋体" w:cs="宋体"/>
          <w:szCs w:val="21"/>
        </w:rPr>
        <w:t>（14）主持工程质量事故的调查，调解采购人与承包商的合同争议。</w:t>
      </w:r>
    </w:p>
    <w:p>
      <w:pPr>
        <w:snapToGrid w:val="0"/>
        <w:spacing w:line="360" w:lineRule="auto"/>
        <w:ind w:firstLine="420" w:firstLineChars="200"/>
        <w:rPr>
          <w:rFonts w:hint="eastAsia" w:ascii="宋体" w:hAnsi="宋体" w:cs="宋体"/>
          <w:szCs w:val="21"/>
        </w:rPr>
      </w:pPr>
      <w:r>
        <w:rPr>
          <w:rFonts w:hint="eastAsia" w:ascii="宋体" w:hAnsi="宋体" w:cs="宋体"/>
          <w:szCs w:val="21"/>
        </w:rPr>
        <w:t>（15）严格按要求督促施工单位做好实测实量及精细化等工作。</w:t>
      </w:r>
    </w:p>
    <w:p>
      <w:pPr>
        <w:snapToGrid w:val="0"/>
        <w:spacing w:line="360" w:lineRule="auto"/>
        <w:ind w:firstLine="420" w:firstLineChars="200"/>
        <w:rPr>
          <w:rFonts w:hint="eastAsia" w:ascii="宋体" w:hAnsi="宋体" w:cs="宋体"/>
          <w:szCs w:val="21"/>
        </w:rPr>
      </w:pPr>
      <w:r>
        <w:rPr>
          <w:rFonts w:hint="eastAsia" w:ascii="宋体" w:hAnsi="宋体" w:cs="宋体"/>
          <w:szCs w:val="21"/>
        </w:rPr>
        <w:t>（16）信息管理：及时做好现场监理记录与信息反馈，参与编制工程项目总结报告。及时配合进行信息化管理工作。</w:t>
      </w:r>
    </w:p>
    <w:p>
      <w:pPr>
        <w:spacing w:line="360" w:lineRule="auto"/>
        <w:ind w:firstLine="420" w:firstLineChars="200"/>
        <w:rPr>
          <w:rFonts w:hint="eastAsia" w:ascii="宋体" w:hAnsi="宋体" w:cs="宋体"/>
          <w:szCs w:val="21"/>
        </w:rPr>
      </w:pPr>
      <w:r>
        <w:rPr>
          <w:rFonts w:hint="eastAsia" w:ascii="宋体" w:hAnsi="宋体" w:cs="宋体"/>
          <w:szCs w:val="21"/>
        </w:rPr>
        <w:t>（17）监督检查施工单位主要技术、管理人员、主要机械设备等的构成、数量与合同所列是否相符，做好考勤记录，督促施工单位及时妥善完成合同规定的相关事项和承诺。</w:t>
      </w:r>
    </w:p>
    <w:p>
      <w:pPr>
        <w:spacing w:line="360" w:lineRule="auto"/>
        <w:ind w:firstLine="480"/>
        <w:rPr>
          <w:rFonts w:hint="eastAsia" w:ascii="宋体" w:hAnsi="宋体" w:cs="宋体"/>
          <w:szCs w:val="21"/>
        </w:rPr>
      </w:pPr>
      <w:r>
        <w:rPr>
          <w:rFonts w:hint="eastAsia" w:ascii="宋体" w:hAnsi="宋体" w:cs="宋体"/>
          <w:szCs w:val="21"/>
        </w:rPr>
        <w:t>（18）协调采购人及承包商做好省市区各级政府相关部门的各类检查、评估及考核等相关工作，并按相关要求监督落实整改事项。</w:t>
      </w:r>
    </w:p>
    <w:p>
      <w:pPr>
        <w:snapToGrid w:val="0"/>
        <w:spacing w:line="360" w:lineRule="auto"/>
        <w:ind w:firstLine="420" w:firstLineChars="200"/>
        <w:rPr>
          <w:rFonts w:hint="eastAsia" w:ascii="宋体" w:hAnsi="宋体" w:cs="宋体"/>
          <w:szCs w:val="21"/>
        </w:rPr>
      </w:pPr>
      <w:r>
        <w:rPr>
          <w:rFonts w:hint="eastAsia" w:ascii="宋体" w:hAnsi="宋体" w:cs="宋体"/>
          <w:szCs w:val="21"/>
        </w:rPr>
        <w:t>（19）工程竣工验收后30天内，提供采购人满足采购人及杭州市城建档案馆要求，完整并装订成册的监理资料四份，包括监理合同、监理规划、监理细则，建立项目监理机构文件和会议纪要（含监理工程师发布的各项指令及联系单）、监理日记、监理月报、监理工作总结、质量评估报告以及由监理抽检或监理主持验收的各类原材料、成品及半成品、隐蔽工程和其它重要的质量部位的资料。</w:t>
      </w:r>
    </w:p>
    <w:p>
      <w:pPr>
        <w:spacing w:line="360" w:lineRule="auto"/>
        <w:ind w:firstLine="480"/>
        <w:rPr>
          <w:rFonts w:hint="eastAsia" w:ascii="宋体" w:hAnsi="宋体" w:cs="宋体"/>
          <w:szCs w:val="21"/>
        </w:rPr>
      </w:pPr>
      <w:r>
        <w:rPr>
          <w:rFonts w:hint="eastAsia" w:ascii="宋体" w:hAnsi="宋体" w:cs="宋体"/>
          <w:szCs w:val="21"/>
        </w:rPr>
        <w:t>（20）完成监理规范要求的其他工作内容，履行其他法律、法规规定的监理职责义务。</w:t>
      </w:r>
    </w:p>
    <w:p>
      <w:pPr>
        <w:spacing w:line="360" w:lineRule="auto"/>
        <w:ind w:firstLine="480"/>
        <w:rPr>
          <w:rFonts w:hint="eastAsia" w:ascii="宋体" w:hAnsi="宋体" w:cs="宋体"/>
          <w:szCs w:val="21"/>
        </w:rPr>
      </w:pPr>
      <w:r>
        <w:rPr>
          <w:rFonts w:hint="eastAsia" w:ascii="宋体" w:hAnsi="宋体" w:cs="宋体"/>
          <w:szCs w:val="21"/>
        </w:rPr>
        <w:t>（21）在项目发生除与监理人之外的其他主体争议时，提供包括但不限于监理记录、咨询意见、证人出庭等各种协助，帮助采购人解决争议。</w:t>
      </w:r>
    </w:p>
    <w:p>
      <w:pPr>
        <w:spacing w:line="360" w:lineRule="auto"/>
        <w:ind w:firstLine="480"/>
        <w:rPr>
          <w:rFonts w:hint="eastAsia" w:ascii="宋体" w:hAnsi="宋体" w:cs="宋体"/>
          <w:szCs w:val="21"/>
        </w:rPr>
      </w:pPr>
      <w:r>
        <w:rPr>
          <w:rFonts w:hint="eastAsia" w:ascii="宋体" w:hAnsi="宋体" w:cs="宋体"/>
          <w:szCs w:val="21"/>
        </w:rPr>
        <w:t>（22）处置发现的质量问题和安全事故隐患。</w:t>
      </w:r>
    </w:p>
    <w:p>
      <w:pPr>
        <w:spacing w:line="360" w:lineRule="auto"/>
        <w:ind w:firstLine="422" w:firstLineChars="200"/>
        <w:rPr>
          <w:rFonts w:hint="eastAsia" w:ascii="宋体" w:hAnsi="宋体" w:cs="宋体"/>
          <w:b/>
          <w:bCs/>
          <w:szCs w:val="21"/>
        </w:rPr>
      </w:pPr>
      <w:r>
        <w:rPr>
          <w:rFonts w:hint="eastAsia" w:ascii="宋体" w:hAnsi="宋体" w:cs="宋体"/>
          <w:b/>
          <w:bCs/>
          <w:szCs w:val="21"/>
        </w:rPr>
        <w:t>5. 监理人必须严格按照国家、省和建设项目所在地建设行政主管部门的有关建设监理规定进行监理。</w:t>
      </w:r>
    </w:p>
    <w:p>
      <w:pPr>
        <w:spacing w:line="360" w:lineRule="auto"/>
        <w:ind w:firstLine="422" w:firstLineChars="200"/>
        <w:rPr>
          <w:rFonts w:hint="eastAsia" w:ascii="宋体" w:hAnsi="宋体" w:cs="宋体"/>
          <w:b/>
          <w:bCs/>
          <w:szCs w:val="21"/>
        </w:rPr>
      </w:pPr>
      <w:r>
        <w:rPr>
          <w:rFonts w:hint="eastAsia" w:ascii="宋体" w:hAnsi="宋体" w:cs="宋体"/>
          <w:b/>
          <w:bCs/>
          <w:szCs w:val="21"/>
        </w:rPr>
        <w:t>6. 监理人不得与所监理设备承包单位及材料、设备供应商发生经济利益关系。</w:t>
      </w:r>
    </w:p>
    <w:p>
      <w:pPr>
        <w:spacing w:line="360" w:lineRule="auto"/>
        <w:ind w:firstLine="422" w:firstLineChars="200"/>
        <w:rPr>
          <w:rFonts w:hint="eastAsia" w:ascii="宋体" w:hAnsi="宋体" w:cs="宋体"/>
          <w:b/>
          <w:bCs/>
          <w:szCs w:val="21"/>
        </w:rPr>
      </w:pPr>
      <w:r>
        <w:rPr>
          <w:rFonts w:hint="eastAsia" w:ascii="宋体" w:hAnsi="宋体" w:cs="宋体"/>
          <w:b/>
          <w:bCs/>
          <w:szCs w:val="21"/>
        </w:rPr>
        <w:t>7. 单个项目的监理人员配置必须满足</w:t>
      </w:r>
      <w:r>
        <w:rPr>
          <w:rFonts w:hint="eastAsia" w:ascii="宋体" w:hAnsi="宋体" w:cs="宋体"/>
          <w:b/>
          <w:bCs/>
          <w:szCs w:val="21"/>
          <w:lang w:val="en-US" w:eastAsia="zh-CN"/>
        </w:rPr>
        <w:t>相对应</w:t>
      </w:r>
      <w:r>
        <w:rPr>
          <w:rFonts w:hint="eastAsia" w:ascii="宋体" w:hAnsi="宋体" w:cs="宋体"/>
          <w:b/>
          <w:bCs/>
          <w:szCs w:val="21"/>
        </w:rPr>
        <w:t>项目</w:t>
      </w:r>
      <w:r>
        <w:rPr>
          <w:rFonts w:hint="eastAsia" w:ascii="宋体" w:hAnsi="宋体" w:cs="宋体"/>
          <w:b/>
          <w:bCs/>
          <w:szCs w:val="21"/>
          <w:lang w:eastAsia="zh-CN"/>
        </w:rPr>
        <w:t>的</w:t>
      </w:r>
      <w:r>
        <w:rPr>
          <w:rFonts w:hint="eastAsia" w:ascii="宋体" w:hAnsi="宋体" w:cs="宋体"/>
          <w:b/>
          <w:bCs/>
          <w:szCs w:val="21"/>
        </w:rPr>
        <w:t>具体要求。</w:t>
      </w:r>
    </w:p>
    <w:p>
      <w:pPr>
        <w:spacing w:line="360" w:lineRule="auto"/>
        <w:ind w:firstLine="438" w:firstLineChars="200"/>
      </w:pPr>
      <w:r>
        <w:rPr>
          <w:rFonts w:hint="eastAsia" w:ascii="宋体" w:hAnsi="宋体" w:cs="宋体"/>
          <w:b/>
          <w:spacing w:val="4"/>
          <w:szCs w:val="22"/>
        </w:rPr>
        <w:t>8.服务地点：浙江理工大学下沙校区。</w:t>
      </w:r>
    </w:p>
    <w:p>
      <w:pPr>
        <w:spacing w:line="360" w:lineRule="auto"/>
        <w:ind w:firstLine="422" w:firstLineChars="200"/>
        <w:rPr>
          <w:rFonts w:hint="eastAsia"/>
          <w:b/>
          <w:bCs/>
          <w:szCs w:val="21"/>
        </w:rPr>
      </w:pPr>
      <w:r>
        <w:rPr>
          <w:rFonts w:hint="eastAsia"/>
          <w:b/>
          <w:bCs/>
        </w:rPr>
        <w:t>9.</w:t>
      </w:r>
      <w:r>
        <w:rPr>
          <w:rFonts w:hint="eastAsia"/>
          <w:b/>
          <w:bCs/>
          <w:szCs w:val="21"/>
        </w:rPr>
        <w:t>依据项目总监管理办法（杭建市发【2019】9号）文件规定，一个项目总监可承担一个甲级资质或二个乙级资质（丙级）项目。根据上述规定和实际情况，采购过程中将按照下表对总监可承接项目：</w:t>
      </w:r>
    </w:p>
    <w:tbl>
      <w:tblPr>
        <w:tblStyle w:val="5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8"/>
        <w:gridCol w:w="1821"/>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48" w:type="dxa"/>
            <w:vMerge w:val="restart"/>
            <w:noWrap w:val="0"/>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rPr>
                <w:rFonts w:hint="default"/>
                <w:b/>
                <w:bCs/>
                <w:szCs w:val="21"/>
              </w:rPr>
            </w:pPr>
            <w:r>
              <w:rPr>
                <w:rFonts w:hint="eastAsia"/>
                <w:b/>
                <w:bCs/>
                <w:szCs w:val="21"/>
              </w:rPr>
              <w:t> 情况</w:t>
            </w:r>
          </w:p>
        </w:tc>
        <w:tc>
          <w:tcPr>
            <w:tcW w:w="3958" w:type="dxa"/>
            <w:gridSpan w:val="2"/>
            <w:noWrap w:val="0"/>
            <w:tcMar>
              <w:top w:w="0" w:type="dxa"/>
              <w:left w:w="108" w:type="dxa"/>
              <w:bottom w:w="0" w:type="dxa"/>
              <w:right w:w="108" w:type="dxa"/>
            </w:tcMar>
            <w:vAlign w:val="top"/>
          </w:tcPr>
          <w:p>
            <w:pPr>
              <w:keepNext w:val="0"/>
              <w:keepLines w:val="0"/>
              <w:suppressLineNumbers w:val="0"/>
              <w:spacing w:before="0" w:beforeAutospacing="0" w:after="0" w:afterAutospacing="0" w:line="360" w:lineRule="auto"/>
              <w:ind w:left="0" w:right="0"/>
              <w:rPr>
                <w:rFonts w:hint="default"/>
                <w:b/>
                <w:bCs/>
                <w:szCs w:val="21"/>
              </w:rPr>
            </w:pPr>
            <w:r>
              <w:rPr>
                <w:rFonts w:hint="eastAsia"/>
                <w:b/>
                <w:bCs/>
                <w:szCs w:val="21"/>
              </w:rPr>
              <w:t xml:space="preserve">        中标加锁项目（个数）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48" w:type="dxa"/>
            <w:vMerge w:val="continue"/>
            <w:noWrap w:val="0"/>
            <w:vAlign w:val="center"/>
          </w:tcPr>
          <w:p>
            <w:pPr>
              <w:keepNext w:val="0"/>
              <w:keepLines w:val="0"/>
              <w:suppressLineNumbers w:val="0"/>
              <w:spacing w:before="0" w:beforeAutospacing="0" w:after="0" w:afterAutospacing="0" w:line="360" w:lineRule="auto"/>
              <w:ind w:left="0" w:right="0"/>
              <w:rPr>
                <w:rFonts w:hint="default"/>
                <w:b/>
                <w:bCs/>
                <w:szCs w:val="21"/>
              </w:rPr>
            </w:pPr>
          </w:p>
        </w:tc>
        <w:tc>
          <w:tcPr>
            <w:tcW w:w="1821" w:type="dxa"/>
            <w:noWrap w:val="0"/>
            <w:tcMar>
              <w:top w:w="0" w:type="dxa"/>
              <w:left w:w="108" w:type="dxa"/>
              <w:bottom w:w="0" w:type="dxa"/>
              <w:right w:w="108" w:type="dxa"/>
            </w:tcMar>
            <w:vAlign w:val="top"/>
          </w:tcPr>
          <w:p>
            <w:pPr>
              <w:keepNext w:val="0"/>
              <w:keepLines w:val="0"/>
              <w:suppressLineNumbers w:val="0"/>
              <w:spacing w:before="0" w:beforeAutospacing="0" w:after="0" w:afterAutospacing="0" w:line="360" w:lineRule="auto"/>
              <w:ind w:left="0" w:right="0"/>
              <w:rPr>
                <w:rFonts w:hint="default"/>
                <w:b/>
                <w:bCs/>
                <w:szCs w:val="21"/>
              </w:rPr>
            </w:pPr>
            <w:r>
              <w:rPr>
                <w:rFonts w:hint="eastAsia"/>
                <w:b/>
                <w:bCs/>
                <w:szCs w:val="21"/>
              </w:rPr>
              <w:t>甲级</w:t>
            </w:r>
          </w:p>
        </w:tc>
        <w:tc>
          <w:tcPr>
            <w:tcW w:w="2137" w:type="dxa"/>
            <w:noWrap w:val="0"/>
            <w:tcMar>
              <w:top w:w="0" w:type="dxa"/>
              <w:left w:w="108" w:type="dxa"/>
              <w:bottom w:w="0" w:type="dxa"/>
              <w:right w:w="108" w:type="dxa"/>
            </w:tcMar>
            <w:vAlign w:val="top"/>
          </w:tcPr>
          <w:p>
            <w:pPr>
              <w:keepNext w:val="0"/>
              <w:keepLines w:val="0"/>
              <w:suppressLineNumbers w:val="0"/>
              <w:spacing w:before="0" w:beforeAutospacing="0" w:after="0" w:afterAutospacing="0" w:line="360" w:lineRule="auto"/>
              <w:ind w:left="0" w:right="0"/>
              <w:rPr>
                <w:rFonts w:hint="default"/>
                <w:b/>
                <w:bCs/>
                <w:szCs w:val="21"/>
              </w:rPr>
            </w:pPr>
            <w:r>
              <w:rPr>
                <w:rFonts w:hint="eastAsia"/>
                <w:b/>
                <w:bCs/>
                <w:szCs w:val="21"/>
              </w:rPr>
              <w:t>乙（丙）级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48" w:type="dxa"/>
            <w:noWrap w:val="0"/>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rPr>
                <w:rFonts w:hint="default"/>
                <w:b/>
                <w:bCs/>
                <w:szCs w:val="21"/>
              </w:rPr>
            </w:pPr>
            <w:r>
              <w:rPr>
                <w:rFonts w:hint="eastAsia"/>
                <w:b/>
                <w:bCs/>
                <w:szCs w:val="21"/>
              </w:rPr>
              <w:t>1</w:t>
            </w:r>
          </w:p>
        </w:tc>
        <w:tc>
          <w:tcPr>
            <w:tcW w:w="1821" w:type="dxa"/>
            <w:noWrap w:val="0"/>
            <w:tcMar>
              <w:top w:w="0" w:type="dxa"/>
              <w:left w:w="108" w:type="dxa"/>
              <w:bottom w:w="0" w:type="dxa"/>
              <w:right w:w="108" w:type="dxa"/>
            </w:tcMar>
            <w:vAlign w:val="top"/>
          </w:tcPr>
          <w:p>
            <w:pPr>
              <w:keepNext w:val="0"/>
              <w:keepLines w:val="0"/>
              <w:suppressLineNumbers w:val="0"/>
              <w:spacing w:before="0" w:beforeAutospacing="0" w:after="0" w:afterAutospacing="0" w:line="360" w:lineRule="auto"/>
              <w:ind w:left="0" w:right="0"/>
              <w:rPr>
                <w:rFonts w:hint="default"/>
                <w:b/>
                <w:bCs/>
                <w:szCs w:val="21"/>
              </w:rPr>
            </w:pPr>
            <w:r>
              <w:rPr>
                <w:rFonts w:hint="eastAsia"/>
                <w:b/>
                <w:bCs/>
                <w:szCs w:val="21"/>
              </w:rPr>
              <w:t>1</w:t>
            </w:r>
          </w:p>
        </w:tc>
        <w:tc>
          <w:tcPr>
            <w:tcW w:w="2137" w:type="dxa"/>
            <w:noWrap w:val="0"/>
            <w:tcMar>
              <w:top w:w="0" w:type="dxa"/>
              <w:left w:w="108" w:type="dxa"/>
              <w:bottom w:w="0" w:type="dxa"/>
              <w:right w:w="108" w:type="dxa"/>
            </w:tcMar>
            <w:vAlign w:val="top"/>
          </w:tcPr>
          <w:p>
            <w:pPr>
              <w:keepNext w:val="0"/>
              <w:keepLines w:val="0"/>
              <w:suppressLineNumbers w:val="0"/>
              <w:spacing w:before="0" w:beforeAutospacing="0" w:after="0" w:afterAutospacing="0" w:line="360" w:lineRule="auto"/>
              <w:ind w:left="0" w:right="0"/>
              <w:rPr>
                <w:rFonts w:hint="default"/>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48" w:type="dxa"/>
            <w:noWrap w:val="0"/>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rPr>
                <w:rFonts w:hint="default"/>
                <w:b/>
                <w:bCs/>
                <w:szCs w:val="21"/>
              </w:rPr>
            </w:pPr>
            <w:r>
              <w:rPr>
                <w:rFonts w:hint="eastAsia"/>
                <w:b/>
                <w:bCs/>
                <w:szCs w:val="21"/>
              </w:rPr>
              <w:t>2</w:t>
            </w:r>
          </w:p>
        </w:tc>
        <w:tc>
          <w:tcPr>
            <w:tcW w:w="1821" w:type="dxa"/>
            <w:noWrap w:val="0"/>
            <w:tcMar>
              <w:top w:w="0" w:type="dxa"/>
              <w:left w:w="108" w:type="dxa"/>
              <w:bottom w:w="0" w:type="dxa"/>
              <w:right w:w="108" w:type="dxa"/>
            </w:tcMar>
            <w:vAlign w:val="top"/>
          </w:tcPr>
          <w:p>
            <w:pPr>
              <w:keepNext w:val="0"/>
              <w:keepLines w:val="0"/>
              <w:suppressLineNumbers w:val="0"/>
              <w:spacing w:before="0" w:beforeAutospacing="0" w:after="0" w:afterAutospacing="0" w:line="360" w:lineRule="auto"/>
              <w:ind w:left="0" w:right="0"/>
              <w:rPr>
                <w:rFonts w:hint="default"/>
                <w:b/>
                <w:bCs/>
                <w:szCs w:val="21"/>
              </w:rPr>
            </w:pPr>
          </w:p>
        </w:tc>
        <w:tc>
          <w:tcPr>
            <w:tcW w:w="2137" w:type="dxa"/>
            <w:noWrap w:val="0"/>
            <w:tcMar>
              <w:top w:w="0" w:type="dxa"/>
              <w:left w:w="108" w:type="dxa"/>
              <w:bottom w:w="0" w:type="dxa"/>
              <w:right w:w="108" w:type="dxa"/>
            </w:tcMar>
            <w:vAlign w:val="top"/>
          </w:tcPr>
          <w:p>
            <w:pPr>
              <w:keepNext w:val="0"/>
              <w:keepLines w:val="0"/>
              <w:suppressLineNumbers w:val="0"/>
              <w:spacing w:before="0" w:beforeAutospacing="0" w:after="0" w:afterAutospacing="0" w:line="360" w:lineRule="auto"/>
              <w:ind w:left="0" w:right="0"/>
              <w:rPr>
                <w:rFonts w:hint="default"/>
                <w:b/>
                <w:bCs/>
                <w:szCs w:val="21"/>
              </w:rPr>
            </w:pPr>
            <w:r>
              <w:rPr>
                <w:rFonts w:hint="eastAsia"/>
                <w:b/>
                <w:bCs/>
                <w:szCs w:val="21"/>
              </w:rPr>
              <w:t>2</w:t>
            </w:r>
          </w:p>
        </w:tc>
      </w:tr>
    </w:tbl>
    <w:p>
      <w:pPr>
        <w:spacing w:line="360" w:lineRule="auto"/>
        <w:rPr>
          <w:rFonts w:hint="eastAsia"/>
          <w:b/>
          <w:bCs/>
          <w:szCs w:val="21"/>
        </w:rPr>
      </w:pPr>
      <w:r>
        <w:rPr>
          <w:rFonts w:hint="eastAsia"/>
          <w:b/>
          <w:bCs/>
          <w:szCs w:val="21"/>
        </w:rPr>
        <w:t>拟派总监在建项目个数超出表中所示的，如监理人在成交后发现不满足上</w:t>
      </w:r>
      <w:r>
        <w:rPr>
          <w:rFonts w:hint="eastAsia"/>
          <w:b/>
          <w:bCs/>
          <w:szCs w:val="21"/>
          <w:lang w:val="en-US" w:eastAsia="zh-CN"/>
        </w:rPr>
        <w:t>述</w:t>
      </w:r>
      <w:r>
        <w:rPr>
          <w:rFonts w:hint="eastAsia"/>
          <w:b/>
          <w:bCs/>
          <w:szCs w:val="21"/>
        </w:rPr>
        <w:t>要求，则采购人可以拒绝签订合同，监理人赔偿采购人损失。</w:t>
      </w:r>
    </w:p>
    <w:p>
      <w:pPr>
        <w:spacing w:line="360" w:lineRule="auto"/>
        <w:ind w:firstLine="422" w:firstLineChars="200"/>
        <w:rPr>
          <w:rFonts w:hint="eastAsia" w:ascii="宋体" w:hAnsi="宋体" w:cs="宋体"/>
          <w:b/>
          <w:bCs/>
        </w:rPr>
      </w:pPr>
      <w:r>
        <w:rPr>
          <w:rFonts w:hint="eastAsia" w:ascii="宋体" w:hAnsi="宋体" w:cs="宋体"/>
          <w:b/>
          <w:bCs/>
        </w:rPr>
        <w:t>10.监理人员基本配备情况表</w:t>
      </w:r>
    </w:p>
    <w:tbl>
      <w:tblPr>
        <w:tblStyle w:val="56"/>
        <w:tblW w:w="4998"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83"/>
        <w:gridCol w:w="1445"/>
        <w:gridCol w:w="1411"/>
        <w:gridCol w:w="2885"/>
        <w:gridCol w:w="30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5" w:hRule="atLeast"/>
        </w:trPr>
        <w:tc>
          <w:tcPr>
            <w:tcW w:w="2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hAnsi="宋体" w:cs="宋体"/>
              </w:rPr>
            </w:pPr>
            <w:r>
              <w:rPr>
                <w:rFonts w:hint="eastAsia" w:ascii="宋体" w:hAnsi="宋体" w:cs="宋体"/>
              </w:rPr>
              <w:t>序号</w:t>
            </w:r>
          </w:p>
        </w:tc>
        <w:tc>
          <w:tcPr>
            <w:tcW w:w="7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hAnsi="宋体" w:cs="宋体"/>
              </w:rPr>
            </w:pPr>
            <w:r>
              <w:rPr>
                <w:rFonts w:hint="eastAsia" w:ascii="宋体" w:hAnsi="宋体" w:cs="宋体"/>
              </w:rPr>
              <w:t>岗位</w:t>
            </w:r>
          </w:p>
        </w:tc>
        <w:tc>
          <w:tcPr>
            <w:tcW w:w="7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hAnsi="宋体" w:cs="宋体"/>
              </w:rPr>
            </w:pPr>
            <w:r>
              <w:rPr>
                <w:rFonts w:hint="eastAsia" w:ascii="宋体" w:hAnsi="宋体" w:cs="宋体"/>
              </w:rPr>
              <w:t>人数（不得兼职）</w:t>
            </w:r>
          </w:p>
        </w:tc>
        <w:tc>
          <w:tcPr>
            <w:tcW w:w="15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hAnsi="宋体" w:cs="宋体"/>
              </w:rPr>
            </w:pPr>
            <w:r>
              <w:rPr>
                <w:rFonts w:hint="eastAsia" w:ascii="宋体" w:hAnsi="宋体" w:cs="宋体"/>
              </w:rPr>
              <w:t>配置专业及资格要求</w:t>
            </w:r>
          </w:p>
        </w:tc>
        <w:tc>
          <w:tcPr>
            <w:tcW w:w="16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hAnsi="宋体" w:cs="宋体"/>
              </w:rPr>
            </w:pPr>
            <w:r>
              <w:rPr>
                <w:rFonts w:hint="eastAsia" w:ascii="宋体" w:hAnsi="宋体" w:cs="宋体"/>
              </w:rPr>
              <w:t>到位率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2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80" w:leftChars="-38" w:right="-59" w:rightChars="-28"/>
              <w:jc w:val="center"/>
              <w:rPr>
                <w:rFonts w:hint="eastAsia" w:ascii="宋体" w:hAnsi="宋体" w:cs="宋体"/>
              </w:rPr>
            </w:pPr>
            <w:r>
              <w:rPr>
                <w:rFonts w:hint="eastAsia" w:ascii="宋体" w:hAnsi="宋体" w:cs="宋体"/>
              </w:rPr>
              <w:t>1</w:t>
            </w:r>
          </w:p>
        </w:tc>
        <w:tc>
          <w:tcPr>
            <w:tcW w:w="7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80" w:leftChars="-38" w:right="-59" w:rightChars="-28"/>
              <w:jc w:val="center"/>
              <w:rPr>
                <w:rFonts w:hint="eastAsia" w:ascii="宋体" w:hAnsi="宋体" w:cs="宋体"/>
              </w:rPr>
            </w:pPr>
            <w:r>
              <w:rPr>
                <w:rFonts w:hint="eastAsia" w:ascii="宋体" w:hAnsi="宋体" w:cs="宋体"/>
              </w:rPr>
              <w:t>总监理工程师</w:t>
            </w:r>
          </w:p>
        </w:tc>
        <w:tc>
          <w:tcPr>
            <w:tcW w:w="7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80" w:leftChars="-38" w:right="-59" w:rightChars="-28"/>
              <w:jc w:val="center"/>
              <w:rPr>
                <w:rFonts w:hint="eastAsia" w:ascii="宋体" w:hAnsi="宋体" w:cs="宋体"/>
              </w:rPr>
            </w:pPr>
            <w:r>
              <w:rPr>
                <w:rFonts w:hint="eastAsia" w:ascii="宋体" w:hAnsi="宋体" w:cs="宋体"/>
              </w:rPr>
              <w:t>1</w:t>
            </w:r>
          </w:p>
        </w:tc>
        <w:tc>
          <w:tcPr>
            <w:tcW w:w="15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80" w:leftChars="-38" w:right="-59" w:rightChars="-28"/>
              <w:rPr>
                <w:rFonts w:hint="eastAsia" w:ascii="宋体" w:hAnsi="宋体" w:cs="宋体"/>
              </w:rPr>
            </w:pPr>
            <w:r>
              <w:rPr>
                <w:rFonts w:hint="eastAsia" w:ascii="宋体" w:hAnsi="宋体" w:cs="宋体"/>
              </w:rPr>
              <w:t>具有建筑工程专业国家注册监理工程师</w:t>
            </w:r>
          </w:p>
        </w:tc>
        <w:tc>
          <w:tcPr>
            <w:tcW w:w="16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80" w:leftChars="-38" w:right="-59" w:rightChars="-28"/>
              <w:jc w:val="center"/>
              <w:rPr>
                <w:rFonts w:hint="eastAsia" w:ascii="宋体" w:hAnsi="宋体" w:cs="宋体"/>
              </w:rPr>
            </w:pPr>
            <w:r>
              <w:rPr>
                <w:rFonts w:hint="eastAsia" w:ascii="宋体" w:hAnsi="宋体" w:cs="宋体"/>
              </w:rPr>
              <w:t>80%（施工监理阶段均严格按此到位率执行，</w:t>
            </w:r>
            <w:r>
              <w:rPr>
                <w:rFonts w:hint="eastAsia" w:ascii="宋体" w:hAnsi="宋体"/>
                <w:szCs w:val="21"/>
              </w:rPr>
              <w:t>且每天不小于8小时）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80" w:leftChars="-38" w:right="-59" w:rightChars="-28"/>
              <w:jc w:val="center"/>
              <w:rPr>
                <w:rFonts w:hint="eastAsia" w:ascii="宋体" w:hAnsi="宋体" w:cs="宋体"/>
              </w:rPr>
            </w:pPr>
            <w:r>
              <w:rPr>
                <w:rFonts w:hint="eastAsia" w:ascii="宋体" w:hAnsi="宋体" w:cs="宋体"/>
              </w:rPr>
              <w:t>2</w:t>
            </w:r>
          </w:p>
        </w:tc>
        <w:tc>
          <w:tcPr>
            <w:tcW w:w="7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80" w:leftChars="-38" w:right="-59" w:rightChars="-28"/>
              <w:jc w:val="center"/>
              <w:rPr>
                <w:rFonts w:hint="eastAsia" w:ascii="宋体" w:hAnsi="宋体" w:cs="宋体"/>
              </w:rPr>
            </w:pPr>
            <w:r>
              <w:rPr>
                <w:rFonts w:hint="eastAsia" w:ascii="宋体" w:hAnsi="宋体" w:cs="宋体"/>
              </w:rPr>
              <w:t>监理员</w:t>
            </w:r>
          </w:p>
        </w:tc>
        <w:tc>
          <w:tcPr>
            <w:tcW w:w="7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80" w:leftChars="-38" w:right="-59" w:rightChars="-28"/>
              <w:jc w:val="center"/>
              <w:rPr>
                <w:rFonts w:hint="eastAsia" w:ascii="宋体" w:hAnsi="宋体" w:cs="宋体"/>
              </w:rPr>
            </w:pPr>
            <w:r>
              <w:rPr>
                <w:rFonts w:hint="eastAsia" w:ascii="宋体" w:hAnsi="宋体" w:cs="宋体"/>
              </w:rPr>
              <w:t>2</w:t>
            </w:r>
          </w:p>
        </w:tc>
        <w:tc>
          <w:tcPr>
            <w:tcW w:w="15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80" w:leftChars="-38" w:right="-59" w:rightChars="-28"/>
              <w:rPr>
                <w:rFonts w:hint="default" w:ascii="宋体" w:hAnsi="宋体" w:cs="宋体"/>
              </w:rPr>
            </w:pPr>
            <w:r>
              <w:rPr>
                <w:rFonts w:hint="eastAsia" w:ascii="宋体" w:hAnsi="宋体" w:cs="宋体"/>
              </w:rPr>
              <w:t>具有省级监理员上岗证书或省级及以上监理工程师注册证书，（要求市政工程专业）</w:t>
            </w:r>
          </w:p>
        </w:tc>
        <w:tc>
          <w:tcPr>
            <w:tcW w:w="16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80" w:leftChars="-38" w:right="-59" w:rightChars="-28"/>
              <w:jc w:val="center"/>
              <w:rPr>
                <w:rFonts w:hint="eastAsia" w:ascii="宋体" w:hAnsi="宋体" w:cs="宋体"/>
              </w:rPr>
            </w:pPr>
            <w:r>
              <w:rPr>
                <w:rFonts w:hint="eastAsia" w:ascii="宋体" w:hAnsi="宋体" w:cs="宋体"/>
              </w:rPr>
              <w:t>90%（施工监理阶段均严格按此到位率执行，</w:t>
            </w:r>
            <w:r>
              <w:rPr>
                <w:rFonts w:hint="eastAsia" w:ascii="宋体" w:hAnsi="宋体"/>
                <w:szCs w:val="21"/>
              </w:rPr>
              <w:t>且每天不小于8小时）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80" w:leftChars="-38" w:right="-59" w:rightChars="-28"/>
              <w:jc w:val="center"/>
              <w:rPr>
                <w:rFonts w:hint="eastAsia" w:ascii="宋体" w:hAnsi="宋体" w:cs="宋体"/>
              </w:rPr>
            </w:pPr>
            <w:r>
              <w:rPr>
                <w:rFonts w:hint="eastAsia" w:ascii="宋体" w:hAnsi="宋体" w:cs="宋体"/>
              </w:rPr>
              <w:t>3</w:t>
            </w:r>
          </w:p>
        </w:tc>
        <w:tc>
          <w:tcPr>
            <w:tcW w:w="7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80" w:leftChars="-38" w:right="-59" w:rightChars="-28"/>
              <w:jc w:val="center"/>
              <w:rPr>
                <w:rFonts w:hint="default" w:ascii="宋体" w:hAnsi="宋体" w:cs="宋体"/>
              </w:rPr>
            </w:pPr>
            <w:r>
              <w:rPr>
                <w:rFonts w:hint="eastAsia" w:ascii="宋体" w:hAnsi="宋体" w:cs="宋体"/>
              </w:rPr>
              <w:t>监理员</w:t>
            </w:r>
          </w:p>
        </w:tc>
        <w:tc>
          <w:tcPr>
            <w:tcW w:w="7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80" w:leftChars="-38" w:right="-59" w:rightChars="-28"/>
              <w:jc w:val="center"/>
              <w:rPr>
                <w:rFonts w:hint="eastAsia" w:ascii="宋体" w:hAnsi="宋体" w:cs="宋体"/>
              </w:rPr>
            </w:pPr>
            <w:r>
              <w:rPr>
                <w:rFonts w:hint="eastAsia" w:ascii="宋体" w:hAnsi="宋体" w:cs="宋体"/>
              </w:rPr>
              <w:t>1</w:t>
            </w:r>
          </w:p>
        </w:tc>
        <w:tc>
          <w:tcPr>
            <w:tcW w:w="15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80" w:leftChars="-38" w:right="-59" w:rightChars="-28"/>
              <w:rPr>
                <w:rFonts w:hint="eastAsia" w:ascii="宋体" w:hAnsi="宋体" w:cs="宋体"/>
              </w:rPr>
            </w:pPr>
            <w:r>
              <w:rPr>
                <w:rFonts w:hint="eastAsia" w:ascii="宋体" w:hAnsi="宋体" w:cs="宋体"/>
              </w:rPr>
              <w:t>具有省级监理员上岗证书或省级及以上监理工程师注册证书，（要求机电安装工程专业）</w:t>
            </w:r>
          </w:p>
        </w:tc>
        <w:tc>
          <w:tcPr>
            <w:tcW w:w="16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80" w:leftChars="-38" w:right="-59" w:rightChars="-28"/>
              <w:jc w:val="center"/>
              <w:rPr>
                <w:rFonts w:hint="eastAsia" w:ascii="宋体" w:hAnsi="宋体" w:cs="宋体"/>
              </w:rPr>
            </w:pPr>
            <w:r>
              <w:rPr>
                <w:rFonts w:hint="eastAsia" w:ascii="宋体" w:hAnsi="宋体" w:cs="宋体"/>
              </w:rPr>
              <w:t>90%（施工监理阶段均严格按此到位率执行，</w:t>
            </w:r>
            <w:r>
              <w:rPr>
                <w:rFonts w:hint="eastAsia" w:ascii="宋体" w:hAnsi="宋体"/>
                <w:szCs w:val="21"/>
              </w:rPr>
              <w:t>且每天不小于8小时）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2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80" w:leftChars="-38" w:right="-59" w:rightChars="-28"/>
              <w:jc w:val="center"/>
              <w:rPr>
                <w:rFonts w:hint="eastAsia" w:ascii="宋体" w:hAnsi="宋体" w:cs="宋体"/>
              </w:rPr>
            </w:pPr>
            <w:r>
              <w:rPr>
                <w:rFonts w:hint="eastAsia" w:ascii="宋体" w:hAnsi="宋体" w:cs="宋体"/>
              </w:rPr>
              <w:t>4</w:t>
            </w:r>
          </w:p>
        </w:tc>
        <w:tc>
          <w:tcPr>
            <w:tcW w:w="7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80" w:leftChars="-38" w:right="-59" w:rightChars="-28"/>
              <w:jc w:val="center"/>
              <w:rPr>
                <w:rFonts w:hint="eastAsia" w:ascii="宋体" w:hAnsi="宋体" w:cs="宋体"/>
              </w:rPr>
            </w:pPr>
            <w:r>
              <w:rPr>
                <w:rFonts w:hint="eastAsia" w:ascii="宋体" w:hAnsi="宋体" w:cs="宋体"/>
              </w:rPr>
              <w:t>资料员</w:t>
            </w:r>
          </w:p>
        </w:tc>
        <w:tc>
          <w:tcPr>
            <w:tcW w:w="7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80" w:leftChars="-38" w:right="-59" w:rightChars="-28"/>
              <w:jc w:val="center"/>
              <w:rPr>
                <w:rFonts w:hint="eastAsia" w:ascii="宋体" w:hAnsi="宋体" w:cs="宋体"/>
              </w:rPr>
            </w:pPr>
            <w:r>
              <w:rPr>
                <w:rFonts w:hint="eastAsia" w:ascii="宋体" w:hAnsi="宋体" w:cs="宋体"/>
              </w:rPr>
              <w:t>1</w:t>
            </w:r>
          </w:p>
        </w:tc>
        <w:tc>
          <w:tcPr>
            <w:tcW w:w="15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80" w:leftChars="-38" w:right="-59" w:rightChars="-28"/>
              <w:rPr>
                <w:rFonts w:hint="eastAsia" w:ascii="宋体" w:hAnsi="宋体" w:cs="宋体"/>
              </w:rPr>
            </w:pPr>
            <w:r>
              <w:rPr>
                <w:rFonts w:hint="eastAsia" w:ascii="宋体" w:hAnsi="宋体" w:cs="宋体"/>
              </w:rPr>
              <w:t>允许兼职</w:t>
            </w:r>
          </w:p>
        </w:tc>
        <w:tc>
          <w:tcPr>
            <w:tcW w:w="16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80" w:leftChars="-38" w:right="-59" w:rightChars="-28"/>
              <w:jc w:val="center"/>
              <w:rPr>
                <w:rFonts w:hint="eastAsia" w:ascii="宋体" w:hAnsi="宋体" w:cs="宋体"/>
              </w:rPr>
            </w:pPr>
            <w:r>
              <w:rPr>
                <w:rFonts w:hint="eastAsia" w:ascii="宋体" w:hAnsi="宋体" w:cs="宋体"/>
              </w:rPr>
              <w:t>根据需要到位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2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80" w:leftChars="-38" w:right="-59" w:rightChars="-28"/>
              <w:jc w:val="center"/>
              <w:rPr>
                <w:rFonts w:hint="eastAsia" w:ascii="宋体" w:hAnsi="宋体" w:cs="宋体"/>
              </w:rPr>
            </w:pPr>
          </w:p>
        </w:tc>
        <w:tc>
          <w:tcPr>
            <w:tcW w:w="7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80" w:leftChars="-38" w:right="-59" w:rightChars="-28"/>
              <w:jc w:val="center"/>
              <w:rPr>
                <w:rFonts w:hint="default" w:ascii="宋体" w:hAnsi="宋体" w:cs="宋体"/>
              </w:rPr>
            </w:pPr>
            <w:r>
              <w:rPr>
                <w:rFonts w:hint="eastAsia" w:ascii="宋体" w:hAnsi="宋体" w:cs="宋体"/>
              </w:rPr>
              <w:t>......</w:t>
            </w:r>
          </w:p>
        </w:tc>
        <w:tc>
          <w:tcPr>
            <w:tcW w:w="7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80" w:leftChars="-38" w:right="-59" w:rightChars="-28"/>
              <w:jc w:val="center"/>
              <w:rPr>
                <w:rFonts w:hint="eastAsia" w:ascii="宋体" w:hAnsi="宋体" w:cs="宋体"/>
              </w:rPr>
            </w:pPr>
          </w:p>
        </w:tc>
        <w:tc>
          <w:tcPr>
            <w:tcW w:w="15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80" w:leftChars="-38" w:right="-59" w:rightChars="-28"/>
              <w:rPr>
                <w:rFonts w:hint="eastAsia" w:ascii="宋体" w:hAnsi="宋体" w:cs="宋体"/>
              </w:rPr>
            </w:pPr>
          </w:p>
        </w:tc>
        <w:tc>
          <w:tcPr>
            <w:tcW w:w="16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80" w:leftChars="-38" w:right="-59" w:rightChars="-28"/>
              <w:jc w:val="center"/>
              <w:rPr>
                <w:rFonts w:hint="eastAsia"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80" w:leftChars="-38" w:right="-59" w:rightChars="-28"/>
              <w:rPr>
                <w:rFonts w:hint="eastAsia" w:ascii="宋体" w:hAnsi="宋体" w:cs="宋体"/>
              </w:rPr>
            </w:pPr>
            <w:r>
              <w:rPr>
                <w:rFonts w:hint="eastAsia" w:ascii="宋体" w:hAnsi="宋体" w:cs="宋体"/>
              </w:rPr>
              <w:t>备注：质量缺陷服务期间，需根据采购人要求随叫随到。</w:t>
            </w:r>
          </w:p>
        </w:tc>
      </w:tr>
    </w:tbl>
    <w:p>
      <w:pPr>
        <w:pStyle w:val="33"/>
        <w:ind w:firstLine="422" w:firstLineChars="200"/>
        <w:rPr>
          <w:rFonts w:hint="eastAsia" w:hAnsi="宋体"/>
          <w:b/>
          <w:bCs/>
          <w:sz w:val="21"/>
          <w:szCs w:val="21"/>
        </w:rPr>
      </w:pPr>
      <w:r>
        <w:rPr>
          <w:rFonts w:hint="eastAsia" w:hAnsi="宋体"/>
          <w:b/>
          <w:bCs/>
          <w:sz w:val="21"/>
          <w:szCs w:val="21"/>
          <w:lang w:val="en-US" w:eastAsia="zh-CN"/>
        </w:rPr>
        <w:t>11.</w:t>
      </w:r>
      <w:r>
        <w:rPr>
          <w:rFonts w:hint="eastAsia" w:hAnsi="宋体"/>
          <w:b/>
          <w:bCs/>
          <w:sz w:val="21"/>
          <w:szCs w:val="21"/>
        </w:rPr>
        <w:t>其他详见合同条款。</w:t>
      </w:r>
    </w:p>
    <w:p>
      <w:pPr>
        <w:rPr>
          <w:rFonts w:hint="eastAsia" w:ascii="宋体" w:hAnsi="宋体" w:cs="宋体"/>
          <w:color w:val="auto"/>
          <w:highlight w:val="none"/>
        </w:rPr>
      </w:pPr>
      <w:r>
        <w:rPr>
          <w:rFonts w:hint="eastAsia" w:ascii="宋体" w:hAnsi="宋体" w:cs="宋体"/>
          <w:color w:val="auto"/>
          <w:highlight w:val="none"/>
        </w:rPr>
        <w:br w:type="page"/>
      </w:r>
    </w:p>
    <w:p>
      <w:pPr>
        <w:pStyle w:val="3"/>
        <w:rPr>
          <w:rFonts w:ascii="宋体" w:hAnsi="宋体" w:cs="宋体"/>
          <w:color w:val="auto"/>
          <w:highlight w:val="none"/>
        </w:rPr>
      </w:pPr>
      <w:bookmarkStart w:id="30" w:name="_Toc18923"/>
      <w:r>
        <w:rPr>
          <w:rFonts w:hint="eastAsia" w:ascii="宋体" w:hAnsi="宋体" w:cs="宋体"/>
          <w:color w:val="auto"/>
          <w:highlight w:val="none"/>
        </w:rPr>
        <w:t>第三章 评标办法</w:t>
      </w:r>
      <w:bookmarkEnd w:id="30"/>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本评标办法根据《中华人民共和国政府采购法》的有关规定，并结合本项目的具体情况制定。</w:t>
      </w:r>
    </w:p>
    <w:p>
      <w:pPr>
        <w:adjustRightInd w:val="0"/>
        <w:snapToGrid w:val="0"/>
        <w:spacing w:line="360" w:lineRule="auto"/>
        <w:ind w:firstLine="422" w:firstLineChars="200"/>
        <w:rPr>
          <w:rFonts w:ascii="宋体" w:hAnsi="宋体" w:cs="宋体"/>
          <w:b/>
          <w:bCs/>
          <w:highlight w:val="none"/>
        </w:rPr>
      </w:pPr>
      <w:r>
        <w:rPr>
          <w:rFonts w:hint="eastAsia" w:ascii="宋体" w:hAnsi="宋体" w:cs="宋体"/>
          <w:b/>
          <w:bCs/>
          <w:highlight w:val="none"/>
        </w:rPr>
        <w:t>一、总则</w:t>
      </w:r>
    </w:p>
    <w:p>
      <w:pPr>
        <w:snapToGrid w:val="0"/>
        <w:spacing w:line="360" w:lineRule="auto"/>
        <w:ind w:firstLine="420" w:firstLineChars="200"/>
        <w:rPr>
          <w:rFonts w:ascii="宋体" w:hAnsi="宋体" w:cs="宋体"/>
          <w:highlight w:val="none"/>
        </w:rPr>
      </w:pPr>
      <w:r>
        <w:rPr>
          <w:rFonts w:hint="eastAsia" w:ascii="宋体" w:hAnsi="宋体" w:cs="宋体"/>
          <w:highlight w:val="none"/>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pPr>
        <w:adjustRightInd w:val="0"/>
        <w:snapToGrid w:val="0"/>
        <w:spacing w:line="360" w:lineRule="auto"/>
        <w:ind w:firstLine="422" w:firstLineChars="200"/>
        <w:rPr>
          <w:rFonts w:ascii="宋体" w:hAnsi="宋体" w:cs="宋体"/>
          <w:b/>
          <w:bCs/>
          <w:highlight w:val="none"/>
        </w:rPr>
      </w:pPr>
      <w:r>
        <w:rPr>
          <w:rFonts w:hint="eastAsia" w:ascii="宋体" w:hAnsi="宋体" w:cs="宋体"/>
          <w:b/>
          <w:bCs/>
          <w:highlight w:val="none"/>
        </w:rPr>
        <w:t>二、评标组织</w:t>
      </w:r>
    </w:p>
    <w:p>
      <w:pPr>
        <w:snapToGrid w:val="0"/>
        <w:spacing w:line="360" w:lineRule="auto"/>
        <w:ind w:firstLine="420" w:firstLineChars="200"/>
        <w:rPr>
          <w:rFonts w:ascii="宋体" w:hAnsi="宋体" w:cs="宋体"/>
          <w:highlight w:val="none"/>
        </w:rPr>
      </w:pPr>
      <w:r>
        <w:rPr>
          <w:rFonts w:hint="eastAsia" w:ascii="宋体" w:hAnsi="宋体" w:cs="宋体"/>
          <w:highlight w:val="none"/>
        </w:rPr>
        <w:t>本项目采用综合评分法。</w:t>
      </w:r>
    </w:p>
    <w:p>
      <w:pPr>
        <w:snapToGrid w:val="0"/>
        <w:spacing w:line="360" w:lineRule="auto"/>
        <w:ind w:firstLine="420" w:firstLineChars="200"/>
        <w:rPr>
          <w:rFonts w:ascii="宋体" w:hAnsi="宋体" w:cs="宋体"/>
          <w:highlight w:val="none"/>
        </w:rPr>
      </w:pPr>
      <w:r>
        <w:rPr>
          <w:rFonts w:hint="eastAsia" w:ascii="宋体" w:hAnsi="宋体" w:cs="宋体"/>
          <w:highlight w:val="none"/>
        </w:rPr>
        <w:t>评标委员会将按照本章规定的评审方法、评分标准，对符合性审查合格的投标文件进行商务和技术的评估、综合比较与评价。评标时，评标委员会各成员将独立对每个供应商的投标文件进行评价，并汇总每个供应商的得分。</w:t>
      </w:r>
    </w:p>
    <w:p>
      <w:pPr>
        <w:snapToGrid w:val="0"/>
        <w:spacing w:line="360" w:lineRule="auto"/>
        <w:ind w:firstLine="422" w:firstLineChars="200"/>
        <w:rPr>
          <w:rFonts w:ascii="宋体" w:hAnsi="宋体" w:cs="宋体"/>
          <w:b/>
          <w:bCs/>
          <w:highlight w:val="none"/>
        </w:rPr>
      </w:pPr>
      <w:r>
        <w:rPr>
          <w:rFonts w:hint="eastAsia" w:ascii="宋体" w:hAnsi="宋体" w:cs="宋体"/>
          <w:b/>
          <w:bCs/>
          <w:highlight w:val="none"/>
        </w:rPr>
        <w:t>综合得分=商务技术得分+报价得分</w:t>
      </w:r>
    </w:p>
    <w:p>
      <w:pPr>
        <w:adjustRightInd w:val="0"/>
        <w:snapToGrid w:val="0"/>
        <w:spacing w:line="360" w:lineRule="auto"/>
        <w:ind w:firstLine="422" w:firstLineChars="200"/>
        <w:rPr>
          <w:rFonts w:ascii="宋体" w:hAnsi="宋体" w:cs="宋体"/>
          <w:b/>
          <w:bCs/>
          <w:highlight w:val="none"/>
        </w:rPr>
      </w:pPr>
      <w:bookmarkStart w:id="31" w:name="_Toc23241"/>
      <w:bookmarkStart w:id="32" w:name="_Toc30310"/>
      <w:bookmarkStart w:id="33" w:name="_Toc22795"/>
      <w:r>
        <w:rPr>
          <w:rFonts w:hint="eastAsia" w:ascii="宋体" w:hAnsi="宋体" w:cs="宋体"/>
          <w:b/>
          <w:bCs/>
          <w:highlight w:val="none"/>
        </w:rPr>
        <w:t>三、评审流程及内容</w:t>
      </w:r>
      <w:bookmarkEnd w:id="31"/>
      <w:bookmarkEnd w:id="32"/>
      <w:bookmarkEnd w:id="33"/>
    </w:p>
    <w:p>
      <w:pPr>
        <w:snapToGrid w:val="0"/>
        <w:spacing w:line="360" w:lineRule="auto"/>
        <w:ind w:firstLine="422" w:firstLineChars="200"/>
        <w:rPr>
          <w:rFonts w:ascii="宋体" w:hAnsi="宋体" w:cs="宋体"/>
          <w:b/>
          <w:bCs/>
          <w:highlight w:val="none"/>
        </w:rPr>
      </w:pPr>
      <w:r>
        <w:rPr>
          <w:rFonts w:hint="eastAsia" w:ascii="宋体" w:hAnsi="宋体" w:cs="宋体"/>
          <w:b/>
          <w:bCs/>
          <w:highlight w:val="none"/>
        </w:rPr>
        <w:t>3.1 评审前准备</w:t>
      </w:r>
    </w:p>
    <w:p>
      <w:pPr>
        <w:snapToGrid w:val="0"/>
        <w:spacing w:line="360" w:lineRule="auto"/>
        <w:ind w:firstLine="420" w:firstLineChars="200"/>
        <w:rPr>
          <w:rFonts w:ascii="宋体" w:hAnsi="宋体" w:cs="宋体"/>
          <w:highlight w:val="none"/>
        </w:rPr>
      </w:pPr>
      <w:r>
        <w:rPr>
          <w:rFonts w:hint="eastAsia" w:ascii="宋体" w:hAnsi="宋体" w:cs="宋体"/>
          <w:highlight w:val="none"/>
        </w:rPr>
        <w:t>3.1.1由评审专家推选评审组长，采购人代表不得担任评审组长。</w:t>
      </w:r>
    </w:p>
    <w:p>
      <w:pPr>
        <w:snapToGrid w:val="0"/>
        <w:spacing w:line="360" w:lineRule="auto"/>
        <w:ind w:firstLine="420" w:firstLineChars="200"/>
        <w:rPr>
          <w:rFonts w:ascii="宋体" w:hAnsi="宋体" w:cs="宋体"/>
          <w:highlight w:val="none"/>
        </w:rPr>
      </w:pPr>
      <w:r>
        <w:rPr>
          <w:rFonts w:hint="eastAsia" w:ascii="宋体" w:hAnsi="宋体" w:cs="宋体"/>
          <w:highlight w:val="none"/>
        </w:rPr>
        <w:t>3.1.2由评审组长召集所有评审专家阅读采购文件及相关补充、质疑、答复文件、项目书面说明等材料，熟悉采购项目基本情况、采购需求、合同主要条款、投标文件无效情形、评审办法、评审标准，以及其他与评审有关的内容。</w:t>
      </w:r>
    </w:p>
    <w:p>
      <w:pPr>
        <w:snapToGrid w:val="0"/>
        <w:spacing w:line="360" w:lineRule="auto"/>
        <w:ind w:firstLine="422" w:firstLineChars="200"/>
        <w:rPr>
          <w:rFonts w:ascii="宋体" w:hAnsi="宋体" w:cs="宋体"/>
          <w:b/>
          <w:bCs/>
          <w:highlight w:val="none"/>
        </w:rPr>
      </w:pPr>
      <w:r>
        <w:rPr>
          <w:rFonts w:hint="eastAsia" w:ascii="宋体" w:hAnsi="宋体" w:cs="宋体"/>
          <w:b/>
          <w:bCs/>
          <w:highlight w:val="none"/>
        </w:rPr>
        <w:t>3.2 投标文件的初步审查、符合性审查</w:t>
      </w:r>
    </w:p>
    <w:p>
      <w:pPr>
        <w:snapToGrid w:val="0"/>
        <w:spacing w:line="360" w:lineRule="auto"/>
        <w:ind w:firstLine="420" w:firstLineChars="200"/>
        <w:rPr>
          <w:rFonts w:ascii="宋体" w:hAnsi="宋体" w:cs="宋体"/>
          <w:highlight w:val="none"/>
        </w:rPr>
      </w:pPr>
      <w:r>
        <w:rPr>
          <w:rFonts w:hint="eastAsia" w:ascii="宋体" w:hAnsi="宋体" w:cs="宋体"/>
          <w:highlight w:val="none"/>
        </w:rPr>
        <w:t>3.2.1评标委员会首先对符合资格的供应商的投标文件进行符合性审查，以确定其是否满足采购文件的实质性要求</w:t>
      </w:r>
    </w:p>
    <w:p>
      <w:pPr>
        <w:spacing w:line="360" w:lineRule="auto"/>
        <w:ind w:firstLine="413" w:firstLineChars="196"/>
        <w:rPr>
          <w:rFonts w:ascii="宋体" w:hAnsi="宋体" w:cs="宋体"/>
          <w:b/>
          <w:highlight w:val="none"/>
        </w:rPr>
      </w:pPr>
      <w:r>
        <w:rPr>
          <w:rFonts w:hint="eastAsia" w:ascii="宋体" w:hAnsi="宋体" w:cs="宋体"/>
          <w:b/>
          <w:highlight w:val="none"/>
        </w:rPr>
        <w:t>3.2.2 商务、技术文件符合性审查：</w:t>
      </w:r>
    </w:p>
    <w:p>
      <w:pPr>
        <w:spacing w:line="360" w:lineRule="auto"/>
        <w:ind w:firstLine="413" w:firstLineChars="196"/>
        <w:rPr>
          <w:rFonts w:ascii="宋体" w:hAnsi="宋体" w:cs="宋体"/>
          <w:b/>
          <w:highlight w:val="none"/>
          <w:u w:val="thick"/>
        </w:rPr>
      </w:pPr>
      <w:r>
        <w:rPr>
          <w:rFonts w:hint="eastAsia" w:ascii="宋体" w:hAnsi="宋体" w:cs="宋体"/>
          <w:b/>
          <w:highlight w:val="none"/>
          <w:u w:val="thick"/>
        </w:rPr>
        <w:t>商务、技术文件符合性审查中，存在下列情形之一的，经评标委员会认定后作无效标处理：</w:t>
      </w:r>
    </w:p>
    <w:p>
      <w:pPr>
        <w:pStyle w:val="145"/>
        <w:spacing w:line="360" w:lineRule="auto"/>
        <w:ind w:firstLine="420"/>
        <w:rPr>
          <w:rFonts w:ascii="宋体" w:hAnsi="宋体" w:cs="宋体"/>
          <w:highlight w:val="none"/>
        </w:rPr>
      </w:pPr>
      <w:r>
        <w:rPr>
          <w:rFonts w:hint="eastAsia" w:ascii="宋体" w:hAnsi="宋体" w:cs="宋体"/>
          <w:highlight w:val="none"/>
        </w:rPr>
        <w:t>（1）仅提交“备份投标文件”的；</w:t>
      </w:r>
    </w:p>
    <w:p>
      <w:pPr>
        <w:pStyle w:val="145"/>
        <w:spacing w:line="360" w:lineRule="auto"/>
        <w:ind w:firstLine="420"/>
        <w:rPr>
          <w:rFonts w:ascii="宋体" w:hAnsi="宋体" w:cs="宋体"/>
          <w:highlight w:val="none"/>
        </w:rPr>
      </w:pPr>
      <w:r>
        <w:rPr>
          <w:rFonts w:hint="eastAsia" w:ascii="宋体" w:hAnsi="宋体" w:cs="宋体"/>
          <w:highlight w:val="none"/>
        </w:rPr>
        <w:t>（2）投标文件存在一个或一个以上备选（替代）投标方案的；</w:t>
      </w:r>
    </w:p>
    <w:p>
      <w:pPr>
        <w:pStyle w:val="145"/>
        <w:spacing w:line="360" w:lineRule="auto"/>
        <w:ind w:firstLine="420"/>
        <w:rPr>
          <w:rFonts w:ascii="宋体" w:hAnsi="宋体" w:cs="宋体"/>
          <w:highlight w:val="none"/>
        </w:rPr>
      </w:pPr>
      <w:r>
        <w:rPr>
          <w:rFonts w:hint="eastAsia" w:ascii="宋体" w:hAnsi="宋体" w:cs="宋体"/>
          <w:highlight w:val="none"/>
        </w:rPr>
        <w:t>（3）获取文件的供应商与参加投标的供应商发生实质性变更的且未提供有效证明的；</w:t>
      </w:r>
    </w:p>
    <w:p>
      <w:pPr>
        <w:pStyle w:val="145"/>
        <w:spacing w:line="360" w:lineRule="auto"/>
        <w:ind w:firstLine="420"/>
        <w:rPr>
          <w:rFonts w:ascii="宋体" w:hAnsi="宋体" w:cs="宋体"/>
          <w:highlight w:val="none"/>
        </w:rPr>
      </w:pPr>
      <w:r>
        <w:rPr>
          <w:rFonts w:hint="eastAsia" w:ascii="宋体" w:hAnsi="宋体" w:cs="宋体"/>
          <w:highlight w:val="none"/>
        </w:rPr>
        <w:t>（4）投标文件未有效授权，即未提供或提供无效的法定代表人资格证明书或附法定代表人资格证明书的法定代表人授权委托书；</w:t>
      </w:r>
    </w:p>
    <w:p>
      <w:pPr>
        <w:pStyle w:val="145"/>
        <w:spacing w:line="360" w:lineRule="auto"/>
        <w:ind w:firstLine="420"/>
        <w:rPr>
          <w:rFonts w:ascii="宋体" w:hAnsi="宋体" w:cs="宋体"/>
          <w:highlight w:val="none"/>
        </w:rPr>
      </w:pPr>
      <w:r>
        <w:rPr>
          <w:rFonts w:hint="eastAsia" w:ascii="宋体" w:hAnsi="宋体" w:cs="宋体"/>
          <w:bCs/>
          <w:highlight w:val="none"/>
        </w:rPr>
        <w:t>（5）</w:t>
      </w:r>
      <w:r>
        <w:rPr>
          <w:rFonts w:hint="eastAsia" w:ascii="宋体" w:hAnsi="宋体" w:cs="宋体"/>
          <w:highlight w:val="none"/>
        </w:rPr>
        <w:t>投标文件内容未按采购文件规定签字或盖章的；</w:t>
      </w:r>
    </w:p>
    <w:p>
      <w:pPr>
        <w:pStyle w:val="145"/>
        <w:spacing w:line="360" w:lineRule="auto"/>
        <w:ind w:firstLine="420"/>
        <w:rPr>
          <w:rFonts w:ascii="宋体" w:hAnsi="宋体" w:cs="宋体"/>
          <w:highlight w:val="none"/>
        </w:rPr>
      </w:pPr>
      <w:r>
        <w:rPr>
          <w:rFonts w:hint="eastAsia" w:ascii="宋体" w:hAnsi="宋体" w:cs="宋体"/>
          <w:bCs/>
          <w:highlight w:val="none"/>
        </w:rPr>
        <w:t>（6）</w:t>
      </w:r>
      <w:r>
        <w:rPr>
          <w:rFonts w:hint="eastAsia" w:ascii="宋体" w:hAnsi="宋体" w:cs="宋体"/>
          <w:highlight w:val="none"/>
        </w:rPr>
        <w:t>投标文件组成漏项或未按规定的格式编制，内容不全或内容字迹模糊辨认不清的而导致评标活动无法正常进行；</w:t>
      </w:r>
    </w:p>
    <w:p>
      <w:pPr>
        <w:pStyle w:val="145"/>
        <w:spacing w:line="360" w:lineRule="auto"/>
        <w:ind w:firstLine="420"/>
        <w:rPr>
          <w:rFonts w:ascii="宋体" w:hAnsi="宋体" w:cs="宋体"/>
          <w:highlight w:val="none"/>
        </w:rPr>
      </w:pPr>
      <w:r>
        <w:rPr>
          <w:rFonts w:hint="eastAsia" w:ascii="宋体" w:hAnsi="宋体" w:cs="宋体"/>
          <w:bCs/>
          <w:highlight w:val="none"/>
        </w:rPr>
        <w:t>（7）</w:t>
      </w:r>
      <w:r>
        <w:rPr>
          <w:rFonts w:hint="eastAsia" w:ascii="宋体" w:hAnsi="宋体" w:cs="宋体"/>
          <w:highlight w:val="none"/>
        </w:rPr>
        <w:t>供应商未按采购文件变更公告通知更改投标文件的；</w:t>
      </w:r>
    </w:p>
    <w:p>
      <w:pPr>
        <w:pStyle w:val="145"/>
        <w:spacing w:line="360" w:lineRule="auto"/>
        <w:ind w:firstLine="420"/>
        <w:rPr>
          <w:rFonts w:ascii="宋体" w:hAnsi="宋体" w:cs="宋体"/>
          <w:highlight w:val="none"/>
        </w:rPr>
      </w:pPr>
      <w:r>
        <w:rPr>
          <w:rFonts w:hint="eastAsia" w:ascii="宋体" w:hAnsi="宋体" w:cs="宋体"/>
          <w:bCs/>
          <w:highlight w:val="none"/>
        </w:rPr>
        <w:t>（8）</w:t>
      </w:r>
      <w:r>
        <w:rPr>
          <w:rFonts w:hint="eastAsia" w:ascii="宋体" w:hAnsi="宋体" w:cs="宋体"/>
          <w:highlight w:val="none"/>
        </w:rPr>
        <w:t>未实质性响应采购文件中带“▲”条款要求的投标文件；</w:t>
      </w:r>
    </w:p>
    <w:p>
      <w:pPr>
        <w:pStyle w:val="145"/>
        <w:spacing w:line="360" w:lineRule="auto"/>
        <w:ind w:firstLine="420"/>
        <w:rPr>
          <w:rFonts w:hint="eastAsia" w:ascii="宋体" w:hAnsi="宋体" w:cs="宋体"/>
          <w:highlight w:val="none"/>
        </w:rPr>
      </w:pPr>
      <w:r>
        <w:rPr>
          <w:rFonts w:hint="eastAsia" w:ascii="宋体" w:hAnsi="宋体" w:cs="宋体"/>
          <w:bCs/>
          <w:highlight w:val="none"/>
        </w:rPr>
        <w:t>（9）</w:t>
      </w:r>
      <w:r>
        <w:rPr>
          <w:rFonts w:hint="eastAsia" w:ascii="宋体" w:hAnsi="宋体" w:cs="宋体"/>
          <w:highlight w:val="none"/>
        </w:rPr>
        <w:t>投标文件附有采购人不能接受的条款；</w:t>
      </w:r>
    </w:p>
    <w:p>
      <w:pPr>
        <w:pStyle w:val="145"/>
        <w:spacing w:line="360" w:lineRule="auto"/>
        <w:ind w:firstLine="420"/>
        <w:rPr>
          <w:rFonts w:ascii="宋体" w:hAnsi="宋体" w:cs="宋体"/>
          <w:highlight w:val="none"/>
        </w:rPr>
      </w:pPr>
      <w:r>
        <w:rPr>
          <w:rFonts w:hint="eastAsia" w:ascii="宋体" w:hAnsi="宋体" w:cs="宋体"/>
          <w:bCs/>
          <w:highlight w:val="none"/>
        </w:rPr>
        <w:t>（10）</w:t>
      </w:r>
      <w:r>
        <w:rPr>
          <w:rFonts w:hint="eastAsia" w:ascii="宋体" w:hAnsi="宋体" w:cs="宋体"/>
          <w:highlight w:val="none"/>
        </w:rPr>
        <w:t>存在本章5.1款规定的供应商串通情况的，或弄虚作假情况的；</w:t>
      </w:r>
    </w:p>
    <w:p>
      <w:pPr>
        <w:pStyle w:val="145"/>
        <w:spacing w:line="360" w:lineRule="auto"/>
        <w:ind w:firstLine="420"/>
        <w:rPr>
          <w:rFonts w:ascii="宋体" w:hAnsi="宋体" w:cs="宋体"/>
          <w:highlight w:val="none"/>
        </w:rPr>
      </w:pPr>
      <w:r>
        <w:rPr>
          <w:rFonts w:hint="eastAsia" w:ascii="宋体" w:hAnsi="宋体" w:cs="宋体"/>
          <w:highlight w:val="none"/>
        </w:rPr>
        <w:t>（11）参加同一合同项下政府采购活动的不同供应商之间存在本章5.2款规定的利害关系并且存在影响政府采购公平竞争行为的；</w:t>
      </w:r>
    </w:p>
    <w:p>
      <w:pPr>
        <w:pStyle w:val="145"/>
        <w:spacing w:line="360" w:lineRule="auto"/>
        <w:ind w:firstLine="420"/>
        <w:rPr>
          <w:rFonts w:ascii="宋体" w:hAnsi="宋体" w:cs="宋体"/>
          <w:bCs/>
          <w:highlight w:val="none"/>
        </w:rPr>
      </w:pPr>
      <w:r>
        <w:rPr>
          <w:rFonts w:hint="eastAsia" w:ascii="宋体" w:hAnsi="宋体" w:cs="宋体"/>
          <w:bCs/>
          <w:highlight w:val="none"/>
        </w:rPr>
        <w:t>（1</w:t>
      </w:r>
      <w:r>
        <w:rPr>
          <w:rFonts w:hint="eastAsia" w:ascii="宋体" w:hAnsi="宋体" w:cs="宋体"/>
          <w:bCs/>
          <w:highlight w:val="none"/>
          <w:lang w:val="en-US" w:eastAsia="zh-CN"/>
        </w:rPr>
        <w:t>2</w:t>
      </w:r>
      <w:r>
        <w:rPr>
          <w:rFonts w:hint="eastAsia" w:ascii="宋体" w:hAnsi="宋体" w:cs="宋体"/>
          <w:bCs/>
          <w:highlight w:val="none"/>
        </w:rPr>
        <w:t>）违反国家及政府部门相关法律、法规、文件规定的。</w:t>
      </w:r>
    </w:p>
    <w:p>
      <w:pPr>
        <w:snapToGrid w:val="0"/>
        <w:spacing w:line="360" w:lineRule="auto"/>
        <w:ind w:firstLine="422" w:firstLineChars="200"/>
        <w:rPr>
          <w:rFonts w:ascii="宋体" w:hAnsi="宋体" w:cs="宋体"/>
          <w:b/>
          <w:bCs/>
          <w:highlight w:val="none"/>
        </w:rPr>
      </w:pPr>
      <w:r>
        <w:rPr>
          <w:rFonts w:hint="eastAsia" w:ascii="宋体" w:hAnsi="宋体" w:cs="宋体"/>
          <w:b/>
          <w:bCs/>
          <w:highlight w:val="none"/>
        </w:rPr>
        <w:t>3.2.3 报价文件符合性审查：</w:t>
      </w:r>
    </w:p>
    <w:p>
      <w:pPr>
        <w:spacing w:line="360" w:lineRule="auto"/>
        <w:ind w:firstLine="413" w:firstLineChars="196"/>
        <w:rPr>
          <w:rFonts w:ascii="宋体" w:hAnsi="宋体" w:cs="宋体"/>
          <w:b/>
          <w:highlight w:val="none"/>
          <w:u w:val="thick"/>
        </w:rPr>
      </w:pPr>
      <w:r>
        <w:rPr>
          <w:rFonts w:hint="eastAsia" w:ascii="宋体" w:hAnsi="宋体" w:cs="宋体"/>
          <w:b/>
          <w:highlight w:val="none"/>
          <w:u w:val="thick"/>
        </w:rPr>
        <w:t>报价文件符合性审查中，存在下列情形之一的，经评标委员会认定后作无效标处理：</w:t>
      </w:r>
    </w:p>
    <w:p>
      <w:pPr>
        <w:pStyle w:val="145"/>
        <w:spacing w:line="360" w:lineRule="auto"/>
        <w:ind w:firstLine="420"/>
        <w:rPr>
          <w:rFonts w:ascii="宋体" w:hAnsi="宋体" w:cs="宋体"/>
          <w:highlight w:val="none"/>
        </w:rPr>
      </w:pPr>
      <w:r>
        <w:rPr>
          <w:rFonts w:hint="eastAsia" w:ascii="宋体" w:hAnsi="宋体" w:cs="宋体"/>
          <w:highlight w:val="none"/>
        </w:rPr>
        <w:t>（1）仅提交“备份投标文件”的；</w:t>
      </w:r>
    </w:p>
    <w:p>
      <w:pPr>
        <w:pStyle w:val="145"/>
        <w:spacing w:line="360" w:lineRule="auto"/>
        <w:ind w:firstLine="420"/>
        <w:rPr>
          <w:rFonts w:ascii="宋体" w:hAnsi="宋体" w:cs="宋体"/>
          <w:highlight w:val="none"/>
        </w:rPr>
      </w:pPr>
      <w:r>
        <w:rPr>
          <w:rFonts w:hint="eastAsia" w:ascii="宋体" w:hAnsi="宋体" w:cs="宋体"/>
          <w:highlight w:val="none"/>
        </w:rPr>
        <w:t>（2）投标文件存在一个或一个以上备选（替代）投标方案的；</w:t>
      </w:r>
    </w:p>
    <w:p>
      <w:pPr>
        <w:pStyle w:val="145"/>
        <w:spacing w:line="360" w:lineRule="auto"/>
        <w:ind w:firstLine="420"/>
        <w:rPr>
          <w:rFonts w:ascii="宋体" w:hAnsi="宋体" w:cs="宋体"/>
          <w:highlight w:val="none"/>
        </w:rPr>
      </w:pPr>
      <w:r>
        <w:rPr>
          <w:rFonts w:hint="eastAsia" w:ascii="宋体" w:hAnsi="宋体" w:cs="宋体"/>
          <w:highlight w:val="none"/>
        </w:rPr>
        <w:t>（3）未按照采购文件标明的币种报价的，或者投标报价涵盖的内容不符合采购文件要求的；</w:t>
      </w:r>
    </w:p>
    <w:p>
      <w:pPr>
        <w:pStyle w:val="145"/>
        <w:spacing w:line="360" w:lineRule="auto"/>
        <w:ind w:firstLine="420"/>
        <w:rPr>
          <w:rFonts w:ascii="宋体" w:hAnsi="宋体" w:cs="宋体"/>
          <w:szCs w:val="21"/>
          <w:highlight w:val="none"/>
        </w:rPr>
      </w:pPr>
      <w:r>
        <w:rPr>
          <w:rFonts w:hint="eastAsia" w:ascii="宋体" w:hAnsi="宋体" w:cs="宋体"/>
          <w:szCs w:val="21"/>
          <w:highlight w:val="none"/>
        </w:rPr>
        <w:t>（4）《开标一览表》和《投标价格组成明细表》内容不一致且不接受修正的；</w:t>
      </w:r>
    </w:p>
    <w:p>
      <w:pPr>
        <w:pStyle w:val="145"/>
        <w:spacing w:line="360" w:lineRule="auto"/>
        <w:ind w:firstLine="420"/>
        <w:rPr>
          <w:rFonts w:ascii="宋体" w:hAnsi="宋体" w:cs="宋体"/>
          <w:highlight w:val="none"/>
        </w:rPr>
      </w:pPr>
      <w:r>
        <w:rPr>
          <w:rFonts w:hint="eastAsia" w:ascii="宋体" w:hAnsi="宋体" w:cs="宋体"/>
          <w:bCs/>
          <w:highlight w:val="none"/>
        </w:rPr>
        <w:t>（5）</w:t>
      </w:r>
      <w:r>
        <w:rPr>
          <w:rFonts w:hint="eastAsia" w:ascii="宋体" w:hAnsi="宋体" w:cs="宋体"/>
          <w:highlight w:val="none"/>
        </w:rPr>
        <w:t>投标文件内容未按采购文件规定签字或盖章的；</w:t>
      </w:r>
    </w:p>
    <w:p>
      <w:pPr>
        <w:pStyle w:val="145"/>
        <w:spacing w:line="360" w:lineRule="auto"/>
        <w:ind w:firstLine="420"/>
        <w:rPr>
          <w:rFonts w:ascii="宋体" w:hAnsi="宋体" w:cs="宋体"/>
          <w:highlight w:val="none"/>
        </w:rPr>
      </w:pPr>
      <w:r>
        <w:rPr>
          <w:rFonts w:hint="eastAsia" w:ascii="宋体" w:hAnsi="宋体" w:cs="宋体"/>
          <w:bCs/>
          <w:highlight w:val="none"/>
        </w:rPr>
        <w:t>（6）</w:t>
      </w:r>
      <w:r>
        <w:rPr>
          <w:rFonts w:hint="eastAsia" w:ascii="宋体" w:hAnsi="宋体" w:cs="宋体"/>
          <w:highlight w:val="none"/>
        </w:rPr>
        <w:t>投标文件组成漏项或未按规定的格式编制，内容不全或内容字迹模糊辨认不清的而导致评标活动无法正常进行；</w:t>
      </w:r>
    </w:p>
    <w:p>
      <w:pPr>
        <w:pStyle w:val="145"/>
        <w:spacing w:line="360" w:lineRule="auto"/>
        <w:ind w:firstLine="420"/>
        <w:rPr>
          <w:rFonts w:ascii="宋体" w:hAnsi="宋体" w:cs="宋体"/>
          <w:highlight w:val="none"/>
        </w:rPr>
      </w:pPr>
      <w:r>
        <w:rPr>
          <w:rFonts w:hint="eastAsia" w:ascii="宋体" w:hAnsi="宋体" w:cs="宋体"/>
          <w:bCs/>
          <w:highlight w:val="none"/>
        </w:rPr>
        <w:t>（7）</w:t>
      </w:r>
      <w:r>
        <w:rPr>
          <w:rFonts w:hint="eastAsia" w:ascii="宋体" w:hAnsi="宋体" w:cs="宋体"/>
          <w:highlight w:val="none"/>
        </w:rPr>
        <w:t>供应商未按采购文件变更公告通知更改投标文件的；</w:t>
      </w:r>
    </w:p>
    <w:p>
      <w:pPr>
        <w:pStyle w:val="145"/>
        <w:spacing w:line="360" w:lineRule="auto"/>
        <w:ind w:firstLine="420"/>
        <w:rPr>
          <w:rFonts w:ascii="宋体" w:hAnsi="宋体" w:cs="宋体"/>
          <w:highlight w:val="none"/>
        </w:rPr>
      </w:pPr>
      <w:r>
        <w:rPr>
          <w:rFonts w:hint="eastAsia" w:ascii="宋体" w:hAnsi="宋体" w:cs="宋体"/>
          <w:bCs/>
          <w:highlight w:val="none"/>
        </w:rPr>
        <w:t>（8）</w:t>
      </w:r>
      <w:r>
        <w:rPr>
          <w:rFonts w:hint="eastAsia" w:ascii="宋体" w:hAnsi="宋体" w:cs="宋体"/>
          <w:highlight w:val="none"/>
        </w:rPr>
        <w:t>投标报价超过采购文件规定的预算金额（或最高限价）；</w:t>
      </w:r>
    </w:p>
    <w:p>
      <w:pPr>
        <w:pStyle w:val="145"/>
        <w:spacing w:line="360" w:lineRule="auto"/>
        <w:ind w:firstLine="420"/>
        <w:rPr>
          <w:rFonts w:ascii="宋体" w:hAnsi="宋体" w:cs="宋体"/>
          <w:highlight w:val="none"/>
        </w:rPr>
      </w:pPr>
      <w:r>
        <w:rPr>
          <w:rFonts w:hint="eastAsia" w:ascii="宋体" w:hAnsi="宋体" w:cs="宋体"/>
          <w:highlight w:val="none"/>
        </w:rPr>
        <w:t>（9）评标委员会认为供应商的报价明显低于其他通过符合性审查供应商的报价，有可能影响产品质量或者不能诚信履约的，供应商不能在规定的时间证明其报价合理性的；</w:t>
      </w:r>
    </w:p>
    <w:p>
      <w:pPr>
        <w:pStyle w:val="145"/>
        <w:spacing w:line="360" w:lineRule="auto"/>
        <w:ind w:firstLine="420"/>
        <w:rPr>
          <w:rFonts w:hint="eastAsia" w:ascii="宋体" w:hAnsi="宋体" w:cs="宋体"/>
          <w:bCs/>
          <w:highlight w:val="none"/>
        </w:rPr>
      </w:pPr>
      <w:r>
        <w:rPr>
          <w:rFonts w:hint="eastAsia" w:ascii="宋体" w:hAnsi="宋体" w:cs="宋体"/>
          <w:highlight w:val="none"/>
          <w:lang w:eastAsia="zh-CN"/>
        </w:rPr>
        <w:t>（</w:t>
      </w:r>
      <w:r>
        <w:rPr>
          <w:rFonts w:hint="eastAsia" w:ascii="宋体" w:hAnsi="宋体" w:cs="宋体"/>
          <w:highlight w:val="none"/>
          <w:lang w:val="en-US" w:eastAsia="zh-CN"/>
        </w:rPr>
        <w:t>10</w:t>
      </w:r>
      <w:r>
        <w:rPr>
          <w:rFonts w:hint="eastAsia" w:ascii="宋体" w:hAnsi="宋体" w:cs="宋体"/>
          <w:highlight w:val="none"/>
          <w:lang w:eastAsia="zh-CN"/>
        </w:rPr>
        <w:t>）</w:t>
      </w:r>
      <w:r>
        <w:rPr>
          <w:rFonts w:hint="eastAsia" w:ascii="宋体" w:hAnsi="宋体" w:cs="宋体"/>
          <w:highlight w:val="none"/>
        </w:rPr>
        <w:t>供应商报价低于项目预算50%的，应当在报价文件中详细阐述不影响产品质量或者诚信履约的具体原因，否则投标无效。</w:t>
      </w:r>
    </w:p>
    <w:p>
      <w:pPr>
        <w:pStyle w:val="145"/>
        <w:spacing w:line="360" w:lineRule="auto"/>
        <w:ind w:firstLine="420"/>
        <w:rPr>
          <w:rFonts w:ascii="宋体" w:hAnsi="宋体" w:cs="宋体"/>
          <w:highlight w:val="none"/>
        </w:rPr>
      </w:pPr>
      <w:r>
        <w:rPr>
          <w:rFonts w:hint="eastAsia" w:ascii="宋体" w:hAnsi="宋体" w:cs="宋体"/>
          <w:bCs/>
          <w:highlight w:val="none"/>
        </w:rPr>
        <w:t>（1</w:t>
      </w:r>
      <w:r>
        <w:rPr>
          <w:rFonts w:hint="eastAsia" w:ascii="宋体" w:hAnsi="宋体" w:cs="宋体"/>
          <w:bCs/>
          <w:highlight w:val="none"/>
          <w:lang w:val="en-US" w:eastAsia="zh-CN"/>
        </w:rPr>
        <w:t>2</w:t>
      </w:r>
      <w:r>
        <w:rPr>
          <w:rFonts w:hint="eastAsia" w:ascii="宋体" w:hAnsi="宋体" w:cs="宋体"/>
          <w:bCs/>
          <w:highlight w:val="none"/>
        </w:rPr>
        <w:t>）</w:t>
      </w:r>
      <w:r>
        <w:rPr>
          <w:rFonts w:hint="eastAsia" w:ascii="宋体" w:hAnsi="宋体" w:cs="宋体"/>
          <w:highlight w:val="none"/>
        </w:rPr>
        <w:t>未实质性响应采购文件中带“▲”条款要求的投标文件；</w:t>
      </w:r>
    </w:p>
    <w:p>
      <w:pPr>
        <w:pStyle w:val="145"/>
        <w:spacing w:line="360" w:lineRule="auto"/>
        <w:ind w:firstLine="420"/>
        <w:rPr>
          <w:rFonts w:ascii="宋体" w:hAnsi="宋体" w:cs="宋体"/>
          <w:highlight w:val="none"/>
        </w:rPr>
      </w:pPr>
      <w:r>
        <w:rPr>
          <w:rFonts w:hint="eastAsia" w:ascii="宋体" w:hAnsi="宋体" w:cs="宋体"/>
          <w:bCs/>
          <w:highlight w:val="none"/>
        </w:rPr>
        <w:t>（1</w:t>
      </w:r>
      <w:r>
        <w:rPr>
          <w:rFonts w:hint="eastAsia" w:ascii="宋体" w:hAnsi="宋体" w:cs="宋体"/>
          <w:bCs/>
          <w:highlight w:val="none"/>
          <w:lang w:val="en-US" w:eastAsia="zh-CN"/>
        </w:rPr>
        <w:t>3</w:t>
      </w:r>
      <w:r>
        <w:rPr>
          <w:rFonts w:hint="eastAsia" w:ascii="宋体" w:hAnsi="宋体" w:cs="宋体"/>
          <w:bCs/>
          <w:highlight w:val="none"/>
        </w:rPr>
        <w:t>）</w:t>
      </w:r>
      <w:r>
        <w:rPr>
          <w:rFonts w:hint="eastAsia" w:ascii="宋体" w:hAnsi="宋体" w:cs="宋体"/>
          <w:highlight w:val="none"/>
        </w:rPr>
        <w:t>投标文件附有采购人不能接受的条款；</w:t>
      </w:r>
    </w:p>
    <w:p>
      <w:pPr>
        <w:pStyle w:val="145"/>
        <w:spacing w:line="360" w:lineRule="auto"/>
        <w:ind w:firstLine="420"/>
        <w:rPr>
          <w:rFonts w:ascii="宋体" w:hAnsi="宋体" w:cs="宋体"/>
          <w:bCs/>
          <w:highlight w:val="none"/>
        </w:rPr>
      </w:pPr>
      <w:r>
        <w:rPr>
          <w:rFonts w:hint="eastAsia" w:ascii="宋体" w:hAnsi="宋体" w:cs="宋体"/>
          <w:bCs/>
          <w:highlight w:val="none"/>
        </w:rPr>
        <w:t>（1</w:t>
      </w:r>
      <w:r>
        <w:rPr>
          <w:rFonts w:hint="eastAsia" w:ascii="宋体" w:hAnsi="宋体" w:cs="宋体"/>
          <w:bCs/>
          <w:highlight w:val="none"/>
          <w:lang w:val="en-US" w:eastAsia="zh-CN"/>
        </w:rPr>
        <w:t>4</w:t>
      </w:r>
      <w:r>
        <w:rPr>
          <w:rFonts w:hint="eastAsia" w:ascii="宋体" w:hAnsi="宋体" w:cs="宋体"/>
          <w:bCs/>
          <w:highlight w:val="none"/>
        </w:rPr>
        <w:t>）违反国家及政府部门相关法律、法规、文件规定的。</w:t>
      </w:r>
    </w:p>
    <w:p>
      <w:pPr>
        <w:snapToGrid w:val="0"/>
        <w:spacing w:line="360" w:lineRule="auto"/>
        <w:ind w:firstLine="422" w:firstLineChars="200"/>
        <w:rPr>
          <w:rFonts w:ascii="宋体" w:hAnsi="宋体" w:cs="宋体"/>
          <w:b/>
          <w:bCs/>
          <w:highlight w:val="none"/>
        </w:rPr>
      </w:pPr>
      <w:r>
        <w:rPr>
          <w:rFonts w:hint="eastAsia" w:ascii="宋体" w:hAnsi="宋体" w:cs="宋体"/>
          <w:b/>
          <w:bCs/>
          <w:highlight w:val="none"/>
        </w:rPr>
        <w:t>3.3 投标文件的澄清、说明或补正</w:t>
      </w:r>
    </w:p>
    <w:p>
      <w:pPr>
        <w:pStyle w:val="145"/>
        <w:spacing w:line="360" w:lineRule="auto"/>
        <w:ind w:firstLine="420"/>
        <w:rPr>
          <w:rFonts w:ascii="宋体" w:hAnsi="宋体" w:cs="宋体"/>
          <w:highlight w:val="none"/>
        </w:rPr>
      </w:pPr>
      <w:r>
        <w:rPr>
          <w:rFonts w:hint="eastAsia" w:ascii="宋体" w:hAnsi="宋体" w:cs="宋体"/>
          <w:highlight w:val="none"/>
        </w:rPr>
        <w:t>3.3.1评标委员会可要求供应商对投标文件中含义不明确、同类问题表述不一致、有明显的文字和计算错误的内容等进行澄清并做出答复。答复须由供应商盖章并作为投标文件的一部分。澄清以通过“政府采购云平台”在线询标的形式进行。要求供应商在规定的时间内作出必要的澄清、说明或者补正，供应商澄清、说明或补正时间为30分钟以内。</w:t>
      </w:r>
    </w:p>
    <w:p>
      <w:pPr>
        <w:pStyle w:val="145"/>
        <w:spacing w:line="360" w:lineRule="auto"/>
        <w:ind w:firstLine="420"/>
        <w:rPr>
          <w:rFonts w:ascii="宋体" w:hAnsi="宋体" w:cs="宋体"/>
          <w:highlight w:val="none"/>
        </w:rPr>
      </w:pPr>
      <w:r>
        <w:rPr>
          <w:rFonts w:hint="eastAsia" w:ascii="宋体" w:hAnsi="宋体" w:cs="宋体"/>
          <w:highlight w:val="none"/>
        </w:rPr>
        <w:t>3.3.2 供应商对投标文件的澄清不得超出投标文件的范围或者改变投标文件的实质性内容。</w:t>
      </w:r>
    </w:p>
    <w:p>
      <w:pPr>
        <w:pStyle w:val="145"/>
        <w:spacing w:line="360" w:lineRule="auto"/>
        <w:ind w:firstLine="420"/>
        <w:rPr>
          <w:rFonts w:ascii="宋体" w:hAnsi="宋体" w:cs="宋体"/>
          <w:highlight w:val="none"/>
        </w:rPr>
      </w:pPr>
      <w:r>
        <w:rPr>
          <w:rFonts w:hint="eastAsia" w:ascii="宋体" w:hAnsi="宋体" w:cs="宋体"/>
          <w:highlight w:val="none"/>
        </w:rPr>
        <w:t>3.3.3上述询标、澄清、说明和补正工作如因客观原因无法通过“政府采购云平台”在线进行的，将采用书面（含邮件）形式进行。</w:t>
      </w:r>
    </w:p>
    <w:p>
      <w:pPr>
        <w:pStyle w:val="145"/>
        <w:spacing w:line="360" w:lineRule="auto"/>
        <w:ind w:firstLine="422"/>
        <w:rPr>
          <w:rFonts w:ascii="宋体" w:hAnsi="宋体" w:cs="宋体"/>
          <w:b/>
          <w:bCs/>
          <w:highlight w:val="none"/>
        </w:rPr>
      </w:pPr>
      <w:r>
        <w:rPr>
          <w:rFonts w:hint="eastAsia" w:ascii="宋体" w:hAnsi="宋体" w:cs="宋体"/>
          <w:b/>
          <w:bCs/>
          <w:highlight w:val="none"/>
        </w:rPr>
        <w:t>3.4投标文件的错误修正</w:t>
      </w:r>
    </w:p>
    <w:p>
      <w:pPr>
        <w:pStyle w:val="145"/>
        <w:spacing w:line="360" w:lineRule="auto"/>
        <w:ind w:firstLine="420"/>
        <w:rPr>
          <w:rFonts w:ascii="宋体" w:hAnsi="宋体" w:cs="宋体"/>
          <w:highlight w:val="none"/>
        </w:rPr>
      </w:pPr>
      <w:r>
        <w:rPr>
          <w:rFonts w:hint="eastAsia" w:ascii="宋体" w:hAnsi="宋体" w:cs="宋体"/>
          <w:highlight w:val="none"/>
        </w:rPr>
        <w:t>3.4.1投标文件报价出现前后不一致的，按照下列规定修正：</w:t>
      </w:r>
    </w:p>
    <w:p>
      <w:pPr>
        <w:pStyle w:val="145"/>
        <w:spacing w:line="360" w:lineRule="auto"/>
        <w:ind w:firstLine="420"/>
        <w:rPr>
          <w:rFonts w:ascii="宋体" w:hAnsi="宋体" w:cs="宋体"/>
          <w:highlight w:val="none"/>
        </w:rPr>
      </w:pPr>
      <w:r>
        <w:rPr>
          <w:rFonts w:hint="eastAsia" w:ascii="宋体" w:hAnsi="宋体" w:cs="宋体"/>
          <w:szCs w:val="21"/>
          <w:highlight w:val="none"/>
        </w:rPr>
        <w:t>（1）</w:t>
      </w:r>
      <w:r>
        <w:rPr>
          <w:rFonts w:hint="eastAsia" w:ascii="宋体" w:hAnsi="宋体" w:cs="宋体"/>
          <w:highlight w:val="none"/>
        </w:rPr>
        <w:t>投标</w:t>
      </w:r>
      <w:r>
        <w:rPr>
          <w:rFonts w:hint="eastAsia" w:ascii="宋体" w:hAnsi="宋体" w:cs="宋体"/>
          <w:szCs w:val="21"/>
          <w:highlight w:val="none"/>
        </w:rPr>
        <w:t>文</w:t>
      </w:r>
      <w:r>
        <w:rPr>
          <w:rFonts w:hint="eastAsia" w:ascii="宋体" w:hAnsi="宋体" w:cs="宋体"/>
          <w:highlight w:val="none"/>
        </w:rPr>
        <w:t>件中开标一览表（报价表）内容与投标文件中相应内容不一致的，以开标一览表（报价表）为准；</w:t>
      </w:r>
    </w:p>
    <w:p>
      <w:pPr>
        <w:pStyle w:val="145"/>
        <w:spacing w:line="360" w:lineRule="auto"/>
        <w:ind w:firstLine="420"/>
        <w:rPr>
          <w:rFonts w:ascii="宋体" w:hAnsi="宋体" w:cs="宋体"/>
          <w:highlight w:val="none"/>
        </w:rPr>
      </w:pPr>
      <w:r>
        <w:rPr>
          <w:rFonts w:hint="eastAsia" w:ascii="宋体" w:hAnsi="宋体" w:cs="宋体"/>
          <w:highlight w:val="none"/>
        </w:rPr>
        <w:t>（2）投标文件的大写金额和小写金额不一致的，以大写金额为准；</w:t>
      </w:r>
    </w:p>
    <w:p>
      <w:pPr>
        <w:pStyle w:val="145"/>
        <w:spacing w:line="360" w:lineRule="auto"/>
        <w:ind w:firstLine="420"/>
        <w:rPr>
          <w:rFonts w:ascii="宋体" w:hAnsi="宋体" w:cs="宋体"/>
          <w:highlight w:val="none"/>
        </w:rPr>
      </w:pPr>
      <w:r>
        <w:rPr>
          <w:rFonts w:hint="eastAsia" w:ascii="宋体" w:hAnsi="宋体" w:cs="宋体"/>
          <w:highlight w:val="none"/>
        </w:rPr>
        <w:t>（3）单价金额小数点或者百分比有明显错位的，以开标一览表的总价为准，并修改单价；</w:t>
      </w:r>
    </w:p>
    <w:p>
      <w:pPr>
        <w:pStyle w:val="145"/>
        <w:spacing w:line="360" w:lineRule="auto"/>
        <w:ind w:firstLine="420"/>
        <w:rPr>
          <w:rFonts w:ascii="宋体" w:hAnsi="宋体" w:cs="宋体"/>
          <w:highlight w:val="none"/>
        </w:rPr>
      </w:pPr>
      <w:r>
        <w:rPr>
          <w:rFonts w:hint="eastAsia" w:ascii="宋体" w:hAnsi="宋体" w:cs="宋体"/>
          <w:highlight w:val="none"/>
        </w:rPr>
        <w:t>（4）总价金额与按单价汇总金额不一致的，以单价金额计算结果为准。</w:t>
      </w:r>
    </w:p>
    <w:p>
      <w:pPr>
        <w:pStyle w:val="145"/>
        <w:spacing w:line="360" w:lineRule="auto"/>
        <w:ind w:firstLine="420"/>
        <w:rPr>
          <w:rFonts w:ascii="宋体" w:hAnsi="宋体" w:cs="宋体"/>
          <w:highlight w:val="none"/>
        </w:rPr>
      </w:pPr>
      <w:r>
        <w:rPr>
          <w:rFonts w:hint="eastAsia" w:ascii="宋体" w:hAnsi="宋体" w:cs="宋体"/>
          <w:highlight w:val="none"/>
        </w:rPr>
        <w:t>同时出现两种以上不一致的，按照前款规定的顺序修正。按前款规定修正时，顺序在后的修正可能引起顺序在前的其他修正的，该项修正不再执行。修正后的报价经供应商确认后产生约束力，供应商不确认的，其投标无效。</w:t>
      </w:r>
    </w:p>
    <w:p>
      <w:pPr>
        <w:pStyle w:val="145"/>
        <w:spacing w:line="360" w:lineRule="auto"/>
        <w:ind w:firstLine="420"/>
        <w:rPr>
          <w:rFonts w:ascii="宋体" w:hAnsi="宋体" w:cs="宋体"/>
          <w:highlight w:val="none"/>
        </w:rPr>
      </w:pPr>
      <w:r>
        <w:rPr>
          <w:rFonts w:hint="eastAsia" w:ascii="宋体" w:hAnsi="宋体" w:cs="宋体"/>
          <w:highlight w:val="none"/>
        </w:rPr>
        <w:t>3.4.2供应商在“政府采购云平台”进行标书关联时单独填报的最终报价与加密的报价文件中所列的投标报价不一致时以加密的报价文件中的金额为准进行修正。</w:t>
      </w:r>
    </w:p>
    <w:p>
      <w:pPr>
        <w:pStyle w:val="145"/>
        <w:spacing w:line="360" w:lineRule="auto"/>
        <w:ind w:firstLine="422"/>
        <w:rPr>
          <w:rFonts w:ascii="宋体" w:hAnsi="宋体" w:cs="宋体"/>
          <w:b/>
          <w:bCs/>
          <w:highlight w:val="none"/>
        </w:rPr>
      </w:pPr>
      <w:r>
        <w:rPr>
          <w:rFonts w:hint="eastAsia" w:ascii="宋体" w:hAnsi="宋体" w:cs="宋体"/>
          <w:b/>
          <w:bCs/>
          <w:highlight w:val="none"/>
        </w:rPr>
        <w:t>3.5 投标文件的评价、评分</w:t>
      </w:r>
    </w:p>
    <w:p>
      <w:pPr>
        <w:pStyle w:val="145"/>
        <w:spacing w:line="360" w:lineRule="auto"/>
        <w:ind w:firstLine="420"/>
        <w:rPr>
          <w:rFonts w:ascii="宋体" w:hAnsi="宋体" w:cs="宋体"/>
          <w:highlight w:val="none"/>
        </w:rPr>
      </w:pPr>
      <w:r>
        <w:rPr>
          <w:rFonts w:hint="eastAsia" w:ascii="宋体" w:hAnsi="宋体" w:cs="宋体"/>
          <w:highlight w:val="none"/>
        </w:rPr>
        <w:t>3.5.1由评审组长牵头，共同确定客观评分项和主观评分项，客观评分项的评分各评审成员分值应当保持一致，主观评分项的评分由各专家根据投标文件情况在评标办法规定细则范围内进行独立评分，评分不得突破评标办法规定的分值范围。</w:t>
      </w:r>
    </w:p>
    <w:p>
      <w:pPr>
        <w:pStyle w:val="145"/>
        <w:spacing w:line="360" w:lineRule="auto"/>
        <w:ind w:firstLine="420"/>
        <w:rPr>
          <w:rFonts w:ascii="宋体" w:hAnsi="宋体" w:cs="宋体"/>
          <w:highlight w:val="none"/>
        </w:rPr>
      </w:pPr>
      <w:r>
        <w:rPr>
          <w:rFonts w:hint="eastAsia" w:ascii="宋体" w:hAnsi="宋体" w:cs="宋体"/>
          <w:highlight w:val="none"/>
        </w:rPr>
        <w:t>3.5.2评审人员应独立评审。评审人员认为需要相关供应商进行陈述、澄清的内容（如条款的响应情况有疑议，或文字、计算明显错误），统一汇总到评审组长。由评审组长整理汇总后，组织相关供应商进行澄清答疑。对可能导致投标无效，或者影响评分的内容，应进行书面澄清。并由评审组长、供应商书面签字确认，如供应商不签字视作默认。</w:t>
      </w:r>
    </w:p>
    <w:p>
      <w:pPr>
        <w:pStyle w:val="145"/>
        <w:spacing w:line="360" w:lineRule="auto"/>
        <w:ind w:firstLine="420"/>
        <w:rPr>
          <w:rFonts w:ascii="宋体" w:hAnsi="宋体" w:cs="宋体"/>
          <w:highlight w:val="none"/>
        </w:rPr>
      </w:pPr>
      <w:r>
        <w:rPr>
          <w:rFonts w:hint="eastAsia" w:ascii="宋体" w:hAnsi="宋体" w:cs="宋体"/>
          <w:highlight w:val="none"/>
        </w:rPr>
        <w:t>3.5.3评审组长在采购组织机构协助下，对评分结果进行校对、汇总。对客观分不一致、分项评分超范围、明显畸高畸低的评分（其总评分偏离平均分30%以上的），评审人员应进行复核改正或书面说明，拒不改正又不作书面说明的，由现场监督员如实记载后存入项目档案资料。</w:t>
      </w:r>
    </w:p>
    <w:p>
      <w:pPr>
        <w:pStyle w:val="145"/>
        <w:spacing w:line="360" w:lineRule="auto"/>
        <w:ind w:firstLine="422"/>
        <w:rPr>
          <w:rFonts w:ascii="宋体" w:hAnsi="宋体" w:cs="宋体"/>
          <w:b/>
          <w:bCs/>
          <w:highlight w:val="none"/>
        </w:rPr>
      </w:pPr>
      <w:r>
        <w:rPr>
          <w:rFonts w:hint="eastAsia" w:ascii="宋体" w:hAnsi="宋体" w:cs="宋体"/>
          <w:b/>
          <w:bCs/>
          <w:highlight w:val="none"/>
        </w:rPr>
        <w:t>3.6 供应商排序及推荐中标候选供应商</w:t>
      </w:r>
    </w:p>
    <w:p>
      <w:pPr>
        <w:pStyle w:val="145"/>
        <w:spacing w:line="360" w:lineRule="auto"/>
        <w:ind w:firstLine="420"/>
        <w:rPr>
          <w:rFonts w:ascii="宋体" w:hAnsi="宋体" w:cs="宋体"/>
          <w:highlight w:val="none"/>
        </w:rPr>
      </w:pPr>
      <w:r>
        <w:rPr>
          <w:rFonts w:hint="eastAsia" w:ascii="宋体" w:hAnsi="宋体" w:cs="宋体"/>
          <w:highlight w:val="none"/>
        </w:rPr>
        <w:t>评标委员会根据以下规定确定供应商排名并推荐中标候选供应商。</w:t>
      </w:r>
    </w:p>
    <w:p>
      <w:pPr>
        <w:pStyle w:val="145"/>
        <w:spacing w:line="360" w:lineRule="auto"/>
        <w:ind w:firstLine="420"/>
        <w:rPr>
          <w:rFonts w:ascii="宋体" w:hAnsi="宋体" w:cs="宋体"/>
          <w:highlight w:val="none"/>
        </w:rPr>
      </w:pPr>
      <w:r>
        <w:rPr>
          <w:rFonts w:hint="eastAsia" w:ascii="宋体" w:hAnsi="宋体" w:cs="宋体"/>
          <w:highlight w:val="none"/>
        </w:rPr>
        <w:t>3.6.1评标委员会根据各供应商的综合得分（商务技术分与报价得分之和）从高到低依次进行排名排序，推荐综合得分第一名的为中标候选人。</w:t>
      </w:r>
    </w:p>
    <w:p>
      <w:pPr>
        <w:pStyle w:val="145"/>
        <w:spacing w:line="360" w:lineRule="auto"/>
        <w:ind w:firstLine="420"/>
        <w:rPr>
          <w:rFonts w:ascii="宋体" w:hAnsi="宋体" w:cs="宋体"/>
          <w:highlight w:val="none"/>
        </w:rPr>
      </w:pPr>
      <w:r>
        <w:rPr>
          <w:rFonts w:hint="eastAsia" w:ascii="宋体" w:hAnsi="宋体" w:cs="宋体"/>
          <w:highlight w:val="none"/>
        </w:rPr>
        <w:t>3.6.2特殊情形按以下原则处理：</w:t>
      </w:r>
    </w:p>
    <w:p>
      <w:pPr>
        <w:pStyle w:val="145"/>
        <w:spacing w:line="360" w:lineRule="auto"/>
        <w:ind w:firstLine="420"/>
        <w:rPr>
          <w:rFonts w:ascii="宋体" w:hAnsi="宋体" w:cs="宋体"/>
          <w:highlight w:val="none"/>
        </w:rPr>
      </w:pPr>
      <w:r>
        <w:rPr>
          <w:rFonts w:hint="eastAsia" w:ascii="宋体" w:hAnsi="宋体" w:cs="宋体"/>
          <w:highlight w:val="none"/>
        </w:rPr>
        <w:t>（1）综合得分相同的，按投标报价低的优先原则确定排名；</w:t>
      </w:r>
    </w:p>
    <w:p>
      <w:pPr>
        <w:pStyle w:val="145"/>
        <w:spacing w:line="360" w:lineRule="auto"/>
        <w:ind w:firstLine="420"/>
        <w:rPr>
          <w:rFonts w:ascii="宋体" w:hAnsi="宋体" w:cs="宋体"/>
          <w:highlight w:val="none"/>
        </w:rPr>
      </w:pPr>
      <w:r>
        <w:rPr>
          <w:rFonts w:hint="eastAsia" w:ascii="宋体" w:hAnsi="宋体" w:cs="宋体"/>
          <w:highlight w:val="none"/>
        </w:rPr>
        <w:t>（2）综合得分和投标报价均相同的，按商务技术得分从高到低确定排名；</w:t>
      </w:r>
    </w:p>
    <w:p>
      <w:pPr>
        <w:pStyle w:val="145"/>
        <w:spacing w:line="360" w:lineRule="auto"/>
        <w:ind w:firstLine="420"/>
        <w:rPr>
          <w:rFonts w:ascii="宋体" w:hAnsi="宋体" w:cs="宋体"/>
          <w:highlight w:val="none"/>
        </w:rPr>
      </w:pPr>
      <w:r>
        <w:rPr>
          <w:rFonts w:hint="eastAsia" w:ascii="宋体" w:hAnsi="宋体" w:cs="宋体"/>
          <w:highlight w:val="none"/>
        </w:rPr>
        <w:t>（3）综合得分、投标报价和商务技术得分均相同的由评标委员会全体成员记名投票按少数服从多数的原则确定排名。</w:t>
      </w:r>
    </w:p>
    <w:p>
      <w:pPr>
        <w:pStyle w:val="145"/>
        <w:spacing w:line="360" w:lineRule="auto"/>
        <w:ind w:firstLine="422"/>
        <w:rPr>
          <w:rFonts w:ascii="宋体" w:hAnsi="宋体" w:cs="宋体"/>
          <w:b/>
          <w:bCs/>
          <w:highlight w:val="none"/>
        </w:rPr>
      </w:pPr>
      <w:r>
        <w:rPr>
          <w:rFonts w:hint="eastAsia" w:ascii="宋体" w:hAnsi="宋体" w:cs="宋体"/>
          <w:b/>
          <w:bCs/>
          <w:highlight w:val="none"/>
        </w:rPr>
        <w:t>3.7 起草、签署评审报告</w:t>
      </w:r>
    </w:p>
    <w:p>
      <w:pPr>
        <w:pStyle w:val="145"/>
        <w:spacing w:line="360" w:lineRule="auto"/>
        <w:ind w:firstLine="420"/>
        <w:rPr>
          <w:rFonts w:ascii="宋体" w:hAnsi="宋体" w:cs="宋体"/>
          <w:highlight w:val="none"/>
        </w:rPr>
      </w:pPr>
      <w:r>
        <w:rPr>
          <w:rFonts w:hint="eastAsia" w:ascii="宋体" w:hAnsi="宋体" w:cs="宋体"/>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145"/>
        <w:spacing w:line="360" w:lineRule="auto"/>
        <w:ind w:firstLine="422"/>
        <w:rPr>
          <w:rFonts w:ascii="宋体" w:hAnsi="宋体" w:cs="宋体"/>
          <w:b/>
          <w:bCs/>
          <w:highlight w:val="none"/>
        </w:rPr>
      </w:pPr>
      <w:r>
        <w:rPr>
          <w:rFonts w:hint="eastAsia" w:ascii="宋体" w:hAnsi="宋体" w:cs="宋体"/>
          <w:b/>
          <w:bCs/>
          <w:highlight w:val="none"/>
        </w:rPr>
        <w:t>3.8 评标结果汇总完成后，除下列情形外，任何人不得修改评标结果：</w:t>
      </w:r>
    </w:p>
    <w:p>
      <w:pPr>
        <w:pStyle w:val="145"/>
        <w:spacing w:line="360" w:lineRule="auto"/>
        <w:ind w:firstLine="420"/>
        <w:rPr>
          <w:rFonts w:ascii="宋体" w:hAnsi="宋体" w:cs="宋体"/>
          <w:highlight w:val="none"/>
        </w:rPr>
      </w:pPr>
      <w:r>
        <w:rPr>
          <w:rFonts w:hint="eastAsia" w:ascii="宋体" w:hAnsi="宋体" w:cs="宋体"/>
          <w:highlight w:val="none"/>
        </w:rPr>
        <w:t>（1）分值汇总计算错误的；</w:t>
      </w:r>
    </w:p>
    <w:p>
      <w:pPr>
        <w:pStyle w:val="145"/>
        <w:spacing w:line="360" w:lineRule="auto"/>
        <w:ind w:firstLine="420"/>
        <w:rPr>
          <w:rFonts w:ascii="宋体" w:hAnsi="宋体" w:cs="宋体"/>
          <w:highlight w:val="none"/>
        </w:rPr>
      </w:pPr>
      <w:r>
        <w:rPr>
          <w:rFonts w:hint="eastAsia" w:ascii="宋体" w:hAnsi="宋体" w:cs="宋体"/>
          <w:highlight w:val="none"/>
        </w:rPr>
        <w:t>（2）分项评分超出评分标准范围的；</w:t>
      </w:r>
    </w:p>
    <w:p>
      <w:pPr>
        <w:pStyle w:val="145"/>
        <w:spacing w:line="360" w:lineRule="auto"/>
        <w:ind w:firstLine="420"/>
        <w:rPr>
          <w:rFonts w:ascii="宋体" w:hAnsi="宋体" w:cs="宋体"/>
          <w:highlight w:val="none"/>
        </w:rPr>
      </w:pPr>
      <w:r>
        <w:rPr>
          <w:rFonts w:hint="eastAsia" w:ascii="宋体" w:hAnsi="宋体" w:cs="宋体"/>
          <w:highlight w:val="none"/>
        </w:rPr>
        <w:t>（3）评标委员会成员对客观评审因素评分不一致的；</w:t>
      </w:r>
    </w:p>
    <w:p>
      <w:pPr>
        <w:pStyle w:val="145"/>
        <w:spacing w:line="360" w:lineRule="auto"/>
        <w:ind w:firstLine="420"/>
        <w:rPr>
          <w:rFonts w:ascii="宋体" w:hAnsi="宋体" w:cs="宋体"/>
          <w:highlight w:val="none"/>
        </w:rPr>
      </w:pPr>
      <w:r>
        <w:rPr>
          <w:rFonts w:hint="eastAsia" w:ascii="宋体" w:hAnsi="宋体" w:cs="宋体"/>
          <w:highlight w:val="none"/>
        </w:rPr>
        <w:t>（4）经评标委员会认定评分畸高、畸低的。</w:t>
      </w:r>
    </w:p>
    <w:p>
      <w:pPr>
        <w:pStyle w:val="145"/>
        <w:spacing w:line="360" w:lineRule="auto"/>
        <w:ind w:firstLine="420"/>
        <w:rPr>
          <w:rFonts w:ascii="宋体" w:hAnsi="宋体" w:cs="宋体"/>
          <w:highlight w:val="none"/>
        </w:rPr>
      </w:pPr>
      <w:r>
        <w:rPr>
          <w:rFonts w:hint="eastAsia" w:ascii="宋体" w:hAnsi="宋体" w:cs="宋体"/>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djustRightInd w:val="0"/>
        <w:snapToGrid w:val="0"/>
        <w:spacing w:line="360" w:lineRule="auto"/>
        <w:ind w:firstLine="422" w:firstLineChars="200"/>
        <w:rPr>
          <w:rFonts w:ascii="宋体" w:hAnsi="宋体" w:cs="宋体"/>
          <w:b/>
          <w:bCs/>
          <w:highlight w:val="none"/>
        </w:rPr>
      </w:pPr>
      <w:r>
        <w:rPr>
          <w:rFonts w:hint="eastAsia" w:ascii="宋体" w:hAnsi="宋体" w:cs="宋体"/>
          <w:b/>
          <w:bCs/>
          <w:highlight w:val="none"/>
        </w:rPr>
        <w:t>四、评标细则</w:t>
      </w:r>
    </w:p>
    <w:p>
      <w:pPr>
        <w:pStyle w:val="145"/>
        <w:spacing w:line="360" w:lineRule="auto"/>
        <w:ind w:firstLine="422"/>
        <w:rPr>
          <w:rFonts w:ascii="宋体" w:hAnsi="宋体" w:cs="宋体"/>
          <w:b/>
          <w:bCs/>
          <w:highlight w:val="none"/>
        </w:rPr>
      </w:pPr>
      <w:r>
        <w:rPr>
          <w:rFonts w:hint="eastAsia" w:ascii="宋体" w:hAnsi="宋体" w:cs="宋体"/>
          <w:b/>
          <w:bCs/>
          <w:highlight w:val="none"/>
        </w:rPr>
        <w:t>4.1 商务技术分（</w:t>
      </w:r>
      <w:r>
        <w:rPr>
          <w:rFonts w:hint="eastAsia" w:ascii="宋体" w:hAnsi="宋体" w:cs="宋体"/>
          <w:b/>
          <w:bCs/>
          <w:highlight w:val="none"/>
          <w:lang w:val="en-US" w:eastAsia="zh-CN"/>
        </w:rPr>
        <w:t>90</w:t>
      </w:r>
      <w:r>
        <w:rPr>
          <w:rFonts w:hint="eastAsia" w:ascii="宋体" w:hAnsi="宋体" w:cs="宋体"/>
          <w:b/>
          <w:bCs/>
          <w:highlight w:val="none"/>
        </w:rPr>
        <w:t>分）</w:t>
      </w:r>
    </w:p>
    <w:p>
      <w:pPr>
        <w:pStyle w:val="145"/>
        <w:spacing w:line="360" w:lineRule="auto"/>
        <w:ind w:firstLine="420"/>
        <w:rPr>
          <w:rFonts w:ascii="宋体" w:hAnsi="宋体" w:cs="宋体"/>
          <w:highlight w:val="none"/>
        </w:rPr>
      </w:pPr>
      <w:r>
        <w:rPr>
          <w:rFonts w:hint="eastAsia" w:ascii="宋体" w:hAnsi="宋体" w:cs="宋体"/>
          <w:highlight w:val="none"/>
        </w:rPr>
        <w:t>4.1.1商务技术分评分细则</w:t>
      </w:r>
    </w:p>
    <w:p>
      <w:pPr>
        <w:pStyle w:val="145"/>
        <w:spacing w:line="360" w:lineRule="auto"/>
        <w:ind w:firstLine="420"/>
        <w:rPr>
          <w:rFonts w:ascii="宋体" w:hAnsi="宋体" w:cs="宋体"/>
          <w:highlight w:val="none"/>
        </w:rPr>
      </w:pPr>
      <w:r>
        <w:rPr>
          <w:rFonts w:hint="eastAsia" w:ascii="宋体" w:hAnsi="宋体" w:cs="宋体"/>
          <w:szCs w:val="21"/>
          <w:highlight w:val="none"/>
        </w:rPr>
        <w:t>该评分分值由评标委员会根据评审情况在分值范围内独立打分（具体分值设定详见表格），小数点后保留一位小数。</w:t>
      </w:r>
      <w:r>
        <w:rPr>
          <w:rFonts w:hint="eastAsia" w:ascii="宋体" w:hAnsi="宋体" w:cs="宋体"/>
          <w:highlight w:val="none"/>
        </w:rPr>
        <w:t>供应商的商务技术最终得分为评标委员会各评委有效评分的算术平均值（计分过程中，四舍五入，保留二位小数）。</w:t>
      </w:r>
    </w:p>
    <w:tbl>
      <w:tblPr>
        <w:tblStyle w:val="56"/>
        <w:tblW w:w="50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
        <w:gridCol w:w="1058"/>
        <w:gridCol w:w="7155"/>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b/>
                <w:bCs/>
                <w:szCs w:val="21"/>
              </w:rPr>
            </w:pPr>
            <w:r>
              <w:rPr>
                <w:rFonts w:hint="eastAsia" w:ascii="宋体" w:hAnsi="宋体" w:cs="宋体"/>
                <w:b/>
                <w:bCs/>
                <w:szCs w:val="21"/>
              </w:rPr>
              <w:t>序号</w:t>
            </w:r>
          </w:p>
        </w:tc>
        <w:tc>
          <w:tcPr>
            <w:tcW w:w="560"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b/>
                <w:bCs/>
                <w:szCs w:val="21"/>
              </w:rPr>
            </w:pPr>
            <w:r>
              <w:rPr>
                <w:rFonts w:hint="eastAsia" w:ascii="宋体" w:hAnsi="宋体" w:cs="宋体"/>
                <w:b/>
                <w:bCs/>
                <w:szCs w:val="21"/>
              </w:rPr>
              <w:t>评审内容</w:t>
            </w:r>
          </w:p>
        </w:tc>
        <w:tc>
          <w:tcPr>
            <w:tcW w:w="3786"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b/>
                <w:bCs/>
                <w:szCs w:val="21"/>
              </w:rPr>
            </w:pPr>
            <w:r>
              <w:rPr>
                <w:rFonts w:hint="eastAsia" w:ascii="宋体" w:hAnsi="宋体" w:cs="宋体"/>
                <w:b/>
                <w:bCs/>
                <w:szCs w:val="21"/>
              </w:rPr>
              <w:t>评分标准</w:t>
            </w:r>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b/>
                <w:bCs/>
                <w:szCs w:val="21"/>
              </w:rPr>
            </w:pPr>
            <w:r>
              <w:rPr>
                <w:rFonts w:hint="eastAsia" w:ascii="宋体" w:hAnsi="宋体" w:cs="宋体"/>
                <w:b/>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98" w:type="pct"/>
            <w:gridSpan w:val="3"/>
            <w:noWrap w:val="0"/>
            <w:vAlign w:val="center"/>
          </w:tcPr>
          <w:p>
            <w:pPr>
              <w:pStyle w:val="44"/>
              <w:keepNext w:val="0"/>
              <w:keepLines w:val="0"/>
              <w:suppressLineNumbers w:val="0"/>
              <w:spacing w:before="0" w:beforeAutospacing="0" w:after="0" w:afterAutospacing="0" w:line="340" w:lineRule="exact"/>
              <w:ind w:left="0" w:right="0" w:firstLine="422"/>
              <w:jc w:val="center"/>
              <w:rPr>
                <w:rFonts w:hint="eastAsia" w:ascii="宋体" w:eastAsia="宋体" w:cs="宋体"/>
                <w:b/>
                <w:color w:val="auto"/>
                <w:sz w:val="21"/>
                <w:szCs w:val="21"/>
                <w:lang w:val="en-US" w:eastAsia="zh-CN"/>
              </w:rPr>
            </w:pPr>
            <w:r>
              <w:rPr>
                <w:rFonts w:hint="eastAsia" w:ascii="宋体" w:eastAsia="宋体" w:cs="宋体"/>
                <w:b/>
                <w:color w:val="auto"/>
                <w:sz w:val="21"/>
                <w:szCs w:val="21"/>
                <w:lang w:val="en-US" w:eastAsia="zh-CN"/>
              </w:rPr>
              <w:t>一、</w:t>
            </w:r>
            <w:r>
              <w:rPr>
                <w:rFonts w:hint="eastAsia" w:ascii="宋体" w:eastAsia="宋体" w:cs="宋体"/>
                <w:b/>
                <w:bCs/>
                <w:color w:val="auto"/>
                <w:sz w:val="21"/>
                <w:szCs w:val="21"/>
                <w:lang w:val="en-US" w:eastAsia="zh-CN"/>
              </w:rPr>
              <w:t>商务资信分</w:t>
            </w:r>
          </w:p>
        </w:tc>
        <w:tc>
          <w:tcPr>
            <w:tcW w:w="401" w:type="pct"/>
            <w:noWrap w:val="0"/>
            <w:vAlign w:val="center"/>
          </w:tcPr>
          <w:p>
            <w:pPr>
              <w:pStyle w:val="44"/>
              <w:keepNext w:val="0"/>
              <w:keepLines w:val="0"/>
              <w:suppressLineNumbers w:val="0"/>
              <w:spacing w:before="0" w:beforeAutospacing="0" w:after="0" w:afterAutospacing="0" w:line="340" w:lineRule="exact"/>
              <w:ind w:left="0" w:right="0" w:firstLine="0" w:firstLineChars="0"/>
              <w:jc w:val="center"/>
              <w:rPr>
                <w:rFonts w:hint="default" w:ascii="宋体" w:eastAsia="宋体" w:cs="宋体"/>
                <w:b/>
                <w:color w:val="auto"/>
                <w:sz w:val="21"/>
                <w:szCs w:val="21"/>
                <w:lang w:val="en-US" w:eastAsia="zh-CN"/>
              </w:rPr>
            </w:pPr>
            <w:r>
              <w:rPr>
                <w:rFonts w:hint="eastAsia" w:ascii="宋体" w:eastAsia="宋体" w:cs="宋体"/>
                <w:b/>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50" w:type="pct"/>
            <w:noWrap w:val="0"/>
            <w:vAlign w:val="center"/>
          </w:tcPr>
          <w:p>
            <w:pPr>
              <w:keepNext w:val="0"/>
              <w:keepLines w:val="0"/>
              <w:widowControl/>
              <w:suppressLineNumbers w:val="0"/>
              <w:spacing w:before="0" w:beforeAutospacing="0" w:after="0" w:afterAutospacing="0" w:line="340" w:lineRule="exact"/>
              <w:ind w:left="0" w:right="0"/>
              <w:jc w:val="center"/>
              <w:rPr>
                <w:rFonts w:hint="eastAsia" w:ascii="宋体" w:hAnsi="宋体" w:cs="宋体"/>
                <w:b/>
                <w:szCs w:val="21"/>
              </w:rPr>
            </w:pPr>
            <w:r>
              <w:rPr>
                <w:rFonts w:hint="eastAsia" w:ascii="宋体" w:hAnsi="宋体" w:cs="宋体"/>
                <w:b/>
                <w:szCs w:val="21"/>
              </w:rPr>
              <w:t>1</w:t>
            </w:r>
          </w:p>
        </w:tc>
        <w:tc>
          <w:tcPr>
            <w:tcW w:w="560" w:type="pct"/>
            <w:noWrap w:val="0"/>
            <w:vAlign w:val="center"/>
          </w:tcPr>
          <w:p>
            <w:pPr>
              <w:keepNext w:val="0"/>
              <w:keepLines w:val="0"/>
              <w:suppressLineNumbers w:val="0"/>
              <w:snapToGrid w:val="0"/>
              <w:spacing w:before="0" w:beforeAutospacing="0" w:after="0" w:afterAutospacing="0" w:line="340" w:lineRule="exact"/>
              <w:ind w:left="0" w:right="0"/>
              <w:jc w:val="center"/>
              <w:rPr>
                <w:rFonts w:hint="eastAsia" w:ascii="宋体" w:hAnsi="宋体" w:cs="宋体"/>
                <w:b/>
                <w:szCs w:val="21"/>
                <w:shd w:val="clear" w:color="000000" w:fill="FFFFFF"/>
              </w:rPr>
            </w:pPr>
            <w:r>
              <w:rPr>
                <w:rFonts w:hint="eastAsia" w:ascii="宋体" w:hAnsi="宋体" w:cs="宋体"/>
                <w:b/>
                <w:szCs w:val="21"/>
                <w:shd w:val="clear" w:color="000000" w:fill="FFFFFF"/>
              </w:rPr>
              <w:t>认证证书</w:t>
            </w:r>
          </w:p>
        </w:tc>
        <w:tc>
          <w:tcPr>
            <w:tcW w:w="3786" w:type="pct"/>
            <w:noWrap w:val="0"/>
            <w:vAlign w:val="center"/>
          </w:tcPr>
          <w:p>
            <w:pPr>
              <w:keepNext w:val="0"/>
              <w:keepLines w:val="0"/>
              <w:suppressLineNumbers w:val="0"/>
              <w:spacing w:before="0" w:beforeAutospacing="0" w:after="0" w:afterAutospacing="0" w:line="340" w:lineRule="exact"/>
              <w:ind w:left="0" w:right="0"/>
              <w:rPr>
                <w:rFonts w:hint="eastAsia" w:ascii="宋体" w:hAnsi="宋体" w:cs="宋体"/>
                <w:b/>
                <w:bCs/>
                <w:szCs w:val="21"/>
              </w:rPr>
            </w:pPr>
            <w:r>
              <w:rPr>
                <w:rFonts w:hint="eastAsia" w:ascii="宋体" w:hAnsi="宋体" w:cs="宋体"/>
                <w:szCs w:val="21"/>
              </w:rPr>
              <w:t>供应商具有有效的质量管理体系认证证书、环境管理体系认证证书、职业健康安全管理体系认证证书的，每个得1分，最高3分。【备注：提供相关认证证书复印件加盖公章，以上证书须由通过中国国家认证认可监督管理委员会备案通过的认证机构颁发，在全国认证认可信息公共服务平台的网页上可查询。】</w:t>
            </w:r>
          </w:p>
        </w:tc>
        <w:tc>
          <w:tcPr>
            <w:tcW w:w="401" w:type="pct"/>
            <w:noWrap w:val="0"/>
            <w:vAlign w:val="center"/>
          </w:tcPr>
          <w:p>
            <w:pPr>
              <w:keepNext w:val="0"/>
              <w:keepLines w:val="0"/>
              <w:suppressLineNumbers w:val="0"/>
              <w:spacing w:before="0" w:beforeAutospacing="0" w:after="0" w:afterAutospacing="0"/>
              <w:ind w:left="0" w:right="0"/>
              <w:jc w:val="center"/>
              <w:rPr>
                <w:rFonts w:hint="eastAsia" w:ascii="宋体" w:hAnsi="宋体" w:cs="宋体"/>
                <w:bCs/>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50" w:type="pct"/>
            <w:noWrap w:val="0"/>
            <w:vAlign w:val="center"/>
          </w:tcPr>
          <w:p>
            <w:pPr>
              <w:keepNext w:val="0"/>
              <w:keepLines w:val="0"/>
              <w:suppressLineNumbers w:val="0"/>
              <w:snapToGrid w:val="0"/>
              <w:spacing w:before="0" w:beforeAutospacing="0" w:after="0" w:afterAutospacing="0" w:line="340" w:lineRule="exact"/>
              <w:ind w:left="0" w:right="0"/>
              <w:jc w:val="center"/>
              <w:rPr>
                <w:rFonts w:hint="eastAsia" w:ascii="宋体" w:hAnsi="宋体" w:cs="宋体"/>
                <w:b/>
                <w:szCs w:val="21"/>
              </w:rPr>
            </w:pPr>
            <w:r>
              <w:rPr>
                <w:rFonts w:hint="eastAsia" w:ascii="宋体" w:hAnsi="宋体" w:cs="宋体"/>
                <w:b/>
                <w:szCs w:val="21"/>
              </w:rPr>
              <w:t>2</w:t>
            </w:r>
          </w:p>
        </w:tc>
        <w:tc>
          <w:tcPr>
            <w:tcW w:w="560" w:type="pct"/>
            <w:noWrap w:val="0"/>
            <w:vAlign w:val="center"/>
          </w:tcPr>
          <w:p>
            <w:pPr>
              <w:pStyle w:val="44"/>
              <w:keepNext w:val="0"/>
              <w:keepLines w:val="0"/>
              <w:suppressLineNumbers w:val="0"/>
              <w:spacing w:before="0" w:beforeAutospacing="0" w:after="0" w:afterAutospacing="0" w:line="340" w:lineRule="exact"/>
              <w:ind w:left="0" w:right="0" w:firstLine="0" w:firstLineChars="0"/>
              <w:rPr>
                <w:rFonts w:hint="eastAsia" w:ascii="宋体" w:eastAsia="宋体" w:cs="宋体"/>
                <w:b/>
                <w:color w:val="auto"/>
                <w:sz w:val="21"/>
                <w:szCs w:val="21"/>
                <w:lang w:val="en-US" w:eastAsia="zh-CN"/>
              </w:rPr>
            </w:pPr>
            <w:r>
              <w:rPr>
                <w:rFonts w:hint="eastAsia" w:ascii="宋体" w:eastAsia="宋体" w:cs="宋体"/>
                <w:b/>
                <w:color w:val="auto"/>
                <w:sz w:val="21"/>
                <w:szCs w:val="21"/>
                <w:lang w:val="en-US" w:eastAsia="zh-CN"/>
              </w:rPr>
              <w:t>企业类似项目业绩</w:t>
            </w:r>
          </w:p>
        </w:tc>
        <w:tc>
          <w:tcPr>
            <w:tcW w:w="3786" w:type="pct"/>
            <w:noWrap w:val="0"/>
            <w:vAlign w:val="center"/>
          </w:tcPr>
          <w:p>
            <w:pPr>
              <w:keepNext w:val="0"/>
              <w:keepLines w:val="0"/>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before="0" w:beforeAutospacing="0" w:after="0" w:afterAutospacing="0"/>
              <w:ind w:left="0" w:right="0"/>
              <w:rPr>
                <w:rFonts w:hint="default" w:ascii="宋体" w:hAnsi="宋体" w:eastAsia="宋体" w:cs="宋体"/>
                <w:b/>
                <w:bCs/>
                <w:szCs w:val="21"/>
                <w:lang w:val="en-US" w:eastAsia="zh-CN"/>
              </w:rPr>
            </w:pPr>
            <w:r>
              <w:rPr>
                <w:rFonts w:hint="eastAsia" w:ascii="宋体" w:hAnsi="宋体" w:cs="宋体"/>
                <w:szCs w:val="21"/>
                <w:lang w:val="zh-CN"/>
              </w:rPr>
              <w:t>供应商具有自202</w:t>
            </w:r>
            <w:r>
              <w:rPr>
                <w:rFonts w:hint="eastAsia" w:ascii="宋体" w:hAnsi="宋体" w:cs="宋体"/>
                <w:szCs w:val="21"/>
              </w:rPr>
              <w:t>1</w:t>
            </w:r>
            <w:r>
              <w:rPr>
                <w:rFonts w:hint="eastAsia" w:ascii="宋体" w:hAnsi="宋体" w:cs="宋体"/>
                <w:szCs w:val="21"/>
                <w:lang w:val="zh-CN"/>
              </w:rPr>
              <w:t>年</w:t>
            </w:r>
            <w:r>
              <w:rPr>
                <w:rFonts w:hint="eastAsia" w:ascii="宋体" w:hAnsi="宋体" w:cs="宋体"/>
                <w:szCs w:val="21"/>
              </w:rPr>
              <w:t>4</w:t>
            </w:r>
            <w:r>
              <w:rPr>
                <w:rFonts w:hint="eastAsia" w:ascii="宋体" w:hAnsi="宋体" w:cs="宋体"/>
                <w:szCs w:val="21"/>
                <w:lang w:val="zh-CN"/>
              </w:rPr>
              <w:t>月1日至投标截止日（以</w:t>
            </w:r>
            <w:r>
              <w:rPr>
                <w:rFonts w:hint="eastAsia" w:ascii="宋体" w:hAnsi="宋体" w:cs="宋体"/>
                <w:b/>
                <w:bCs/>
                <w:szCs w:val="21"/>
                <w:lang w:val="zh-CN"/>
              </w:rPr>
              <w:t>竣工验收记录（或竣工验收证书）</w:t>
            </w:r>
            <w:r>
              <w:rPr>
                <w:rFonts w:hint="eastAsia" w:ascii="宋体" w:hAnsi="宋体" w:cs="宋体"/>
                <w:szCs w:val="21"/>
                <w:lang w:val="zh-CN"/>
              </w:rPr>
              <w:t>签署日期为准）完成过类似的监理业绩，每个得</w:t>
            </w:r>
            <w:r>
              <w:rPr>
                <w:rFonts w:hint="eastAsia" w:ascii="宋体" w:hAnsi="宋体" w:cs="宋体"/>
                <w:szCs w:val="21"/>
              </w:rPr>
              <w:t>0.5</w:t>
            </w:r>
            <w:r>
              <w:rPr>
                <w:rFonts w:hint="eastAsia" w:ascii="宋体" w:hAnsi="宋体" w:cs="宋体"/>
                <w:szCs w:val="21"/>
                <w:lang w:val="zh-CN"/>
              </w:rPr>
              <w:t>分，最多得</w:t>
            </w:r>
            <w:r>
              <w:rPr>
                <w:rFonts w:hint="eastAsia" w:ascii="宋体" w:hAnsi="宋体" w:cs="宋体"/>
                <w:szCs w:val="21"/>
              </w:rPr>
              <w:t>1</w:t>
            </w:r>
            <w:r>
              <w:rPr>
                <w:rFonts w:hint="eastAsia" w:ascii="宋体" w:hAnsi="宋体" w:cs="宋体"/>
                <w:szCs w:val="21"/>
                <w:lang w:val="zh-CN"/>
              </w:rPr>
              <w:t>分。</w:t>
            </w:r>
            <w:r>
              <w:rPr>
                <w:rFonts w:hint="eastAsia" w:ascii="宋体" w:hAnsi="宋体" w:cs="宋体"/>
                <w:b/>
                <w:bCs/>
                <w:szCs w:val="21"/>
                <w:lang w:val="zh-CN"/>
              </w:rPr>
              <w:t>注：业绩证明材料</w:t>
            </w:r>
            <w:r>
              <w:rPr>
                <w:rFonts w:hint="eastAsia" w:ascii="宋体" w:hAnsi="宋体" w:cs="宋体"/>
                <w:b/>
                <w:bCs/>
                <w:szCs w:val="21"/>
                <w:lang w:val="en-US" w:eastAsia="zh-CN"/>
              </w:rPr>
              <w:t>须包含</w:t>
            </w:r>
            <w:r>
              <w:rPr>
                <w:rFonts w:hint="eastAsia" w:ascii="宋体" w:hAnsi="宋体" w:cs="宋体"/>
                <w:b/>
                <w:bCs/>
                <w:szCs w:val="21"/>
                <w:lang w:val="zh-CN"/>
              </w:rPr>
              <w:t>：</w:t>
            </w:r>
            <w:r>
              <w:rPr>
                <w:rFonts w:hint="eastAsia" w:ascii="宋体" w:hAnsi="宋体" w:cs="宋体"/>
                <w:b/>
                <w:bCs/>
                <w:szCs w:val="21"/>
              </w:rPr>
              <w:t>1.</w:t>
            </w:r>
            <w:r>
              <w:rPr>
                <w:rFonts w:hint="eastAsia" w:ascii="宋体" w:hAnsi="宋体" w:cs="宋体"/>
                <w:b/>
                <w:bCs/>
                <w:szCs w:val="21"/>
                <w:lang w:val="zh-CN"/>
              </w:rPr>
              <w:t>合同（只需提供首页、清晰表明项目内容的页以及盖章页）；</w:t>
            </w:r>
            <w:r>
              <w:rPr>
                <w:rFonts w:hint="eastAsia" w:ascii="宋体" w:hAnsi="宋体" w:cs="宋体"/>
                <w:b/>
                <w:bCs/>
                <w:szCs w:val="21"/>
              </w:rPr>
              <w:t>2.提供</w:t>
            </w:r>
            <w:r>
              <w:rPr>
                <w:rFonts w:hint="eastAsia" w:ascii="宋体" w:hAnsi="宋体" w:cs="宋体"/>
                <w:b/>
                <w:bCs/>
                <w:szCs w:val="21"/>
                <w:lang w:val="zh-CN"/>
              </w:rPr>
              <w:t>竣工验收记录（或竣工验收证书）否则不得分。</w:t>
            </w:r>
            <w:r>
              <w:rPr>
                <w:rFonts w:hint="eastAsia" w:ascii="宋体" w:hAnsi="宋体" w:cs="宋体"/>
                <w:b/>
                <w:bCs/>
                <w:szCs w:val="21"/>
                <w:lang w:val="en-US" w:eastAsia="zh-CN"/>
              </w:rPr>
              <w:t>未提供或提供不全的不得分。</w:t>
            </w:r>
          </w:p>
        </w:tc>
        <w:tc>
          <w:tcPr>
            <w:tcW w:w="401" w:type="pct"/>
            <w:noWrap w:val="0"/>
            <w:vAlign w:val="center"/>
          </w:tcPr>
          <w:p>
            <w:pPr>
              <w:pStyle w:val="44"/>
              <w:keepNext w:val="0"/>
              <w:keepLines w:val="0"/>
              <w:suppressLineNumbers w:val="0"/>
              <w:spacing w:before="0" w:beforeAutospacing="0" w:after="0" w:afterAutospacing="0" w:line="340" w:lineRule="exact"/>
              <w:ind w:left="0" w:right="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bCs/>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250" w:type="pct"/>
            <w:vMerge w:val="restart"/>
            <w:noWrap w:val="0"/>
            <w:vAlign w:val="center"/>
          </w:tcPr>
          <w:p>
            <w:pPr>
              <w:keepNext w:val="0"/>
              <w:keepLines w:val="0"/>
              <w:suppressLineNumbers w:val="0"/>
              <w:snapToGrid w:val="0"/>
              <w:spacing w:before="0" w:beforeAutospacing="0" w:after="0" w:afterAutospacing="0" w:line="340" w:lineRule="exact"/>
              <w:ind w:left="0" w:right="0"/>
              <w:jc w:val="center"/>
              <w:rPr>
                <w:rFonts w:hint="eastAsia" w:ascii="宋体" w:hAnsi="宋体" w:cs="宋体"/>
                <w:b/>
                <w:szCs w:val="21"/>
              </w:rPr>
            </w:pPr>
            <w:r>
              <w:rPr>
                <w:rFonts w:hint="eastAsia" w:ascii="宋体" w:hAnsi="宋体" w:cs="宋体"/>
                <w:b/>
                <w:szCs w:val="21"/>
              </w:rPr>
              <w:t>3</w:t>
            </w:r>
          </w:p>
        </w:tc>
        <w:tc>
          <w:tcPr>
            <w:tcW w:w="560" w:type="pct"/>
            <w:vMerge w:val="restart"/>
            <w:noWrap w:val="0"/>
            <w:vAlign w:val="center"/>
          </w:tcPr>
          <w:p>
            <w:pPr>
              <w:pStyle w:val="44"/>
              <w:keepNext w:val="0"/>
              <w:keepLines w:val="0"/>
              <w:suppressLineNumbers w:val="0"/>
              <w:spacing w:before="0" w:beforeAutospacing="0" w:after="0" w:afterAutospacing="0" w:line="340" w:lineRule="exact"/>
              <w:ind w:left="0" w:right="0" w:firstLine="0" w:firstLineChars="0"/>
              <w:rPr>
                <w:rFonts w:hint="eastAsia" w:ascii="宋体" w:eastAsia="宋体" w:cs="宋体"/>
                <w:b/>
                <w:color w:val="auto"/>
                <w:sz w:val="21"/>
                <w:szCs w:val="21"/>
                <w:shd w:val="clear" w:color="000000" w:fill="FFFFFF"/>
                <w:lang w:val="en-US" w:eastAsia="zh-CN"/>
              </w:rPr>
            </w:pPr>
            <w:r>
              <w:rPr>
                <w:rFonts w:hint="eastAsia" w:ascii="宋体" w:eastAsia="宋体" w:cs="宋体"/>
                <w:b/>
                <w:color w:val="auto"/>
                <w:sz w:val="21"/>
                <w:szCs w:val="21"/>
                <w:lang w:val="en-US" w:eastAsia="zh-CN"/>
              </w:rPr>
              <w:t>项目团队实力</w:t>
            </w:r>
          </w:p>
        </w:tc>
        <w:tc>
          <w:tcPr>
            <w:tcW w:w="3786" w:type="pct"/>
            <w:noWrap w:val="0"/>
            <w:vAlign w:val="center"/>
          </w:tcPr>
          <w:p>
            <w:pPr>
              <w:keepNext w:val="0"/>
              <w:keepLines w:val="0"/>
              <w:widowControl/>
              <w:suppressLineNumbers w:val="0"/>
              <w:spacing w:before="0" w:beforeAutospacing="0" w:after="0" w:afterAutospacing="0" w:line="340" w:lineRule="exact"/>
              <w:ind w:left="0" w:right="0"/>
              <w:rPr>
                <w:rFonts w:hint="eastAsia" w:ascii="宋体" w:hAnsi="宋体" w:cs="宋体"/>
                <w:bCs/>
                <w:szCs w:val="21"/>
                <w:lang w:val="zh-CN"/>
              </w:rPr>
            </w:pPr>
            <w:r>
              <w:rPr>
                <w:rFonts w:hint="eastAsia" w:ascii="宋体" w:hAnsi="宋体" w:cs="宋体"/>
                <w:bCs/>
                <w:szCs w:val="21"/>
                <w:lang w:val="zh-CN"/>
              </w:rPr>
              <w:t>拟派总监理工程师具有</w:t>
            </w:r>
            <w:r>
              <w:rPr>
                <w:rFonts w:hint="eastAsia" w:ascii="宋体" w:hAnsi="宋体" w:cs="宋体"/>
                <w:bCs/>
                <w:szCs w:val="21"/>
              </w:rPr>
              <w:t>建筑工程行业</w:t>
            </w:r>
            <w:r>
              <w:rPr>
                <w:rFonts w:hint="eastAsia" w:ascii="宋体" w:hAnsi="宋体" w:cs="宋体"/>
                <w:bCs/>
                <w:szCs w:val="21"/>
                <w:lang w:val="zh-CN"/>
              </w:rPr>
              <w:t>相关专业</w:t>
            </w:r>
            <w:r>
              <w:rPr>
                <w:rFonts w:hint="eastAsia" w:ascii="宋体" w:hAnsi="宋体" w:cs="宋体"/>
                <w:bCs/>
                <w:szCs w:val="21"/>
              </w:rPr>
              <w:t>中级职称的得</w:t>
            </w:r>
            <w:r>
              <w:rPr>
                <w:rFonts w:hint="eastAsia" w:ascii="宋体" w:hAnsi="宋体" w:cs="宋体"/>
                <w:bCs/>
                <w:szCs w:val="21"/>
                <w:lang w:val="en-US" w:eastAsia="zh-CN"/>
              </w:rPr>
              <w:t>1</w:t>
            </w:r>
            <w:r>
              <w:rPr>
                <w:rFonts w:hint="eastAsia" w:ascii="宋体" w:hAnsi="宋体" w:cs="宋体"/>
                <w:bCs/>
                <w:szCs w:val="21"/>
              </w:rPr>
              <w:t>分，</w:t>
            </w:r>
            <w:r>
              <w:rPr>
                <w:rFonts w:hint="eastAsia" w:ascii="宋体" w:hAnsi="宋体" w:cs="宋体"/>
                <w:bCs/>
                <w:szCs w:val="21"/>
                <w:lang w:val="zh-CN"/>
              </w:rPr>
              <w:t>高级</w:t>
            </w:r>
            <w:r>
              <w:rPr>
                <w:rFonts w:hint="eastAsia" w:ascii="宋体" w:hAnsi="宋体" w:cs="宋体"/>
                <w:bCs/>
                <w:szCs w:val="21"/>
              </w:rPr>
              <w:t>及以上</w:t>
            </w:r>
            <w:r>
              <w:rPr>
                <w:rFonts w:hint="eastAsia" w:ascii="宋体" w:hAnsi="宋体" w:cs="宋体"/>
                <w:bCs/>
                <w:szCs w:val="21"/>
                <w:lang w:val="zh-CN"/>
              </w:rPr>
              <w:t>技术职称的，得</w:t>
            </w:r>
            <w:r>
              <w:rPr>
                <w:rFonts w:hint="eastAsia" w:ascii="宋体" w:hAnsi="宋体" w:cs="宋体"/>
                <w:bCs/>
                <w:szCs w:val="21"/>
                <w:lang w:val="en-US" w:eastAsia="zh-CN"/>
              </w:rPr>
              <w:t>2</w:t>
            </w:r>
            <w:r>
              <w:rPr>
                <w:rFonts w:hint="eastAsia" w:ascii="宋体" w:hAnsi="宋体" w:cs="宋体"/>
                <w:bCs/>
                <w:szCs w:val="21"/>
                <w:lang w:val="zh-CN"/>
              </w:rPr>
              <w:t>分。</w:t>
            </w:r>
          </w:p>
          <w:p>
            <w:pPr>
              <w:pStyle w:val="42"/>
              <w:keepNext w:val="0"/>
              <w:keepLines w:val="0"/>
              <w:suppressLineNumbers w:val="0"/>
              <w:spacing w:before="0" w:beforeAutospacing="0" w:after="0" w:afterAutospacing="0" w:line="340" w:lineRule="exact"/>
              <w:ind w:left="0" w:right="0"/>
              <w:rPr>
                <w:rFonts w:hint="eastAsia" w:ascii="宋体" w:hAnsi="宋体" w:cs="宋体"/>
                <w:sz w:val="21"/>
                <w:szCs w:val="21"/>
              </w:rPr>
            </w:pPr>
            <w:r>
              <w:rPr>
                <w:rFonts w:hint="eastAsia" w:ascii="宋体" w:hAnsi="宋体" w:cs="宋体"/>
                <w:b/>
                <w:bCs/>
                <w:sz w:val="21"/>
                <w:szCs w:val="21"/>
              </w:rPr>
              <w:t>注：须提供人员相关证书复印件以及供应商为其缴纳的近三个月内任意一个月的社保证明（社保缴纳证明以社保机构出具的社保证明为准），未提供或提供不全的不得分。</w:t>
            </w:r>
          </w:p>
        </w:tc>
        <w:tc>
          <w:tcPr>
            <w:tcW w:w="401" w:type="pct"/>
            <w:noWrap w:val="0"/>
            <w:vAlign w:val="center"/>
          </w:tcPr>
          <w:p>
            <w:pPr>
              <w:pStyle w:val="44"/>
              <w:keepNext w:val="0"/>
              <w:keepLines w:val="0"/>
              <w:suppressLineNumbers w:val="0"/>
              <w:spacing w:before="0" w:beforeAutospacing="0" w:after="0" w:afterAutospacing="0" w:line="340" w:lineRule="exact"/>
              <w:ind w:left="0" w:right="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jc w:val="center"/>
        </w:trPr>
        <w:tc>
          <w:tcPr>
            <w:tcW w:w="250" w:type="pct"/>
            <w:vMerge w:val="continue"/>
            <w:noWrap w:val="0"/>
            <w:vAlign w:val="center"/>
          </w:tcPr>
          <w:p>
            <w:pPr>
              <w:keepNext w:val="0"/>
              <w:keepLines w:val="0"/>
              <w:suppressLineNumbers w:val="0"/>
              <w:snapToGrid w:val="0"/>
              <w:spacing w:before="0" w:beforeAutospacing="0" w:after="0" w:afterAutospacing="0" w:line="340" w:lineRule="exact"/>
              <w:ind w:left="0" w:right="0"/>
              <w:jc w:val="center"/>
              <w:rPr>
                <w:rFonts w:hint="default" w:ascii="宋体" w:hAnsi="宋体" w:cs="宋体"/>
                <w:b/>
                <w:szCs w:val="21"/>
              </w:rPr>
            </w:pPr>
          </w:p>
        </w:tc>
        <w:tc>
          <w:tcPr>
            <w:tcW w:w="560" w:type="pct"/>
            <w:vMerge w:val="continue"/>
            <w:noWrap w:val="0"/>
            <w:vAlign w:val="center"/>
          </w:tcPr>
          <w:p>
            <w:pPr>
              <w:pStyle w:val="44"/>
              <w:keepNext w:val="0"/>
              <w:keepLines w:val="0"/>
              <w:suppressLineNumbers w:val="0"/>
              <w:spacing w:before="0" w:beforeAutospacing="0" w:after="0" w:afterAutospacing="0" w:line="336" w:lineRule="auto"/>
              <w:ind w:left="0" w:right="0" w:firstLine="422"/>
              <w:jc w:val="center"/>
              <w:rPr>
                <w:rFonts w:hint="eastAsia" w:ascii="宋体" w:eastAsia="宋体" w:cs="宋体"/>
                <w:b/>
                <w:color w:val="auto"/>
                <w:sz w:val="21"/>
                <w:szCs w:val="21"/>
                <w:lang w:val="en-US" w:eastAsia="zh-CN"/>
              </w:rPr>
            </w:pPr>
          </w:p>
        </w:tc>
        <w:tc>
          <w:tcPr>
            <w:tcW w:w="3786" w:type="pct"/>
            <w:noWrap w:val="0"/>
            <w:vAlign w:val="center"/>
          </w:tcPr>
          <w:p>
            <w:pPr>
              <w:pStyle w:val="42"/>
              <w:keepNext w:val="0"/>
              <w:keepLines w:val="0"/>
              <w:suppressLineNumbers w:val="0"/>
              <w:spacing w:before="0" w:beforeAutospacing="0" w:after="0" w:afterAutospacing="0" w:line="340" w:lineRule="exact"/>
              <w:ind w:left="0" w:right="0"/>
              <w:rPr>
                <w:rFonts w:hint="eastAsia" w:ascii="宋体" w:hAnsi="宋体" w:cs="宋体"/>
                <w:bCs/>
                <w:sz w:val="21"/>
                <w:szCs w:val="21"/>
              </w:rPr>
            </w:pPr>
            <w:r>
              <w:rPr>
                <w:rFonts w:hint="eastAsia" w:ascii="宋体" w:hAnsi="宋体" w:cs="宋体"/>
                <w:bCs/>
                <w:sz w:val="21"/>
                <w:szCs w:val="21"/>
              </w:rPr>
              <w:t>拟派项目监理机构人员配备（总监理工程师除外）：具有中级及以上工程师职称（建筑工程行业），</w:t>
            </w:r>
            <w:r>
              <w:rPr>
                <w:rFonts w:hint="eastAsia" w:ascii="宋体" w:hAnsi="宋体" w:cs="宋体"/>
                <w:bCs/>
                <w:sz w:val="21"/>
                <w:szCs w:val="21"/>
                <w:lang w:val="en-US" w:eastAsia="zh-CN"/>
              </w:rPr>
              <w:t>每个</w:t>
            </w:r>
            <w:r>
              <w:rPr>
                <w:rFonts w:hint="eastAsia" w:ascii="宋体" w:hAnsi="宋体" w:cs="宋体"/>
                <w:bCs/>
                <w:sz w:val="21"/>
                <w:szCs w:val="21"/>
              </w:rPr>
              <w:t>得</w:t>
            </w:r>
            <w:r>
              <w:rPr>
                <w:rFonts w:hint="eastAsia" w:ascii="宋体" w:hAnsi="宋体" w:cs="宋体"/>
                <w:bCs/>
                <w:sz w:val="21"/>
                <w:szCs w:val="21"/>
                <w:lang w:val="en-US" w:eastAsia="zh-CN"/>
              </w:rPr>
              <w:t>2</w:t>
            </w:r>
            <w:r>
              <w:rPr>
                <w:rFonts w:hint="eastAsia" w:ascii="宋体" w:hAnsi="宋体" w:cs="宋体"/>
                <w:bCs/>
                <w:sz w:val="21"/>
                <w:szCs w:val="21"/>
              </w:rPr>
              <w:t>分，同一人不重复计分，最高得</w:t>
            </w:r>
            <w:r>
              <w:rPr>
                <w:rFonts w:hint="eastAsia" w:ascii="宋体" w:hAnsi="宋体" w:cs="宋体"/>
                <w:bCs/>
                <w:sz w:val="21"/>
                <w:szCs w:val="21"/>
                <w:lang w:val="en-US" w:eastAsia="zh-CN"/>
              </w:rPr>
              <w:t>4</w:t>
            </w:r>
            <w:r>
              <w:rPr>
                <w:rFonts w:hint="eastAsia" w:ascii="宋体" w:hAnsi="宋体" w:cs="宋体"/>
                <w:bCs/>
                <w:sz w:val="21"/>
                <w:szCs w:val="21"/>
              </w:rPr>
              <w:t>分。</w:t>
            </w:r>
          </w:p>
          <w:p>
            <w:pPr>
              <w:pStyle w:val="42"/>
              <w:keepNext w:val="0"/>
              <w:keepLines w:val="0"/>
              <w:suppressLineNumbers w:val="0"/>
              <w:spacing w:before="0" w:beforeAutospacing="0" w:after="0" w:afterAutospacing="0" w:line="340" w:lineRule="exact"/>
              <w:ind w:left="0" w:right="0"/>
              <w:rPr>
                <w:rFonts w:hint="eastAsia" w:ascii="宋体" w:hAnsi="宋体" w:cs="宋体"/>
                <w:sz w:val="21"/>
                <w:szCs w:val="21"/>
              </w:rPr>
            </w:pPr>
            <w:r>
              <w:rPr>
                <w:rFonts w:hint="eastAsia" w:ascii="宋体" w:hAnsi="宋体" w:cs="宋体"/>
                <w:b/>
                <w:bCs/>
                <w:sz w:val="21"/>
                <w:szCs w:val="21"/>
              </w:rPr>
              <w:t>注：须提供人员相关证书复印件以及供应商为其缴纳的近三个月内任意一个月的社保证明（社保缴纳证明以社保机构出具的社保证明为准），未提供或提供不全的不得分。</w:t>
            </w:r>
          </w:p>
        </w:tc>
        <w:tc>
          <w:tcPr>
            <w:tcW w:w="401" w:type="pct"/>
            <w:noWrap w:val="0"/>
            <w:vAlign w:val="center"/>
          </w:tcPr>
          <w:p>
            <w:pPr>
              <w:pStyle w:val="44"/>
              <w:keepNext w:val="0"/>
              <w:keepLines w:val="0"/>
              <w:suppressLineNumbers w:val="0"/>
              <w:spacing w:before="0" w:beforeAutospacing="0" w:after="0" w:afterAutospacing="0" w:line="340" w:lineRule="exact"/>
              <w:ind w:left="0" w:right="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98" w:type="pct"/>
            <w:gridSpan w:val="3"/>
            <w:noWrap w:val="0"/>
            <w:vAlign w:val="center"/>
          </w:tcPr>
          <w:p>
            <w:pPr>
              <w:pStyle w:val="44"/>
              <w:keepNext w:val="0"/>
              <w:keepLines w:val="0"/>
              <w:suppressLineNumbers w:val="0"/>
              <w:spacing w:before="0" w:beforeAutospacing="0" w:after="0" w:afterAutospacing="0" w:line="340" w:lineRule="exact"/>
              <w:ind w:left="0" w:right="0" w:firstLine="422"/>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二、技术分</w:t>
            </w:r>
          </w:p>
        </w:tc>
        <w:tc>
          <w:tcPr>
            <w:tcW w:w="401" w:type="pct"/>
            <w:noWrap w:val="0"/>
            <w:vAlign w:val="center"/>
          </w:tcPr>
          <w:p>
            <w:pPr>
              <w:pStyle w:val="44"/>
              <w:keepNext w:val="0"/>
              <w:keepLines w:val="0"/>
              <w:suppressLineNumbers w:val="0"/>
              <w:spacing w:before="0" w:beforeAutospacing="0" w:after="0" w:afterAutospacing="0" w:line="340" w:lineRule="exact"/>
              <w:ind w:left="0" w:right="0" w:firstLine="0" w:firstLine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b/>
                <w:bCs/>
                <w:szCs w:val="21"/>
              </w:rPr>
            </w:pPr>
            <w:r>
              <w:rPr>
                <w:rFonts w:hint="eastAsia" w:ascii="宋体" w:hAnsi="宋体" w:cs="宋体"/>
                <w:b/>
                <w:bCs/>
                <w:szCs w:val="21"/>
              </w:rPr>
              <w:t>4</w:t>
            </w:r>
          </w:p>
        </w:tc>
        <w:tc>
          <w:tcPr>
            <w:tcW w:w="560" w:type="pct"/>
            <w:noWrap w:val="0"/>
            <w:vAlign w:val="center"/>
          </w:tcPr>
          <w:p>
            <w:pPr>
              <w:keepNext w:val="0"/>
              <w:keepLines w:val="0"/>
              <w:suppressLineNumbers w:val="0"/>
              <w:spacing w:before="0" w:beforeAutospacing="0" w:after="0" w:afterAutospacing="0" w:line="264" w:lineRule="auto"/>
              <w:ind w:left="0" w:right="0"/>
              <w:jc w:val="center"/>
              <w:rPr>
                <w:rFonts w:hint="eastAsia" w:ascii="宋体" w:hAnsi="宋体" w:cs="宋体"/>
                <w:b/>
                <w:bCs/>
                <w:kern w:val="0"/>
                <w:szCs w:val="21"/>
              </w:rPr>
            </w:pPr>
            <w:r>
              <w:rPr>
                <w:rFonts w:hint="eastAsia" w:ascii="宋体" w:hAnsi="宋体" w:cs="宋体"/>
                <w:b/>
                <w:bCs/>
                <w:kern w:val="0"/>
                <w:szCs w:val="21"/>
              </w:rPr>
              <w:t>监理大纲整体情况</w:t>
            </w:r>
          </w:p>
        </w:tc>
        <w:tc>
          <w:tcPr>
            <w:tcW w:w="3786" w:type="pct"/>
            <w:noWrap w:val="0"/>
            <w:vAlign w:val="center"/>
          </w:tcPr>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监理大纲内容的针对性、完整性、可行性。</w:t>
            </w:r>
          </w:p>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1）针对性强、完整性好、完全具有可行性的得5分；</w:t>
            </w:r>
          </w:p>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2）针对性较好、完整性较好、具有一定可行性的得3分；</w:t>
            </w:r>
          </w:p>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3）针对性一般，完整性一般，可行性一般实施存在一定风险的得1分；</w:t>
            </w:r>
          </w:p>
          <w:p>
            <w:pPr>
              <w:keepNext w:val="0"/>
              <w:keepLines w:val="0"/>
              <w:suppressLineNumbers w:val="0"/>
              <w:spacing w:before="0" w:beforeAutospacing="0" w:after="0" w:afterAutospacing="0" w:line="340" w:lineRule="exact"/>
              <w:ind w:left="0" w:right="0"/>
              <w:jc w:val="left"/>
              <w:rPr>
                <w:rFonts w:hint="eastAsia" w:ascii="宋体" w:hAnsi="宋体" w:eastAsia="宋体" w:cs="宋体"/>
                <w:kern w:val="2"/>
                <w:sz w:val="21"/>
                <w:szCs w:val="24"/>
                <w:lang w:val="en-US" w:eastAsia="zh-CN" w:bidi="ar-SA"/>
              </w:rPr>
            </w:pPr>
            <w:r>
              <w:rPr>
                <w:rFonts w:hint="eastAsia" w:ascii="宋体" w:hAnsi="宋体" w:cs="宋体"/>
                <w:lang w:val="en-US" w:eastAsia="zh-CN"/>
              </w:rPr>
              <w:t>未提供的不得分。</w:t>
            </w:r>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b/>
                <w:bCs/>
                <w:szCs w:val="21"/>
              </w:rPr>
            </w:pPr>
            <w:r>
              <w:rPr>
                <w:rFonts w:hint="eastAsia" w:ascii="宋体" w:hAnsi="宋体" w:cs="宋体"/>
                <w:b/>
                <w:bCs/>
                <w:szCs w:val="21"/>
              </w:rPr>
              <w:t>5</w:t>
            </w:r>
          </w:p>
        </w:tc>
        <w:tc>
          <w:tcPr>
            <w:tcW w:w="560" w:type="pct"/>
            <w:vMerge w:val="restart"/>
            <w:noWrap w:val="0"/>
            <w:vAlign w:val="center"/>
          </w:tcPr>
          <w:p>
            <w:pPr>
              <w:keepNext w:val="0"/>
              <w:keepLines w:val="0"/>
              <w:suppressLineNumbers w:val="0"/>
              <w:spacing w:before="0" w:beforeAutospacing="0" w:after="0" w:afterAutospacing="0" w:line="264" w:lineRule="auto"/>
              <w:ind w:left="0" w:right="0"/>
              <w:jc w:val="center"/>
              <w:rPr>
                <w:rFonts w:hint="eastAsia" w:ascii="宋体" w:hAnsi="宋体" w:cs="宋体"/>
                <w:b/>
                <w:bCs/>
                <w:kern w:val="0"/>
                <w:szCs w:val="21"/>
              </w:rPr>
            </w:pPr>
            <w:r>
              <w:rPr>
                <w:rFonts w:hint="eastAsia" w:ascii="宋体" w:hAnsi="宋体" w:cs="宋体"/>
                <w:b/>
                <w:bCs/>
                <w:kern w:val="0"/>
                <w:szCs w:val="21"/>
              </w:rPr>
              <w:t>监理组织机构及资源配置</w:t>
            </w:r>
          </w:p>
        </w:tc>
        <w:tc>
          <w:tcPr>
            <w:tcW w:w="3786" w:type="pct"/>
            <w:noWrap w:val="0"/>
            <w:vAlign w:val="center"/>
          </w:tcPr>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项目监理机构和人员配置情况：</w:t>
            </w:r>
          </w:p>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1）人员配置科学合理的得5分；</w:t>
            </w:r>
          </w:p>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2）人员配置较好的得3分；</w:t>
            </w:r>
          </w:p>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3）人员配置一般的得1分；</w:t>
            </w:r>
          </w:p>
          <w:p>
            <w:pPr>
              <w:keepNext w:val="0"/>
              <w:keepLines w:val="0"/>
              <w:suppressLineNumbers w:val="0"/>
              <w:spacing w:before="0" w:beforeAutospacing="0" w:after="0" w:afterAutospacing="0" w:line="340" w:lineRule="exact"/>
              <w:ind w:left="0" w:right="0"/>
              <w:jc w:val="left"/>
              <w:rPr>
                <w:rFonts w:hint="eastAsia" w:ascii="宋体" w:hAnsi="宋体" w:eastAsia="宋体" w:cs="宋体"/>
                <w:kern w:val="2"/>
                <w:sz w:val="21"/>
                <w:szCs w:val="24"/>
                <w:lang w:val="en-US" w:eastAsia="zh-CN" w:bidi="ar-SA"/>
              </w:rPr>
            </w:pPr>
            <w:r>
              <w:rPr>
                <w:rFonts w:hint="eastAsia" w:ascii="宋体" w:hAnsi="宋体" w:cs="宋体"/>
                <w:lang w:val="en-US" w:eastAsia="zh-CN"/>
              </w:rPr>
              <w:t>未提供的不得分。</w:t>
            </w:r>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2"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b/>
                <w:bCs/>
                <w:szCs w:val="21"/>
              </w:rPr>
            </w:pPr>
            <w:r>
              <w:rPr>
                <w:rFonts w:hint="eastAsia" w:ascii="宋体" w:hAnsi="宋体" w:cs="宋体"/>
                <w:b/>
                <w:bCs/>
                <w:szCs w:val="21"/>
              </w:rPr>
              <w:t>6</w:t>
            </w:r>
          </w:p>
        </w:tc>
        <w:tc>
          <w:tcPr>
            <w:tcW w:w="560" w:type="pct"/>
            <w:vMerge w:val="continue"/>
            <w:noWrap w:val="0"/>
            <w:vAlign w:val="center"/>
          </w:tcPr>
          <w:p>
            <w:pPr>
              <w:keepNext w:val="0"/>
              <w:keepLines w:val="0"/>
              <w:suppressLineNumbers w:val="0"/>
              <w:spacing w:before="0" w:beforeAutospacing="0" w:after="0" w:afterAutospacing="0" w:line="264" w:lineRule="auto"/>
              <w:ind w:left="0" w:right="0"/>
              <w:jc w:val="center"/>
              <w:rPr>
                <w:rFonts w:hint="eastAsia" w:ascii="宋体" w:hAnsi="宋体" w:cs="宋体"/>
                <w:b/>
                <w:bCs/>
                <w:kern w:val="0"/>
                <w:szCs w:val="21"/>
              </w:rPr>
            </w:pPr>
          </w:p>
        </w:tc>
        <w:tc>
          <w:tcPr>
            <w:tcW w:w="3786" w:type="pct"/>
            <w:noWrap w:val="0"/>
            <w:vAlign w:val="center"/>
          </w:tcPr>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检测仪器和工具的配备情况：检测仪器和工具配备是否适用、满足工程需要。1）检测仪器和工具配备科学合理的得5分；</w:t>
            </w:r>
          </w:p>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2）配备较好的得3分；</w:t>
            </w:r>
          </w:p>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3）配备一般的得1分；</w:t>
            </w:r>
          </w:p>
          <w:p>
            <w:pPr>
              <w:keepNext w:val="0"/>
              <w:keepLines w:val="0"/>
              <w:suppressLineNumbers w:val="0"/>
              <w:spacing w:before="0" w:beforeAutospacing="0" w:after="0" w:afterAutospacing="0" w:line="340" w:lineRule="exact"/>
              <w:ind w:left="0" w:right="0"/>
              <w:jc w:val="left"/>
              <w:rPr>
                <w:rFonts w:hint="eastAsia" w:ascii="宋体" w:hAnsi="宋体" w:eastAsia="宋体" w:cs="宋体"/>
                <w:kern w:val="2"/>
                <w:sz w:val="21"/>
                <w:szCs w:val="24"/>
                <w:lang w:val="en-US" w:eastAsia="zh-CN" w:bidi="ar-SA"/>
              </w:rPr>
            </w:pPr>
            <w:r>
              <w:rPr>
                <w:rFonts w:hint="eastAsia" w:ascii="宋体" w:hAnsi="宋体" w:cs="宋体"/>
                <w:lang w:val="en-US" w:eastAsia="zh-CN"/>
              </w:rPr>
              <w:t>未提供的不得分。</w:t>
            </w:r>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b/>
                <w:bCs/>
                <w:szCs w:val="21"/>
              </w:rPr>
            </w:pPr>
            <w:r>
              <w:rPr>
                <w:rFonts w:hint="eastAsia" w:ascii="宋体" w:hAnsi="宋体" w:cs="宋体"/>
                <w:b/>
                <w:bCs/>
                <w:szCs w:val="21"/>
              </w:rPr>
              <w:t>7</w:t>
            </w:r>
          </w:p>
        </w:tc>
        <w:tc>
          <w:tcPr>
            <w:tcW w:w="560" w:type="pct"/>
            <w:vMerge w:val="restart"/>
            <w:noWrap w:val="0"/>
            <w:vAlign w:val="center"/>
          </w:tcPr>
          <w:p>
            <w:pPr>
              <w:keepNext w:val="0"/>
              <w:keepLines w:val="0"/>
              <w:suppressLineNumbers w:val="0"/>
              <w:spacing w:before="0" w:beforeAutospacing="0" w:after="0" w:afterAutospacing="0" w:line="264" w:lineRule="auto"/>
              <w:ind w:left="0" w:right="0"/>
              <w:jc w:val="center"/>
              <w:rPr>
                <w:rFonts w:hint="eastAsia" w:ascii="宋体" w:hAnsi="宋体" w:cs="宋体"/>
                <w:b/>
                <w:bCs/>
                <w:kern w:val="0"/>
                <w:szCs w:val="21"/>
              </w:rPr>
            </w:pPr>
            <w:r>
              <w:rPr>
                <w:rFonts w:hint="eastAsia" w:ascii="宋体" w:hAnsi="宋体" w:cs="宋体"/>
                <w:b/>
                <w:bCs/>
                <w:kern w:val="0"/>
                <w:szCs w:val="21"/>
              </w:rPr>
              <w:t>监理工作制度及程序</w:t>
            </w:r>
          </w:p>
        </w:tc>
        <w:tc>
          <w:tcPr>
            <w:tcW w:w="3786" w:type="pct"/>
            <w:noWrap w:val="0"/>
            <w:vAlign w:val="center"/>
          </w:tcPr>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监理日常各项工作制度、监理人员工作纪律：制度、纪律是否合法、规范、完整、合理。</w:t>
            </w:r>
          </w:p>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1）工作制度完善的得5分；</w:t>
            </w:r>
          </w:p>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2）工作制度较好的得3分；</w:t>
            </w:r>
          </w:p>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3）工作制度一般的得1分；</w:t>
            </w:r>
          </w:p>
          <w:p>
            <w:pPr>
              <w:keepNext w:val="0"/>
              <w:keepLines w:val="0"/>
              <w:suppressLineNumbers w:val="0"/>
              <w:spacing w:before="0" w:beforeAutospacing="0" w:after="0" w:afterAutospacing="0" w:line="340" w:lineRule="exact"/>
              <w:ind w:left="0" w:right="0"/>
              <w:jc w:val="left"/>
              <w:rPr>
                <w:rFonts w:hint="eastAsia" w:ascii="宋体" w:hAnsi="宋体" w:eastAsia="宋体" w:cs="宋体"/>
                <w:kern w:val="2"/>
                <w:sz w:val="21"/>
                <w:szCs w:val="24"/>
                <w:lang w:val="en-US" w:eastAsia="zh-CN" w:bidi="ar-SA"/>
              </w:rPr>
            </w:pPr>
            <w:r>
              <w:rPr>
                <w:rFonts w:hint="eastAsia" w:ascii="宋体" w:hAnsi="宋体" w:cs="宋体"/>
                <w:lang w:val="en-US" w:eastAsia="zh-CN"/>
              </w:rPr>
              <w:t>未提供的不得分。</w:t>
            </w:r>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2"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left"/>
              <w:rPr>
                <w:rFonts w:hint="default" w:ascii="宋体" w:hAnsi="宋体" w:cs="宋体"/>
              </w:rPr>
            </w:pPr>
            <w:r>
              <w:rPr>
                <w:rFonts w:hint="eastAsia" w:ascii="宋体" w:hAnsi="宋体" w:cs="宋体"/>
              </w:rPr>
              <w:t>8</w:t>
            </w:r>
          </w:p>
        </w:tc>
        <w:tc>
          <w:tcPr>
            <w:tcW w:w="560" w:type="pct"/>
            <w:vMerge w:val="continue"/>
            <w:noWrap w:val="0"/>
            <w:vAlign w:val="center"/>
          </w:tcPr>
          <w:p>
            <w:pPr>
              <w:keepNext w:val="0"/>
              <w:keepLines w:val="0"/>
              <w:suppressLineNumbers w:val="0"/>
              <w:spacing w:before="0" w:beforeAutospacing="0" w:after="0" w:afterAutospacing="0" w:line="340" w:lineRule="exact"/>
              <w:ind w:left="0" w:right="0"/>
              <w:jc w:val="left"/>
              <w:rPr>
                <w:rFonts w:hint="eastAsia" w:ascii="宋体" w:hAnsi="宋体" w:cs="宋体"/>
              </w:rPr>
            </w:pPr>
          </w:p>
        </w:tc>
        <w:tc>
          <w:tcPr>
            <w:tcW w:w="3786" w:type="pct"/>
            <w:noWrap w:val="0"/>
            <w:vAlign w:val="center"/>
          </w:tcPr>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施工各阶段监理工作程序：流程是否合法、规范、完整、合理。</w:t>
            </w:r>
          </w:p>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1）工作程序完善的得5分；</w:t>
            </w:r>
          </w:p>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2）工作程序较好的得3分；</w:t>
            </w:r>
          </w:p>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3）工作程序一般的得1分；</w:t>
            </w:r>
          </w:p>
          <w:p>
            <w:pPr>
              <w:keepNext w:val="0"/>
              <w:keepLines w:val="0"/>
              <w:suppressLineNumbers w:val="0"/>
              <w:spacing w:before="0" w:beforeAutospacing="0" w:after="0" w:afterAutospacing="0" w:line="340" w:lineRule="exact"/>
              <w:ind w:left="0" w:right="0"/>
              <w:jc w:val="left"/>
              <w:rPr>
                <w:rFonts w:hint="eastAsia" w:ascii="宋体" w:hAnsi="宋体" w:cs="宋体"/>
                <w:lang w:val="en-US" w:eastAsia="zh-CN"/>
              </w:rPr>
            </w:pPr>
            <w:r>
              <w:rPr>
                <w:rFonts w:hint="eastAsia" w:ascii="宋体" w:hAnsi="宋体" w:cs="宋体"/>
                <w:lang w:val="en-US" w:eastAsia="zh-CN"/>
              </w:rPr>
              <w:t>未提供的不得分。</w:t>
            </w:r>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b/>
                <w:bCs/>
                <w:szCs w:val="21"/>
              </w:rPr>
            </w:pPr>
            <w:r>
              <w:rPr>
                <w:rFonts w:hint="eastAsia" w:ascii="宋体" w:hAnsi="宋体" w:cs="宋体"/>
                <w:b/>
                <w:bCs/>
                <w:szCs w:val="21"/>
              </w:rPr>
              <w:t>9</w:t>
            </w:r>
          </w:p>
        </w:tc>
        <w:tc>
          <w:tcPr>
            <w:tcW w:w="560" w:type="pct"/>
            <w:noWrap w:val="0"/>
            <w:vAlign w:val="center"/>
          </w:tcPr>
          <w:p>
            <w:pPr>
              <w:keepNext w:val="0"/>
              <w:keepLines w:val="0"/>
              <w:suppressLineNumbers w:val="0"/>
              <w:spacing w:before="0" w:beforeAutospacing="0" w:after="0" w:afterAutospacing="0" w:line="264" w:lineRule="auto"/>
              <w:ind w:left="0" w:right="0"/>
              <w:jc w:val="center"/>
              <w:rPr>
                <w:rFonts w:hint="eastAsia" w:ascii="宋体" w:hAnsi="宋体" w:cs="宋体"/>
                <w:b/>
                <w:bCs/>
                <w:kern w:val="0"/>
                <w:szCs w:val="21"/>
              </w:rPr>
            </w:pPr>
            <w:r>
              <w:rPr>
                <w:rFonts w:hint="eastAsia" w:ascii="宋体" w:hAnsi="宋体" w:cs="宋体"/>
                <w:b/>
                <w:bCs/>
                <w:kern w:val="0"/>
                <w:szCs w:val="21"/>
              </w:rPr>
              <w:t>整体监理服务方案</w:t>
            </w:r>
          </w:p>
        </w:tc>
        <w:tc>
          <w:tcPr>
            <w:tcW w:w="3786" w:type="pct"/>
            <w:noWrap w:val="0"/>
            <w:vAlign w:val="center"/>
          </w:tcPr>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服务</w:t>
            </w:r>
            <w:r>
              <w:rPr>
                <w:rFonts w:hint="eastAsia" w:ascii="宋体" w:hAnsi="宋体" w:cs="宋体"/>
              </w:rPr>
              <w:t>方案是否具有一定的前瞻性，对项目建设思路、原则、特点、技术要求的理解和监理要点情况，对技术方案的表述是否详细准确，条理是否合理可行。</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1）</w:t>
            </w:r>
            <w:r>
              <w:rPr>
                <w:rFonts w:hint="eastAsia" w:ascii="宋体" w:hAnsi="宋体" w:cs="宋体"/>
              </w:rPr>
              <w:t>监理服务方案科学合理的得5分；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2）</w:t>
            </w:r>
            <w:r>
              <w:rPr>
                <w:rFonts w:hint="eastAsia" w:ascii="宋体" w:hAnsi="宋体" w:cs="宋体"/>
              </w:rPr>
              <w:t>监理服务方案较好的得3分；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3）</w:t>
            </w:r>
            <w:r>
              <w:rPr>
                <w:rFonts w:hint="eastAsia" w:ascii="宋体" w:hAnsi="宋体" w:cs="宋体"/>
              </w:rPr>
              <w:t>监理服务方案一般的得1分；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未提供的不得分。</w:t>
            </w:r>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b/>
                <w:bCs/>
                <w:kern w:val="0"/>
                <w:szCs w:val="21"/>
              </w:rPr>
            </w:pPr>
            <w:r>
              <w:rPr>
                <w:rFonts w:hint="eastAsia" w:ascii="宋体" w:hAnsi="宋体" w:cs="宋体"/>
                <w:b/>
                <w:bCs/>
                <w:kern w:val="0"/>
                <w:szCs w:val="21"/>
              </w:rPr>
              <w:t>10</w:t>
            </w:r>
          </w:p>
        </w:tc>
        <w:tc>
          <w:tcPr>
            <w:tcW w:w="560" w:type="pct"/>
            <w:noWrap w:val="0"/>
            <w:vAlign w:val="center"/>
          </w:tcPr>
          <w:p>
            <w:pPr>
              <w:keepNext w:val="0"/>
              <w:keepLines w:val="0"/>
              <w:suppressLineNumbers w:val="0"/>
              <w:spacing w:before="0" w:beforeAutospacing="0" w:after="0" w:afterAutospacing="0" w:line="264" w:lineRule="auto"/>
              <w:ind w:left="0" w:right="0"/>
              <w:jc w:val="center"/>
              <w:rPr>
                <w:rFonts w:hint="eastAsia" w:ascii="宋体" w:hAnsi="宋体" w:cs="宋体"/>
                <w:b/>
                <w:bCs/>
                <w:kern w:val="0"/>
                <w:szCs w:val="21"/>
              </w:rPr>
            </w:pPr>
            <w:r>
              <w:rPr>
                <w:rFonts w:hint="eastAsia" w:ascii="宋体" w:hAnsi="宋体" w:cs="宋体"/>
                <w:b/>
                <w:bCs/>
                <w:kern w:val="0"/>
                <w:szCs w:val="21"/>
              </w:rPr>
              <w:t>质量控制方案</w:t>
            </w:r>
          </w:p>
        </w:tc>
        <w:tc>
          <w:tcPr>
            <w:tcW w:w="3786" w:type="pct"/>
            <w:noWrap w:val="0"/>
            <w:vAlign w:val="center"/>
          </w:tcPr>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根据供应商提供的质量控制方案内容的全面性、完整性，以及提出的质量控制方法和措施的合理性和可行性。</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1）</w:t>
            </w:r>
            <w:r>
              <w:rPr>
                <w:rFonts w:hint="eastAsia" w:ascii="宋体" w:hAnsi="宋体" w:cs="宋体"/>
              </w:rPr>
              <w:t>质量控制方案科学合理的得5分；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2）</w:t>
            </w:r>
            <w:r>
              <w:rPr>
                <w:rFonts w:hint="eastAsia" w:ascii="宋体" w:hAnsi="宋体" w:cs="宋体"/>
              </w:rPr>
              <w:t>质量控制方案较好的得3分；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3）</w:t>
            </w:r>
            <w:r>
              <w:rPr>
                <w:rFonts w:hint="eastAsia" w:ascii="宋体" w:hAnsi="宋体" w:cs="宋体"/>
              </w:rPr>
              <w:t>质量控制方案一般的得1分；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未提供的不得分。</w:t>
            </w:r>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kern w:val="0"/>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b/>
                <w:bCs/>
                <w:kern w:val="0"/>
                <w:szCs w:val="21"/>
              </w:rPr>
            </w:pPr>
            <w:r>
              <w:rPr>
                <w:rFonts w:hint="eastAsia" w:ascii="宋体" w:hAnsi="宋体" w:cs="宋体"/>
                <w:b/>
                <w:bCs/>
                <w:kern w:val="0"/>
                <w:szCs w:val="21"/>
              </w:rPr>
              <w:t>11</w:t>
            </w:r>
          </w:p>
        </w:tc>
        <w:tc>
          <w:tcPr>
            <w:tcW w:w="560" w:type="pct"/>
            <w:noWrap w:val="0"/>
            <w:vAlign w:val="center"/>
          </w:tcPr>
          <w:p>
            <w:pPr>
              <w:keepNext w:val="0"/>
              <w:keepLines w:val="0"/>
              <w:suppressLineNumbers w:val="0"/>
              <w:spacing w:before="0" w:beforeAutospacing="0" w:after="0" w:afterAutospacing="0" w:line="264" w:lineRule="auto"/>
              <w:ind w:left="0" w:right="0"/>
              <w:jc w:val="center"/>
              <w:rPr>
                <w:rFonts w:hint="default" w:ascii="宋体" w:hAnsi="宋体" w:cs="宋体"/>
                <w:b/>
                <w:bCs/>
                <w:kern w:val="0"/>
                <w:szCs w:val="21"/>
              </w:rPr>
            </w:pPr>
            <w:r>
              <w:rPr>
                <w:rFonts w:hint="eastAsia" w:ascii="宋体" w:hAnsi="宋体" w:cs="宋体"/>
                <w:b/>
                <w:bCs/>
                <w:kern w:val="0"/>
                <w:szCs w:val="21"/>
              </w:rPr>
              <w:t>进度控制方案</w:t>
            </w:r>
          </w:p>
        </w:tc>
        <w:tc>
          <w:tcPr>
            <w:tcW w:w="3786" w:type="pct"/>
            <w:noWrap w:val="0"/>
            <w:vAlign w:val="center"/>
          </w:tcPr>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根据供应商提供的进度控制方案内容的全面性、完整性，针对施工进度提供的进度控制措施是否合理可行。</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1）</w:t>
            </w:r>
            <w:r>
              <w:rPr>
                <w:rFonts w:hint="eastAsia" w:ascii="宋体" w:hAnsi="宋体" w:cs="宋体"/>
              </w:rPr>
              <w:t>进度控制方案科学合理的得5分；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2）</w:t>
            </w:r>
            <w:r>
              <w:rPr>
                <w:rFonts w:hint="eastAsia" w:ascii="宋体" w:hAnsi="宋体" w:cs="宋体"/>
              </w:rPr>
              <w:t>进度控制方案较好的得3分；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3）</w:t>
            </w:r>
            <w:r>
              <w:rPr>
                <w:rFonts w:hint="eastAsia" w:ascii="宋体" w:hAnsi="宋体" w:cs="宋体"/>
              </w:rPr>
              <w:t>进度控制方案一般的得1分；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未提供的不得分。</w:t>
            </w:r>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b/>
                <w:bCs/>
                <w:kern w:val="0"/>
                <w:szCs w:val="21"/>
              </w:rPr>
            </w:pPr>
            <w:r>
              <w:rPr>
                <w:rFonts w:hint="eastAsia" w:ascii="宋体" w:hAnsi="宋体" w:cs="宋体"/>
                <w:b/>
                <w:bCs/>
                <w:kern w:val="0"/>
                <w:szCs w:val="21"/>
              </w:rPr>
              <w:t>12</w:t>
            </w:r>
          </w:p>
        </w:tc>
        <w:tc>
          <w:tcPr>
            <w:tcW w:w="560" w:type="pct"/>
            <w:noWrap w:val="0"/>
            <w:vAlign w:val="center"/>
          </w:tcPr>
          <w:p>
            <w:pPr>
              <w:keepNext w:val="0"/>
              <w:keepLines w:val="0"/>
              <w:suppressLineNumbers w:val="0"/>
              <w:spacing w:before="0" w:beforeAutospacing="0" w:after="0" w:afterAutospacing="0" w:line="264" w:lineRule="auto"/>
              <w:ind w:left="0" w:right="0"/>
              <w:jc w:val="center"/>
              <w:rPr>
                <w:rFonts w:hint="eastAsia" w:ascii="宋体" w:hAnsi="宋体" w:cs="宋体"/>
                <w:b/>
                <w:bCs/>
                <w:kern w:val="0"/>
                <w:szCs w:val="21"/>
              </w:rPr>
            </w:pPr>
            <w:r>
              <w:rPr>
                <w:rFonts w:hint="eastAsia" w:ascii="宋体" w:hAnsi="宋体" w:cs="宋体"/>
                <w:b/>
                <w:bCs/>
                <w:kern w:val="0"/>
                <w:szCs w:val="21"/>
              </w:rPr>
              <w:t>投资控制方案</w:t>
            </w:r>
          </w:p>
        </w:tc>
        <w:tc>
          <w:tcPr>
            <w:tcW w:w="3786" w:type="pct"/>
            <w:noWrap w:val="0"/>
            <w:vAlign w:val="center"/>
          </w:tcPr>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根据供应商提供的投资控制方案内容全面性、完整性，以及针对本项目有可能存在的投资风险分析和制定防范性对策的合理性、可行性。</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1）</w:t>
            </w:r>
            <w:r>
              <w:rPr>
                <w:rFonts w:hint="eastAsia" w:ascii="宋体" w:hAnsi="宋体" w:cs="宋体"/>
              </w:rPr>
              <w:t>投资控制方案科学合理的得5分；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2）</w:t>
            </w:r>
            <w:r>
              <w:rPr>
                <w:rFonts w:hint="eastAsia" w:ascii="宋体" w:hAnsi="宋体" w:cs="宋体"/>
              </w:rPr>
              <w:t>投资控制方案较好的得3分；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3）</w:t>
            </w:r>
            <w:r>
              <w:rPr>
                <w:rFonts w:hint="eastAsia" w:ascii="宋体" w:hAnsi="宋体" w:cs="宋体"/>
              </w:rPr>
              <w:t>投资控制方案一般的得1分；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未提供的不得分。</w:t>
            </w:r>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kern w:val="0"/>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b/>
                <w:bCs/>
                <w:kern w:val="0"/>
                <w:szCs w:val="21"/>
              </w:rPr>
            </w:pPr>
            <w:r>
              <w:rPr>
                <w:rFonts w:hint="eastAsia" w:ascii="宋体" w:hAnsi="宋体" w:cs="宋体"/>
                <w:b/>
                <w:bCs/>
                <w:kern w:val="0"/>
                <w:szCs w:val="21"/>
              </w:rPr>
              <w:t>13</w:t>
            </w:r>
          </w:p>
        </w:tc>
        <w:tc>
          <w:tcPr>
            <w:tcW w:w="560" w:type="pct"/>
            <w:noWrap w:val="0"/>
            <w:vAlign w:val="center"/>
          </w:tcPr>
          <w:p>
            <w:pPr>
              <w:keepNext w:val="0"/>
              <w:keepLines w:val="0"/>
              <w:widowControl/>
              <w:suppressLineNumbers w:val="0"/>
              <w:spacing w:before="0" w:beforeAutospacing="0" w:after="0" w:afterAutospacing="0"/>
              <w:ind w:left="0" w:right="145" w:rightChars="69"/>
              <w:jc w:val="center"/>
              <w:rPr>
                <w:rFonts w:hint="eastAsia" w:ascii="宋体" w:hAnsi="宋体" w:cs="宋体"/>
                <w:b/>
                <w:bCs/>
                <w:kern w:val="0"/>
                <w:szCs w:val="21"/>
              </w:rPr>
            </w:pPr>
            <w:r>
              <w:rPr>
                <w:rFonts w:hint="eastAsia" w:ascii="宋体" w:hAnsi="宋体" w:cs="宋体"/>
                <w:b/>
                <w:bCs/>
                <w:kern w:val="0"/>
                <w:szCs w:val="21"/>
              </w:rPr>
              <w:t>变更控制方案</w:t>
            </w:r>
          </w:p>
        </w:tc>
        <w:tc>
          <w:tcPr>
            <w:tcW w:w="3786" w:type="pct"/>
            <w:noWrap w:val="0"/>
            <w:vAlign w:val="center"/>
          </w:tcPr>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根据</w:t>
            </w:r>
            <w:r>
              <w:rPr>
                <w:rFonts w:hint="eastAsia" w:ascii="宋体" w:hAnsi="宋体" w:cs="宋体"/>
                <w:lang w:val="en-US" w:eastAsia="zh-CN"/>
              </w:rPr>
              <w:t>供应商</w:t>
            </w:r>
            <w:r>
              <w:rPr>
                <w:rFonts w:hint="eastAsia" w:ascii="宋体" w:hAnsi="宋体" w:cs="宋体"/>
              </w:rPr>
              <w:t>对工作范围进行严格把关和控制，对合理变更进行规范化管理，管理措施得当并能提供合理化建议等内容。</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1）</w:t>
            </w:r>
            <w:r>
              <w:rPr>
                <w:rFonts w:hint="eastAsia" w:ascii="宋体" w:hAnsi="宋体" w:cs="宋体"/>
              </w:rPr>
              <w:t>变更控制方案科学合理的得5分；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2）</w:t>
            </w:r>
            <w:r>
              <w:rPr>
                <w:rFonts w:hint="eastAsia" w:ascii="宋体" w:hAnsi="宋体" w:cs="宋体"/>
              </w:rPr>
              <w:t>变更控制方案较好的得3分；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3）</w:t>
            </w:r>
            <w:r>
              <w:rPr>
                <w:rFonts w:hint="eastAsia" w:ascii="宋体" w:hAnsi="宋体" w:cs="宋体"/>
              </w:rPr>
              <w:t>变更控制方案一般的得1分；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未提供的不得分。</w:t>
            </w:r>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b/>
                <w:bCs/>
                <w:kern w:val="0"/>
                <w:szCs w:val="21"/>
              </w:rPr>
            </w:pPr>
            <w:r>
              <w:rPr>
                <w:rFonts w:hint="eastAsia" w:ascii="宋体" w:hAnsi="宋体" w:cs="宋体"/>
                <w:b/>
                <w:bCs/>
                <w:kern w:val="0"/>
                <w:szCs w:val="21"/>
              </w:rPr>
              <w:t>14</w:t>
            </w:r>
          </w:p>
        </w:tc>
        <w:tc>
          <w:tcPr>
            <w:tcW w:w="560" w:type="pct"/>
            <w:noWrap w:val="0"/>
            <w:vAlign w:val="center"/>
          </w:tcPr>
          <w:p>
            <w:pPr>
              <w:keepNext w:val="0"/>
              <w:keepLines w:val="0"/>
              <w:suppressLineNumbers w:val="0"/>
              <w:spacing w:before="0" w:beforeAutospacing="0" w:after="0" w:afterAutospacing="0" w:line="264" w:lineRule="auto"/>
              <w:ind w:left="0" w:right="0"/>
              <w:jc w:val="center"/>
              <w:rPr>
                <w:rFonts w:hint="eastAsia" w:ascii="宋体" w:hAnsi="宋体" w:cs="宋体"/>
                <w:b/>
                <w:bCs/>
                <w:kern w:val="0"/>
                <w:szCs w:val="21"/>
              </w:rPr>
            </w:pPr>
            <w:r>
              <w:rPr>
                <w:rFonts w:hint="eastAsia" w:ascii="宋体" w:hAnsi="宋体" w:cs="宋体"/>
                <w:b/>
                <w:bCs/>
                <w:kern w:val="0"/>
                <w:szCs w:val="21"/>
              </w:rPr>
              <w:t>合同管理方案</w:t>
            </w:r>
          </w:p>
        </w:tc>
        <w:tc>
          <w:tcPr>
            <w:tcW w:w="3786" w:type="pct"/>
            <w:noWrap w:val="0"/>
            <w:vAlign w:val="center"/>
          </w:tcPr>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根据</w:t>
            </w:r>
            <w:r>
              <w:rPr>
                <w:rFonts w:hint="eastAsia" w:ascii="宋体" w:hAnsi="宋体" w:cs="宋体"/>
                <w:lang w:val="en-US" w:eastAsia="zh-CN"/>
              </w:rPr>
              <w:t>供应商</w:t>
            </w:r>
            <w:r>
              <w:rPr>
                <w:rFonts w:hint="eastAsia" w:ascii="宋体" w:hAnsi="宋体" w:cs="宋体"/>
              </w:rPr>
              <w:t>违约的处理及日常合同的管理，配合业主办理申报手续和专项验收手续措施。</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1）</w:t>
            </w:r>
            <w:r>
              <w:rPr>
                <w:rFonts w:hint="eastAsia" w:ascii="宋体" w:hAnsi="宋体" w:cs="宋体"/>
              </w:rPr>
              <w:t>合同管理方案科学合理的得5分；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2）</w:t>
            </w:r>
            <w:r>
              <w:rPr>
                <w:rFonts w:hint="eastAsia" w:ascii="宋体" w:hAnsi="宋体" w:cs="宋体"/>
              </w:rPr>
              <w:t>合同管理方案较好的得3分；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3）</w:t>
            </w:r>
            <w:r>
              <w:rPr>
                <w:rFonts w:hint="eastAsia" w:ascii="宋体" w:hAnsi="宋体" w:cs="宋体"/>
              </w:rPr>
              <w:t>合同管理方案一般的得1分；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未提供的不得分。</w:t>
            </w:r>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b/>
                <w:bCs/>
                <w:kern w:val="0"/>
                <w:szCs w:val="21"/>
              </w:rPr>
            </w:pPr>
            <w:r>
              <w:rPr>
                <w:rFonts w:hint="eastAsia" w:ascii="宋体" w:hAnsi="宋体" w:cs="宋体"/>
                <w:b/>
                <w:bCs/>
                <w:kern w:val="0"/>
                <w:szCs w:val="21"/>
              </w:rPr>
              <w:t>15</w:t>
            </w:r>
          </w:p>
        </w:tc>
        <w:tc>
          <w:tcPr>
            <w:tcW w:w="560" w:type="pct"/>
            <w:noWrap w:val="0"/>
            <w:vAlign w:val="center"/>
          </w:tcPr>
          <w:p>
            <w:pPr>
              <w:keepNext w:val="0"/>
              <w:keepLines w:val="0"/>
              <w:suppressLineNumbers w:val="0"/>
              <w:spacing w:before="0" w:beforeAutospacing="0" w:after="0" w:afterAutospacing="0" w:line="264" w:lineRule="auto"/>
              <w:ind w:left="0" w:right="0"/>
              <w:jc w:val="center"/>
              <w:rPr>
                <w:rFonts w:hint="default" w:ascii="宋体" w:hAnsi="宋体" w:cs="宋体"/>
                <w:b/>
                <w:bCs/>
                <w:kern w:val="0"/>
                <w:szCs w:val="21"/>
              </w:rPr>
            </w:pPr>
            <w:r>
              <w:rPr>
                <w:rFonts w:hint="eastAsia" w:ascii="宋体" w:hAnsi="宋体" w:cs="宋体"/>
                <w:b/>
                <w:bCs/>
                <w:kern w:val="0"/>
                <w:szCs w:val="21"/>
              </w:rPr>
              <w:t>档案、</w:t>
            </w:r>
            <w:r>
              <w:rPr>
                <w:rFonts w:hint="default" w:ascii="宋体" w:hAnsi="宋体" w:cs="宋体"/>
                <w:b/>
                <w:bCs/>
                <w:kern w:val="0"/>
                <w:szCs w:val="21"/>
              </w:rPr>
              <w:t>信息管理方案</w:t>
            </w:r>
          </w:p>
        </w:tc>
        <w:tc>
          <w:tcPr>
            <w:tcW w:w="3786" w:type="pct"/>
            <w:noWrap w:val="0"/>
            <w:vAlign w:val="center"/>
          </w:tcPr>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根据供应商提供的针对本项目档案、数据信息安全控制措施的合理性和可行性。</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1）</w:t>
            </w:r>
            <w:r>
              <w:rPr>
                <w:rFonts w:hint="eastAsia" w:ascii="宋体" w:hAnsi="宋体" w:cs="宋体"/>
              </w:rPr>
              <w:t>档案、信息管理方案科学合理的得5分；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2）</w:t>
            </w:r>
            <w:r>
              <w:rPr>
                <w:rFonts w:hint="eastAsia" w:ascii="宋体" w:hAnsi="宋体" w:cs="宋体"/>
              </w:rPr>
              <w:t>档案、信息管理方案较好的得3分；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3）</w:t>
            </w:r>
            <w:r>
              <w:rPr>
                <w:rFonts w:hint="eastAsia" w:ascii="宋体" w:hAnsi="宋体" w:cs="宋体"/>
              </w:rPr>
              <w:t>档案、信息管理方案一般的得1分；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未提供的不得分。</w:t>
            </w:r>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b/>
                <w:bCs/>
                <w:kern w:val="0"/>
                <w:szCs w:val="21"/>
              </w:rPr>
            </w:pPr>
            <w:r>
              <w:rPr>
                <w:rFonts w:hint="eastAsia" w:ascii="宋体" w:hAnsi="宋体" w:cs="宋体"/>
                <w:b/>
                <w:bCs/>
                <w:kern w:val="0"/>
                <w:szCs w:val="21"/>
              </w:rPr>
              <w:t>16</w:t>
            </w:r>
          </w:p>
        </w:tc>
        <w:tc>
          <w:tcPr>
            <w:tcW w:w="560" w:type="pct"/>
            <w:noWrap w:val="0"/>
            <w:vAlign w:val="center"/>
          </w:tcPr>
          <w:p>
            <w:pPr>
              <w:keepNext w:val="0"/>
              <w:keepLines w:val="0"/>
              <w:suppressLineNumbers w:val="0"/>
              <w:spacing w:before="0" w:beforeAutospacing="0" w:after="0" w:afterAutospacing="0" w:line="264" w:lineRule="auto"/>
              <w:ind w:left="0" w:right="0"/>
              <w:jc w:val="center"/>
              <w:rPr>
                <w:rFonts w:hint="eastAsia" w:ascii="宋体" w:hAnsi="宋体" w:cs="宋体"/>
                <w:b/>
                <w:bCs/>
                <w:kern w:val="0"/>
                <w:szCs w:val="21"/>
              </w:rPr>
            </w:pPr>
            <w:r>
              <w:rPr>
                <w:rFonts w:hint="eastAsia" w:ascii="宋体" w:hAnsi="宋体" w:cs="宋体"/>
                <w:b/>
                <w:bCs/>
                <w:kern w:val="0"/>
                <w:szCs w:val="21"/>
              </w:rPr>
              <w:t>现场安全、文明施工控制方案</w:t>
            </w:r>
          </w:p>
        </w:tc>
        <w:tc>
          <w:tcPr>
            <w:tcW w:w="3786" w:type="pct"/>
            <w:noWrap w:val="0"/>
            <w:vAlign w:val="center"/>
          </w:tcPr>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根据供应商提供的现场安全、文明施工控制方案内容全面性、完整性，控制手段和措施的合理性和可行性。</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1）</w:t>
            </w:r>
            <w:r>
              <w:rPr>
                <w:rFonts w:hint="eastAsia" w:ascii="宋体" w:hAnsi="宋体" w:cs="宋体"/>
              </w:rPr>
              <w:t>现场安全、文明施工控制方案科学合理的得5分；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2）</w:t>
            </w:r>
            <w:r>
              <w:rPr>
                <w:rFonts w:hint="eastAsia" w:ascii="宋体" w:hAnsi="宋体" w:cs="宋体"/>
              </w:rPr>
              <w:t>现场安全、文明施工控制方案较好的得3分；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3）</w:t>
            </w:r>
            <w:r>
              <w:rPr>
                <w:rFonts w:hint="eastAsia" w:ascii="宋体" w:hAnsi="宋体" w:cs="宋体"/>
              </w:rPr>
              <w:t>现场安全、文明施工控制方案一般的得1分；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未提供的不得分。</w:t>
            </w:r>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b/>
                <w:bCs/>
                <w:kern w:val="0"/>
                <w:szCs w:val="21"/>
              </w:rPr>
            </w:pPr>
            <w:r>
              <w:rPr>
                <w:rFonts w:hint="eastAsia" w:ascii="宋体" w:hAnsi="宋体" w:cs="宋体"/>
                <w:b/>
                <w:bCs/>
                <w:kern w:val="0"/>
                <w:szCs w:val="21"/>
              </w:rPr>
              <w:t>17</w:t>
            </w:r>
          </w:p>
        </w:tc>
        <w:tc>
          <w:tcPr>
            <w:tcW w:w="560" w:type="pct"/>
            <w:noWrap w:val="0"/>
            <w:vAlign w:val="center"/>
          </w:tcPr>
          <w:p>
            <w:pPr>
              <w:keepNext w:val="0"/>
              <w:keepLines w:val="0"/>
              <w:suppressLineNumbers w:val="0"/>
              <w:spacing w:before="0" w:beforeAutospacing="0" w:after="0" w:afterAutospacing="0" w:line="264" w:lineRule="auto"/>
              <w:ind w:left="0" w:right="0"/>
              <w:jc w:val="center"/>
              <w:rPr>
                <w:rFonts w:hint="eastAsia" w:ascii="宋体" w:hAnsi="宋体" w:cs="宋体"/>
                <w:b/>
                <w:bCs/>
                <w:kern w:val="0"/>
                <w:szCs w:val="21"/>
              </w:rPr>
            </w:pPr>
            <w:r>
              <w:rPr>
                <w:rFonts w:hint="eastAsia" w:ascii="宋体" w:hAnsi="宋体" w:cs="宋体"/>
                <w:b/>
                <w:bCs/>
                <w:kern w:val="0"/>
                <w:szCs w:val="21"/>
              </w:rPr>
              <w:t>应急响应方案</w:t>
            </w:r>
          </w:p>
        </w:tc>
        <w:tc>
          <w:tcPr>
            <w:tcW w:w="3786" w:type="pct"/>
            <w:noWrap w:val="0"/>
            <w:vAlign w:val="center"/>
          </w:tcPr>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根据供应商针对本项目采购单位提出的应急响应方案，包括应急响应时效、人员应急安排等应急保障措施情况的合理程度及完备程度进行综合打分。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应急响应方案科学合理的得5分；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应急响应方案较好的得3分；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应急响应方案一般的得1分；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未提供的不得分。</w:t>
            </w:r>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b/>
                <w:bCs/>
                <w:kern w:val="0"/>
                <w:szCs w:val="21"/>
              </w:rPr>
            </w:pPr>
            <w:r>
              <w:rPr>
                <w:rFonts w:hint="eastAsia" w:ascii="宋体" w:hAnsi="宋体" w:cs="宋体"/>
                <w:b/>
                <w:bCs/>
                <w:kern w:val="0"/>
                <w:szCs w:val="21"/>
              </w:rPr>
              <w:t>18</w:t>
            </w:r>
          </w:p>
        </w:tc>
        <w:tc>
          <w:tcPr>
            <w:tcW w:w="560" w:type="pct"/>
            <w:noWrap w:val="0"/>
            <w:vAlign w:val="center"/>
          </w:tcPr>
          <w:p>
            <w:pPr>
              <w:keepNext w:val="0"/>
              <w:keepLines w:val="0"/>
              <w:suppressLineNumbers w:val="0"/>
              <w:spacing w:before="0" w:beforeAutospacing="0" w:after="0" w:afterAutospacing="0" w:line="264" w:lineRule="auto"/>
              <w:ind w:left="0" w:right="0"/>
              <w:jc w:val="center"/>
              <w:rPr>
                <w:rFonts w:hint="eastAsia" w:ascii="宋体" w:hAnsi="宋体" w:eastAsia="宋体" w:cs="宋体"/>
                <w:b/>
                <w:bCs/>
                <w:kern w:val="0"/>
                <w:szCs w:val="21"/>
                <w:lang w:val="en-US" w:eastAsia="zh-CN"/>
              </w:rPr>
            </w:pPr>
            <w:r>
              <w:rPr>
                <w:rFonts w:hint="eastAsia" w:cs="仿宋"/>
                <w:b/>
                <w:bCs/>
                <w:lang w:bidi="ar"/>
              </w:rPr>
              <w:t xml:space="preserve">工程施工重、 </w:t>
            </w:r>
            <w:r>
              <w:rPr>
                <w:rFonts w:hint="default" w:cs="仿宋"/>
                <w:b/>
                <w:bCs/>
                <w:lang w:bidi="ar"/>
              </w:rPr>
              <w:t>难点</w:t>
            </w:r>
            <w:r>
              <w:rPr>
                <w:rFonts w:hint="eastAsia" w:cs="仿宋"/>
                <w:b/>
                <w:bCs/>
                <w:lang w:val="en-US" w:eastAsia="zh-CN" w:bidi="ar"/>
              </w:rPr>
              <w:t>监理</w:t>
            </w:r>
          </w:p>
        </w:tc>
        <w:tc>
          <w:tcPr>
            <w:tcW w:w="3786" w:type="pct"/>
            <w:noWrap w:val="0"/>
            <w:vAlign w:val="center"/>
          </w:tcPr>
          <w:p>
            <w:pPr>
              <w:keepNext w:val="0"/>
              <w:keepLines w:val="0"/>
              <w:suppressLineNumbers w:val="0"/>
              <w:spacing w:before="0" w:beforeAutospacing="0" w:after="0" w:afterAutospacing="0" w:line="340" w:lineRule="exact"/>
              <w:ind w:left="0" w:right="0"/>
              <w:jc w:val="left"/>
              <w:rPr>
                <w:rFonts w:hint="eastAsia" w:cs="仿宋"/>
                <w:lang w:eastAsia="zh-CN" w:bidi="ar"/>
              </w:rPr>
            </w:pPr>
            <w:r>
              <w:rPr>
                <w:rFonts w:hint="eastAsia" w:ascii="宋体" w:hAnsi="宋体" w:cs="宋体"/>
              </w:rPr>
              <w:t>根据供应商针对</w:t>
            </w:r>
            <w:r>
              <w:rPr>
                <w:rFonts w:hint="eastAsia" w:cs="仿宋"/>
                <w:lang w:bidi="ar"/>
              </w:rPr>
              <w:t>工程施工的重、</w:t>
            </w:r>
            <w:r>
              <w:rPr>
                <w:rFonts w:hint="default" w:cs="仿宋"/>
                <w:lang w:bidi="ar"/>
              </w:rPr>
              <w:t>难点，施工关键部位的</w:t>
            </w:r>
            <w:r>
              <w:rPr>
                <w:rFonts w:hint="eastAsia" w:cs="仿宋"/>
                <w:lang w:val="en-US" w:eastAsia="zh-CN" w:bidi="ar"/>
              </w:rPr>
              <w:t>监理</w:t>
            </w:r>
            <w:r>
              <w:rPr>
                <w:rFonts w:hint="default" w:cs="仿宋"/>
                <w:lang w:bidi="ar"/>
              </w:rPr>
              <w:t>阐明</w:t>
            </w:r>
            <w:r>
              <w:rPr>
                <w:rFonts w:hint="eastAsia" w:cs="仿宋"/>
                <w:lang w:bidi="ar"/>
              </w:rPr>
              <w:t>情况</w:t>
            </w:r>
            <w:r>
              <w:rPr>
                <w:rFonts w:hint="eastAsia" w:cs="仿宋"/>
                <w:lang w:eastAsia="zh-CN" w:bidi="ar"/>
              </w:rPr>
              <w:t>。</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1）</w:t>
            </w:r>
            <w:r>
              <w:rPr>
                <w:rFonts w:hint="eastAsia" w:ascii="宋体" w:hAnsi="宋体" w:cs="宋体"/>
              </w:rPr>
              <w:t>科学合理的得5分；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2）</w:t>
            </w:r>
            <w:r>
              <w:rPr>
                <w:rFonts w:hint="eastAsia" w:ascii="宋体" w:hAnsi="宋体" w:cs="宋体"/>
              </w:rPr>
              <w:t>措施较好的得3分；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3）</w:t>
            </w:r>
            <w:r>
              <w:rPr>
                <w:rFonts w:hint="eastAsia" w:ascii="宋体" w:hAnsi="宋体" w:cs="宋体"/>
              </w:rPr>
              <w:t>一般的得1分；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未提供的不得分。</w:t>
            </w:r>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jc w:val="center"/>
        </w:trPr>
        <w:tc>
          <w:tcPr>
            <w:tcW w:w="250" w:type="pct"/>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b/>
                <w:bCs/>
                <w:kern w:val="0"/>
                <w:szCs w:val="21"/>
              </w:rPr>
            </w:pPr>
            <w:r>
              <w:rPr>
                <w:rFonts w:hint="eastAsia" w:ascii="宋体" w:hAnsi="宋体" w:cs="宋体"/>
                <w:b/>
                <w:bCs/>
                <w:kern w:val="0"/>
                <w:szCs w:val="21"/>
              </w:rPr>
              <w:t>19</w:t>
            </w:r>
          </w:p>
        </w:tc>
        <w:tc>
          <w:tcPr>
            <w:tcW w:w="560" w:type="pct"/>
            <w:noWrap w:val="0"/>
            <w:vAlign w:val="center"/>
          </w:tcPr>
          <w:p>
            <w:pPr>
              <w:keepNext w:val="0"/>
              <w:keepLines w:val="0"/>
              <w:widowControl/>
              <w:suppressLineNumbers w:val="0"/>
              <w:spacing w:before="0" w:beforeAutospacing="0" w:after="0" w:afterAutospacing="0"/>
              <w:ind w:left="0" w:right="145" w:rightChars="69"/>
              <w:jc w:val="center"/>
              <w:rPr>
                <w:rFonts w:hint="eastAsia" w:ascii="宋体" w:hAnsi="宋体" w:cs="宋体"/>
                <w:b/>
                <w:bCs/>
                <w:kern w:val="0"/>
                <w:szCs w:val="21"/>
              </w:rPr>
            </w:pPr>
            <w:r>
              <w:rPr>
                <w:rFonts w:hint="eastAsia" w:ascii="宋体" w:hAnsi="宋体" w:cs="宋体"/>
                <w:b/>
                <w:bCs/>
                <w:kern w:val="0"/>
                <w:szCs w:val="21"/>
              </w:rPr>
              <w:t>合理化建议</w:t>
            </w:r>
          </w:p>
        </w:tc>
        <w:tc>
          <w:tcPr>
            <w:tcW w:w="3786" w:type="pct"/>
            <w:noWrap w:val="0"/>
            <w:vAlign w:val="center"/>
          </w:tcPr>
          <w:p>
            <w:pPr>
              <w:keepNext w:val="0"/>
              <w:keepLines w:val="0"/>
              <w:suppressLineNumbers w:val="0"/>
              <w:spacing w:before="0" w:beforeAutospacing="0" w:after="0" w:afterAutospacing="0" w:line="340" w:lineRule="exact"/>
              <w:ind w:left="0" w:right="0"/>
              <w:jc w:val="left"/>
              <w:rPr>
                <w:rFonts w:hint="eastAsia" w:ascii="宋体" w:hAnsi="宋体" w:cs="宋体"/>
              </w:rPr>
            </w:pPr>
            <w:bookmarkStart w:id="342" w:name="_GoBack"/>
            <w:r>
              <w:rPr>
                <w:rFonts w:hint="eastAsia" w:ascii="宋体" w:hAnsi="宋体" w:cs="宋体"/>
              </w:rPr>
              <w:t>供应商提供的建议针对性强，符合项目实际情况，可操作性强。</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1）</w:t>
            </w:r>
            <w:r>
              <w:rPr>
                <w:rFonts w:hint="eastAsia" w:ascii="宋体" w:hAnsi="宋体" w:cs="宋体"/>
              </w:rPr>
              <w:t>合理化建议科学合理的得5分；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lang w:val="en-US" w:eastAsia="zh-CN"/>
              </w:rPr>
              <w:t>2）</w:t>
            </w:r>
            <w:r>
              <w:rPr>
                <w:rFonts w:hint="eastAsia" w:ascii="宋体" w:hAnsi="宋体" w:cs="宋体"/>
              </w:rPr>
              <w:t>合理化建议较好的得3分；</w:t>
            </w:r>
            <w:r>
              <w:rPr>
                <w:rFonts w:hint="eastAsia" w:ascii="宋体" w:hAnsi="宋体" w:cs="宋体"/>
              </w:rPr>
              <w:br w:type="textWrapping"/>
            </w:r>
            <w:r>
              <w:rPr>
                <w:rFonts w:hint="eastAsia" w:ascii="宋体" w:hAnsi="宋体" w:cs="宋体"/>
                <w:lang w:val="en-US" w:eastAsia="zh-CN"/>
              </w:rPr>
              <w:t>3）</w:t>
            </w:r>
            <w:r>
              <w:rPr>
                <w:rFonts w:hint="eastAsia" w:ascii="宋体" w:hAnsi="宋体" w:cs="宋体"/>
              </w:rPr>
              <w:t>合理化建议一般的得1分；</w:t>
            </w:r>
          </w:p>
          <w:p>
            <w:pPr>
              <w:keepNext w:val="0"/>
              <w:keepLines w:val="0"/>
              <w:suppressLineNumbers w:val="0"/>
              <w:spacing w:before="0" w:beforeAutospacing="0" w:after="0" w:afterAutospacing="0" w:line="340" w:lineRule="exact"/>
              <w:ind w:left="0" w:right="0"/>
              <w:jc w:val="left"/>
              <w:rPr>
                <w:rFonts w:hint="eastAsia" w:ascii="宋体" w:hAnsi="宋体" w:cs="宋体"/>
              </w:rPr>
            </w:pPr>
            <w:r>
              <w:rPr>
                <w:rFonts w:hint="eastAsia" w:ascii="宋体" w:hAnsi="宋体" w:cs="宋体"/>
              </w:rPr>
              <w:t>未提供的不得分。</w:t>
            </w:r>
            <w:bookmarkEnd w:id="342"/>
          </w:p>
        </w:tc>
        <w:tc>
          <w:tcPr>
            <w:tcW w:w="401"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exact"/>
          <w:jc w:val="center"/>
        </w:trPr>
        <w:tc>
          <w:tcPr>
            <w:tcW w:w="250" w:type="pct"/>
            <w:noWrap w:val="0"/>
            <w:vAlign w:val="center"/>
          </w:tcPr>
          <w:p>
            <w:pPr>
              <w:keepNext w:val="0"/>
              <w:keepLines w:val="0"/>
              <w:widowControl/>
              <w:suppressLineNumbers w:val="0"/>
              <w:spacing w:before="0" w:beforeAutospacing="0" w:after="0" w:afterAutospacing="0" w:line="340" w:lineRule="exact"/>
              <w:ind w:left="0" w:right="0"/>
              <w:jc w:val="center"/>
              <w:rPr>
                <w:rFonts w:hint="eastAsia" w:ascii="宋体" w:hAnsi="宋体" w:cs="宋体"/>
                <w:b/>
                <w:szCs w:val="21"/>
              </w:rPr>
            </w:pPr>
            <w:r>
              <w:rPr>
                <w:rFonts w:hint="eastAsia" w:ascii="宋体" w:hAnsi="宋体" w:cs="宋体"/>
                <w:b/>
                <w:szCs w:val="21"/>
              </w:rPr>
              <w:t>备注</w:t>
            </w:r>
          </w:p>
        </w:tc>
        <w:tc>
          <w:tcPr>
            <w:tcW w:w="4749" w:type="pct"/>
            <w:gridSpan w:val="3"/>
            <w:noWrap w:val="0"/>
            <w:vAlign w:val="center"/>
          </w:tcPr>
          <w:p>
            <w:pPr>
              <w:keepNext w:val="0"/>
              <w:keepLines w:val="0"/>
              <w:suppressLineNumbers w:val="0"/>
              <w:spacing w:before="0" w:beforeAutospacing="0" w:after="0" w:afterAutospacing="0" w:line="340" w:lineRule="exact"/>
              <w:ind w:left="0" w:right="0"/>
              <w:rPr>
                <w:rFonts w:hint="eastAsia" w:ascii="宋体" w:hAnsi="宋体" w:cs="宋体"/>
                <w:szCs w:val="21"/>
              </w:rPr>
            </w:pPr>
            <w:r>
              <w:rPr>
                <w:rFonts w:hint="eastAsia" w:ascii="宋体" w:hAnsi="宋体" w:cs="宋体"/>
                <w:b/>
                <w:szCs w:val="21"/>
              </w:rPr>
              <w:t>注：1、</w:t>
            </w:r>
            <w:r>
              <w:rPr>
                <w:rFonts w:hint="eastAsia" w:ascii="宋体" w:hAnsi="宋体" w:cs="宋体"/>
                <w:b/>
                <w:kern w:val="0"/>
                <w:szCs w:val="21"/>
              </w:rPr>
              <w:t>以上需提供的证书、证件及证明材料复印件（或扫描件或打印件或网页截图）；</w:t>
            </w:r>
          </w:p>
        </w:tc>
      </w:tr>
    </w:tbl>
    <w:p>
      <w:pPr>
        <w:widowControl/>
        <w:snapToGrid w:val="0"/>
        <w:spacing w:line="360" w:lineRule="auto"/>
        <w:ind w:firstLine="422" w:firstLineChars="200"/>
        <w:rPr>
          <w:rFonts w:ascii="宋体" w:hAnsi="宋体" w:cs="宋体"/>
          <w:b/>
          <w:bCs/>
          <w:kern w:val="0"/>
          <w:szCs w:val="21"/>
          <w:highlight w:val="none"/>
        </w:rPr>
      </w:pPr>
      <w:r>
        <w:rPr>
          <w:rFonts w:hint="eastAsia" w:ascii="宋体" w:hAnsi="宋体" w:cs="宋体"/>
          <w:b/>
          <w:bCs/>
          <w:kern w:val="0"/>
          <w:szCs w:val="21"/>
          <w:highlight w:val="none"/>
        </w:rPr>
        <w:t>4.2报价分（</w:t>
      </w:r>
      <w:r>
        <w:rPr>
          <w:rFonts w:hint="eastAsia" w:ascii="宋体" w:hAnsi="宋体" w:cs="宋体"/>
          <w:b/>
          <w:bCs/>
          <w:kern w:val="0"/>
          <w:szCs w:val="21"/>
          <w:highlight w:val="none"/>
          <w:lang w:val="en-US" w:eastAsia="zh-CN"/>
        </w:rPr>
        <w:t>10</w:t>
      </w:r>
      <w:r>
        <w:rPr>
          <w:rFonts w:hint="eastAsia" w:ascii="宋体" w:hAnsi="宋体" w:cs="宋体"/>
          <w:b/>
          <w:bCs/>
          <w:kern w:val="0"/>
          <w:szCs w:val="21"/>
          <w:highlight w:val="none"/>
        </w:rPr>
        <w:t>分）</w:t>
      </w:r>
    </w:p>
    <w:p>
      <w:pPr>
        <w:widowControl/>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4.2.1投标价格的合理性审查</w:t>
      </w:r>
    </w:p>
    <w:p>
      <w:pPr>
        <w:widowControl/>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（1）分析投标价格是否合理，投标价格范围是否完整，有否重大错漏项；</w:t>
      </w:r>
    </w:p>
    <w:p>
      <w:pPr>
        <w:widowControl/>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2）评标委员会认为供应商的报价明显低于其他通过符合性审查供应商的报价，有可能影响产品质量或者不能诚信履约的，应当要求其在30分钟内在“政府采购云平台”在线提供书面说明，必要时提交相关证明材料；供应商不能证明其报价合理性的，评标委员会应当将其作为无效投标处理。</w:t>
      </w:r>
    </w:p>
    <w:p>
      <w:pPr>
        <w:widowControl/>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4.2.2报价分计算方法</w:t>
      </w:r>
    </w:p>
    <w:p>
      <w:pPr>
        <w:widowControl/>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报价评分将在有效供应商范围内进行，最高得</w:t>
      </w:r>
      <w:r>
        <w:rPr>
          <w:rFonts w:hint="eastAsia" w:ascii="宋体" w:hAnsi="宋体" w:cs="宋体"/>
          <w:kern w:val="0"/>
          <w:szCs w:val="21"/>
          <w:highlight w:val="none"/>
          <w:u w:val="single"/>
          <w:lang w:val="en-US" w:eastAsia="zh-CN"/>
        </w:rPr>
        <w:t>10</w:t>
      </w:r>
      <w:r>
        <w:rPr>
          <w:rFonts w:hint="eastAsia" w:ascii="宋体" w:hAnsi="宋体" w:cs="宋体"/>
          <w:kern w:val="0"/>
          <w:szCs w:val="21"/>
          <w:highlight w:val="none"/>
        </w:rPr>
        <w:t>分，最低得</w:t>
      </w:r>
      <w:r>
        <w:rPr>
          <w:rFonts w:hint="eastAsia" w:ascii="宋体" w:hAnsi="宋体" w:cs="宋体"/>
          <w:kern w:val="0"/>
          <w:szCs w:val="21"/>
          <w:highlight w:val="none"/>
          <w:u w:val="single"/>
        </w:rPr>
        <w:t>0</w:t>
      </w:r>
      <w:r>
        <w:rPr>
          <w:rFonts w:hint="eastAsia" w:ascii="宋体" w:hAnsi="宋体" w:cs="宋体"/>
          <w:kern w:val="0"/>
          <w:szCs w:val="21"/>
          <w:highlight w:val="none"/>
        </w:rPr>
        <w:t>分（小数点后保留二位小数，第三位四舍五入）。满足采购文件要求且投标价格最低的</w:t>
      </w:r>
      <w:r>
        <w:rPr>
          <w:rFonts w:hint="eastAsia" w:ascii="宋体" w:hAnsi="宋体" w:cs="宋体"/>
          <w:b/>
          <w:kern w:val="0"/>
          <w:szCs w:val="21"/>
          <w:highlight w:val="none"/>
          <w:u w:val="thick"/>
        </w:rPr>
        <w:t>投标报价</w:t>
      </w:r>
      <w:r>
        <w:rPr>
          <w:rFonts w:hint="eastAsia" w:ascii="宋体" w:hAnsi="宋体" w:cs="宋体"/>
          <w:kern w:val="0"/>
          <w:szCs w:val="21"/>
          <w:highlight w:val="none"/>
        </w:rPr>
        <w:t>为</w:t>
      </w:r>
      <w:r>
        <w:rPr>
          <w:rFonts w:hint="eastAsia" w:ascii="宋体" w:hAnsi="宋体" w:cs="宋体"/>
          <w:b/>
          <w:kern w:val="0"/>
          <w:szCs w:val="21"/>
          <w:highlight w:val="none"/>
          <w:u w:val="thick"/>
        </w:rPr>
        <w:t>评标基准价</w:t>
      </w:r>
      <w:r>
        <w:rPr>
          <w:rFonts w:hint="eastAsia" w:ascii="宋体" w:hAnsi="宋体" w:cs="宋体"/>
          <w:kern w:val="0"/>
          <w:szCs w:val="21"/>
          <w:highlight w:val="none"/>
        </w:rPr>
        <w:t>，供应商的价格分统一按照下列公式计算：</w:t>
      </w:r>
    </w:p>
    <w:p>
      <w:pPr>
        <w:widowControl/>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投标报价得分=(</w:t>
      </w:r>
      <w:r>
        <w:rPr>
          <w:rFonts w:hint="eastAsia" w:ascii="宋体" w:hAnsi="宋体" w:cs="宋体"/>
          <w:b/>
          <w:kern w:val="0"/>
          <w:szCs w:val="21"/>
          <w:highlight w:val="none"/>
          <w:u w:val="thick"/>
        </w:rPr>
        <w:t>评标基准价</w:t>
      </w:r>
      <w:r>
        <w:rPr>
          <w:rFonts w:hint="eastAsia" w:ascii="宋体" w:hAnsi="宋体" w:cs="宋体"/>
          <w:kern w:val="0"/>
          <w:szCs w:val="21"/>
          <w:highlight w:val="none"/>
        </w:rPr>
        <w:t>／</w:t>
      </w:r>
      <w:r>
        <w:rPr>
          <w:rFonts w:hint="eastAsia" w:ascii="宋体" w:hAnsi="宋体" w:cs="宋体"/>
          <w:b/>
          <w:kern w:val="0"/>
          <w:szCs w:val="21"/>
          <w:highlight w:val="none"/>
          <w:u w:val="thick"/>
        </w:rPr>
        <w:t>投标报价</w:t>
      </w:r>
      <w:r>
        <w:rPr>
          <w:rFonts w:hint="eastAsia" w:ascii="宋体" w:hAnsi="宋体" w:cs="宋体"/>
          <w:kern w:val="0"/>
          <w:szCs w:val="21"/>
          <w:highlight w:val="none"/>
        </w:rPr>
        <w:t>)×</w:t>
      </w:r>
      <w:r>
        <w:rPr>
          <w:rFonts w:hint="eastAsia" w:ascii="宋体" w:hAnsi="宋体" w:cs="宋体"/>
          <w:kern w:val="0"/>
          <w:szCs w:val="21"/>
          <w:highlight w:val="none"/>
          <w:u w:val="single"/>
          <w:lang w:val="en-US" w:eastAsia="zh-CN"/>
        </w:rPr>
        <w:t>10</w:t>
      </w:r>
      <w:r>
        <w:rPr>
          <w:rFonts w:hint="eastAsia" w:ascii="宋体" w:hAnsi="宋体" w:cs="宋体"/>
          <w:kern w:val="0"/>
          <w:szCs w:val="21"/>
          <w:highlight w:val="none"/>
        </w:rPr>
        <w:t>×100%</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此项由</w:t>
      </w:r>
      <w:r>
        <w:rPr>
          <w:rFonts w:hint="eastAsia" w:ascii="宋体" w:hAnsi="宋体" w:cs="宋体"/>
          <w:highlight w:val="none"/>
        </w:rPr>
        <w:t>评标委员会</w:t>
      </w:r>
      <w:r>
        <w:rPr>
          <w:rFonts w:hint="eastAsia" w:ascii="宋体" w:hAnsi="宋体" w:cs="宋体"/>
          <w:szCs w:val="21"/>
          <w:highlight w:val="none"/>
        </w:rPr>
        <w:t>集体核实后统一打分。</w:t>
      </w:r>
    </w:p>
    <w:p>
      <w:pPr>
        <w:adjustRightInd w:val="0"/>
        <w:snapToGrid w:val="0"/>
        <w:spacing w:line="360" w:lineRule="auto"/>
        <w:ind w:firstLine="422" w:firstLineChars="200"/>
        <w:rPr>
          <w:rFonts w:ascii="宋体" w:hAnsi="宋体" w:cs="宋体"/>
          <w:b/>
          <w:bCs/>
          <w:highlight w:val="none"/>
        </w:rPr>
      </w:pPr>
      <w:bookmarkStart w:id="34" w:name="_Toc8922"/>
      <w:bookmarkStart w:id="35" w:name="_Toc17094"/>
      <w:bookmarkStart w:id="36" w:name="_Toc24318"/>
      <w:bookmarkStart w:id="37" w:name="_Toc1153"/>
      <w:r>
        <w:rPr>
          <w:rFonts w:hint="eastAsia" w:ascii="宋体" w:hAnsi="宋体" w:cs="宋体"/>
          <w:b/>
          <w:bCs/>
          <w:highlight w:val="none"/>
        </w:rPr>
        <w:t>五、其他评审事项规定</w:t>
      </w:r>
      <w:bookmarkEnd w:id="34"/>
      <w:bookmarkEnd w:id="35"/>
      <w:bookmarkEnd w:id="36"/>
      <w:bookmarkEnd w:id="37"/>
    </w:p>
    <w:p>
      <w:pPr>
        <w:widowControl/>
        <w:adjustRightInd w:val="0"/>
        <w:snapToGrid w:val="0"/>
        <w:spacing w:line="360" w:lineRule="auto"/>
        <w:ind w:firstLine="422" w:firstLineChars="200"/>
        <w:rPr>
          <w:rFonts w:ascii="宋体" w:hAnsi="宋体" w:cs="宋体"/>
          <w:b/>
          <w:bCs/>
          <w:szCs w:val="21"/>
          <w:highlight w:val="none"/>
        </w:rPr>
      </w:pPr>
      <w:r>
        <w:rPr>
          <w:rFonts w:hint="eastAsia" w:ascii="宋体" w:hAnsi="宋体" w:cs="宋体"/>
          <w:b/>
          <w:bCs/>
          <w:szCs w:val="21"/>
          <w:highlight w:val="none"/>
        </w:rPr>
        <w:t>5.1 串通投标的认定</w:t>
      </w:r>
    </w:p>
    <w:p>
      <w:pPr>
        <w:widowControl/>
        <w:adjustRightInd w:val="0"/>
        <w:snapToGrid w:val="0"/>
        <w:spacing w:line="360" w:lineRule="auto"/>
        <w:ind w:firstLine="420" w:firstLineChars="200"/>
        <w:rPr>
          <w:rFonts w:ascii="宋体" w:hAnsi="宋体" w:cs="宋体"/>
          <w:highlight w:val="none"/>
        </w:rPr>
      </w:pPr>
      <w:r>
        <w:rPr>
          <w:rFonts w:hint="eastAsia" w:ascii="宋体" w:hAnsi="宋体" w:cs="宋体"/>
          <w:szCs w:val="21"/>
          <w:highlight w:val="none"/>
        </w:rPr>
        <w:t>5.1.</w:t>
      </w:r>
      <w:r>
        <w:rPr>
          <w:rFonts w:hint="eastAsia" w:ascii="宋体" w:hAnsi="宋体" w:cs="宋体"/>
          <w:highlight w:val="none"/>
        </w:rPr>
        <w:t>1有下列情形之一的，视为供应商串通投标，其投标无效：</w:t>
      </w:r>
    </w:p>
    <w:p>
      <w:pPr>
        <w:widowControl/>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（1）不同供应商的投标文件由同一单位或者个人编制；</w:t>
      </w:r>
    </w:p>
    <w:p>
      <w:pPr>
        <w:widowControl/>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（2）不同供应商委托同一单位或者个人办理投标事宜；</w:t>
      </w:r>
    </w:p>
    <w:p>
      <w:pPr>
        <w:widowControl/>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（3）不同供应商的投标文件载明的项目管理成员或者联系人员为同一人；</w:t>
      </w:r>
    </w:p>
    <w:p>
      <w:pPr>
        <w:widowControl/>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（4）不同供应商的投标文件异常一致或者投标报价呈规律性差异；</w:t>
      </w:r>
    </w:p>
    <w:p>
      <w:pPr>
        <w:widowControl/>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（5）不同供应商的投标文件相互混装。</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5.1.2供应商应当遵循公平竞争的原则，不得恶意串通，不得妨碍其他供应商的竞争行为，不得损害采购人或者其他供应商的合法权益。在评标过程中发现供应商有上述情形的，评标委员会应当认定其投标无效，并书面报告本级财政部门。</w:t>
      </w:r>
    </w:p>
    <w:p>
      <w:pPr>
        <w:adjustRightInd w:val="0"/>
        <w:snapToGrid w:val="0"/>
        <w:spacing w:line="360" w:lineRule="auto"/>
        <w:ind w:firstLine="422" w:firstLineChars="200"/>
        <w:rPr>
          <w:rFonts w:ascii="宋体" w:hAnsi="宋体" w:cs="宋体"/>
          <w:b/>
          <w:bCs/>
          <w:highlight w:val="none"/>
        </w:rPr>
      </w:pPr>
      <w:r>
        <w:rPr>
          <w:rFonts w:hint="eastAsia" w:ascii="宋体" w:hAnsi="宋体" w:cs="宋体"/>
          <w:b/>
          <w:bCs/>
          <w:highlight w:val="none"/>
        </w:rPr>
        <w:t xml:space="preserve">5.2 不同供应商之间存在以下利害关系并且存在影响政府采购公平竞争行为的，不得参加同一合同项下的政府采购活动，相关投标供应商的投标均作无效处理： </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A.法定代表人或负责人或实际控制人是同一人；</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B.法定代表人或负责人或实际控制人是夫妻关系；</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C.法定代表人或负责人或实际控制人是直系血亲关系；</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D.法定代表人或负责人或实际控制人存在三代以内旁系血亲关系；</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E.法定代表人或负责人或实际控制人存在近姻亲关系；</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F.法定代表人或负责人或实际控制人存在股份控制或实际控制关系；</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G.存在共同直接或间接投资设立子公司、联营企业和合营企业情况；</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highlight w:val="none"/>
        </w:rPr>
        <w:t>H.存在分级代理或代销关系、同一生产制造商关系、管理关系、重要业务（占主营业务收入50%以上）或重要财务往来关系（如融资）等其他实质性控制关系。</w:t>
      </w:r>
    </w:p>
    <w:p>
      <w:pPr>
        <w:widowControl/>
        <w:adjustRightInd w:val="0"/>
        <w:snapToGrid w:val="0"/>
        <w:spacing w:line="360" w:lineRule="auto"/>
        <w:ind w:firstLine="422" w:firstLineChars="200"/>
        <w:rPr>
          <w:rFonts w:ascii="宋体" w:hAnsi="宋体" w:cs="宋体"/>
          <w:b/>
          <w:bCs/>
          <w:highlight w:val="none"/>
        </w:rPr>
      </w:pPr>
      <w:r>
        <w:rPr>
          <w:rFonts w:hint="eastAsia" w:ascii="宋体" w:hAnsi="宋体" w:cs="宋体"/>
          <w:b/>
          <w:bCs/>
          <w:szCs w:val="21"/>
          <w:highlight w:val="none"/>
        </w:rPr>
        <w:t xml:space="preserve">5.3 </w:t>
      </w:r>
      <w:r>
        <w:rPr>
          <w:rFonts w:hint="eastAsia" w:ascii="宋体" w:hAnsi="宋体" w:cs="宋体"/>
          <w:b/>
          <w:bCs/>
          <w:highlight w:val="none"/>
        </w:rPr>
        <w:t>有效供应商少于三家的情况处理</w:t>
      </w:r>
    </w:p>
    <w:p>
      <w:pPr>
        <w:pStyle w:val="145"/>
        <w:spacing w:line="360" w:lineRule="auto"/>
        <w:ind w:firstLine="420"/>
        <w:rPr>
          <w:rFonts w:ascii="宋体" w:hAnsi="宋体" w:cs="宋体"/>
          <w:highlight w:val="none"/>
        </w:rPr>
      </w:pPr>
      <w:r>
        <w:rPr>
          <w:rFonts w:hint="eastAsia" w:ascii="宋体" w:hAnsi="宋体" w:cs="宋体"/>
          <w:highlight w:val="none"/>
        </w:rPr>
        <w:t>投标截止后供应商不足3家或者通过资格审查或符合性审查的供应商不足3家的，除采购任务取消情形外，按照以下方式处理：</w:t>
      </w:r>
    </w:p>
    <w:p>
      <w:pPr>
        <w:pStyle w:val="145"/>
        <w:spacing w:line="360" w:lineRule="auto"/>
        <w:ind w:firstLine="420"/>
        <w:rPr>
          <w:rFonts w:ascii="宋体" w:hAnsi="宋体" w:cs="宋体"/>
          <w:highlight w:val="none"/>
        </w:rPr>
      </w:pPr>
      <w:r>
        <w:rPr>
          <w:rFonts w:hint="eastAsia" w:ascii="宋体" w:hAnsi="宋体" w:cs="宋体"/>
          <w:highlight w:val="none"/>
        </w:rPr>
        <w:t>（1）采购文件存在不合理条款或者招标程序不符合规定的，采购人、采购代理机构改正后依法重新招标；</w:t>
      </w:r>
    </w:p>
    <w:p>
      <w:pPr>
        <w:pStyle w:val="145"/>
        <w:spacing w:line="360" w:lineRule="auto"/>
        <w:ind w:firstLine="420"/>
        <w:rPr>
          <w:rFonts w:ascii="宋体" w:hAnsi="宋体" w:cs="宋体"/>
          <w:highlight w:val="none"/>
        </w:rPr>
      </w:pPr>
      <w:r>
        <w:rPr>
          <w:rFonts w:hint="eastAsia" w:ascii="宋体" w:hAnsi="宋体" w:cs="宋体"/>
          <w:highlight w:val="none"/>
        </w:rPr>
        <w:t>（2）采购文件没有不合理条款、招标程序符合规定，需要采用其他采购方式采购的，采购人应当依法报财政部门批准。</w:t>
      </w:r>
    </w:p>
    <w:p>
      <w:pPr>
        <w:widowControl/>
        <w:adjustRightInd w:val="0"/>
        <w:snapToGrid w:val="0"/>
        <w:spacing w:line="360" w:lineRule="auto"/>
        <w:ind w:firstLine="422" w:firstLineChars="200"/>
        <w:rPr>
          <w:rFonts w:ascii="宋体" w:hAnsi="宋体" w:cs="宋体"/>
          <w:b/>
          <w:bCs/>
          <w:szCs w:val="21"/>
          <w:highlight w:val="none"/>
        </w:rPr>
      </w:pPr>
      <w:r>
        <w:rPr>
          <w:rFonts w:hint="eastAsia" w:ascii="宋体" w:hAnsi="宋体" w:cs="宋体"/>
          <w:b/>
          <w:bCs/>
          <w:szCs w:val="21"/>
          <w:highlight w:val="none"/>
        </w:rPr>
        <w:t>5.4 废标适用情形</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在招标采购中，出现下列情形之一的，项目将予以废标：</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（1）符合专业条件的供应商或者对采购文件作实质响应的供应商不足三家的；</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（2）出现影响采购公正的违法、违规行为的；</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（3）供应商的报价均超过了采购预算（最高限价），采购人不能支付的；</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（4）因重大变故，采购任务取消的。</w:t>
      </w:r>
    </w:p>
    <w:p>
      <w:pPr>
        <w:widowControl/>
        <w:adjustRightInd w:val="0"/>
        <w:snapToGrid w:val="0"/>
        <w:spacing w:line="360" w:lineRule="auto"/>
        <w:ind w:firstLine="422" w:firstLineChars="200"/>
        <w:rPr>
          <w:rFonts w:ascii="宋体" w:hAnsi="宋体" w:cs="宋体"/>
          <w:b/>
          <w:bCs/>
          <w:szCs w:val="21"/>
          <w:highlight w:val="none"/>
        </w:rPr>
      </w:pPr>
      <w:r>
        <w:rPr>
          <w:rFonts w:hint="eastAsia" w:ascii="宋体" w:hAnsi="宋体" w:cs="宋体"/>
          <w:b/>
          <w:bCs/>
          <w:szCs w:val="21"/>
          <w:highlight w:val="none"/>
        </w:rPr>
        <w:t xml:space="preserve">5.5 </w:t>
      </w:r>
      <w:r>
        <w:rPr>
          <w:rFonts w:hint="eastAsia" w:ascii="宋体" w:hAnsi="宋体" w:cs="宋体"/>
          <w:b/>
          <w:highlight w:val="none"/>
        </w:rPr>
        <w:t>特殊情况</w:t>
      </w:r>
      <w:r>
        <w:rPr>
          <w:rFonts w:hint="eastAsia" w:ascii="宋体" w:hAnsi="宋体" w:cs="宋体"/>
          <w:b/>
          <w:bCs/>
          <w:szCs w:val="21"/>
          <w:highlight w:val="none"/>
        </w:rPr>
        <w:t>中止电子交易活动的情形</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采购过程中出现以下情形，导致电子交易平台无法正常运行，或者无法保证电子交易的公平、公正和安全时，采购组织机构可中止电子交易活动：</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（1）电子交易平台发生故障而无法登录访问的；</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（2）电子交易平台应用或数据库出现错误，不能进行正常操作的；</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（3）电子交易平台发现严重安全漏洞，有潜在泄密危险的；</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（4）病毒发作导致不能进行正常操作的；</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（5）其他无法保证电子交易的公平、公正和安全的情况。</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出现前款规定情形，不影响采购公平、公正性的，采购组织机构可以待上述情形消除后继续组织电子交易活动，也可以决定某些环节以纸质形式进行；影响或可能影响采购公平、公正性的，将重新采购。</w:t>
      </w:r>
    </w:p>
    <w:p>
      <w:pPr>
        <w:pStyle w:val="3"/>
        <w:rPr>
          <w:rFonts w:ascii="宋体" w:hAnsi="宋体" w:cs="宋体"/>
          <w:color w:val="auto"/>
          <w:highlight w:val="none"/>
        </w:rPr>
      </w:pPr>
      <w:r>
        <w:rPr>
          <w:rFonts w:hint="eastAsia" w:ascii="宋体" w:hAnsi="宋体" w:cs="宋体"/>
          <w:color w:val="auto"/>
          <w:kern w:val="0"/>
          <w:szCs w:val="21"/>
          <w:highlight w:val="none"/>
        </w:rPr>
        <w:br w:type="page"/>
      </w:r>
      <w:bookmarkStart w:id="38" w:name="_Toc29070"/>
      <w:bookmarkStart w:id="39" w:name="_Toc273624872"/>
      <w:bookmarkStart w:id="40" w:name="_Toc211745565"/>
      <w:bookmarkStart w:id="41" w:name="_Toc82873316"/>
      <w:bookmarkStart w:id="42" w:name="_Toc82338233"/>
      <w:r>
        <w:rPr>
          <w:rFonts w:hint="eastAsia" w:ascii="宋体" w:hAnsi="宋体" w:cs="宋体"/>
          <w:color w:val="auto"/>
          <w:highlight w:val="none"/>
        </w:rPr>
        <w:t>第四章 采购合同</w:t>
      </w:r>
      <w:bookmarkEnd w:id="38"/>
    </w:p>
    <w:p>
      <w:pPr>
        <w:spacing w:line="440" w:lineRule="exact"/>
        <w:jc w:val="left"/>
        <w:rPr>
          <w:rFonts w:ascii="宋体" w:hAnsi="宋体" w:cs="宋体"/>
          <w:szCs w:val="21"/>
          <w:highlight w:val="none"/>
        </w:rPr>
      </w:pPr>
      <w:r>
        <w:rPr>
          <w:rFonts w:hint="eastAsia" w:ascii="宋体" w:hAnsi="宋体" w:cs="宋体"/>
          <w:szCs w:val="21"/>
          <w:highlight w:val="none"/>
        </w:rPr>
        <w:t>合同文本采用建设工程委托监理合同示范文本（ＧＦ－2012－0202）。</w:t>
      </w:r>
    </w:p>
    <w:p>
      <w:pPr>
        <w:spacing w:line="360" w:lineRule="auto"/>
        <w:rPr>
          <w:rFonts w:hint="eastAsia" w:ascii="宋体" w:hAnsi="宋体" w:cs="宋体"/>
          <w:sz w:val="24"/>
          <w:highlight w:val="none"/>
        </w:rPr>
      </w:pPr>
      <w:r>
        <w:rPr>
          <w:rFonts w:hint="eastAsia" w:ascii="宋体" w:cs="宋体"/>
          <w:szCs w:val="21"/>
          <w:highlight w:val="none"/>
        </w:rPr>
        <w:t>由招标人（委托人）与中标人（监理人）根据本章合同条款格式及投标文件签订监理合同。</w:t>
      </w:r>
    </w:p>
    <w:p>
      <w:pPr>
        <w:pStyle w:val="6"/>
        <w:spacing w:before="156" w:after="156" w:line="360" w:lineRule="auto"/>
        <w:jc w:val="center"/>
        <w:rPr>
          <w:rFonts w:hint="eastAsia" w:hAnsi="宋体" w:cs="宋体"/>
          <w:color w:val="000000"/>
          <w:highlight w:val="none"/>
          <w:lang w:val="zh-CN"/>
        </w:rPr>
        <w:sectPr>
          <w:footerReference r:id="rId3" w:type="default"/>
          <w:pgSz w:w="11906" w:h="16838"/>
          <w:pgMar w:top="1134" w:right="1417" w:bottom="1134" w:left="1417" w:header="567" w:footer="850" w:gutter="0"/>
          <w:pgNumType w:fmt="decimal"/>
          <w:cols w:space="720" w:num="1"/>
          <w:docGrid w:type="lines" w:linePitch="312" w:charSpace="0"/>
        </w:sectPr>
      </w:pPr>
    </w:p>
    <w:p>
      <w:pPr>
        <w:spacing w:line="360" w:lineRule="auto"/>
        <w:jc w:val="center"/>
        <w:rPr>
          <w:rFonts w:hint="eastAsia" w:ascii="宋体" w:hAnsi="宋体" w:cs="宋体"/>
          <w:szCs w:val="21"/>
          <w:highlight w:val="none"/>
        </w:rPr>
      </w:pPr>
    </w:p>
    <w:p>
      <w:pPr>
        <w:spacing w:line="360" w:lineRule="auto"/>
        <w:jc w:val="center"/>
        <w:rPr>
          <w:rFonts w:hint="eastAsia" w:ascii="宋体" w:hAnsi="宋体" w:cs="宋体"/>
          <w:szCs w:val="21"/>
        </w:rPr>
      </w:pP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合同编号：</w:t>
      </w:r>
      <w:r>
        <w:rPr>
          <w:rFonts w:hint="eastAsia" w:ascii="宋体" w:hAnsi="宋体"/>
          <w:bCs/>
          <w:szCs w:val="21"/>
          <w:lang w:val="en-US" w:eastAsia="zh-CN"/>
        </w:rPr>
        <w:t>C</w:t>
      </w:r>
      <w:r>
        <w:rPr>
          <w:rFonts w:hint="eastAsia" w:ascii="宋体" w:hAnsi="宋体"/>
          <w:bCs/>
          <w:szCs w:val="21"/>
        </w:rPr>
        <w:t>F-2024xxx</w:t>
      </w:r>
    </w:p>
    <w:p>
      <w:pPr>
        <w:adjustRightInd w:val="0"/>
        <w:snapToGrid w:val="0"/>
        <w:spacing w:before="240" w:beforeLines="100" w:line="360" w:lineRule="auto"/>
        <w:jc w:val="center"/>
        <w:rPr>
          <w:rFonts w:hint="default" w:ascii="宋体" w:hAnsi="宋体" w:eastAsia="宋体"/>
          <w:bCs/>
          <w:szCs w:val="21"/>
          <w:lang w:val="en-US" w:eastAsia="zh-CN"/>
        </w:rPr>
      </w:pPr>
      <w:r>
        <w:rPr>
          <w:rFonts w:hint="eastAsia" w:ascii="宋体" w:hAnsi="宋体"/>
          <w:bCs/>
          <w:szCs w:val="21"/>
        </w:rPr>
        <w:t xml:space="preserve">                                                                  </w:t>
      </w:r>
      <w:r>
        <w:rPr>
          <w:rFonts w:ascii="宋体" w:hAnsi="宋体"/>
          <w:bCs/>
          <w:szCs w:val="21"/>
        </w:rPr>
        <w:t>确认书号：</w:t>
      </w:r>
      <w:r>
        <w:rPr>
          <w:rFonts w:hint="eastAsia" w:ascii="宋体" w:hAnsi="宋体"/>
          <w:bCs/>
          <w:szCs w:val="21"/>
        </w:rPr>
        <w:t>[2024]</w:t>
      </w:r>
      <w:r>
        <w:rPr>
          <w:rFonts w:hint="eastAsia" w:ascii="宋体" w:hAnsi="宋体"/>
          <w:bCs/>
          <w:szCs w:val="21"/>
          <w:lang w:val="en-US" w:eastAsia="zh-CN"/>
        </w:rPr>
        <w:t>20271号</w:t>
      </w:r>
    </w:p>
    <w:p>
      <w:pPr>
        <w:pStyle w:val="66"/>
        <w:rPr>
          <w:rFonts w:hint="eastAsia"/>
        </w:rPr>
      </w:pPr>
    </w:p>
    <w:p>
      <w:pPr>
        <w:spacing w:line="360" w:lineRule="auto"/>
        <w:jc w:val="center"/>
        <w:rPr>
          <w:rFonts w:ascii="宋体" w:hAnsi="宋体" w:cs="宋体"/>
          <w:b/>
          <w:bCs/>
          <w:sz w:val="28"/>
          <w:szCs w:val="28"/>
        </w:rPr>
      </w:pPr>
      <w:r>
        <w:rPr>
          <w:rFonts w:hint="eastAsia" w:ascii="宋体" w:hAnsi="宋体" w:cs="宋体"/>
          <w:b/>
          <w:bCs/>
          <w:sz w:val="28"/>
          <w:szCs w:val="28"/>
        </w:rPr>
        <w:t>第一部分  协议书</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委托人（全称）：</w:t>
      </w:r>
      <w:r>
        <w:rPr>
          <w:rFonts w:hint="eastAsia" w:ascii="宋体" w:hAnsi="宋体" w:cs="宋体"/>
          <w:szCs w:val="21"/>
          <w:u w:val="single"/>
        </w:rPr>
        <w:t xml:space="preserve"> 浙江理工大学 </w:t>
      </w:r>
    </w:p>
    <w:p>
      <w:pPr>
        <w:adjustRightInd w:val="0"/>
        <w:snapToGrid w:val="0"/>
        <w:spacing w:line="360" w:lineRule="auto"/>
        <w:ind w:firstLine="422" w:firstLineChars="200"/>
        <w:rPr>
          <w:rFonts w:hint="eastAsia" w:ascii="宋体" w:hAnsi="宋体" w:cs="宋体"/>
          <w:b/>
          <w:szCs w:val="21"/>
          <w:u w:val="single"/>
        </w:rPr>
      </w:pPr>
      <w:r>
        <w:rPr>
          <w:rFonts w:hint="eastAsia" w:ascii="宋体" w:hAnsi="宋体" w:cs="宋体"/>
          <w:b/>
          <w:szCs w:val="21"/>
        </w:rPr>
        <w:t>监理人（全称）：</w:t>
      </w:r>
      <w:r>
        <w:rPr>
          <w:rFonts w:hint="eastAsia" w:ascii="宋体" w:hAnsi="宋体" w:cs="宋体"/>
          <w:b/>
          <w:szCs w:val="21"/>
          <w:u w:val="single"/>
        </w:rPr>
        <w:t xml:space="preserve">              </w:t>
      </w:r>
    </w:p>
    <w:p>
      <w:pPr>
        <w:pStyle w:val="66"/>
        <w:rPr>
          <w:rFonts w:hint="default" w:eastAsia="宋体"/>
          <w:lang w:val="en-US" w:eastAsia="zh-CN"/>
        </w:rPr>
      </w:pPr>
      <w:r>
        <w:rPr>
          <w:rFonts w:hint="eastAsia"/>
          <w:b/>
          <w:bCs/>
          <w:lang w:val="en-US" w:eastAsia="zh-CN"/>
        </w:rPr>
        <w:t>鉴证方：</w:t>
      </w:r>
      <w:r>
        <w:rPr>
          <w:rFonts w:hint="eastAsia" w:ascii="宋体" w:hAnsi="宋体" w:eastAsia="宋体" w:cs="宋体"/>
          <w:kern w:val="2"/>
          <w:sz w:val="21"/>
          <w:szCs w:val="21"/>
          <w:u w:val="single"/>
          <w:lang w:val="en-US" w:eastAsia="zh-CN" w:bidi="ar-SA"/>
        </w:rPr>
        <w:t>浙江省成套招标代理有限公司</w:t>
      </w:r>
    </w:p>
    <w:p>
      <w:pPr>
        <w:pStyle w:val="66"/>
        <w:rPr>
          <w:rFonts w:hint="eastAsia"/>
        </w:rPr>
      </w:pPr>
    </w:p>
    <w:p>
      <w:pPr>
        <w:adjustRightInd w:val="0"/>
        <w:snapToGrid w:val="0"/>
        <w:spacing w:line="360" w:lineRule="auto"/>
        <w:ind w:firstLine="420" w:firstLineChars="200"/>
        <w:jc w:val="left"/>
        <w:rPr>
          <w:rFonts w:ascii="宋体" w:hAnsi="宋体"/>
        </w:rPr>
      </w:pPr>
      <w:r>
        <w:rPr>
          <w:rFonts w:hint="eastAsia" w:ascii="宋体" w:hAnsi="宋体" w:cs="Arial"/>
          <w:kern w:val="0"/>
        </w:rPr>
        <w:t>按照</w:t>
      </w:r>
      <w:r>
        <w:rPr>
          <w:rFonts w:ascii="宋体" w:hAnsi="宋体" w:cs="Arial"/>
          <w:kern w:val="0"/>
        </w:rPr>
        <w:t>《中华人民共和国政府采购法》</w:t>
      </w:r>
      <w:r>
        <w:rPr>
          <w:rFonts w:hint="eastAsia" w:ascii="宋体" w:hAnsi="宋体" w:cs="Arial"/>
          <w:kern w:val="0"/>
        </w:rPr>
        <w:t>、《政府采购竞争性磋商采购方式管理暂行办法》</w:t>
      </w:r>
      <w:r>
        <w:rPr>
          <w:rFonts w:ascii="宋体" w:hAnsi="宋体" w:cs="Arial"/>
          <w:kern w:val="0"/>
        </w:rPr>
        <w:t>等有关规定，</w:t>
      </w:r>
      <w:r>
        <w:rPr>
          <w:rFonts w:hint="eastAsia" w:ascii="宋体" w:hAnsi="宋体" w:cs="Arial"/>
          <w:kern w:val="0"/>
        </w:rPr>
        <w:t>经</w:t>
      </w:r>
      <w:r>
        <w:rPr>
          <w:rFonts w:ascii="宋体" w:hAnsi="宋体" w:cs="Arial"/>
          <w:kern w:val="0"/>
        </w:rPr>
        <w:t>浙江省成套招标代理有限公司</w:t>
      </w:r>
      <w:r>
        <w:rPr>
          <w:rFonts w:hint="eastAsia" w:ascii="宋体" w:hAnsi="宋体" w:cs="Arial"/>
          <w:kern w:val="0"/>
        </w:rPr>
        <w:t>进行竞争性磋商评审，确定</w:t>
      </w:r>
      <w:r>
        <w:rPr>
          <w:rFonts w:hint="eastAsia" w:ascii="宋体" w:hAnsi="宋体" w:cs="Arial"/>
          <w:kern w:val="0"/>
          <w:u w:val="single"/>
        </w:rPr>
        <w:t>（成交人名称）为</w:t>
      </w:r>
      <w:r>
        <w:rPr>
          <w:rFonts w:hint="eastAsia" w:ascii="宋体" w:hAnsi="宋体" w:cs="宋体"/>
          <w:szCs w:val="21"/>
          <w:u w:val="single"/>
          <w:lang w:eastAsia="zh-CN"/>
        </w:rPr>
        <w:t>浙江理工大学消防管网改造及安全防护设施、电梯更新项目监理服务</w:t>
      </w:r>
      <w:r>
        <w:rPr>
          <w:rFonts w:hint="eastAsia" w:ascii="宋体" w:hAnsi="宋体"/>
        </w:rPr>
        <w:t>的</w:t>
      </w:r>
      <w:r>
        <w:rPr>
          <w:rFonts w:hint="eastAsia" w:ascii="宋体" w:hAnsi="宋体" w:cs="Arial"/>
          <w:kern w:val="0"/>
        </w:rPr>
        <w:t>成交人</w:t>
      </w:r>
      <w:r>
        <w:rPr>
          <w:rFonts w:hint="eastAsia" w:ascii="宋体" w:hAnsi="宋体"/>
        </w:rPr>
        <w:t>，根据《中华人民共和国民法典》及相关法律、行政法规，以及本工程的采购文件、响应文件、询标记录、竞争性磋商结果及其它有关协定，遵循平等、自愿、公平和诚信原则，双方就本工程施工事宜经协商一致，订立本合同。</w:t>
      </w:r>
      <w:r>
        <w:rPr>
          <w:rFonts w:ascii="Times New Roman" w:hAnsi="Times New Roman"/>
          <w:b/>
          <w:bCs/>
        </w:rPr>
        <w:t>本合同为中小企业预留合同。</w:t>
      </w:r>
    </w:p>
    <w:p>
      <w:pPr>
        <w:spacing w:line="360" w:lineRule="auto"/>
        <w:ind w:firstLine="417" w:firstLineChars="198"/>
        <w:outlineLvl w:val="0"/>
        <w:rPr>
          <w:rFonts w:ascii="宋体" w:hAnsi="宋体" w:cs="宋体"/>
          <w:b/>
          <w:szCs w:val="21"/>
        </w:rPr>
      </w:pPr>
      <w:r>
        <w:rPr>
          <w:rFonts w:hint="eastAsia" w:ascii="宋体" w:hAnsi="宋体" w:cs="宋体"/>
          <w:b/>
          <w:szCs w:val="21"/>
        </w:rPr>
        <w:t>一、工程概况</w:t>
      </w:r>
    </w:p>
    <w:p>
      <w:pPr>
        <w:adjustRightInd w:val="0"/>
        <w:snapToGrid w:val="0"/>
        <w:spacing w:line="360" w:lineRule="auto"/>
        <w:ind w:firstLine="415" w:firstLineChars="198"/>
        <w:rPr>
          <w:rFonts w:ascii="宋体" w:hAnsi="宋体" w:cs="宋体"/>
          <w:szCs w:val="21"/>
        </w:rPr>
      </w:pPr>
      <w:r>
        <w:rPr>
          <w:rFonts w:hint="eastAsia" w:ascii="宋体" w:hAnsi="宋体" w:cs="宋体"/>
          <w:szCs w:val="21"/>
        </w:rPr>
        <w:t>1. 工程名称：</w:t>
      </w:r>
      <w:r>
        <w:rPr>
          <w:rFonts w:hint="eastAsia" w:ascii="宋体" w:hAnsi="宋体" w:cs="宋体"/>
          <w:szCs w:val="21"/>
          <w:u w:val="single"/>
        </w:rPr>
        <w:t xml:space="preserve"> </w:t>
      </w:r>
      <w:r>
        <w:rPr>
          <w:rFonts w:hint="eastAsia" w:ascii="宋体" w:hAnsi="宋体" w:cs="宋体"/>
          <w:szCs w:val="21"/>
          <w:u w:val="single"/>
          <w:lang w:eastAsia="zh-CN"/>
        </w:rPr>
        <w:t>浙江理工大学消防管网改造及安全防护设施、电梯更新项目监理服务</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line="360" w:lineRule="auto"/>
        <w:ind w:firstLine="415" w:firstLineChars="198"/>
        <w:rPr>
          <w:rFonts w:ascii="宋体" w:hAnsi="宋体" w:cs="宋体"/>
          <w:szCs w:val="21"/>
        </w:rPr>
      </w:pPr>
      <w:r>
        <w:rPr>
          <w:rFonts w:hint="eastAsia" w:ascii="宋体" w:hAnsi="宋体" w:cs="宋体"/>
          <w:szCs w:val="21"/>
        </w:rPr>
        <w:t>2. 工程地点：</w:t>
      </w:r>
      <w:r>
        <w:rPr>
          <w:rFonts w:hint="eastAsia" w:ascii="宋体" w:hAnsi="宋体" w:cs="宋体"/>
          <w:szCs w:val="21"/>
          <w:u w:val="single"/>
        </w:rPr>
        <w:t xml:space="preserve">  杭州市钱塘区  </w:t>
      </w:r>
      <w:r>
        <w:rPr>
          <w:rFonts w:hint="eastAsia" w:ascii="宋体" w:hAnsi="宋体" w:cs="宋体"/>
          <w:szCs w:val="21"/>
        </w:rPr>
        <w:t>；</w:t>
      </w:r>
    </w:p>
    <w:p>
      <w:pPr>
        <w:adjustRightInd w:val="0"/>
        <w:snapToGrid w:val="0"/>
        <w:spacing w:line="360" w:lineRule="auto"/>
        <w:ind w:firstLine="415" w:firstLineChars="198"/>
        <w:rPr>
          <w:rFonts w:ascii="宋体" w:hAnsi="宋体" w:cs="宋体"/>
          <w:szCs w:val="21"/>
        </w:rPr>
      </w:pPr>
      <w:r>
        <w:rPr>
          <w:rFonts w:hint="eastAsia" w:ascii="宋体" w:hAnsi="宋体" w:cs="宋体"/>
          <w:szCs w:val="21"/>
        </w:rPr>
        <w:t>3. 工程规模：</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line="360" w:lineRule="auto"/>
        <w:ind w:firstLine="415" w:firstLineChars="198"/>
        <w:jc w:val="left"/>
        <w:rPr>
          <w:rFonts w:ascii="宋体" w:hAnsi="宋体" w:cs="宋体"/>
          <w:szCs w:val="21"/>
        </w:rPr>
      </w:pPr>
      <w:r>
        <w:rPr>
          <w:rFonts w:hint="eastAsia" w:ascii="宋体" w:hAnsi="宋体" w:cs="宋体"/>
          <w:szCs w:val="21"/>
        </w:rPr>
        <w:t>4. 工程</w:t>
      </w:r>
      <w:r>
        <w:rPr>
          <w:rFonts w:hint="eastAsia" w:ascii="宋体" w:hAnsi="宋体" w:cs="宋体"/>
          <w:kern w:val="0"/>
          <w:szCs w:val="21"/>
        </w:rPr>
        <w:t>概算投资额或建筑安装工程费</w:t>
      </w:r>
      <w:r>
        <w:rPr>
          <w:rFonts w:hint="eastAsia" w:ascii="宋体" w:hAnsi="宋体" w:cs="宋体"/>
          <w:szCs w:val="21"/>
        </w:rPr>
        <w:t>：</w:t>
      </w:r>
      <w:r>
        <w:rPr>
          <w:rFonts w:hint="eastAsia" w:ascii="宋体" w:hAnsi="宋体" w:cs="宋体"/>
          <w:szCs w:val="21"/>
          <w:u w:val="single"/>
        </w:rPr>
        <w:t xml:space="preserve">          万元。</w:t>
      </w:r>
    </w:p>
    <w:p>
      <w:pPr>
        <w:spacing w:line="360" w:lineRule="auto"/>
        <w:ind w:firstLine="417" w:firstLineChars="198"/>
        <w:rPr>
          <w:rFonts w:ascii="宋体" w:hAnsi="宋体" w:cs="宋体"/>
          <w:b/>
          <w:szCs w:val="21"/>
        </w:rPr>
      </w:pPr>
      <w:r>
        <w:rPr>
          <w:rFonts w:hint="eastAsia" w:ascii="宋体" w:hAnsi="宋体" w:cs="宋体"/>
          <w:b/>
          <w:szCs w:val="21"/>
        </w:rPr>
        <w:t>二、词语限定</w:t>
      </w:r>
    </w:p>
    <w:p>
      <w:pPr>
        <w:adjustRightInd w:val="0"/>
        <w:snapToGrid w:val="0"/>
        <w:spacing w:line="360" w:lineRule="auto"/>
        <w:ind w:firstLine="415" w:firstLineChars="198"/>
        <w:rPr>
          <w:rFonts w:ascii="宋体" w:hAnsi="宋体" w:cs="宋体"/>
          <w:szCs w:val="21"/>
        </w:rPr>
      </w:pPr>
      <w:r>
        <w:rPr>
          <w:rFonts w:hint="eastAsia" w:ascii="宋体" w:hAnsi="宋体" w:cs="宋体"/>
          <w:szCs w:val="21"/>
        </w:rPr>
        <w:t>协议书中相关词语的含义与通用条件中的定义与解释相同。</w:t>
      </w:r>
    </w:p>
    <w:p>
      <w:pPr>
        <w:spacing w:line="360" w:lineRule="auto"/>
        <w:ind w:firstLine="417" w:firstLineChars="198"/>
        <w:outlineLvl w:val="0"/>
        <w:rPr>
          <w:rFonts w:ascii="宋体" w:hAnsi="宋体" w:cs="宋体"/>
          <w:b/>
          <w:szCs w:val="21"/>
        </w:rPr>
      </w:pPr>
      <w:r>
        <w:rPr>
          <w:rFonts w:hint="eastAsia" w:ascii="宋体" w:hAnsi="宋体" w:cs="宋体"/>
          <w:b/>
          <w:szCs w:val="21"/>
        </w:rPr>
        <w:t>三、组成本合同的文件</w:t>
      </w:r>
    </w:p>
    <w:p>
      <w:pPr>
        <w:adjustRightInd w:val="0"/>
        <w:snapToGrid w:val="0"/>
        <w:spacing w:line="360" w:lineRule="auto"/>
        <w:ind w:firstLine="415" w:firstLineChars="198"/>
        <w:rPr>
          <w:rFonts w:ascii="宋体" w:hAnsi="宋体" w:cs="宋体"/>
          <w:szCs w:val="21"/>
        </w:rPr>
      </w:pPr>
      <w:r>
        <w:rPr>
          <w:rFonts w:hint="eastAsia" w:ascii="宋体" w:hAnsi="宋体" w:cs="宋体"/>
          <w:szCs w:val="21"/>
        </w:rPr>
        <w:t>1. 协议书；</w:t>
      </w:r>
    </w:p>
    <w:p>
      <w:pPr>
        <w:adjustRightInd w:val="0"/>
        <w:snapToGrid w:val="0"/>
        <w:spacing w:line="360" w:lineRule="auto"/>
        <w:ind w:firstLine="415" w:firstLineChars="198"/>
        <w:rPr>
          <w:rFonts w:ascii="宋体" w:hAnsi="宋体" w:cs="宋体"/>
          <w:szCs w:val="21"/>
        </w:rPr>
      </w:pPr>
      <w:r>
        <w:rPr>
          <w:rFonts w:hint="eastAsia" w:ascii="宋体" w:hAnsi="宋体" w:cs="宋体"/>
          <w:szCs w:val="21"/>
        </w:rPr>
        <w:t>2. 中标通知书；</w:t>
      </w:r>
    </w:p>
    <w:p>
      <w:pPr>
        <w:adjustRightInd w:val="0"/>
        <w:snapToGrid w:val="0"/>
        <w:spacing w:line="360" w:lineRule="auto"/>
        <w:ind w:firstLine="415" w:firstLineChars="198"/>
        <w:rPr>
          <w:rFonts w:ascii="宋体" w:hAnsi="宋体" w:cs="宋体"/>
          <w:szCs w:val="21"/>
        </w:rPr>
      </w:pPr>
      <w:r>
        <w:rPr>
          <w:rFonts w:hint="eastAsia" w:ascii="宋体" w:hAnsi="宋体" w:cs="宋体"/>
          <w:szCs w:val="21"/>
        </w:rPr>
        <w:t>3. 投标文件；</w:t>
      </w:r>
    </w:p>
    <w:p>
      <w:pPr>
        <w:adjustRightInd w:val="0"/>
        <w:snapToGrid w:val="0"/>
        <w:spacing w:line="360" w:lineRule="auto"/>
        <w:ind w:firstLine="200"/>
        <w:rPr>
          <w:rFonts w:ascii="宋体" w:hAnsi="宋体" w:cs="宋体"/>
          <w:szCs w:val="21"/>
        </w:rPr>
      </w:pPr>
      <w:r>
        <w:rPr>
          <w:rFonts w:hint="eastAsia" w:ascii="宋体" w:hAnsi="宋体" w:cs="宋体"/>
          <w:szCs w:val="21"/>
        </w:rPr>
        <w:t xml:space="preserve">  4. 专用条件；</w:t>
      </w:r>
    </w:p>
    <w:p>
      <w:pPr>
        <w:adjustRightInd w:val="0"/>
        <w:snapToGrid w:val="0"/>
        <w:spacing w:line="360" w:lineRule="auto"/>
        <w:ind w:firstLine="415" w:firstLineChars="198"/>
        <w:rPr>
          <w:rFonts w:hint="eastAsia" w:ascii="宋体" w:hAnsi="宋体" w:cs="宋体"/>
          <w:szCs w:val="21"/>
        </w:rPr>
      </w:pPr>
      <w:r>
        <w:rPr>
          <w:rFonts w:hint="eastAsia" w:ascii="宋体" w:hAnsi="宋体" w:cs="宋体"/>
          <w:szCs w:val="21"/>
        </w:rPr>
        <w:t>5. 通用条件；</w:t>
      </w:r>
    </w:p>
    <w:p>
      <w:pPr>
        <w:adjustRightInd w:val="0"/>
        <w:snapToGrid w:val="0"/>
        <w:spacing w:line="360" w:lineRule="auto"/>
        <w:ind w:firstLine="415" w:firstLineChars="198"/>
        <w:rPr>
          <w:rFonts w:hint="eastAsia" w:ascii="宋体" w:hAnsi="宋体" w:cs="宋体"/>
          <w:kern w:val="0"/>
          <w:szCs w:val="21"/>
          <w:lang w:bidi="ar"/>
        </w:rPr>
      </w:pPr>
      <w:r>
        <w:rPr>
          <w:rFonts w:hint="eastAsia" w:ascii="宋体" w:hAnsi="宋体" w:cs="宋体"/>
          <w:szCs w:val="21"/>
        </w:rPr>
        <w:t xml:space="preserve">6. </w:t>
      </w:r>
      <w:r>
        <w:rPr>
          <w:rFonts w:hint="eastAsia" w:ascii="宋体" w:hAnsi="宋体" w:cs="宋体"/>
          <w:kern w:val="0"/>
          <w:szCs w:val="21"/>
          <w:lang w:bidi="ar"/>
        </w:rPr>
        <w:t>补充协议</w:t>
      </w:r>
    </w:p>
    <w:p>
      <w:pPr>
        <w:adjustRightInd w:val="0"/>
        <w:snapToGrid w:val="0"/>
        <w:spacing w:line="360" w:lineRule="auto"/>
        <w:ind w:firstLine="415" w:firstLineChars="198"/>
        <w:rPr>
          <w:rFonts w:hint="eastAsia" w:ascii="宋体" w:hAnsi="宋体" w:cs="宋体"/>
          <w:kern w:val="0"/>
          <w:szCs w:val="21"/>
          <w:lang w:bidi="ar"/>
        </w:rPr>
      </w:pPr>
      <w:r>
        <w:rPr>
          <w:rFonts w:hint="eastAsia" w:ascii="宋体" w:hAnsi="宋体" w:cs="宋体"/>
          <w:kern w:val="0"/>
          <w:szCs w:val="21"/>
          <w:lang w:bidi="ar"/>
        </w:rPr>
        <w:t>7.询标纪要及合同期内签署的相关会议纪要等与本工程有关的文件。</w:t>
      </w:r>
    </w:p>
    <w:p>
      <w:pPr>
        <w:adjustRightInd w:val="0"/>
        <w:snapToGrid w:val="0"/>
        <w:spacing w:line="360" w:lineRule="auto"/>
        <w:ind w:firstLine="415" w:firstLineChars="198"/>
        <w:rPr>
          <w:rFonts w:hint="eastAsia" w:ascii="宋体" w:hAnsi="宋体" w:cs="宋体"/>
          <w:szCs w:val="21"/>
        </w:rPr>
      </w:pPr>
      <w:r>
        <w:rPr>
          <w:rFonts w:hint="eastAsia" w:ascii="宋体" w:hAnsi="宋体" w:cs="宋体"/>
          <w:szCs w:val="21"/>
        </w:rPr>
        <w:t>8.附录，即：</w:t>
      </w:r>
    </w:p>
    <w:p>
      <w:pPr>
        <w:adjustRightInd w:val="0"/>
        <w:snapToGrid w:val="0"/>
        <w:spacing w:line="360" w:lineRule="auto"/>
        <w:ind w:firstLine="415" w:firstLineChars="198"/>
        <w:rPr>
          <w:rFonts w:ascii="宋体" w:hAnsi="宋体" w:cs="宋体"/>
          <w:szCs w:val="21"/>
        </w:rPr>
      </w:pPr>
      <w:r>
        <w:rPr>
          <w:rFonts w:hint="eastAsia" w:ascii="宋体" w:hAnsi="宋体" w:cs="宋体"/>
          <w:szCs w:val="21"/>
        </w:rPr>
        <w:t>附录A  相关服务的范围和内容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附录B  委托人派遣的人员和提供的</w:t>
      </w:r>
      <w:r>
        <w:rPr>
          <w:rFonts w:hint="eastAsia" w:ascii="宋体" w:hAnsi="宋体" w:cs="宋体"/>
          <w:bCs/>
          <w:szCs w:val="21"/>
        </w:rPr>
        <w:t>房屋、资料</w:t>
      </w:r>
      <w:r>
        <w:rPr>
          <w:rFonts w:hint="eastAsia" w:ascii="宋体" w:hAnsi="宋体" w:cs="宋体"/>
          <w:szCs w:val="21"/>
        </w:rPr>
        <w:t>、设备</w:t>
      </w:r>
    </w:p>
    <w:p>
      <w:pPr>
        <w:spacing w:line="360" w:lineRule="auto"/>
        <w:ind w:firstLine="417" w:firstLineChars="198"/>
        <w:outlineLvl w:val="0"/>
        <w:rPr>
          <w:rFonts w:ascii="宋体" w:hAnsi="宋体" w:cs="宋体"/>
          <w:b/>
          <w:szCs w:val="21"/>
        </w:rPr>
      </w:pPr>
      <w:r>
        <w:rPr>
          <w:rFonts w:hint="eastAsia" w:ascii="宋体" w:hAnsi="宋体" w:cs="宋体"/>
          <w:b/>
          <w:szCs w:val="21"/>
        </w:rPr>
        <w:t>四、总监理工程师</w:t>
      </w:r>
    </w:p>
    <w:p>
      <w:pPr>
        <w:adjustRightInd w:val="0"/>
        <w:snapToGrid w:val="0"/>
        <w:spacing w:line="360" w:lineRule="auto"/>
        <w:ind w:firstLine="415" w:firstLineChars="198"/>
        <w:rPr>
          <w:rFonts w:ascii="宋体" w:hAnsi="宋体" w:cs="宋体"/>
          <w:kern w:val="0"/>
          <w:szCs w:val="21"/>
        </w:rPr>
      </w:pPr>
      <w:r>
        <w:rPr>
          <w:rFonts w:hint="eastAsia" w:ascii="宋体" w:hAnsi="宋体" w:cs="宋体"/>
          <w:kern w:val="0"/>
          <w:szCs w:val="21"/>
        </w:rPr>
        <w:t>总监理工程师姓名：</w:t>
      </w:r>
      <w:r>
        <w:rPr>
          <w:rFonts w:hint="eastAsia" w:ascii="宋体" w:hAnsi="宋体" w:cs="宋体"/>
          <w:kern w:val="0"/>
          <w:szCs w:val="21"/>
          <w:u w:val="single"/>
        </w:rPr>
        <w:t xml:space="preserve">          </w:t>
      </w:r>
      <w:r>
        <w:rPr>
          <w:rFonts w:hint="eastAsia" w:ascii="宋体" w:hAnsi="宋体" w:cs="宋体"/>
          <w:kern w:val="0"/>
          <w:szCs w:val="21"/>
        </w:rPr>
        <w:t>，身份证号码：</w:t>
      </w:r>
      <w:r>
        <w:rPr>
          <w:rFonts w:hint="eastAsia" w:ascii="宋体" w:hAnsi="宋体" w:cs="宋体"/>
          <w:kern w:val="0"/>
          <w:szCs w:val="21"/>
          <w:u w:val="single"/>
        </w:rPr>
        <w:t xml:space="preserve">        </w:t>
      </w:r>
      <w:r>
        <w:rPr>
          <w:rFonts w:hint="eastAsia" w:ascii="宋体" w:hAnsi="宋体" w:cs="宋体"/>
          <w:kern w:val="0"/>
          <w:szCs w:val="21"/>
        </w:rPr>
        <w:t>，注册号：</w:t>
      </w:r>
      <w:r>
        <w:rPr>
          <w:rFonts w:hint="eastAsia" w:ascii="宋体" w:hAnsi="宋体" w:cs="宋体"/>
          <w:kern w:val="0"/>
          <w:szCs w:val="21"/>
          <w:u w:val="single"/>
        </w:rPr>
        <w:t xml:space="preserve">               </w:t>
      </w:r>
      <w:r>
        <w:rPr>
          <w:rFonts w:hint="eastAsia" w:ascii="宋体" w:hAnsi="宋体" w:cs="宋体"/>
          <w:kern w:val="0"/>
          <w:szCs w:val="21"/>
        </w:rPr>
        <w:t>。</w:t>
      </w:r>
    </w:p>
    <w:p>
      <w:pPr>
        <w:spacing w:line="360" w:lineRule="auto"/>
        <w:ind w:firstLine="417" w:firstLineChars="198"/>
        <w:outlineLvl w:val="0"/>
        <w:rPr>
          <w:rFonts w:ascii="宋体" w:hAnsi="宋体" w:cs="宋体"/>
          <w:b/>
          <w:szCs w:val="21"/>
        </w:rPr>
      </w:pPr>
      <w:r>
        <w:rPr>
          <w:rFonts w:hint="eastAsia" w:ascii="宋体" w:hAnsi="宋体" w:cs="宋体"/>
          <w:b/>
          <w:szCs w:val="21"/>
        </w:rPr>
        <w:t>五、签约酬金</w:t>
      </w:r>
    </w:p>
    <w:p>
      <w:pPr>
        <w:adjustRightInd w:val="0"/>
        <w:snapToGrid w:val="0"/>
        <w:spacing w:line="360" w:lineRule="auto"/>
        <w:ind w:firstLine="415" w:firstLineChars="198"/>
        <w:rPr>
          <w:rFonts w:ascii="宋体" w:hAnsi="宋体" w:cs="宋体"/>
          <w:szCs w:val="21"/>
        </w:rPr>
      </w:pPr>
      <w:r>
        <w:rPr>
          <w:rFonts w:hint="eastAsia" w:ascii="宋体" w:hAnsi="宋体" w:cs="宋体"/>
          <w:szCs w:val="21"/>
        </w:rPr>
        <w:t>签约酬金（大写）：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360" w:lineRule="auto"/>
        <w:ind w:firstLine="415" w:firstLineChars="198"/>
        <w:rPr>
          <w:rFonts w:ascii="宋体" w:hAnsi="宋体" w:cs="宋体"/>
          <w:szCs w:val="21"/>
        </w:rPr>
      </w:pPr>
      <w:r>
        <w:rPr>
          <w:rFonts w:hint="eastAsia" w:ascii="宋体" w:hAnsi="宋体" w:cs="宋体"/>
          <w:szCs w:val="21"/>
        </w:rPr>
        <w:t>包括：</w:t>
      </w:r>
    </w:p>
    <w:p>
      <w:pPr>
        <w:adjustRightInd w:val="0"/>
        <w:snapToGrid w:val="0"/>
        <w:spacing w:line="360" w:lineRule="auto"/>
        <w:ind w:firstLine="525" w:firstLineChars="250"/>
        <w:rPr>
          <w:rFonts w:ascii="宋体" w:hAnsi="宋体" w:cs="宋体"/>
          <w:szCs w:val="21"/>
        </w:rPr>
      </w:pPr>
      <w:r>
        <w:rPr>
          <w:rFonts w:hint="eastAsia" w:ascii="宋体" w:hAnsi="宋体" w:cs="宋体"/>
          <w:szCs w:val="21"/>
        </w:rPr>
        <w:t>1. 监理酬金：</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line="360" w:lineRule="auto"/>
        <w:ind w:firstLine="525" w:firstLineChars="250"/>
        <w:rPr>
          <w:rFonts w:ascii="宋体" w:hAnsi="宋体" w:cs="宋体"/>
          <w:szCs w:val="21"/>
        </w:rPr>
      </w:pPr>
      <w:r>
        <w:rPr>
          <w:rFonts w:hint="eastAsia" w:ascii="宋体" w:hAnsi="宋体" w:cs="宋体"/>
          <w:szCs w:val="21"/>
        </w:rPr>
        <w:t>2. 相关服务酬金：</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line="360" w:lineRule="auto"/>
        <w:ind w:firstLine="525" w:firstLineChars="250"/>
        <w:rPr>
          <w:rFonts w:ascii="宋体" w:hAnsi="宋体" w:cs="宋体"/>
          <w:szCs w:val="21"/>
        </w:rPr>
      </w:pPr>
      <w:r>
        <w:rPr>
          <w:rFonts w:hint="eastAsia" w:ascii="宋体" w:hAnsi="宋体" w:cs="宋体"/>
          <w:szCs w:val="21"/>
        </w:rPr>
        <w:t>其中：</w:t>
      </w:r>
    </w:p>
    <w:p>
      <w:pPr>
        <w:tabs>
          <w:tab w:val="left" w:pos="823"/>
        </w:tabs>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（1）勘察阶段服务</w:t>
      </w:r>
      <w:r>
        <w:rPr>
          <w:rFonts w:hint="eastAsia" w:ascii="宋体" w:hAnsi="宋体" w:cs="宋体"/>
          <w:szCs w:val="21"/>
        </w:rPr>
        <w:t>酬金：</w:t>
      </w:r>
      <w:r>
        <w:rPr>
          <w:rFonts w:hint="eastAsia" w:ascii="宋体" w:hAnsi="宋体" w:cs="宋体"/>
          <w:szCs w:val="21"/>
          <w:u w:val="single"/>
        </w:rPr>
        <w:t xml:space="preserve">  在投标报价时已综合考虑，已包含在监理酬金中                    </w:t>
      </w:r>
      <w:r>
        <w:rPr>
          <w:rFonts w:hint="eastAsia" w:ascii="宋体" w:hAnsi="宋体" w:cs="宋体"/>
          <w:szCs w:val="21"/>
        </w:rPr>
        <w:t>。</w:t>
      </w:r>
    </w:p>
    <w:p>
      <w:pPr>
        <w:tabs>
          <w:tab w:val="left" w:pos="823"/>
        </w:tabs>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（2）设计阶段服务</w:t>
      </w:r>
      <w:r>
        <w:rPr>
          <w:rFonts w:hint="eastAsia" w:ascii="宋体" w:hAnsi="宋体" w:cs="宋体"/>
          <w:szCs w:val="21"/>
        </w:rPr>
        <w:t>酬金：</w:t>
      </w:r>
      <w:r>
        <w:rPr>
          <w:rFonts w:hint="eastAsia" w:ascii="宋体" w:hAnsi="宋体" w:cs="宋体"/>
          <w:szCs w:val="21"/>
          <w:u w:val="single"/>
        </w:rPr>
        <w:t xml:space="preserve">   在投标报价时已综合考虑，已包含在监理酬金中                    </w:t>
      </w:r>
      <w:r>
        <w:rPr>
          <w:rFonts w:hint="eastAsia" w:ascii="宋体" w:hAnsi="宋体" w:cs="宋体"/>
          <w:szCs w:val="21"/>
        </w:rPr>
        <w:t>。</w:t>
      </w:r>
    </w:p>
    <w:p>
      <w:pPr>
        <w:tabs>
          <w:tab w:val="left" w:pos="823"/>
        </w:tabs>
        <w:adjustRightInd w:val="0"/>
        <w:snapToGrid w:val="0"/>
        <w:spacing w:line="360" w:lineRule="auto"/>
        <w:ind w:firstLine="420" w:firstLineChars="200"/>
        <w:rPr>
          <w:rFonts w:hint="eastAsia" w:ascii="宋体" w:hAnsi="宋体" w:cs="宋体"/>
          <w:szCs w:val="21"/>
        </w:rPr>
      </w:pPr>
      <w:r>
        <w:rPr>
          <w:rFonts w:hint="eastAsia" w:ascii="宋体" w:hAnsi="宋体" w:cs="宋体"/>
          <w:kern w:val="0"/>
          <w:szCs w:val="21"/>
        </w:rPr>
        <w:t>（3）保修阶段服务</w:t>
      </w:r>
      <w:r>
        <w:rPr>
          <w:rFonts w:hint="eastAsia" w:ascii="宋体" w:hAnsi="宋体" w:cs="宋体"/>
          <w:szCs w:val="21"/>
        </w:rPr>
        <w:t>酬金：</w:t>
      </w:r>
      <w:r>
        <w:rPr>
          <w:rFonts w:hint="eastAsia" w:ascii="宋体" w:hAnsi="宋体" w:cs="宋体"/>
          <w:szCs w:val="21"/>
          <w:u w:val="single"/>
        </w:rPr>
        <w:t>在投标报价时已综合考虑，已包含在监理酬金中</w:t>
      </w:r>
      <w:r>
        <w:rPr>
          <w:rFonts w:hint="eastAsia" w:ascii="宋体" w:hAnsi="宋体" w:cs="宋体"/>
          <w:szCs w:val="21"/>
        </w:rPr>
        <w:t>。</w:t>
      </w:r>
    </w:p>
    <w:p>
      <w:pPr>
        <w:tabs>
          <w:tab w:val="left" w:pos="823"/>
        </w:tabs>
        <w:adjustRightInd w:val="0"/>
        <w:snapToGrid w:val="0"/>
        <w:spacing w:line="360" w:lineRule="auto"/>
        <w:ind w:firstLine="420" w:firstLineChars="200"/>
        <w:rPr>
          <w:rFonts w:hint="eastAsia" w:ascii="宋体" w:hAnsi="宋体" w:cs="宋体"/>
          <w:szCs w:val="21"/>
        </w:rPr>
      </w:pPr>
      <w:r>
        <w:rPr>
          <w:rFonts w:hint="eastAsia" w:ascii="宋体" w:hAnsi="宋体" w:cs="宋体"/>
          <w:kern w:val="0"/>
          <w:szCs w:val="21"/>
        </w:rPr>
        <w:t>（4）</w:t>
      </w:r>
      <w:r>
        <w:rPr>
          <w:rFonts w:hint="eastAsia" w:ascii="宋体" w:hAnsi="宋体" w:cs="宋体"/>
          <w:szCs w:val="21"/>
        </w:rPr>
        <w:t>其他相关服务酬金：</w:t>
      </w:r>
      <w:r>
        <w:rPr>
          <w:rFonts w:hint="eastAsia" w:ascii="宋体" w:hAnsi="宋体" w:cs="宋体"/>
          <w:szCs w:val="21"/>
          <w:u w:val="single"/>
        </w:rPr>
        <w:t>前期准备及配合结算审核阶段服务费在投标报价时已综合考虑，已包含在监理酬金中</w:t>
      </w:r>
      <w:r>
        <w:rPr>
          <w:rFonts w:hint="eastAsia" w:ascii="宋体" w:hAnsi="宋体" w:cs="宋体"/>
          <w:szCs w:val="21"/>
        </w:rPr>
        <w:t>。</w:t>
      </w:r>
    </w:p>
    <w:p>
      <w:pPr>
        <w:tabs>
          <w:tab w:val="left" w:pos="823"/>
        </w:tabs>
        <w:spacing w:line="360" w:lineRule="auto"/>
        <w:ind w:firstLine="420" w:firstLineChars="200"/>
        <w:rPr>
          <w:rFonts w:hint="eastAsia" w:ascii="宋体" w:hAnsi="宋体" w:cs="宋体"/>
          <w:kern w:val="0"/>
          <w:szCs w:val="21"/>
          <w:u w:val="single"/>
          <w:lang w:bidi="ar"/>
        </w:rPr>
      </w:pPr>
      <w:r>
        <w:rPr>
          <w:rFonts w:hint="eastAsia" w:ascii="宋体" w:hAnsi="宋体" w:cs="宋体"/>
          <w:kern w:val="0"/>
          <w:szCs w:val="21"/>
          <w:u w:val="single"/>
          <w:lang w:bidi="ar"/>
        </w:rPr>
        <w:t xml:space="preserve">本合同为总价包干合同，在合同实施期间，本项目监理费用不随国家政策调整或法规、标准及市场因素变化进行调整。总价费用包含可能发生的总投资调整、建筑面积调整、前期现状调查、咨询服务费、人工费、交通和食宿费用、评审费、税金、管理费、利润等所有费用。如因非监理方原因及不可抗力造成工期延误，按合同专项条款执行。 </w:t>
      </w:r>
    </w:p>
    <w:p>
      <w:pPr>
        <w:spacing w:line="360" w:lineRule="auto"/>
        <w:ind w:firstLine="420" w:firstLineChars="200"/>
        <w:rPr>
          <w:rFonts w:hint="eastAsia" w:ascii="宋体" w:hAnsi="宋体" w:cs="宋体"/>
          <w:szCs w:val="21"/>
        </w:rPr>
      </w:pPr>
      <w:r>
        <w:rPr>
          <w:rFonts w:hint="eastAsia" w:ascii="宋体" w:hAnsi="宋体" w:cs="宋体"/>
          <w:kern w:val="0"/>
          <w:szCs w:val="21"/>
          <w:u w:val="single"/>
          <w:lang w:bidi="ar"/>
        </w:rPr>
        <w:t>费用支付时须提供增值税专用发票。</w:t>
      </w:r>
    </w:p>
    <w:p>
      <w:pPr>
        <w:spacing w:line="360" w:lineRule="auto"/>
        <w:ind w:firstLine="417" w:firstLineChars="198"/>
        <w:outlineLvl w:val="0"/>
        <w:rPr>
          <w:rFonts w:hint="eastAsia" w:ascii="宋体" w:hAnsi="宋体" w:cs="宋体"/>
          <w:b/>
          <w:szCs w:val="21"/>
        </w:rPr>
      </w:pPr>
      <w:r>
        <w:rPr>
          <w:rFonts w:hint="eastAsia" w:ascii="宋体" w:hAnsi="宋体" w:cs="宋体"/>
          <w:b/>
          <w:szCs w:val="21"/>
        </w:rPr>
        <w:t>六、期限</w:t>
      </w:r>
    </w:p>
    <w:p>
      <w:pPr>
        <w:adjustRightInd w:val="0"/>
        <w:snapToGrid w:val="0"/>
        <w:spacing w:line="360" w:lineRule="auto"/>
        <w:ind w:firstLine="525" w:firstLineChars="250"/>
        <w:jc w:val="left"/>
        <w:rPr>
          <w:rFonts w:hint="eastAsia" w:ascii="宋体" w:hAnsi="宋体" w:eastAsia="宋体" w:cs="宋体"/>
          <w:szCs w:val="21"/>
          <w:lang w:eastAsia="zh-CN"/>
        </w:rPr>
      </w:pPr>
      <w:r>
        <w:rPr>
          <w:rFonts w:hint="eastAsia" w:ascii="宋体" w:hAnsi="宋体" w:cs="宋体"/>
          <w:kern w:val="0"/>
          <w:szCs w:val="21"/>
        </w:rPr>
        <w:t xml:space="preserve">1. </w:t>
      </w:r>
      <w:r>
        <w:rPr>
          <w:rFonts w:hint="eastAsia" w:ascii="宋体" w:hAnsi="宋体" w:cs="宋体"/>
          <w:szCs w:val="21"/>
        </w:rPr>
        <w:t>监理期限：</w:t>
      </w:r>
      <w:r>
        <w:rPr>
          <w:rFonts w:hint="eastAsia" w:ascii="宋体" w:hAnsi="宋体" w:cs="宋体"/>
          <w:kern w:val="0"/>
          <w:szCs w:val="21"/>
          <w:lang w:eastAsia="zh-CN" w:bidi="ar"/>
        </w:rPr>
        <w:t>监理服务期自监理合同签订生效之日起，包含施工准备期、施工期和缺陷责任期三个阶段至缺陷责任期满结束。</w:t>
      </w:r>
    </w:p>
    <w:p>
      <w:pPr>
        <w:adjustRightInd w:val="0"/>
        <w:snapToGrid w:val="0"/>
        <w:spacing w:line="360" w:lineRule="auto"/>
        <w:ind w:firstLine="525" w:firstLineChars="250"/>
        <w:rPr>
          <w:rFonts w:hint="eastAsia" w:ascii="宋体" w:hAnsi="宋体" w:cs="宋体"/>
          <w:szCs w:val="21"/>
        </w:rPr>
      </w:pPr>
      <w:r>
        <w:rPr>
          <w:rFonts w:hint="eastAsia" w:ascii="宋体" w:hAnsi="宋体" w:cs="宋体"/>
          <w:kern w:val="0"/>
          <w:szCs w:val="21"/>
        </w:rPr>
        <w:t xml:space="preserve">2. </w:t>
      </w:r>
      <w:r>
        <w:rPr>
          <w:rFonts w:hint="eastAsia" w:ascii="宋体" w:hAnsi="宋体" w:cs="宋体"/>
          <w:szCs w:val="21"/>
        </w:rPr>
        <w:t>相关服务期限：</w:t>
      </w:r>
    </w:p>
    <w:p>
      <w:pPr>
        <w:adjustRightInd w:val="0"/>
        <w:snapToGrid w:val="0"/>
        <w:spacing w:line="360" w:lineRule="auto"/>
        <w:ind w:firstLine="525" w:firstLineChars="250"/>
        <w:rPr>
          <w:rFonts w:ascii="宋体" w:hAnsi="宋体" w:cs="宋体"/>
          <w:szCs w:val="21"/>
        </w:rPr>
      </w:pPr>
      <w:r>
        <w:rPr>
          <w:rFonts w:hint="eastAsia" w:ascii="宋体" w:hAnsi="宋体" w:cs="宋体"/>
          <w:kern w:val="0"/>
          <w:szCs w:val="21"/>
        </w:rPr>
        <w:t>（1）勘察阶段</w:t>
      </w:r>
      <w:r>
        <w:rPr>
          <w:rFonts w:hint="eastAsia" w:ascii="宋体" w:hAnsi="宋体" w:cs="宋体"/>
          <w:szCs w:val="21"/>
        </w:rPr>
        <w:t>服务期限自</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日始，至</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日止。</w:t>
      </w:r>
    </w:p>
    <w:p>
      <w:pPr>
        <w:adjustRightInd w:val="0"/>
        <w:snapToGrid w:val="0"/>
        <w:spacing w:line="360" w:lineRule="auto"/>
        <w:ind w:firstLine="525" w:firstLineChars="250"/>
        <w:rPr>
          <w:rFonts w:ascii="宋体" w:hAnsi="宋体" w:cs="宋体"/>
          <w:szCs w:val="21"/>
        </w:rPr>
      </w:pPr>
      <w:r>
        <w:rPr>
          <w:rFonts w:hint="eastAsia" w:ascii="宋体" w:hAnsi="宋体" w:cs="宋体"/>
          <w:kern w:val="0"/>
          <w:szCs w:val="21"/>
        </w:rPr>
        <w:t>（2）设计阶段</w:t>
      </w:r>
      <w:r>
        <w:rPr>
          <w:rFonts w:hint="eastAsia" w:ascii="宋体" w:hAnsi="宋体" w:cs="宋体"/>
          <w:szCs w:val="21"/>
        </w:rPr>
        <w:t>服务期限自</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日始，至</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日止。</w:t>
      </w:r>
    </w:p>
    <w:p>
      <w:pPr>
        <w:adjustRightInd w:val="0"/>
        <w:snapToGrid w:val="0"/>
        <w:spacing w:line="360" w:lineRule="auto"/>
        <w:ind w:firstLine="525" w:firstLineChars="250"/>
        <w:rPr>
          <w:rFonts w:ascii="宋体" w:hAnsi="宋体" w:cs="宋体"/>
          <w:szCs w:val="21"/>
        </w:rPr>
      </w:pPr>
      <w:r>
        <w:rPr>
          <w:rFonts w:hint="eastAsia" w:ascii="宋体" w:hAnsi="宋体" w:cs="宋体"/>
          <w:kern w:val="0"/>
          <w:szCs w:val="21"/>
        </w:rPr>
        <w:t>（3）保修阶段</w:t>
      </w:r>
      <w:r>
        <w:rPr>
          <w:rFonts w:hint="eastAsia" w:ascii="宋体" w:hAnsi="宋体" w:cs="宋体"/>
          <w:szCs w:val="21"/>
        </w:rPr>
        <w:t>服务期限自</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日始，至</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日止。</w:t>
      </w:r>
    </w:p>
    <w:p>
      <w:pPr>
        <w:adjustRightInd w:val="0"/>
        <w:snapToGrid w:val="0"/>
        <w:spacing w:line="360" w:lineRule="auto"/>
        <w:ind w:firstLine="525" w:firstLineChars="250"/>
        <w:rPr>
          <w:rFonts w:ascii="宋体" w:hAnsi="宋体" w:cs="宋体"/>
          <w:szCs w:val="21"/>
        </w:rPr>
      </w:pPr>
      <w:r>
        <w:rPr>
          <w:rFonts w:hint="eastAsia" w:ascii="宋体" w:hAnsi="宋体" w:cs="宋体"/>
          <w:kern w:val="0"/>
          <w:szCs w:val="21"/>
        </w:rPr>
        <w:t>（4）</w:t>
      </w:r>
      <w:r>
        <w:rPr>
          <w:rFonts w:hint="eastAsia" w:ascii="宋体" w:hAnsi="宋体" w:cs="宋体"/>
          <w:szCs w:val="21"/>
        </w:rPr>
        <w:t>其他相关服务期限自</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日始，至</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日止。</w:t>
      </w:r>
    </w:p>
    <w:p>
      <w:pPr>
        <w:spacing w:line="360" w:lineRule="auto"/>
        <w:ind w:firstLine="417" w:firstLineChars="198"/>
        <w:outlineLvl w:val="0"/>
        <w:rPr>
          <w:rFonts w:ascii="宋体" w:hAnsi="宋体" w:cs="宋体"/>
          <w:b/>
          <w:szCs w:val="21"/>
        </w:rPr>
      </w:pPr>
      <w:r>
        <w:rPr>
          <w:rFonts w:hint="eastAsia" w:ascii="宋体" w:hAnsi="宋体" w:cs="宋体"/>
          <w:b/>
          <w:szCs w:val="21"/>
        </w:rPr>
        <w:t>七、双方承诺</w:t>
      </w:r>
    </w:p>
    <w:p>
      <w:pPr>
        <w:spacing w:line="360" w:lineRule="auto"/>
        <w:ind w:firstLine="415" w:firstLineChars="198"/>
        <w:outlineLvl w:val="0"/>
        <w:rPr>
          <w:rFonts w:ascii="宋体" w:hAnsi="宋体" w:cs="宋体"/>
          <w:b/>
          <w:szCs w:val="21"/>
        </w:rPr>
      </w:pPr>
      <w:r>
        <w:rPr>
          <w:rFonts w:hint="eastAsia" w:ascii="宋体" w:hAnsi="宋体" w:cs="宋体"/>
          <w:szCs w:val="21"/>
        </w:rPr>
        <w:t>1. 监理人向委托人承诺，按照本合同约定</w:t>
      </w:r>
      <w:r>
        <w:rPr>
          <w:rFonts w:hint="eastAsia" w:ascii="宋体" w:hAnsi="宋体" w:cs="宋体"/>
          <w:kern w:val="0"/>
          <w:szCs w:val="21"/>
        </w:rPr>
        <w:t>提供</w:t>
      </w:r>
      <w:r>
        <w:rPr>
          <w:rFonts w:hint="eastAsia" w:ascii="宋体" w:hAnsi="宋体" w:cs="宋体"/>
          <w:szCs w:val="21"/>
        </w:rPr>
        <w:t>监理与相关服务。</w:t>
      </w:r>
    </w:p>
    <w:p>
      <w:pPr>
        <w:spacing w:line="360" w:lineRule="auto"/>
        <w:ind w:firstLine="415" w:firstLineChars="198"/>
        <w:outlineLvl w:val="0"/>
        <w:rPr>
          <w:rFonts w:ascii="宋体" w:hAnsi="宋体" w:cs="宋体"/>
          <w:szCs w:val="21"/>
        </w:rPr>
      </w:pPr>
      <w:r>
        <w:rPr>
          <w:rFonts w:hint="eastAsia" w:ascii="宋体" w:hAnsi="宋体" w:cs="宋体"/>
          <w:szCs w:val="21"/>
        </w:rPr>
        <w:t>2. 委托人向监理人承诺，按照本合同约定派遣相应的人员，提供</w:t>
      </w:r>
      <w:r>
        <w:rPr>
          <w:rFonts w:hint="eastAsia" w:ascii="宋体" w:hAnsi="宋体" w:cs="宋体"/>
          <w:bCs/>
          <w:szCs w:val="21"/>
        </w:rPr>
        <w:t>房屋、资料</w:t>
      </w:r>
      <w:r>
        <w:rPr>
          <w:rFonts w:hint="eastAsia" w:ascii="宋体" w:hAnsi="宋体" w:cs="宋体"/>
          <w:szCs w:val="21"/>
        </w:rPr>
        <w:t>、设备，并按本合同约定支付酬金。</w:t>
      </w:r>
    </w:p>
    <w:p>
      <w:pPr>
        <w:spacing w:line="360" w:lineRule="auto"/>
        <w:ind w:firstLine="417" w:firstLineChars="198"/>
        <w:outlineLvl w:val="0"/>
        <w:rPr>
          <w:rFonts w:ascii="宋体" w:hAnsi="宋体" w:cs="宋体"/>
          <w:b/>
          <w:szCs w:val="21"/>
        </w:rPr>
      </w:pPr>
      <w:r>
        <w:rPr>
          <w:rFonts w:hint="eastAsia" w:ascii="宋体" w:hAnsi="宋体" w:cs="宋体"/>
          <w:b/>
          <w:szCs w:val="21"/>
        </w:rPr>
        <w:t>八、合同订立</w:t>
      </w:r>
    </w:p>
    <w:p>
      <w:pPr>
        <w:adjustRightInd w:val="0"/>
        <w:snapToGrid w:val="0"/>
        <w:spacing w:line="360" w:lineRule="auto"/>
        <w:ind w:firstLine="415" w:firstLineChars="198"/>
        <w:rPr>
          <w:rFonts w:ascii="宋体" w:hAnsi="宋体" w:cs="宋体"/>
          <w:szCs w:val="21"/>
        </w:rPr>
      </w:pPr>
      <w:r>
        <w:rPr>
          <w:rFonts w:hint="eastAsia" w:ascii="宋体" w:hAnsi="宋体" w:cs="宋体"/>
          <w:szCs w:val="21"/>
        </w:rPr>
        <w:t>1. 订立时间：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ind w:firstLine="415" w:firstLineChars="198"/>
        <w:rPr>
          <w:rFonts w:ascii="宋体" w:hAnsi="宋体" w:cs="宋体"/>
          <w:szCs w:val="21"/>
        </w:rPr>
      </w:pPr>
      <w:r>
        <w:rPr>
          <w:rFonts w:hint="eastAsia" w:ascii="宋体" w:hAnsi="宋体" w:cs="宋体"/>
          <w:szCs w:val="21"/>
        </w:rPr>
        <w:t>2. 订立地点：</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 本合同一式</w:t>
      </w:r>
      <w:r>
        <w:rPr>
          <w:rFonts w:hint="eastAsia" w:ascii="宋体" w:hAnsi="宋体" w:cs="宋体"/>
          <w:szCs w:val="21"/>
          <w:u w:val="single"/>
        </w:rPr>
        <w:t xml:space="preserve">   </w:t>
      </w:r>
      <w:r>
        <w:rPr>
          <w:rFonts w:hint="eastAsia" w:ascii="宋体" w:hAnsi="宋体" w:cs="宋体"/>
          <w:szCs w:val="21"/>
        </w:rPr>
        <w:t>份，具有同等法律效力，</w:t>
      </w:r>
      <w:r>
        <w:rPr>
          <w:rFonts w:hint="eastAsia" w:ascii="宋体" w:hAnsi="宋体" w:cs="宋体"/>
          <w:szCs w:val="21"/>
          <w:lang w:val="en-US" w:eastAsia="zh-CN"/>
        </w:rPr>
        <w:t>甲方</w:t>
      </w:r>
      <w:r>
        <w:rPr>
          <w:rFonts w:hint="eastAsia" w:ascii="宋体" w:hAnsi="宋体" w:cs="宋体"/>
          <w:szCs w:val="21"/>
        </w:rPr>
        <w:t>执</w:t>
      </w:r>
      <w:r>
        <w:rPr>
          <w:rFonts w:hint="eastAsia" w:ascii="宋体" w:hAnsi="宋体" w:cs="宋体"/>
          <w:szCs w:val="21"/>
          <w:u w:val="single"/>
        </w:rPr>
        <w:t xml:space="preserve">    </w:t>
      </w:r>
      <w:r>
        <w:rPr>
          <w:rFonts w:hint="eastAsia" w:ascii="宋体" w:hAnsi="宋体" w:cs="宋体"/>
          <w:szCs w:val="21"/>
        </w:rPr>
        <w:t>份，</w:t>
      </w:r>
      <w:r>
        <w:rPr>
          <w:rFonts w:hint="eastAsia" w:ascii="宋体" w:hAnsi="宋体" w:cs="宋体"/>
          <w:szCs w:val="21"/>
          <w:lang w:val="en-US" w:eastAsia="zh-CN"/>
        </w:rPr>
        <w:t>乙方执</w:t>
      </w:r>
      <w:r>
        <w:rPr>
          <w:rFonts w:hint="eastAsia" w:ascii="宋体" w:hAnsi="宋体" w:cs="宋体"/>
          <w:szCs w:val="21"/>
          <w:u w:val="single"/>
        </w:rPr>
        <w:t xml:space="preserve">   </w:t>
      </w:r>
      <w:r>
        <w:rPr>
          <w:rFonts w:hint="eastAsia" w:ascii="宋体" w:hAnsi="宋体" w:cs="宋体"/>
          <w:szCs w:val="21"/>
        </w:rPr>
        <w:t>份。</w:t>
      </w:r>
    </w:p>
    <w:tbl>
      <w:tblPr>
        <w:tblStyle w:val="57"/>
        <w:tblpPr w:leftFromText="180" w:rightFromText="180" w:vertAnchor="text" w:horzAnchor="page" w:tblpX="1537" w:tblpY="3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19"/>
        <w:gridCol w:w="4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4019"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甲方</w:t>
            </w:r>
            <w:r>
              <w:rPr>
                <w:rFonts w:hint="default" w:ascii="Times New Roman" w:hAnsi="Times New Roman" w:eastAsia="宋体" w:cs="Times New Roman"/>
                <w:b/>
                <w:bCs/>
                <w:color w:val="auto"/>
                <w:kern w:val="0"/>
                <w:szCs w:val="21"/>
                <w:highlight w:val="none"/>
              </w:rPr>
              <w:t>（盖章）</w:t>
            </w:r>
            <w:r>
              <w:rPr>
                <w:rFonts w:hint="default" w:ascii="Times New Roman" w:hAnsi="Times New Roman" w:eastAsia="宋体" w:cs="Times New Roman"/>
                <w:b/>
                <w:bCs/>
                <w:color w:val="auto"/>
                <w:szCs w:val="21"/>
                <w:highlight w:val="none"/>
              </w:rPr>
              <w:t>：浙江理工大学</w:t>
            </w:r>
          </w:p>
        </w:tc>
        <w:tc>
          <w:tcPr>
            <w:tcW w:w="4503"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乙方</w:t>
            </w:r>
            <w:r>
              <w:rPr>
                <w:rFonts w:hint="default" w:ascii="Times New Roman" w:hAnsi="Times New Roman" w:eastAsia="宋体" w:cs="Times New Roman"/>
                <w:b/>
                <w:bCs/>
                <w:color w:val="auto"/>
                <w:kern w:val="0"/>
                <w:szCs w:val="21"/>
                <w:highlight w:val="none"/>
              </w:rPr>
              <w:t>（盖章）</w:t>
            </w:r>
            <w:r>
              <w:rPr>
                <w:rFonts w:hint="default" w:ascii="Times New Roman" w:hAnsi="Times New Roman" w:eastAsia="宋体" w:cs="Times New Roman"/>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4019" w:type="dxa"/>
            <w:noWrap w:val="0"/>
            <w:vAlign w:val="center"/>
          </w:tcPr>
          <w:p>
            <w:pPr>
              <w:keepNext w:val="0"/>
              <w:keepLines w:val="0"/>
              <w:widowControl w:val="0"/>
              <w:suppressLineNumbers w:val="0"/>
              <w:shd w:val="clear" w:color="auto" w:fill="auto"/>
              <w:spacing w:before="0" w:beforeAutospacing="0" w:after="0" w:afterAutospacing="0" w:line="240" w:lineRule="auto"/>
              <w:ind w:left="0" w:right="0"/>
              <w:rPr>
                <w:rFonts w:hint="default" w:ascii="Times New Roman" w:hAnsi="Times New Roman" w:eastAsia="宋体" w:cs="Times New Roman"/>
                <w:bCs/>
                <w:color w:val="auto"/>
                <w:kern w:val="0"/>
                <w:szCs w:val="21"/>
                <w:highlight w:val="none"/>
              </w:rPr>
            </w:pPr>
            <w:r>
              <w:rPr>
                <w:rFonts w:hint="default" w:ascii="Times New Roman" w:hAnsi="Times New Roman" w:eastAsia="宋体" w:cs="Times New Roman"/>
                <w:bCs/>
                <w:color w:val="auto"/>
                <w:kern w:val="0"/>
                <w:szCs w:val="21"/>
                <w:highlight w:val="none"/>
              </w:rPr>
              <w:t>法定代表人或其委托代理人：</w:t>
            </w:r>
          </w:p>
          <w:p>
            <w:pPr>
              <w:keepNext w:val="0"/>
              <w:keepLines w:val="0"/>
              <w:widowControl w:val="0"/>
              <w:suppressLineNumbers w:val="0"/>
              <w:shd w:val="clear" w:color="auto" w:fill="auto"/>
              <w:spacing w:before="0" w:beforeAutospacing="0" w:after="0" w:afterAutospacing="0" w:line="240" w:lineRule="auto"/>
              <w:ind w:left="0" w:right="0"/>
              <w:rPr>
                <w:rFonts w:hint="default" w:ascii="Times New Roman" w:hAnsi="Times New Roman" w:eastAsia="宋体" w:cs="Times New Roman"/>
                <w:color w:val="auto"/>
                <w:szCs w:val="21"/>
                <w:highlight w:val="none"/>
              </w:rPr>
            </w:pPr>
            <w:r>
              <w:rPr>
                <w:rFonts w:hint="default" w:ascii="Times New Roman" w:hAnsi="Times New Roman" w:eastAsia="宋体" w:cs="Times New Roman"/>
                <w:bCs/>
                <w:color w:val="auto"/>
                <w:kern w:val="0"/>
                <w:szCs w:val="21"/>
                <w:highlight w:val="none"/>
              </w:rPr>
              <w:t>（签字）</w:t>
            </w:r>
          </w:p>
        </w:tc>
        <w:tc>
          <w:tcPr>
            <w:tcW w:w="4503" w:type="dxa"/>
            <w:noWrap w:val="0"/>
            <w:vAlign w:val="center"/>
          </w:tcPr>
          <w:p>
            <w:pPr>
              <w:keepNext w:val="0"/>
              <w:keepLines w:val="0"/>
              <w:widowControl w:val="0"/>
              <w:suppressLineNumbers w:val="0"/>
              <w:shd w:val="clear" w:color="auto" w:fill="auto"/>
              <w:spacing w:before="0" w:beforeAutospacing="0" w:after="0" w:afterAutospacing="0" w:line="240" w:lineRule="auto"/>
              <w:ind w:left="0" w:right="0"/>
              <w:rPr>
                <w:rFonts w:hint="default" w:ascii="Times New Roman" w:hAnsi="Times New Roman" w:eastAsia="宋体" w:cs="Times New Roman"/>
                <w:bCs/>
                <w:color w:val="auto"/>
                <w:kern w:val="0"/>
                <w:szCs w:val="21"/>
                <w:highlight w:val="none"/>
              </w:rPr>
            </w:pPr>
            <w:r>
              <w:rPr>
                <w:rFonts w:hint="default" w:ascii="Times New Roman" w:hAnsi="Times New Roman" w:eastAsia="宋体" w:cs="Times New Roman"/>
                <w:bCs/>
                <w:color w:val="auto"/>
                <w:kern w:val="0"/>
                <w:szCs w:val="21"/>
                <w:highlight w:val="none"/>
              </w:rPr>
              <w:t>法定代表人或其委托代理人：</w:t>
            </w:r>
          </w:p>
          <w:p>
            <w:pPr>
              <w:keepNext w:val="0"/>
              <w:keepLines w:val="0"/>
              <w:widowControl w:val="0"/>
              <w:suppressLineNumbers w:val="0"/>
              <w:shd w:val="clear" w:color="auto" w:fill="auto"/>
              <w:spacing w:before="0" w:beforeAutospacing="0" w:after="0" w:afterAutospacing="0" w:line="240" w:lineRule="auto"/>
              <w:ind w:left="0" w:right="0"/>
              <w:rPr>
                <w:rFonts w:hint="default" w:ascii="Times New Roman" w:hAnsi="Times New Roman" w:eastAsia="宋体" w:cs="Times New Roman"/>
                <w:color w:val="auto"/>
                <w:szCs w:val="21"/>
                <w:highlight w:val="none"/>
              </w:rPr>
            </w:pPr>
            <w:r>
              <w:rPr>
                <w:rFonts w:hint="default" w:ascii="Times New Roman" w:hAnsi="Times New Roman" w:eastAsia="宋体" w:cs="Times New Roman"/>
                <w:bCs/>
                <w:color w:val="auto"/>
                <w:kern w:val="0"/>
                <w:szCs w:val="21"/>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9"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color w:val="auto"/>
                <w:szCs w:val="21"/>
                <w:highlight w:val="none"/>
              </w:rPr>
            </w:pPr>
            <w:r>
              <w:rPr>
                <w:rFonts w:hint="default" w:ascii="Times New Roman" w:hAnsi="Times New Roman" w:eastAsia="宋体" w:cs="Times New Roman"/>
                <w:bCs/>
                <w:color w:val="auto"/>
                <w:kern w:val="0"/>
                <w:szCs w:val="21"/>
                <w:highlight w:val="none"/>
              </w:rPr>
              <w:t>组织机构代码：</w:t>
            </w:r>
            <w:r>
              <w:rPr>
                <w:rFonts w:hint="default" w:ascii="Times New Roman" w:hAnsi="Times New Roman" w:eastAsia="宋体" w:cs="Times New Roman"/>
                <w:color w:val="auto"/>
                <w:kern w:val="0"/>
                <w:szCs w:val="21"/>
                <w:highlight w:val="none"/>
              </w:rPr>
              <w:t>12330000470009034M</w:t>
            </w:r>
          </w:p>
        </w:tc>
        <w:tc>
          <w:tcPr>
            <w:tcW w:w="4503"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kern w:val="0"/>
                <w:szCs w:val="21"/>
                <w:highlight w:val="none"/>
              </w:rPr>
              <w:t>统一社会信用代码</w:t>
            </w:r>
            <w:r>
              <w:rPr>
                <w:rFonts w:hint="default" w:ascii="Times New Roman" w:hAnsi="Times New Roman" w:eastAsia="宋体" w:cs="Times New Roman"/>
                <w:bCs/>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9" w:type="dxa"/>
            <w:noWrap w:val="0"/>
            <w:vAlign w:val="center"/>
          </w:tcPr>
          <w:p>
            <w:pPr>
              <w:keepNext w:val="0"/>
              <w:keepLines w:val="0"/>
              <w:widowControl w:val="0"/>
              <w:suppressLineNumbers w:val="0"/>
              <w:shd w:val="clear" w:color="auto" w:fill="auto"/>
              <w:spacing w:before="0" w:beforeAutospacing="0" w:after="0" w:afterAutospacing="0" w:line="240" w:lineRule="auto"/>
              <w:ind w:left="0" w:right="0"/>
              <w:rPr>
                <w:rFonts w:hint="default" w:ascii="Times New Roman" w:hAnsi="Times New Roman" w:eastAsia="宋体" w:cs="Times New Roman"/>
                <w:color w:val="auto"/>
                <w:szCs w:val="21"/>
                <w:highlight w:val="none"/>
              </w:rPr>
            </w:pPr>
            <w:r>
              <w:rPr>
                <w:rFonts w:hint="default" w:ascii="Times New Roman" w:hAnsi="Times New Roman" w:eastAsia="宋体" w:cs="Times New Roman"/>
                <w:bCs/>
                <w:color w:val="auto"/>
                <w:kern w:val="0"/>
                <w:szCs w:val="21"/>
                <w:highlight w:val="none"/>
              </w:rPr>
              <w:t>地址：</w:t>
            </w:r>
            <w:r>
              <w:rPr>
                <w:rFonts w:hint="default" w:ascii="Times New Roman" w:hAnsi="Times New Roman" w:eastAsia="宋体" w:cs="Times New Roman"/>
                <w:color w:val="auto"/>
                <w:kern w:val="0"/>
                <w:szCs w:val="21"/>
                <w:highlight w:val="none"/>
              </w:rPr>
              <w:t>杭州市钱塘区2号大街928号</w:t>
            </w:r>
          </w:p>
        </w:tc>
        <w:tc>
          <w:tcPr>
            <w:tcW w:w="4503" w:type="dxa"/>
            <w:noWrap w:val="0"/>
            <w:vAlign w:val="center"/>
          </w:tcPr>
          <w:p>
            <w:pPr>
              <w:keepNext w:val="0"/>
              <w:keepLines w:val="0"/>
              <w:widowControl w:val="0"/>
              <w:suppressLineNumbers w:val="0"/>
              <w:shd w:val="clear" w:color="auto" w:fill="auto"/>
              <w:spacing w:before="0" w:beforeAutospacing="0" w:after="0" w:afterAutospacing="0" w:line="240" w:lineRule="auto"/>
              <w:ind w:left="0" w:right="0"/>
              <w:rPr>
                <w:rFonts w:hint="default" w:ascii="Times New Roman" w:hAnsi="Times New Roman" w:eastAsia="宋体" w:cs="Times New Roman"/>
                <w:color w:val="auto"/>
                <w:szCs w:val="21"/>
                <w:highlight w:val="none"/>
              </w:rPr>
            </w:pPr>
            <w:r>
              <w:rPr>
                <w:rFonts w:hint="default" w:ascii="Times New Roman" w:hAnsi="Times New Roman" w:eastAsia="宋体" w:cs="Times New Roman"/>
                <w:bCs/>
                <w:color w:val="auto"/>
                <w:kern w:val="0"/>
                <w:szCs w:val="21"/>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19"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bCs/>
                <w:color w:val="auto"/>
                <w:kern w:val="0"/>
                <w:szCs w:val="21"/>
                <w:highlight w:val="none"/>
              </w:rPr>
              <w:t>电话：0571-8684</w:t>
            </w:r>
            <w:r>
              <w:rPr>
                <w:rFonts w:hint="eastAsia" w:eastAsia="宋体" w:cs="Times New Roman"/>
                <w:bCs/>
                <w:color w:val="auto"/>
                <w:kern w:val="0"/>
                <w:szCs w:val="21"/>
                <w:highlight w:val="none"/>
                <w:lang w:val="en-US" w:eastAsia="zh-CN"/>
              </w:rPr>
              <w:t>3097</w:t>
            </w:r>
          </w:p>
        </w:tc>
        <w:tc>
          <w:tcPr>
            <w:tcW w:w="4503"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bCs/>
                <w:color w:val="auto"/>
                <w:kern w:val="0"/>
                <w:szCs w:val="21"/>
                <w:highlight w:val="none"/>
              </w:rPr>
            </w:pPr>
            <w:r>
              <w:rPr>
                <w:rFonts w:hint="default" w:ascii="Times New Roman" w:hAnsi="Times New Roman" w:eastAsia="宋体" w:cs="Times New Roman"/>
                <w:bCs/>
                <w:color w:val="auto"/>
                <w:kern w:val="0"/>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9"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color w:val="auto"/>
                <w:szCs w:val="21"/>
                <w:highlight w:val="none"/>
              </w:rPr>
            </w:pPr>
            <w:r>
              <w:rPr>
                <w:rFonts w:hint="default" w:ascii="Times New Roman" w:hAnsi="Times New Roman" w:eastAsia="宋体" w:cs="Times New Roman"/>
                <w:bCs/>
                <w:color w:val="auto"/>
                <w:kern w:val="0"/>
                <w:szCs w:val="21"/>
                <w:highlight w:val="none"/>
              </w:rPr>
              <w:t>传真：0571-86843156</w:t>
            </w:r>
          </w:p>
        </w:tc>
        <w:tc>
          <w:tcPr>
            <w:tcW w:w="4503"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bCs/>
                <w:color w:val="auto"/>
                <w:kern w:val="0"/>
                <w:szCs w:val="21"/>
                <w:highlight w:val="none"/>
              </w:rPr>
            </w:pPr>
            <w:r>
              <w:rPr>
                <w:rFonts w:hint="default" w:ascii="Times New Roman" w:hAnsi="Times New Roman" w:eastAsia="宋体" w:cs="Times New Roman"/>
                <w:bCs/>
                <w:color w:val="auto"/>
                <w:kern w:val="0"/>
                <w:szCs w:val="21"/>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19"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color w:val="auto"/>
                <w:szCs w:val="21"/>
                <w:highlight w:val="none"/>
              </w:rPr>
            </w:pPr>
            <w:r>
              <w:rPr>
                <w:rFonts w:hint="default" w:ascii="Times New Roman" w:hAnsi="Times New Roman" w:eastAsia="宋体" w:cs="Times New Roman"/>
                <w:bCs/>
                <w:color w:val="auto"/>
                <w:kern w:val="0"/>
                <w:szCs w:val="21"/>
                <w:highlight w:val="none"/>
              </w:rPr>
              <w:t>开户银行：</w:t>
            </w:r>
            <w:r>
              <w:rPr>
                <w:rFonts w:hint="default" w:ascii="Times New Roman" w:hAnsi="Times New Roman" w:eastAsia="宋体" w:cs="Times New Roman"/>
                <w:color w:val="auto"/>
                <w:kern w:val="0"/>
                <w:szCs w:val="21"/>
                <w:highlight w:val="none"/>
              </w:rPr>
              <w:t>中国农业银行杭州枫华支行</w:t>
            </w:r>
          </w:p>
        </w:tc>
        <w:tc>
          <w:tcPr>
            <w:tcW w:w="4503"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color w:val="auto"/>
                <w:szCs w:val="21"/>
                <w:highlight w:val="none"/>
              </w:rPr>
            </w:pPr>
            <w:r>
              <w:rPr>
                <w:rFonts w:hint="default" w:ascii="Times New Roman" w:hAnsi="Times New Roman" w:eastAsia="宋体" w:cs="Times New Roman"/>
                <w:bCs/>
                <w:color w:val="auto"/>
                <w:kern w:val="0"/>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9"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bCs/>
                <w:color w:val="auto"/>
                <w:kern w:val="0"/>
                <w:szCs w:val="21"/>
                <w:highlight w:val="none"/>
              </w:rPr>
            </w:pPr>
            <w:r>
              <w:rPr>
                <w:rFonts w:hint="default" w:ascii="Times New Roman" w:hAnsi="Times New Roman" w:eastAsia="宋体" w:cs="Times New Roman"/>
                <w:color w:val="auto"/>
                <w:kern w:val="0"/>
                <w:szCs w:val="21"/>
                <w:highlight w:val="none"/>
              </w:rPr>
              <w:t>户名：浙江理工大学</w:t>
            </w:r>
          </w:p>
        </w:tc>
        <w:tc>
          <w:tcPr>
            <w:tcW w:w="4503"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bCs/>
                <w:color w:val="auto"/>
                <w:kern w:val="0"/>
                <w:szCs w:val="21"/>
                <w:highlight w:val="none"/>
              </w:rPr>
            </w:pPr>
            <w:r>
              <w:rPr>
                <w:rFonts w:hint="default" w:ascii="Times New Roman" w:hAnsi="Times New Roman" w:eastAsia="宋体" w:cs="Times New Roman"/>
                <w:color w:val="auto"/>
                <w:kern w:val="0"/>
                <w:szCs w:val="21"/>
                <w:highlight w:val="none"/>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9"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color w:val="auto"/>
                <w:szCs w:val="21"/>
                <w:highlight w:val="none"/>
              </w:rPr>
            </w:pPr>
            <w:r>
              <w:rPr>
                <w:rFonts w:hint="default" w:ascii="Times New Roman" w:hAnsi="Times New Roman" w:eastAsia="宋体" w:cs="Times New Roman"/>
                <w:bCs/>
                <w:color w:val="auto"/>
                <w:kern w:val="0"/>
                <w:szCs w:val="21"/>
                <w:highlight w:val="none"/>
              </w:rPr>
              <w:t>账号：</w:t>
            </w:r>
            <w:r>
              <w:rPr>
                <w:rFonts w:hint="default" w:ascii="Times New Roman" w:hAnsi="Times New Roman" w:eastAsia="宋体" w:cs="Times New Roman"/>
                <w:color w:val="auto"/>
                <w:kern w:val="0"/>
                <w:szCs w:val="21"/>
                <w:highlight w:val="none"/>
              </w:rPr>
              <w:t>19001401040051897</w:t>
            </w:r>
          </w:p>
        </w:tc>
        <w:tc>
          <w:tcPr>
            <w:tcW w:w="4503"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color w:val="auto"/>
                <w:szCs w:val="21"/>
                <w:highlight w:val="none"/>
              </w:rPr>
            </w:pPr>
            <w:r>
              <w:rPr>
                <w:rFonts w:hint="default" w:ascii="Times New Roman" w:hAnsi="Times New Roman" w:eastAsia="宋体" w:cs="Times New Roman"/>
                <w:bCs/>
                <w:color w:val="auto"/>
                <w:kern w:val="0"/>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9"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bCs/>
                <w:color w:val="auto"/>
                <w:kern w:val="0"/>
                <w:szCs w:val="21"/>
                <w:highlight w:val="none"/>
                <w:lang w:val="en-US" w:eastAsia="zh-CN"/>
              </w:rPr>
            </w:pPr>
            <w:r>
              <w:rPr>
                <w:rFonts w:hint="default" w:ascii="Times New Roman" w:hAnsi="Times New Roman" w:eastAsia="宋体" w:cs="Times New Roman"/>
                <w:bCs/>
                <w:color w:val="auto"/>
                <w:kern w:val="0"/>
                <w:szCs w:val="21"/>
                <w:highlight w:val="none"/>
                <w:lang w:val="en-US" w:eastAsia="zh-CN"/>
              </w:rPr>
              <w:t>签订日期：2024年</w:t>
            </w:r>
            <w:r>
              <w:rPr>
                <w:rFonts w:hint="eastAsia" w:ascii="Times New Roman" w:hAnsi="Times New Roman" w:eastAsia="宋体" w:cs="Times New Roman"/>
                <w:bCs/>
                <w:color w:val="auto"/>
                <w:kern w:val="0"/>
                <w:szCs w:val="21"/>
                <w:highlight w:val="none"/>
                <w:lang w:val="en-US" w:eastAsia="zh-CN"/>
              </w:rPr>
              <w:t xml:space="preserve"> </w:t>
            </w:r>
            <w:r>
              <w:rPr>
                <w:rFonts w:hint="default" w:ascii="Times New Roman" w:hAnsi="Times New Roman" w:eastAsia="宋体" w:cs="Times New Roman"/>
                <w:bCs/>
                <w:color w:val="auto"/>
                <w:kern w:val="0"/>
                <w:szCs w:val="21"/>
                <w:highlight w:val="none"/>
                <w:lang w:val="en-US" w:eastAsia="zh-CN"/>
              </w:rPr>
              <w:t>月  日</w:t>
            </w:r>
          </w:p>
        </w:tc>
        <w:tc>
          <w:tcPr>
            <w:tcW w:w="4503"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bCs/>
                <w:color w:val="auto"/>
                <w:kern w:val="0"/>
                <w:szCs w:val="21"/>
                <w:highlight w:val="yellow"/>
              </w:rPr>
            </w:pPr>
            <w:r>
              <w:rPr>
                <w:rFonts w:hint="default" w:ascii="Times New Roman" w:hAnsi="Times New Roman" w:eastAsia="宋体" w:cs="Times New Roman"/>
                <w:bCs/>
                <w:color w:val="auto"/>
                <w:kern w:val="0"/>
                <w:szCs w:val="21"/>
                <w:highlight w:val="none"/>
                <w:lang w:val="en-US" w:eastAsia="zh-CN"/>
              </w:rPr>
              <w:t>签订日期：2024年</w:t>
            </w:r>
            <w:r>
              <w:rPr>
                <w:rFonts w:hint="eastAsia" w:ascii="Times New Roman" w:hAnsi="Times New Roman" w:eastAsia="宋体" w:cs="Times New Roman"/>
                <w:bCs/>
                <w:color w:val="auto"/>
                <w:kern w:val="0"/>
                <w:szCs w:val="21"/>
                <w:highlight w:val="none"/>
                <w:lang w:val="en-US" w:eastAsia="zh-CN"/>
              </w:rPr>
              <w:t xml:space="preserve"> </w:t>
            </w:r>
            <w:r>
              <w:rPr>
                <w:rFonts w:hint="default" w:ascii="Times New Roman" w:hAnsi="Times New Roman" w:eastAsia="宋体" w:cs="Times New Roman"/>
                <w:bCs/>
                <w:color w:val="auto"/>
                <w:kern w:val="0"/>
                <w:szCs w:val="21"/>
                <w:highlight w:val="none"/>
                <w:lang w:val="en-US" w:eastAsia="zh-CN"/>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4019" w:type="dxa"/>
            <w:noWrap w:val="0"/>
            <w:vAlign w:val="center"/>
          </w:tcPr>
          <w:p>
            <w:pPr>
              <w:keepNext w:val="0"/>
              <w:keepLines w:val="0"/>
              <w:suppressLineNumbers w:val="0"/>
              <w:spacing w:before="0" w:beforeAutospacing="0" w:after="0" w:afterAutospacing="0" w:line="360" w:lineRule="auto"/>
              <w:ind w:left="0" w:right="0" w:firstLine="0" w:firstLineChars="0"/>
              <w:rPr>
                <w:rFonts w:hint="default" w:ascii="Times New Roman" w:hAnsi="Times New Roman" w:eastAsia="宋体" w:cs="Times New Roman"/>
              </w:rPr>
            </w:pPr>
          </w:p>
          <w:p>
            <w:pPr>
              <w:keepNext w:val="0"/>
              <w:keepLines w:val="0"/>
              <w:widowControl w:val="0"/>
              <w:suppressLineNumbers w:val="0"/>
              <w:shd w:val="clear" w:color="auto" w:fill="auto"/>
              <w:spacing w:before="0" w:beforeAutospacing="0" w:after="0" w:afterAutospacing="0" w:line="240" w:lineRule="auto"/>
              <w:ind w:left="0" w:right="0"/>
              <w:rPr>
                <w:rFonts w:hint="default" w:ascii="Times New Roman" w:hAnsi="Times New Roman" w:eastAsia="宋体" w:cs="Times New Roman"/>
                <w:b/>
                <w:bCs/>
              </w:rPr>
            </w:pPr>
            <w:r>
              <w:rPr>
                <w:rFonts w:hint="default" w:ascii="Times New Roman" w:hAnsi="Times New Roman" w:eastAsia="宋体" w:cs="Times New Roman"/>
                <w:b/>
                <w:bCs/>
                <w:szCs w:val="22"/>
              </w:rPr>
              <w:t>鉴证方（盖章）</w:t>
            </w:r>
            <w:r>
              <w:rPr>
                <w:rFonts w:hint="default" w:ascii="Times New Roman" w:hAnsi="Times New Roman" w:eastAsia="宋体" w:cs="Times New Roman"/>
                <w:b/>
                <w:bCs/>
                <w:szCs w:val="22"/>
                <w:lang w:eastAsia="zh-CN"/>
              </w:rPr>
              <w:t>：</w:t>
            </w:r>
            <w:r>
              <w:rPr>
                <w:rFonts w:hint="default" w:ascii="Times New Roman" w:hAnsi="Times New Roman" w:eastAsia="宋体" w:cs="Times New Roman"/>
                <w:b/>
                <w:bCs/>
              </w:rPr>
              <w:t>浙江省成套招标代理有限公司</w:t>
            </w:r>
          </w:p>
          <w:p>
            <w:pPr>
              <w:pStyle w:val="2"/>
              <w:keepNext w:val="0"/>
              <w:keepLines w:val="0"/>
              <w:suppressLineNumbers w:val="0"/>
              <w:spacing w:before="0" w:beforeAutospacing="0" w:after="0" w:afterAutospacing="0"/>
              <w:ind w:left="0" w:right="0"/>
              <w:rPr>
                <w:rFonts w:hint="default" w:ascii="Times New Roman" w:hAnsi="Times New Roman" w:eastAsia="宋体" w:cs="Times New Roman"/>
              </w:rPr>
            </w:pPr>
          </w:p>
        </w:tc>
        <w:tc>
          <w:tcPr>
            <w:tcW w:w="4503"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bCs/>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9"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bCs/>
                <w:color w:val="auto"/>
                <w:kern w:val="0"/>
                <w:szCs w:val="21"/>
                <w:highlight w:val="none"/>
              </w:rPr>
            </w:pPr>
            <w:r>
              <w:rPr>
                <w:rFonts w:hint="default" w:ascii="Times New Roman" w:hAnsi="Times New Roman" w:eastAsia="宋体" w:cs="Times New Roman"/>
                <w:bCs/>
                <w:color w:val="auto"/>
                <w:kern w:val="0"/>
                <w:szCs w:val="21"/>
                <w:highlight w:val="none"/>
              </w:rPr>
              <w:t>法定代表人或其委托代理人：</w:t>
            </w:r>
          </w:p>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bCs/>
                <w:color w:val="auto"/>
                <w:kern w:val="0"/>
                <w:szCs w:val="21"/>
                <w:highlight w:val="none"/>
              </w:rPr>
            </w:pPr>
            <w:r>
              <w:rPr>
                <w:rFonts w:hint="default" w:ascii="Times New Roman" w:hAnsi="Times New Roman" w:eastAsia="宋体" w:cs="Times New Roman"/>
                <w:bCs/>
                <w:color w:val="auto"/>
                <w:kern w:val="0"/>
                <w:szCs w:val="21"/>
                <w:highlight w:val="none"/>
              </w:rPr>
              <w:t>（签字）</w:t>
            </w:r>
            <w:r>
              <w:rPr>
                <w:rFonts w:hint="default" w:ascii="Times New Roman" w:hAnsi="Times New Roman" w:eastAsia="宋体" w:cs="Times New Roman"/>
                <w:szCs w:val="21"/>
              </w:rPr>
              <w:t xml:space="preserve"> </w:t>
            </w:r>
          </w:p>
        </w:tc>
        <w:tc>
          <w:tcPr>
            <w:tcW w:w="4503" w:type="dxa"/>
            <w:noWrap w:val="0"/>
            <w:vAlign w:val="center"/>
          </w:tcPr>
          <w:p>
            <w:pPr>
              <w:keepNext w:val="0"/>
              <w:keepLines w:val="0"/>
              <w:widowControl w:val="0"/>
              <w:suppressLineNumbers w:val="0"/>
              <w:shd w:val="clear" w:color="auto" w:fill="auto"/>
              <w:spacing w:before="0" w:beforeAutospacing="0" w:after="0" w:afterAutospacing="0" w:line="360" w:lineRule="auto"/>
              <w:ind w:left="0" w:right="0"/>
              <w:rPr>
                <w:rFonts w:hint="default" w:ascii="Times New Roman" w:hAnsi="Times New Roman" w:eastAsia="宋体" w:cs="Times New Roman"/>
                <w:bCs/>
                <w:color w:val="auto"/>
                <w:kern w:val="0"/>
                <w:szCs w:val="21"/>
                <w:highlight w:val="yellow"/>
              </w:rPr>
            </w:pPr>
          </w:p>
        </w:tc>
      </w:tr>
    </w:tbl>
    <w:p>
      <w:pPr>
        <w:pStyle w:val="261"/>
        <w:spacing w:line="360" w:lineRule="auto"/>
        <w:ind w:firstLine="480" w:firstLineChars="200"/>
        <w:rPr>
          <w:rFonts w:hint="eastAsia" w:hAnsi="宋体"/>
          <w:kern w:val="0"/>
          <w:sz w:val="24"/>
          <w:szCs w:val="21"/>
          <w:highlight w:val="yellow"/>
          <w:u w:val="single"/>
        </w:rPr>
      </w:pPr>
    </w:p>
    <w:p>
      <w:pPr>
        <w:pStyle w:val="261"/>
        <w:rPr>
          <w:rFonts w:hint="eastAsia"/>
        </w:rPr>
      </w:pPr>
    </w:p>
    <w:p>
      <w:pPr>
        <w:pStyle w:val="261"/>
        <w:rPr>
          <w:rFonts w:hint="eastAsia"/>
        </w:rPr>
      </w:pPr>
    </w:p>
    <w:p>
      <w:pPr>
        <w:spacing w:line="360" w:lineRule="auto"/>
        <w:jc w:val="center"/>
        <w:rPr>
          <w:rFonts w:ascii="宋体" w:hAnsi="宋体" w:cs="宋体"/>
          <w:b/>
          <w:bCs/>
          <w:sz w:val="28"/>
          <w:szCs w:val="28"/>
        </w:rPr>
      </w:pPr>
      <w:r>
        <w:rPr>
          <w:rFonts w:hint="eastAsia" w:ascii="宋体" w:hAnsi="宋体" w:cs="宋体"/>
          <w:b/>
          <w:bCs/>
          <w:sz w:val="28"/>
          <w:szCs w:val="28"/>
        </w:rPr>
        <w:br w:type="page"/>
      </w:r>
      <w:r>
        <w:rPr>
          <w:rFonts w:hint="eastAsia" w:ascii="宋体" w:hAnsi="宋体" w:cs="宋体"/>
          <w:b/>
          <w:bCs/>
          <w:sz w:val="28"/>
          <w:szCs w:val="28"/>
        </w:rPr>
        <w:t>第二部分  通用条件</w:t>
      </w:r>
    </w:p>
    <w:p>
      <w:pPr>
        <w:snapToGrid w:val="0"/>
        <w:spacing w:line="312" w:lineRule="auto"/>
        <w:jc w:val="center"/>
        <w:rPr>
          <w:rFonts w:ascii="宋体" w:hAnsi="宋体" w:cs="宋体"/>
          <w:b/>
          <w:szCs w:val="21"/>
        </w:rPr>
      </w:pPr>
    </w:p>
    <w:p>
      <w:pPr>
        <w:snapToGrid w:val="0"/>
        <w:spacing w:line="312" w:lineRule="auto"/>
        <w:ind w:firstLine="422" w:firstLineChars="200"/>
        <w:jc w:val="left"/>
        <w:rPr>
          <w:rFonts w:ascii="宋体" w:hAnsi="宋体" w:cs="宋体"/>
          <w:b/>
          <w:szCs w:val="21"/>
        </w:rPr>
      </w:pPr>
      <w:r>
        <w:rPr>
          <w:rFonts w:hint="eastAsia" w:ascii="宋体" w:hAnsi="宋体" w:cs="宋体"/>
          <w:b/>
          <w:szCs w:val="21"/>
        </w:rPr>
        <w:t>1. 定义与解释</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 xml:space="preserve">1.1 </w:t>
      </w:r>
      <w:r>
        <w:rPr>
          <w:rFonts w:hint="eastAsia" w:ascii="宋体" w:hAnsi="宋体" w:cs="宋体"/>
          <w:bCs/>
          <w:szCs w:val="21"/>
        </w:rPr>
        <w:t>定义</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除根据上下文另有其意义外，组成本合同的全部文件中的下列名词和用语应具有本款所赋予的含义：</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1.1.1 “工程”是指按照本合同约定实施监理与相关服务的建设工程。</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1.1.2 “委托人”是指本合同中委托监理与相关服务的一方，及其合法的继承人或受让人。</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1.1.3 “监理人”是指本合同中提供监理与相关服务的一方，及其合法的继承人。</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1.1.4 “承包人”是指在工程范围内与委托人签订勘察、设计、施工等有关合同的当事人，及其合法的继承人。</w:t>
      </w:r>
    </w:p>
    <w:p>
      <w:pPr>
        <w:pStyle w:val="6"/>
        <w:snapToGrid w:val="0"/>
        <w:spacing w:line="312" w:lineRule="auto"/>
        <w:ind w:firstLine="420" w:firstLineChars="200"/>
        <w:jc w:val="left"/>
        <w:rPr>
          <w:rFonts w:hAnsi="宋体" w:cs="宋体"/>
          <w:szCs w:val="21"/>
        </w:rPr>
      </w:pPr>
      <w:r>
        <w:rPr>
          <w:rFonts w:hint="eastAsia" w:hAnsi="宋体" w:cs="宋体"/>
          <w:szCs w:val="21"/>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1.1.6 “相关服务”是指监理人受委托人的委托 ，按照本合同约定，在勘察、设计、保修等阶段提供的服务活动。</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1.1.7 “正常工作”指本合同订立时通用条件和专用条件中约定的监理人的工作。</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1.1.8 “附加工作”是指本合同约定的正常工作以外监理人的工作。</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1.1.9 “项目监理机构”是指监理人派驻工程负责履行本合同的组织机构。</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1.1.10 “总监理工程师”是指由监理人的法定代表人书面授权，全面负责履行本合同、主持项目监理机构工作的注册监理工程师。</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1.1.11 “酬金”是指监理人履行本合同义务，委托人按照本合同约定给付监理人的金额。</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1.1.12 “正常工作</w:t>
      </w:r>
      <w:r>
        <w:rPr>
          <w:rFonts w:hint="eastAsia" w:ascii="宋体" w:hAnsi="宋体" w:cs="宋体"/>
          <w:kern w:val="0"/>
          <w:szCs w:val="21"/>
        </w:rPr>
        <w:t>酬金”</w:t>
      </w:r>
      <w:r>
        <w:rPr>
          <w:rFonts w:hint="eastAsia" w:ascii="宋体" w:hAnsi="宋体" w:cs="宋体"/>
          <w:szCs w:val="21"/>
        </w:rPr>
        <w:t>是指监理人完成正常工作，委托人应给付监理人并在协议书中载明的签约</w:t>
      </w:r>
      <w:r>
        <w:rPr>
          <w:rFonts w:hint="eastAsia" w:ascii="宋体" w:hAnsi="宋体" w:cs="宋体"/>
          <w:kern w:val="0"/>
          <w:szCs w:val="21"/>
        </w:rPr>
        <w:t>酬金额</w:t>
      </w:r>
      <w:r>
        <w:rPr>
          <w:rFonts w:hint="eastAsia" w:ascii="宋体" w:hAnsi="宋体" w:cs="宋体"/>
          <w:szCs w:val="21"/>
        </w:rPr>
        <w:t>。</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1.1.13 “附加工作酬金”是指监理人完成附加工作，委托人应给付监理人的金额。</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1.1.14 “一方”是指委托人或监理人；“双方”是指委托人和监理人；“第三方”是指除委托人和监理人以外的有关方。</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1.1.15 “书面形式”是指合同书、信件和数据电文（包括电报、电传、传真、电子数据交换和电子邮件）等可以有形地表现所载内容的形式。</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1.1.16 “天”是指第一天零时至第二天零时的时间。</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1.1.17“月”是指按公历从一个月中任何一天开始的一个公历月时间。</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12" w:lineRule="auto"/>
        <w:ind w:firstLine="420" w:firstLineChars="200"/>
        <w:jc w:val="left"/>
        <w:rPr>
          <w:rFonts w:ascii="宋体" w:hAnsi="宋体" w:cs="宋体"/>
          <w:szCs w:val="21"/>
        </w:rPr>
      </w:pPr>
      <w:r>
        <w:rPr>
          <w:rFonts w:hint="eastAsia" w:ascii="宋体" w:hAnsi="宋体" w:cs="宋体"/>
          <w:bCs/>
          <w:szCs w:val="21"/>
        </w:rPr>
        <w:t xml:space="preserve">1.2 </w:t>
      </w:r>
      <w:r>
        <w:rPr>
          <w:rFonts w:hint="eastAsia" w:ascii="宋体" w:hAnsi="宋体" w:cs="宋体"/>
          <w:szCs w:val="21"/>
        </w:rPr>
        <w:t>解释</w:t>
      </w:r>
    </w:p>
    <w:p>
      <w:pPr>
        <w:tabs>
          <w:tab w:val="left" w:pos="6140"/>
        </w:tabs>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1.2.1本合同使用中文书写、解释和说明。如专用条件约定使用两种及以上语言文字时，应以中文为准。</w:t>
      </w:r>
    </w:p>
    <w:p>
      <w:pPr>
        <w:tabs>
          <w:tab w:val="left" w:pos="6140"/>
        </w:tabs>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1.2.2 组成本合同的下列文件彼此应能相互解释、互为说明。除专用条件另有约定外，本合同文件的解释顺序如下：</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（1）协议书；</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（2）中标通知书（适用于招标工程）或委托书（适用于非招标工程）；</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（3）专用条件及附录A、附录B；</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（4）通用条件；</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（5）投标文件（适用于招标工程）或监理与相关服务建议书（适用于非招标工程）。</w:t>
      </w:r>
    </w:p>
    <w:p>
      <w:pPr>
        <w:snapToGrid w:val="0"/>
        <w:spacing w:line="312" w:lineRule="auto"/>
        <w:ind w:firstLine="420" w:firstLineChars="200"/>
        <w:jc w:val="left"/>
        <w:rPr>
          <w:rFonts w:ascii="宋体" w:hAnsi="宋体" w:cs="宋体"/>
          <w:szCs w:val="21"/>
        </w:rPr>
      </w:pPr>
      <w:r>
        <w:rPr>
          <w:rFonts w:hint="eastAsia" w:ascii="宋体" w:hAnsi="宋体" w:cs="宋体"/>
          <w:szCs w:val="21"/>
        </w:rPr>
        <w:t>双方签订的补充协议与其他文件发生矛盾或歧义时，属于同一类内容的文件，应以最新签署的为准。</w:t>
      </w:r>
    </w:p>
    <w:p>
      <w:pPr>
        <w:snapToGrid w:val="0"/>
        <w:spacing w:line="312" w:lineRule="auto"/>
        <w:ind w:firstLine="422" w:firstLineChars="200"/>
        <w:jc w:val="left"/>
        <w:rPr>
          <w:rFonts w:ascii="宋体" w:hAnsi="宋体" w:cs="宋体"/>
          <w:b/>
          <w:szCs w:val="21"/>
        </w:rPr>
      </w:pPr>
      <w:r>
        <w:rPr>
          <w:rFonts w:hint="eastAsia" w:ascii="宋体" w:hAnsi="宋体" w:cs="宋体"/>
          <w:b/>
          <w:szCs w:val="21"/>
        </w:rPr>
        <w:t>2. 监理人的义务</w:t>
      </w:r>
    </w:p>
    <w:p>
      <w:pPr>
        <w:adjustRightInd w:val="0"/>
        <w:snapToGrid w:val="0"/>
        <w:spacing w:line="312" w:lineRule="auto"/>
        <w:ind w:firstLine="420" w:firstLineChars="200"/>
        <w:jc w:val="left"/>
        <w:rPr>
          <w:rFonts w:ascii="宋体" w:hAnsi="宋体" w:cs="宋体"/>
          <w:bCs/>
          <w:szCs w:val="21"/>
        </w:rPr>
      </w:pPr>
      <w:r>
        <w:rPr>
          <w:rFonts w:hint="eastAsia" w:ascii="宋体" w:hAnsi="宋体" w:cs="宋体"/>
          <w:szCs w:val="21"/>
        </w:rPr>
        <w:t>2.1 监理的范围和工作内容</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2.1.1 监理范围在专用条件中约定。</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2.1.2 除专用条件另有约定外，监理工作内容包括：</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（1）收到工程设计文件后编制监理规划，并在第一次工地会议7天前报委托人。根据有关规定和监理工作需要，编制监理实施细则；</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（2）熟悉工程设计文件，并参加由委托人主持的图纸会审和设计交底会议；</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（3）参加由委托人主持的第一次工地会议；主持监理例会并根据工程需要主持或参加专题会议；</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（4）审查施工承包人提交的施工组织设计，重点审查其中的质量安全技术措施、专项施工方案与工程建设强制性标准的符合性；</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 xml:space="preserve">（5）检查施工承包人工程质量、安全生产管理制度及组织机构和人员资格； </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（6）检查施工承包人专职安全生产管理人员的配备情况；</w:t>
      </w:r>
    </w:p>
    <w:p>
      <w:pPr>
        <w:adjustRightInd w:val="0"/>
        <w:snapToGrid w:val="0"/>
        <w:spacing w:line="312" w:lineRule="auto"/>
        <w:ind w:firstLine="315" w:firstLineChars="150"/>
        <w:jc w:val="left"/>
        <w:rPr>
          <w:rFonts w:ascii="宋体" w:hAnsi="宋体" w:cs="宋体"/>
          <w:szCs w:val="21"/>
        </w:rPr>
      </w:pPr>
      <w:r>
        <w:rPr>
          <w:rFonts w:hint="eastAsia" w:ascii="宋体" w:hAnsi="宋体" w:cs="宋体"/>
          <w:szCs w:val="21"/>
        </w:rPr>
        <w:t xml:space="preserve"> （7）审查施工承包人提交的施工进度计划，核查承包人对施工进度计划的调整；</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（8）检查施工承包人的试验室；</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（9）审核施工分包人资质条件；</w:t>
      </w:r>
    </w:p>
    <w:p>
      <w:pPr>
        <w:snapToGrid w:val="0"/>
        <w:spacing w:line="312" w:lineRule="auto"/>
        <w:ind w:firstLine="420" w:firstLineChars="200"/>
        <w:jc w:val="left"/>
        <w:rPr>
          <w:rFonts w:ascii="宋体" w:hAnsi="宋体" w:cs="宋体"/>
          <w:szCs w:val="21"/>
        </w:rPr>
      </w:pPr>
      <w:r>
        <w:rPr>
          <w:rFonts w:hint="eastAsia" w:ascii="宋体" w:hAnsi="宋体" w:cs="宋体"/>
          <w:szCs w:val="21"/>
        </w:rPr>
        <w:t>（10）查验施工承包人的施工测量放线成果；</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（11）审查工程开工条件，对条件具备的签发开工令；</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（12）审查施工承包人报送的工程材料、构配件、设备质量证明文件的有效性和符合性，并按规定对用于工程的材料采取平行检验或见证取样方式进行抽检；</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（13）审核施工承包人提交的工程款支付申请，签发或出具工程款支付证书，并报委托人审核、批准；</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（14）在巡视、旁站和检验过程中，发现工程质量、施工安全存在事故隐患的，要求施工承包人整改并报委托人；</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（15）经委托人同意，签发工程暂停令和复工令；</w:t>
      </w:r>
    </w:p>
    <w:p>
      <w:pPr>
        <w:adjustRightInd w:val="0"/>
        <w:snapToGrid w:val="0"/>
        <w:spacing w:line="312" w:lineRule="auto"/>
        <w:ind w:firstLine="315" w:firstLineChars="150"/>
        <w:jc w:val="left"/>
        <w:rPr>
          <w:rFonts w:ascii="宋体" w:hAnsi="宋体" w:cs="宋体"/>
          <w:szCs w:val="21"/>
        </w:rPr>
      </w:pPr>
      <w:r>
        <w:rPr>
          <w:rFonts w:hint="eastAsia" w:ascii="宋体" w:hAnsi="宋体" w:cs="宋体"/>
          <w:szCs w:val="21"/>
        </w:rPr>
        <w:t xml:space="preserve"> （16）审查施工承包人提交的采用新材料、新工艺、新技术、新设备的论证材料及相关验收标准；</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（17）验收隐蔽工程、分部分项工程；</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（18）审查施工承包人提交的工程变更申请，协调处理施工进度调整、费用索赔、合同争议等事项；</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（19）审查施工承包人提交的竣工验收申请，编写工程质量评估报告；</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（20）参加工程竣工验收，签署竣工验收意见；</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（21）审查施工承包人提交的竣工结算申请并报委托人；</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（22）编制、整理工程监理归档文件并报委托人。</w:t>
      </w:r>
    </w:p>
    <w:p>
      <w:pPr>
        <w:snapToGrid w:val="0"/>
        <w:spacing w:line="312" w:lineRule="auto"/>
        <w:ind w:firstLine="420" w:firstLineChars="200"/>
        <w:jc w:val="left"/>
        <w:rPr>
          <w:rFonts w:ascii="宋体" w:hAnsi="宋体" w:cs="宋体"/>
          <w:szCs w:val="21"/>
        </w:rPr>
      </w:pPr>
      <w:r>
        <w:rPr>
          <w:rFonts w:hint="eastAsia" w:ascii="宋体" w:hAnsi="宋体" w:cs="宋体"/>
          <w:szCs w:val="21"/>
        </w:rPr>
        <w:t>2.1.3 相关服务的范围和内容在附录A中约定。</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 xml:space="preserve">2.2 </w:t>
      </w:r>
      <w:r>
        <w:rPr>
          <w:rFonts w:hint="eastAsia" w:ascii="宋体" w:hAnsi="宋体" w:cs="宋体"/>
          <w:bCs/>
          <w:szCs w:val="21"/>
        </w:rPr>
        <w:t>监理与相关服务依据</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2.2.1 监理依据包括：</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（1）适用的法律、行政法规及部门规章；</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（2）与工程有关的标准；</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（3）工程设计及有关文件；</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（4）本合同及委托人与第三方签订的与实施工程有关的其他合同。</w:t>
      </w:r>
    </w:p>
    <w:p>
      <w:pPr>
        <w:snapToGrid w:val="0"/>
        <w:spacing w:line="312" w:lineRule="auto"/>
        <w:ind w:firstLine="420" w:firstLineChars="200"/>
        <w:jc w:val="left"/>
        <w:rPr>
          <w:rFonts w:ascii="宋体" w:hAnsi="宋体" w:cs="宋体"/>
          <w:bCs/>
          <w:szCs w:val="21"/>
        </w:rPr>
      </w:pPr>
      <w:r>
        <w:rPr>
          <w:rFonts w:hint="eastAsia" w:ascii="宋体" w:hAnsi="宋体" w:cs="宋体"/>
          <w:bCs/>
          <w:szCs w:val="21"/>
        </w:rPr>
        <w:t>双方根据工程的行业和地域特点，在专用条件中具体约定监理依据。</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2.2.2 相关服务依据在专用条件中约定。</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2.3 项目监理机构和人员</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2.3.1 监理人应组建满足工作需要的项目监理机构，配备必要的检测设备。项目监理机构的主要人员应具有相应的资格条件。</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2.3.2本合同履行过程中，总监理工程师及重要岗位监理人员应保持相对稳定，以保证监理工作正常进行。</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2.3.4 监理人应及时更换有下列情形之一的监理人员：</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（1）严重过失行为的；</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（2）有违法行为不能履行职责的；</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（3）涉嫌犯罪的；</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（4）不能胜任岗位职责的；</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（5）严重违反职业道德的；</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（6）专用条件约定的其他情形。</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2.3.5 委托人可要求监理人更换不能胜任本职工作的项目监理机构人员。</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2.4 履行职责</w:t>
      </w:r>
    </w:p>
    <w:p>
      <w:pPr>
        <w:adjustRightInd w:val="0"/>
        <w:snapToGrid w:val="0"/>
        <w:spacing w:line="312" w:lineRule="auto"/>
        <w:ind w:firstLine="420" w:firstLineChars="200"/>
        <w:jc w:val="left"/>
        <w:rPr>
          <w:rFonts w:ascii="宋体" w:hAnsi="宋体" w:cs="宋体"/>
          <w:szCs w:val="21"/>
        </w:rPr>
      </w:pPr>
      <w:r>
        <w:rPr>
          <w:rFonts w:hint="eastAsia" w:ascii="宋体" w:hAnsi="宋体" w:cs="宋体"/>
          <w:kern w:val="0"/>
          <w:szCs w:val="21"/>
        </w:rPr>
        <w:t>监理人应遵循职业道德准则和行为规范，严格按照法律法规、工程建设有关标准及本合同履行职责。</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2.4.2 当委托人与承包人之间的合同争议提交仲裁机构仲裁或人民法院审理时，监理人应提供必要的证明资料。</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2.4.3 监理人应在专用条件约定的授权范围内，处理委托人与承包人所签订合同的变更事宜。如果变更超过授权范围，应以书面形式报委托人批准。</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在紧急情况下，为了保护财产和人身安全，监理人所发出的指令未能事先报委托人批准时，应在发出指令后的24小时内以书面形式报委托人。</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2.4.4 除专用条件另有约定外，监理人发现承包人的人员不能胜任本职工作的，有权要求承包人予以调换。</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2.5 提交报告</w:t>
      </w:r>
    </w:p>
    <w:p>
      <w:pPr>
        <w:snapToGrid w:val="0"/>
        <w:spacing w:line="312" w:lineRule="auto"/>
        <w:ind w:firstLine="420" w:firstLineChars="200"/>
        <w:jc w:val="left"/>
        <w:rPr>
          <w:rFonts w:ascii="宋体" w:hAnsi="宋体" w:cs="宋体"/>
          <w:szCs w:val="21"/>
        </w:rPr>
      </w:pPr>
      <w:r>
        <w:rPr>
          <w:rFonts w:hint="eastAsia" w:ascii="宋体" w:hAnsi="宋体" w:cs="宋体"/>
          <w:szCs w:val="21"/>
        </w:rPr>
        <w:t>监理人应按专用条件约定的种类、时间和份数向委托人提交监理与相关服务的报告。</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2.6 文件资料</w:t>
      </w:r>
    </w:p>
    <w:p>
      <w:pPr>
        <w:snapToGrid w:val="0"/>
        <w:spacing w:line="312" w:lineRule="auto"/>
        <w:ind w:firstLine="420" w:firstLineChars="200"/>
        <w:jc w:val="left"/>
        <w:rPr>
          <w:rFonts w:ascii="宋体" w:hAnsi="宋体" w:cs="宋体"/>
          <w:szCs w:val="21"/>
        </w:rPr>
      </w:pPr>
      <w:r>
        <w:rPr>
          <w:rFonts w:hint="eastAsia" w:ascii="宋体" w:hAnsi="宋体" w:cs="宋体"/>
          <w:kern w:val="0"/>
          <w:szCs w:val="21"/>
        </w:rPr>
        <w:t>在本合同履行期内，监理人应在现场保留工作所用的图纸、报告及记录监理工</w:t>
      </w:r>
      <w:r>
        <w:rPr>
          <w:rFonts w:hint="eastAsia" w:ascii="宋体" w:hAnsi="宋体" w:cs="宋体"/>
          <w:szCs w:val="21"/>
        </w:rPr>
        <w:t>作的相关文件。工程竣工后，应当按照档案管理规定将监理有关文件归档。</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2.7 使用委托人的财产</w:t>
      </w:r>
    </w:p>
    <w:p>
      <w:pPr>
        <w:snapToGrid w:val="0"/>
        <w:spacing w:line="312" w:lineRule="auto"/>
        <w:ind w:firstLine="420" w:firstLineChars="200"/>
        <w:jc w:val="left"/>
        <w:rPr>
          <w:rFonts w:ascii="宋体" w:hAnsi="宋体" w:cs="宋体"/>
          <w:szCs w:val="21"/>
        </w:rPr>
      </w:pPr>
      <w:r>
        <w:rPr>
          <w:rFonts w:hint="eastAsia" w:ascii="宋体" w:hAnsi="宋体" w:cs="宋体"/>
          <w:szCs w:val="21"/>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napToGrid w:val="0"/>
        <w:spacing w:line="312" w:lineRule="auto"/>
        <w:ind w:firstLine="422" w:firstLineChars="200"/>
        <w:jc w:val="left"/>
        <w:rPr>
          <w:rFonts w:ascii="宋体" w:hAnsi="宋体" w:cs="宋体"/>
          <w:b/>
          <w:kern w:val="0"/>
          <w:szCs w:val="21"/>
        </w:rPr>
      </w:pPr>
      <w:r>
        <w:rPr>
          <w:rFonts w:hint="eastAsia" w:ascii="宋体" w:hAnsi="宋体" w:cs="宋体"/>
          <w:b/>
          <w:kern w:val="0"/>
          <w:szCs w:val="21"/>
        </w:rPr>
        <w:t>3．委托人的义务</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3.1 告知</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委托人应在委托人与承包人签订的合同中明确监理人、总监理工程师和授予项目监理机构的权限。如有变更，应及时通知承包人。</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3.2 提供资料</w:t>
      </w:r>
    </w:p>
    <w:p>
      <w:pPr>
        <w:snapToGrid w:val="0"/>
        <w:spacing w:line="312" w:lineRule="auto"/>
        <w:ind w:firstLine="420" w:firstLineChars="200"/>
        <w:jc w:val="left"/>
        <w:rPr>
          <w:rFonts w:ascii="宋体" w:hAnsi="宋体" w:cs="宋体"/>
          <w:szCs w:val="21"/>
        </w:rPr>
      </w:pPr>
      <w:r>
        <w:rPr>
          <w:rFonts w:hint="eastAsia" w:ascii="宋体" w:hAnsi="宋体" w:cs="宋体"/>
          <w:kern w:val="0"/>
          <w:szCs w:val="21"/>
        </w:rPr>
        <w:t>委托人应按照附录B约定，无偿向监理人提供工程有关的资料。</w:t>
      </w:r>
      <w:r>
        <w:rPr>
          <w:rFonts w:hint="eastAsia" w:ascii="宋体" w:hAnsi="宋体" w:cs="宋体"/>
          <w:szCs w:val="21"/>
        </w:rPr>
        <w:t>在本合同履行过程中，委托人应及时向监理人提供最新的与工程有关的资料。</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3.3 提供工作条件</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委托人应为监理人完成监理与相关服务提供必要的条件。</w:t>
      </w:r>
    </w:p>
    <w:p>
      <w:pPr>
        <w:adjustRightInd w:val="0"/>
        <w:snapToGrid w:val="0"/>
        <w:spacing w:line="312" w:lineRule="auto"/>
        <w:ind w:firstLine="420" w:firstLineChars="200"/>
        <w:jc w:val="left"/>
        <w:rPr>
          <w:rFonts w:ascii="宋体" w:hAnsi="宋体" w:cs="宋体"/>
          <w:szCs w:val="21"/>
        </w:rPr>
      </w:pPr>
      <w:r>
        <w:rPr>
          <w:rFonts w:hint="eastAsia" w:ascii="宋体" w:hAnsi="宋体" w:cs="宋体"/>
          <w:kern w:val="0"/>
          <w:szCs w:val="21"/>
        </w:rPr>
        <w:t xml:space="preserve">3.3.1 </w:t>
      </w:r>
      <w:r>
        <w:rPr>
          <w:rFonts w:hint="eastAsia" w:ascii="宋体" w:hAnsi="宋体" w:cs="宋体"/>
          <w:szCs w:val="21"/>
        </w:rPr>
        <w:t>委托人应按照附录B约定，派遣相应的人员，提供房屋、设备，供监理人</w:t>
      </w:r>
      <w:r>
        <w:rPr>
          <w:rFonts w:hint="eastAsia" w:ascii="宋体" w:hAnsi="宋体" w:cs="宋体"/>
          <w:kern w:val="0"/>
          <w:szCs w:val="21"/>
        </w:rPr>
        <w:t>无偿</w:t>
      </w:r>
      <w:r>
        <w:rPr>
          <w:rFonts w:hint="eastAsia" w:ascii="宋体" w:hAnsi="宋体" w:cs="宋体"/>
          <w:szCs w:val="21"/>
        </w:rPr>
        <w:t>使用。</w:t>
      </w:r>
    </w:p>
    <w:p>
      <w:pPr>
        <w:snapToGrid w:val="0"/>
        <w:spacing w:line="312" w:lineRule="auto"/>
        <w:ind w:firstLine="420" w:firstLineChars="200"/>
        <w:jc w:val="left"/>
        <w:rPr>
          <w:rFonts w:ascii="宋体" w:hAnsi="宋体" w:cs="宋体"/>
          <w:szCs w:val="21"/>
        </w:rPr>
      </w:pPr>
      <w:r>
        <w:rPr>
          <w:rFonts w:hint="eastAsia" w:ascii="宋体" w:hAnsi="宋体" w:cs="宋体"/>
          <w:kern w:val="0"/>
          <w:szCs w:val="21"/>
        </w:rPr>
        <w:t xml:space="preserve">3.3.2 </w:t>
      </w:r>
      <w:r>
        <w:rPr>
          <w:rFonts w:hint="eastAsia" w:ascii="宋体" w:hAnsi="宋体" w:cs="宋体"/>
          <w:szCs w:val="21"/>
        </w:rPr>
        <w:t>委托人应负责协调工程建设中所有外部关系，为监理人履行本合同提供必要的外部条件。</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3.4 委托人代表</w:t>
      </w:r>
    </w:p>
    <w:p>
      <w:pPr>
        <w:snapToGrid w:val="0"/>
        <w:spacing w:line="312" w:lineRule="auto"/>
        <w:ind w:firstLine="420" w:firstLineChars="200"/>
        <w:jc w:val="left"/>
        <w:rPr>
          <w:rFonts w:ascii="宋体" w:hAnsi="宋体" w:cs="宋体"/>
          <w:szCs w:val="21"/>
        </w:rPr>
      </w:pPr>
      <w:r>
        <w:rPr>
          <w:rFonts w:hint="eastAsia" w:ascii="宋体" w:hAnsi="宋体" w:cs="宋体"/>
          <w:szCs w:val="21"/>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3.5 委托人意见或要求</w:t>
      </w:r>
    </w:p>
    <w:p>
      <w:pPr>
        <w:snapToGrid w:val="0"/>
        <w:spacing w:line="312" w:lineRule="auto"/>
        <w:ind w:firstLine="420" w:firstLineChars="200"/>
        <w:jc w:val="left"/>
        <w:rPr>
          <w:rFonts w:ascii="宋体" w:hAnsi="宋体" w:cs="宋体"/>
          <w:szCs w:val="21"/>
        </w:rPr>
      </w:pPr>
      <w:r>
        <w:rPr>
          <w:rFonts w:hint="eastAsia" w:ascii="宋体" w:hAnsi="宋体" w:cs="宋体"/>
          <w:szCs w:val="21"/>
        </w:rPr>
        <w:t>在本合同约定的监理与相关服务工作范围内，委托人对承包人的任何意见或要求应通知监理人，由监理人向承包人发出相应指令。</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3.6 答复</w:t>
      </w:r>
    </w:p>
    <w:p>
      <w:pPr>
        <w:snapToGrid w:val="0"/>
        <w:spacing w:line="312" w:lineRule="auto"/>
        <w:ind w:firstLine="420" w:firstLineChars="200"/>
        <w:jc w:val="left"/>
        <w:rPr>
          <w:rFonts w:ascii="宋体" w:hAnsi="宋体" w:cs="宋体"/>
          <w:szCs w:val="21"/>
        </w:rPr>
      </w:pPr>
      <w:r>
        <w:rPr>
          <w:rFonts w:hint="eastAsia" w:ascii="宋体" w:hAnsi="宋体" w:cs="宋体"/>
          <w:szCs w:val="21"/>
        </w:rPr>
        <w:t>委托人应在专用条件约定的时间内，对监理人以书面形式提交并要求作出决定的事宜，给予书面答复。逾期未答复的，视为委托人认可。</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3.7 支付</w:t>
      </w:r>
    </w:p>
    <w:p>
      <w:pPr>
        <w:snapToGrid w:val="0"/>
        <w:spacing w:line="312" w:lineRule="auto"/>
        <w:ind w:firstLine="420" w:firstLineChars="200"/>
        <w:jc w:val="left"/>
        <w:rPr>
          <w:rFonts w:ascii="宋体" w:hAnsi="宋体" w:cs="宋体"/>
          <w:szCs w:val="21"/>
        </w:rPr>
      </w:pPr>
      <w:r>
        <w:rPr>
          <w:rFonts w:hint="eastAsia" w:ascii="宋体" w:hAnsi="宋体" w:cs="宋体"/>
          <w:szCs w:val="21"/>
        </w:rPr>
        <w:t>委托人应按本合同约定，向监理人支付酬金。</w:t>
      </w:r>
    </w:p>
    <w:p>
      <w:pPr>
        <w:snapToGrid w:val="0"/>
        <w:spacing w:line="312" w:lineRule="auto"/>
        <w:ind w:firstLine="422" w:firstLineChars="200"/>
        <w:jc w:val="left"/>
        <w:rPr>
          <w:rFonts w:ascii="宋体" w:hAnsi="宋体" w:cs="宋体"/>
          <w:b/>
          <w:bCs/>
          <w:szCs w:val="21"/>
        </w:rPr>
      </w:pPr>
      <w:r>
        <w:rPr>
          <w:rFonts w:hint="eastAsia" w:ascii="宋体" w:hAnsi="宋体" w:cs="宋体"/>
          <w:b/>
          <w:bCs/>
          <w:szCs w:val="21"/>
        </w:rPr>
        <w:t>4. 违约责任</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4.1 监理人的违约责任</w:t>
      </w:r>
    </w:p>
    <w:p>
      <w:pPr>
        <w:adjustRightInd w:val="0"/>
        <w:snapToGrid w:val="0"/>
        <w:spacing w:line="312" w:lineRule="auto"/>
        <w:ind w:firstLine="420" w:firstLineChars="200"/>
        <w:jc w:val="left"/>
        <w:rPr>
          <w:rFonts w:ascii="宋体" w:hAnsi="宋体" w:cs="宋体"/>
          <w:szCs w:val="21"/>
        </w:rPr>
      </w:pPr>
      <w:r>
        <w:rPr>
          <w:rFonts w:hint="eastAsia" w:ascii="宋体" w:hAnsi="宋体" w:cs="宋体"/>
          <w:kern w:val="0"/>
          <w:szCs w:val="21"/>
        </w:rPr>
        <w:t>监理人未履行本合同义务的，应承担相应的责任。</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4.1.1 因监理人违反本合同约定</w:t>
      </w:r>
      <w:r>
        <w:rPr>
          <w:rFonts w:hint="eastAsia" w:ascii="宋体" w:hAnsi="宋体" w:cs="宋体"/>
          <w:szCs w:val="21"/>
        </w:rPr>
        <w:t>给委托人造成损失的，监理人应当赔偿委托人损失</w:t>
      </w:r>
      <w:r>
        <w:rPr>
          <w:rFonts w:hint="eastAsia" w:ascii="宋体" w:hAnsi="宋体" w:cs="宋体"/>
          <w:kern w:val="0"/>
          <w:szCs w:val="21"/>
        </w:rPr>
        <w:t>。赔偿金额的确定方法在专用条件中约定。监理人承担部分赔偿责任的，其承担赔偿金额由双方协商确定。</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4.1.2 监理人向委托人的索赔不成立时，监理人应赔偿委托人由此发生的费用。</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4.2 委托人的违约责任</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委托人未履行本合同义务的，应承担相应的责任。</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4.2.1 委托人违反本合同约定造成监理人损失的，委托人应予以赔偿。</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4.2.2 委托人向监理人的索赔不成立时，应赔偿监理人由此引起的费用。</w:t>
      </w:r>
    </w:p>
    <w:p>
      <w:pPr>
        <w:snapToGrid w:val="0"/>
        <w:spacing w:line="312" w:lineRule="auto"/>
        <w:ind w:firstLine="420" w:firstLineChars="200"/>
        <w:jc w:val="left"/>
        <w:rPr>
          <w:rFonts w:ascii="宋体" w:hAnsi="宋体" w:cs="宋体"/>
          <w:kern w:val="0"/>
          <w:szCs w:val="21"/>
        </w:rPr>
      </w:pPr>
      <w:r>
        <w:rPr>
          <w:rFonts w:hint="eastAsia" w:ascii="宋体" w:hAnsi="宋体" w:cs="宋体"/>
          <w:szCs w:val="21"/>
        </w:rPr>
        <w:t xml:space="preserve">4.2.3 </w:t>
      </w:r>
      <w:r>
        <w:rPr>
          <w:rFonts w:hint="eastAsia" w:ascii="宋体" w:hAnsi="宋体" w:cs="宋体"/>
          <w:kern w:val="0"/>
          <w:szCs w:val="21"/>
        </w:rPr>
        <w:t>委托人未能按期支付</w:t>
      </w:r>
      <w:r>
        <w:rPr>
          <w:rFonts w:hint="eastAsia" w:ascii="宋体" w:hAnsi="宋体" w:cs="宋体"/>
          <w:szCs w:val="21"/>
        </w:rPr>
        <w:t>酬金</w:t>
      </w:r>
      <w:r>
        <w:rPr>
          <w:rFonts w:hint="eastAsia" w:ascii="宋体" w:hAnsi="宋体" w:cs="宋体"/>
          <w:kern w:val="0"/>
          <w:szCs w:val="21"/>
        </w:rPr>
        <w:t>超过28天，应按专用条件约定支付逾期付款利息。</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4.3 除外责任</w:t>
      </w:r>
    </w:p>
    <w:p>
      <w:pPr>
        <w:adjustRightInd w:val="0"/>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因非监理人的原因，且监理人无过错，发生工程质量事故、安全事故、工期延误等造成的损失，监理人不承担赔偿责任。</w:t>
      </w:r>
    </w:p>
    <w:p>
      <w:pPr>
        <w:snapToGrid w:val="0"/>
        <w:spacing w:line="312" w:lineRule="auto"/>
        <w:ind w:firstLine="420" w:firstLineChars="200"/>
        <w:jc w:val="left"/>
        <w:rPr>
          <w:rFonts w:ascii="宋体" w:hAnsi="宋体" w:cs="宋体"/>
          <w:kern w:val="0"/>
          <w:szCs w:val="21"/>
        </w:rPr>
      </w:pPr>
      <w:r>
        <w:rPr>
          <w:rFonts w:hint="eastAsia" w:ascii="宋体" w:hAnsi="宋体" w:cs="宋体"/>
          <w:kern w:val="0"/>
          <w:szCs w:val="21"/>
        </w:rPr>
        <w:t>因不可抗力导致本合同全部或部分不能履行时，双方各自承担其因此而造成的损失、损害。</w:t>
      </w:r>
    </w:p>
    <w:p>
      <w:pPr>
        <w:snapToGrid w:val="0"/>
        <w:spacing w:line="312" w:lineRule="auto"/>
        <w:ind w:firstLine="422" w:firstLineChars="200"/>
        <w:jc w:val="left"/>
        <w:rPr>
          <w:rFonts w:ascii="宋体" w:hAnsi="宋体" w:cs="宋体"/>
          <w:b/>
          <w:bCs/>
          <w:szCs w:val="21"/>
        </w:rPr>
      </w:pPr>
      <w:r>
        <w:rPr>
          <w:rFonts w:hint="eastAsia" w:ascii="宋体" w:hAnsi="宋体" w:cs="宋体"/>
          <w:b/>
          <w:bCs/>
          <w:szCs w:val="21"/>
        </w:rPr>
        <w:t>5. 支付</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 xml:space="preserve">5.1 </w:t>
      </w:r>
      <w:r>
        <w:rPr>
          <w:rFonts w:hint="eastAsia" w:ascii="宋体" w:hAnsi="宋体" w:cs="宋体"/>
          <w:bCs/>
          <w:szCs w:val="21"/>
        </w:rPr>
        <w:t>支付货币</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除专用条件另有约定外，酬金均以人民币支付。涉及外币支付的，所采用的货币种类、比例和汇率在专用条件中约定。</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5.2 支付申请</w:t>
      </w:r>
    </w:p>
    <w:p>
      <w:pPr>
        <w:snapToGrid w:val="0"/>
        <w:spacing w:line="312" w:lineRule="auto"/>
        <w:ind w:firstLine="420" w:firstLineChars="200"/>
        <w:jc w:val="left"/>
        <w:rPr>
          <w:rFonts w:ascii="宋体" w:hAnsi="宋体" w:cs="宋体"/>
          <w:szCs w:val="21"/>
        </w:rPr>
      </w:pPr>
      <w:r>
        <w:rPr>
          <w:rFonts w:hint="eastAsia" w:ascii="宋体" w:hAnsi="宋体" w:cs="宋体"/>
          <w:szCs w:val="21"/>
        </w:rPr>
        <w:t>监理人应在本合同约定的每次应付款时间的7天前，向委托人提交支付申请书。支付申请书应当说明当期应付款总额，并列出当期应支付的款项及其金额。</w:t>
      </w:r>
    </w:p>
    <w:p>
      <w:pPr>
        <w:snapToGrid w:val="0"/>
        <w:spacing w:line="312" w:lineRule="auto"/>
        <w:ind w:firstLine="420" w:firstLineChars="200"/>
        <w:jc w:val="left"/>
        <w:rPr>
          <w:rFonts w:ascii="宋体" w:hAnsi="宋体" w:cs="宋体"/>
          <w:szCs w:val="21"/>
        </w:rPr>
      </w:pPr>
      <w:r>
        <w:rPr>
          <w:rFonts w:hint="eastAsia" w:ascii="宋体" w:hAnsi="宋体" w:cs="宋体"/>
          <w:szCs w:val="21"/>
        </w:rPr>
        <w:t xml:space="preserve"> 5.3 支付酬金</w:t>
      </w:r>
    </w:p>
    <w:p>
      <w:pPr>
        <w:snapToGrid w:val="0"/>
        <w:spacing w:line="312" w:lineRule="auto"/>
        <w:ind w:firstLine="420" w:firstLineChars="200"/>
        <w:jc w:val="left"/>
        <w:rPr>
          <w:rFonts w:ascii="宋体" w:hAnsi="宋体" w:cs="宋体"/>
          <w:szCs w:val="21"/>
        </w:rPr>
      </w:pPr>
      <w:r>
        <w:rPr>
          <w:rFonts w:hint="eastAsia" w:ascii="宋体" w:hAnsi="宋体" w:cs="宋体"/>
          <w:szCs w:val="21"/>
        </w:rPr>
        <w:t>支付的酬金包括正常工作酬金、附加工作酬金、合理化建议奖励金额及费用。</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 xml:space="preserve">  5.4 </w:t>
      </w:r>
      <w:r>
        <w:rPr>
          <w:rFonts w:hint="eastAsia" w:ascii="宋体" w:hAnsi="宋体" w:cs="宋体"/>
          <w:bCs/>
          <w:szCs w:val="21"/>
        </w:rPr>
        <w:t>有争议部分的付款</w:t>
      </w:r>
    </w:p>
    <w:p>
      <w:pPr>
        <w:snapToGrid w:val="0"/>
        <w:spacing w:line="312" w:lineRule="auto"/>
        <w:ind w:firstLine="420" w:firstLineChars="200"/>
        <w:jc w:val="left"/>
        <w:rPr>
          <w:rFonts w:ascii="宋体" w:hAnsi="宋体" w:cs="宋体"/>
          <w:szCs w:val="21"/>
        </w:rPr>
      </w:pPr>
      <w:r>
        <w:rPr>
          <w:rFonts w:hint="eastAsia" w:ascii="宋体" w:hAnsi="宋体" w:cs="宋体"/>
          <w:szCs w:val="21"/>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12" w:lineRule="auto"/>
        <w:ind w:firstLine="422" w:firstLineChars="200"/>
        <w:jc w:val="left"/>
        <w:rPr>
          <w:rFonts w:ascii="宋体" w:hAnsi="宋体" w:cs="宋体"/>
          <w:b/>
          <w:bCs/>
          <w:szCs w:val="21"/>
        </w:rPr>
      </w:pPr>
      <w:r>
        <w:rPr>
          <w:rFonts w:hint="eastAsia" w:ascii="宋体" w:hAnsi="宋体" w:cs="宋体"/>
          <w:b/>
          <w:bCs/>
          <w:szCs w:val="21"/>
        </w:rPr>
        <w:t>6. 合同生效、变更、暂停、解除与终止</w:t>
      </w:r>
    </w:p>
    <w:p>
      <w:pPr>
        <w:snapToGrid w:val="0"/>
        <w:spacing w:line="312" w:lineRule="auto"/>
        <w:ind w:firstLine="420" w:firstLineChars="200"/>
        <w:jc w:val="left"/>
        <w:rPr>
          <w:rFonts w:ascii="宋体" w:hAnsi="宋体" w:cs="宋体"/>
          <w:szCs w:val="21"/>
        </w:rPr>
      </w:pPr>
      <w:r>
        <w:rPr>
          <w:rFonts w:hint="eastAsia" w:ascii="宋体" w:hAnsi="宋体" w:cs="宋体"/>
          <w:szCs w:val="21"/>
        </w:rPr>
        <w:t>6.1生效</w:t>
      </w:r>
    </w:p>
    <w:p>
      <w:pPr>
        <w:snapToGrid w:val="0"/>
        <w:spacing w:line="312" w:lineRule="auto"/>
        <w:ind w:firstLine="420" w:firstLineChars="200"/>
        <w:jc w:val="left"/>
        <w:rPr>
          <w:rFonts w:ascii="宋体" w:hAnsi="宋体" w:cs="宋体"/>
          <w:szCs w:val="21"/>
        </w:rPr>
      </w:pPr>
      <w:r>
        <w:rPr>
          <w:rFonts w:hint="eastAsia" w:ascii="宋体" w:hAnsi="宋体" w:cs="宋体"/>
          <w:szCs w:val="21"/>
        </w:rPr>
        <w:t>除法律另有规定或者专用条件另有约定外，委托人和监理人的法定代表人或其授权代理人在协议书上签字并盖单位章后本合同生效。</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6.2</w:t>
      </w:r>
      <w:r>
        <w:rPr>
          <w:rFonts w:hint="eastAsia" w:ascii="宋体" w:hAnsi="宋体" w:cs="宋体"/>
          <w:bCs/>
          <w:szCs w:val="21"/>
        </w:rPr>
        <w:t>变更</w:t>
      </w:r>
    </w:p>
    <w:p>
      <w:pPr>
        <w:snapToGrid w:val="0"/>
        <w:spacing w:line="312" w:lineRule="auto"/>
        <w:ind w:firstLine="420" w:firstLineChars="200"/>
        <w:jc w:val="left"/>
        <w:rPr>
          <w:rFonts w:ascii="宋体" w:hAnsi="宋体" w:cs="宋体"/>
          <w:szCs w:val="21"/>
        </w:rPr>
      </w:pPr>
      <w:r>
        <w:rPr>
          <w:rFonts w:hint="eastAsia" w:ascii="宋体" w:hAnsi="宋体" w:cs="宋体"/>
          <w:szCs w:val="21"/>
        </w:rPr>
        <w:t>6.2.1 任何一方提出变更请求时，双方经协商一致后可进行变更。</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12" w:lineRule="auto"/>
        <w:ind w:firstLine="420" w:firstLineChars="200"/>
        <w:jc w:val="left"/>
        <w:rPr>
          <w:rFonts w:ascii="宋体" w:hAnsi="宋体" w:cs="宋体"/>
          <w:szCs w:val="21"/>
        </w:rPr>
      </w:pPr>
      <w:r>
        <w:rPr>
          <w:rFonts w:hint="eastAsia" w:ascii="宋体" w:hAnsi="宋体" w:cs="宋体"/>
          <w:szCs w:val="21"/>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6.2.5 因非监理人原因造成工程概算投资额或建筑安装工程费增加时，正常工作酬金应作相应调整。调整方法在专用条件中约定。</w:t>
      </w:r>
    </w:p>
    <w:p>
      <w:pPr>
        <w:snapToGrid w:val="0"/>
        <w:spacing w:line="312" w:lineRule="auto"/>
        <w:ind w:firstLine="420" w:firstLineChars="200"/>
        <w:jc w:val="left"/>
        <w:rPr>
          <w:rFonts w:ascii="宋体" w:hAnsi="宋体" w:cs="宋体"/>
          <w:szCs w:val="21"/>
        </w:rPr>
      </w:pPr>
      <w:r>
        <w:rPr>
          <w:rFonts w:hint="eastAsia" w:ascii="宋体" w:hAnsi="宋体" w:cs="宋体"/>
          <w:szCs w:val="21"/>
        </w:rPr>
        <w:t>6.2.6 因工程规模、监理范围的变化导致监理人的正常工作量减少时，正常工作酬金应作相应调整。调整方法在专用条件中约定。</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 xml:space="preserve">  6.3 暂停与</w:t>
      </w:r>
      <w:r>
        <w:rPr>
          <w:rFonts w:hint="eastAsia" w:ascii="宋体" w:hAnsi="宋体" w:cs="宋体"/>
          <w:bCs/>
          <w:szCs w:val="21"/>
        </w:rPr>
        <w:t>解除</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除双方协商一致可以解除本合同外，当一方无正当理由未履行本合同约定的义务时，另一方可以根据本合同约定暂停履行本合同直至解除本合同。</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因解除本合同或解除监理人的部分义务导致监理人遭受的损失，除依法可以免除责任的情况外，应由委托人予以补偿，补偿金额由双方协商确定。</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解除本合同的协议必须采取书面形式，协议未达成之前，本合同仍然有效。</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hint="eastAsia" w:ascii="宋体" w:hAnsi="宋体" w:cs="宋体"/>
          <w:kern w:val="0"/>
          <w:szCs w:val="21"/>
        </w:rPr>
        <w:t>的</w:t>
      </w:r>
      <w:r>
        <w:rPr>
          <w:rFonts w:hint="eastAsia" w:ascii="宋体" w:hAnsi="宋体" w:cs="宋体"/>
          <w:szCs w:val="21"/>
        </w:rPr>
        <w:t>酬金支付至本合同解除日，且应承担第4.2款约定的责任。</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宋体" w:hAnsi="宋体" w:cs="宋体"/>
          <w:kern w:val="0"/>
          <w:szCs w:val="21"/>
        </w:rPr>
        <w:t>的</w:t>
      </w:r>
      <w:r>
        <w:rPr>
          <w:rFonts w:hint="eastAsia" w:ascii="宋体" w:hAnsi="宋体" w:cs="宋体"/>
          <w:szCs w:val="21"/>
        </w:rPr>
        <w:t>酬金支付至</w:t>
      </w:r>
      <w:r>
        <w:rPr>
          <w:rFonts w:hint="eastAsia" w:ascii="宋体" w:hAnsi="宋体" w:cs="宋体"/>
          <w:kern w:val="0"/>
          <w:szCs w:val="21"/>
        </w:rPr>
        <w:t>限期改正通知到达监理人之日</w:t>
      </w:r>
      <w:r>
        <w:rPr>
          <w:rFonts w:hint="eastAsia" w:ascii="宋体" w:hAnsi="宋体" w:cs="宋体"/>
          <w:szCs w:val="21"/>
        </w:rPr>
        <w:t>，但监理人应承担第4.1款约定的责任。</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12" w:lineRule="auto"/>
        <w:ind w:firstLine="420" w:firstLineChars="200"/>
        <w:jc w:val="left"/>
        <w:rPr>
          <w:rFonts w:ascii="宋体" w:hAnsi="宋体" w:cs="宋体"/>
          <w:kern w:val="0"/>
          <w:szCs w:val="21"/>
        </w:rPr>
      </w:pPr>
      <w:r>
        <w:rPr>
          <w:rFonts w:hint="eastAsia" w:ascii="宋体" w:hAnsi="宋体" w:cs="宋体"/>
          <w:szCs w:val="21"/>
        </w:rPr>
        <w:t>6.3.5 因不可抗力致使本合同部分或全部不能履行时，一方应立即通知另一方，可暂停或解除本合同。</w:t>
      </w:r>
    </w:p>
    <w:p>
      <w:pPr>
        <w:snapToGrid w:val="0"/>
        <w:spacing w:line="312" w:lineRule="auto"/>
        <w:ind w:firstLine="420" w:firstLineChars="200"/>
        <w:jc w:val="left"/>
        <w:rPr>
          <w:rFonts w:ascii="宋体" w:hAnsi="宋体" w:cs="宋体"/>
          <w:szCs w:val="21"/>
        </w:rPr>
      </w:pPr>
      <w:r>
        <w:rPr>
          <w:rFonts w:hint="eastAsia" w:ascii="宋体" w:hAnsi="宋体" w:cs="宋体"/>
          <w:szCs w:val="21"/>
        </w:rPr>
        <w:t>6.3.6 本合同解除后，本合同约定的有关结算、清理、争议解决方式的条件仍然有效。</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 xml:space="preserve">6.4 </w:t>
      </w:r>
      <w:r>
        <w:rPr>
          <w:rFonts w:hint="eastAsia" w:ascii="宋体" w:hAnsi="宋体" w:cs="宋体"/>
          <w:bCs/>
          <w:szCs w:val="21"/>
        </w:rPr>
        <w:t>终止</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以下条件全部满足时，本合同即告终止：</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（1）监理人完成本合同约定的全部工作；</w:t>
      </w:r>
    </w:p>
    <w:p>
      <w:pPr>
        <w:snapToGrid w:val="0"/>
        <w:spacing w:line="312" w:lineRule="auto"/>
        <w:ind w:firstLine="420" w:firstLineChars="200"/>
        <w:jc w:val="left"/>
        <w:rPr>
          <w:rFonts w:ascii="宋体" w:hAnsi="宋体" w:cs="宋体"/>
          <w:szCs w:val="21"/>
        </w:rPr>
      </w:pPr>
      <w:r>
        <w:rPr>
          <w:rFonts w:hint="eastAsia" w:ascii="宋体" w:hAnsi="宋体" w:cs="宋体"/>
          <w:szCs w:val="21"/>
        </w:rPr>
        <w:t>（2）委托人与监理人结清并支付全部酬金。</w:t>
      </w:r>
    </w:p>
    <w:p>
      <w:pPr>
        <w:snapToGrid w:val="0"/>
        <w:spacing w:line="312" w:lineRule="auto"/>
        <w:ind w:firstLine="422" w:firstLineChars="200"/>
        <w:jc w:val="left"/>
        <w:rPr>
          <w:rFonts w:ascii="宋体" w:hAnsi="宋体" w:cs="宋体"/>
          <w:b/>
          <w:bCs/>
          <w:szCs w:val="21"/>
        </w:rPr>
      </w:pPr>
      <w:r>
        <w:rPr>
          <w:rFonts w:hint="eastAsia" w:ascii="宋体" w:hAnsi="宋体" w:cs="宋体"/>
          <w:b/>
          <w:bCs/>
          <w:szCs w:val="21"/>
        </w:rPr>
        <w:t>7. 争议解决</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7.1</w:t>
      </w:r>
      <w:r>
        <w:rPr>
          <w:rFonts w:hint="eastAsia" w:ascii="宋体" w:hAnsi="宋体" w:cs="宋体"/>
          <w:bCs/>
          <w:szCs w:val="21"/>
        </w:rPr>
        <w:t>协商</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双方应本着诚信原则协商解决彼此间的争议。</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7.2</w:t>
      </w:r>
      <w:r>
        <w:rPr>
          <w:rFonts w:hint="eastAsia" w:ascii="宋体" w:hAnsi="宋体" w:cs="宋体"/>
          <w:bCs/>
          <w:szCs w:val="21"/>
        </w:rPr>
        <w:t>调解</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如果双方不能在14天内或双方商定的其他时间内解决本合同争议，可以将其提交给专用条件约定的或事后达成协议的调解人进行调解。</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7.3</w:t>
      </w:r>
      <w:r>
        <w:rPr>
          <w:rFonts w:hint="eastAsia" w:ascii="宋体" w:hAnsi="宋体" w:cs="宋体"/>
          <w:bCs/>
          <w:szCs w:val="21"/>
        </w:rPr>
        <w:t>仲裁或诉讼</w:t>
      </w:r>
    </w:p>
    <w:p>
      <w:pPr>
        <w:snapToGrid w:val="0"/>
        <w:spacing w:line="312" w:lineRule="auto"/>
        <w:ind w:firstLine="420" w:firstLineChars="200"/>
        <w:jc w:val="left"/>
        <w:rPr>
          <w:rFonts w:ascii="宋体" w:hAnsi="宋体" w:cs="宋体"/>
          <w:szCs w:val="21"/>
        </w:rPr>
      </w:pPr>
      <w:r>
        <w:rPr>
          <w:rFonts w:hint="eastAsia" w:ascii="宋体" w:hAnsi="宋体" w:cs="宋体"/>
          <w:szCs w:val="21"/>
        </w:rPr>
        <w:t>双方均有权不经调解直接向专用条件约定的仲裁机构申请仲裁或向有管辖权的人民法院提起诉讼。</w:t>
      </w:r>
    </w:p>
    <w:p>
      <w:pPr>
        <w:snapToGrid w:val="0"/>
        <w:spacing w:line="312" w:lineRule="auto"/>
        <w:ind w:firstLine="422" w:firstLineChars="200"/>
        <w:jc w:val="left"/>
        <w:rPr>
          <w:rFonts w:ascii="宋体" w:hAnsi="宋体" w:cs="宋体"/>
          <w:b/>
          <w:bCs/>
          <w:szCs w:val="21"/>
        </w:rPr>
      </w:pPr>
      <w:r>
        <w:rPr>
          <w:rFonts w:hint="eastAsia" w:ascii="宋体" w:hAnsi="宋体" w:cs="宋体"/>
          <w:b/>
          <w:bCs/>
          <w:szCs w:val="21"/>
        </w:rPr>
        <w:t>8. 其他</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 xml:space="preserve">8.1 </w:t>
      </w:r>
      <w:r>
        <w:rPr>
          <w:rFonts w:hint="eastAsia" w:ascii="宋体" w:hAnsi="宋体" w:cs="宋体"/>
          <w:bCs/>
          <w:szCs w:val="21"/>
        </w:rPr>
        <w:t>外出考察费用</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经委托人同意，监理人员外出考察发生的费用由委托人审核后支付。</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 xml:space="preserve">8.2 </w:t>
      </w:r>
      <w:r>
        <w:rPr>
          <w:rFonts w:hint="eastAsia" w:ascii="宋体" w:hAnsi="宋体" w:cs="宋体"/>
          <w:bCs/>
          <w:szCs w:val="21"/>
        </w:rPr>
        <w:t>检测费用</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委托人要求监理人进行的材料和设备检测所发生的费用，由委托人支付，支付时间在专用条件中约定。</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 xml:space="preserve">8.3 </w:t>
      </w:r>
      <w:r>
        <w:rPr>
          <w:rFonts w:hint="eastAsia" w:ascii="宋体" w:hAnsi="宋体" w:cs="宋体"/>
          <w:bCs/>
          <w:szCs w:val="21"/>
        </w:rPr>
        <w:t>咨询费用</w:t>
      </w:r>
    </w:p>
    <w:p>
      <w:pPr>
        <w:snapToGrid w:val="0"/>
        <w:spacing w:line="312" w:lineRule="auto"/>
        <w:ind w:firstLine="420" w:firstLineChars="200"/>
        <w:jc w:val="left"/>
        <w:rPr>
          <w:rFonts w:ascii="宋体" w:hAnsi="宋体" w:cs="宋体"/>
          <w:szCs w:val="21"/>
        </w:rPr>
      </w:pPr>
      <w:r>
        <w:rPr>
          <w:rFonts w:hint="eastAsia" w:ascii="宋体" w:hAnsi="宋体" w:cs="宋体"/>
          <w:szCs w:val="21"/>
        </w:rPr>
        <w:t>经委托人同意，根据工程需要由监理人组织的相关咨询论证会以及聘请相关专家等发生的费用由委托人支付，支付时间在专用条件中约定。</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 xml:space="preserve">8.4 </w:t>
      </w:r>
      <w:r>
        <w:rPr>
          <w:rFonts w:hint="eastAsia" w:ascii="宋体" w:hAnsi="宋体" w:cs="宋体"/>
          <w:bCs/>
          <w:szCs w:val="21"/>
        </w:rPr>
        <w:t>奖励</w:t>
      </w:r>
    </w:p>
    <w:p>
      <w:pPr>
        <w:snapToGrid w:val="0"/>
        <w:spacing w:line="312" w:lineRule="auto"/>
        <w:ind w:firstLine="420" w:firstLineChars="200"/>
        <w:jc w:val="left"/>
        <w:rPr>
          <w:rFonts w:ascii="宋体" w:hAnsi="宋体" w:cs="宋体"/>
          <w:szCs w:val="21"/>
        </w:rPr>
      </w:pPr>
      <w:r>
        <w:rPr>
          <w:rFonts w:hint="eastAsia" w:ascii="宋体" w:hAnsi="宋体" w:cs="宋体"/>
          <w:szCs w:val="21"/>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 xml:space="preserve">8.5 </w:t>
      </w:r>
      <w:r>
        <w:rPr>
          <w:rFonts w:hint="eastAsia" w:ascii="宋体" w:hAnsi="宋体" w:cs="宋体"/>
          <w:bCs/>
          <w:szCs w:val="21"/>
        </w:rPr>
        <w:t>守法诚信</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监理人及其工作人员不得从与实施工程有关的第三方处获得任何经济利益。</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 xml:space="preserve">8.6 </w:t>
      </w:r>
      <w:r>
        <w:rPr>
          <w:rFonts w:hint="eastAsia" w:ascii="宋体" w:hAnsi="宋体" w:cs="宋体"/>
          <w:bCs/>
          <w:szCs w:val="21"/>
        </w:rPr>
        <w:t>保密</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双方不得泄露对方申明的保密资料，亦不得泄露与实施工程有关的第三方所提供的保密资料，保密事项在专用条件中约定。</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 xml:space="preserve">8.7 </w:t>
      </w:r>
      <w:r>
        <w:rPr>
          <w:rFonts w:hint="eastAsia" w:ascii="宋体" w:hAnsi="宋体" w:cs="宋体"/>
          <w:bCs/>
          <w:szCs w:val="21"/>
        </w:rPr>
        <w:t>通知</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本合同涉及的通知均应当采用书面形式，并在送达对方时生效，收件人应书面签收。</w:t>
      </w:r>
    </w:p>
    <w:p>
      <w:pPr>
        <w:snapToGrid w:val="0"/>
        <w:spacing w:line="312" w:lineRule="auto"/>
        <w:ind w:firstLine="420" w:firstLineChars="200"/>
        <w:jc w:val="left"/>
        <w:rPr>
          <w:rFonts w:ascii="宋体" w:hAnsi="宋体" w:cs="宋体"/>
          <w:bCs/>
          <w:szCs w:val="21"/>
        </w:rPr>
      </w:pPr>
      <w:r>
        <w:rPr>
          <w:rFonts w:hint="eastAsia" w:ascii="宋体" w:hAnsi="宋体" w:cs="宋体"/>
          <w:szCs w:val="21"/>
        </w:rPr>
        <w:t xml:space="preserve">8.8 </w:t>
      </w:r>
      <w:r>
        <w:rPr>
          <w:rFonts w:hint="eastAsia" w:ascii="宋体" w:hAnsi="宋体" w:cs="宋体"/>
          <w:bCs/>
          <w:szCs w:val="21"/>
        </w:rPr>
        <w:t>著作权</w:t>
      </w:r>
    </w:p>
    <w:p>
      <w:pPr>
        <w:adjustRightInd w:val="0"/>
        <w:snapToGrid w:val="0"/>
        <w:spacing w:line="312" w:lineRule="auto"/>
        <w:ind w:firstLine="420" w:firstLineChars="200"/>
        <w:jc w:val="left"/>
        <w:rPr>
          <w:rFonts w:ascii="宋体" w:hAnsi="宋体" w:cs="宋体"/>
          <w:szCs w:val="21"/>
        </w:rPr>
      </w:pPr>
      <w:r>
        <w:rPr>
          <w:rFonts w:hint="eastAsia" w:ascii="宋体" w:hAnsi="宋体" w:cs="宋体"/>
          <w:szCs w:val="21"/>
        </w:rPr>
        <w:t>监理人对其编制的文件拥有著作权。</w:t>
      </w:r>
    </w:p>
    <w:p>
      <w:pPr>
        <w:snapToGrid w:val="0"/>
        <w:spacing w:line="312" w:lineRule="auto"/>
        <w:ind w:firstLine="420" w:firstLineChars="200"/>
        <w:jc w:val="left"/>
        <w:rPr>
          <w:rFonts w:ascii="宋体" w:hAnsi="宋体" w:cs="宋体"/>
          <w:szCs w:val="21"/>
        </w:rPr>
      </w:pPr>
      <w:r>
        <w:rPr>
          <w:rFonts w:hint="eastAsia" w:ascii="宋体" w:hAnsi="宋体" w:cs="宋体"/>
          <w:szCs w:val="21"/>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spacing w:line="360" w:lineRule="exact"/>
        <w:rPr>
          <w:rFonts w:ascii="宋体" w:hAnsi="宋体" w:cs="宋体"/>
          <w:szCs w:val="21"/>
        </w:rPr>
      </w:pPr>
    </w:p>
    <w:p>
      <w:pPr>
        <w:pStyle w:val="52"/>
        <w:rPr>
          <w:rFonts w:ascii="宋体" w:hAnsi="宋体" w:cs="宋体"/>
          <w:sz w:val="21"/>
          <w:szCs w:val="21"/>
        </w:rPr>
      </w:pPr>
    </w:p>
    <w:p>
      <w:pPr>
        <w:rPr>
          <w:rFonts w:ascii="宋体" w:hAnsi="宋体" w:cs="宋体"/>
          <w:szCs w:val="21"/>
        </w:rPr>
      </w:pPr>
    </w:p>
    <w:p>
      <w:pPr>
        <w:pStyle w:val="52"/>
        <w:rPr>
          <w:rFonts w:ascii="宋体" w:hAnsi="宋体" w:cs="宋体"/>
          <w:sz w:val="21"/>
          <w:szCs w:val="21"/>
        </w:rPr>
      </w:pPr>
    </w:p>
    <w:p>
      <w:pPr>
        <w:rPr>
          <w:rFonts w:ascii="宋体" w:hAnsi="宋体" w:cs="宋体"/>
          <w:szCs w:val="21"/>
        </w:rPr>
      </w:pPr>
    </w:p>
    <w:p>
      <w:pPr>
        <w:pStyle w:val="52"/>
        <w:rPr>
          <w:rFonts w:ascii="宋体" w:hAnsi="宋体" w:cs="宋体"/>
          <w:sz w:val="21"/>
          <w:szCs w:val="21"/>
        </w:rPr>
      </w:pPr>
    </w:p>
    <w:p>
      <w:pPr>
        <w:rPr>
          <w:rFonts w:ascii="宋体" w:hAnsi="宋体" w:cs="宋体"/>
          <w:szCs w:val="21"/>
        </w:rPr>
      </w:pPr>
    </w:p>
    <w:p>
      <w:pPr>
        <w:pStyle w:val="52"/>
        <w:rPr>
          <w:rFonts w:ascii="宋体" w:hAnsi="宋体" w:cs="宋体"/>
          <w:sz w:val="21"/>
          <w:szCs w:val="21"/>
        </w:rPr>
      </w:pPr>
    </w:p>
    <w:p>
      <w:pPr>
        <w:rPr>
          <w:rFonts w:ascii="宋体" w:hAnsi="宋体" w:cs="宋体"/>
          <w:szCs w:val="21"/>
        </w:rPr>
      </w:pPr>
    </w:p>
    <w:p>
      <w:pPr>
        <w:pStyle w:val="52"/>
        <w:rPr>
          <w:rFonts w:ascii="宋体" w:hAnsi="宋体" w:cs="宋体"/>
          <w:sz w:val="21"/>
          <w:szCs w:val="21"/>
        </w:rPr>
      </w:pPr>
    </w:p>
    <w:p>
      <w:pPr>
        <w:rPr>
          <w:rFonts w:ascii="宋体" w:hAnsi="宋体" w:cs="宋体"/>
          <w:szCs w:val="21"/>
        </w:rPr>
      </w:pPr>
    </w:p>
    <w:p>
      <w:pPr>
        <w:pStyle w:val="52"/>
        <w:rPr>
          <w:rFonts w:ascii="宋体" w:hAnsi="宋体" w:cs="宋体"/>
          <w:sz w:val="21"/>
          <w:szCs w:val="21"/>
        </w:rPr>
      </w:pPr>
    </w:p>
    <w:p>
      <w:pPr>
        <w:rPr>
          <w:rFonts w:ascii="宋体" w:hAnsi="宋体" w:cs="宋体"/>
          <w:szCs w:val="21"/>
        </w:rPr>
      </w:pPr>
    </w:p>
    <w:p>
      <w:pPr>
        <w:pStyle w:val="52"/>
        <w:rPr>
          <w:rFonts w:ascii="宋体" w:hAnsi="宋体" w:cs="宋体"/>
          <w:sz w:val="21"/>
          <w:szCs w:val="21"/>
        </w:rPr>
      </w:pPr>
    </w:p>
    <w:p>
      <w:pPr>
        <w:rPr>
          <w:rFonts w:ascii="宋体" w:hAnsi="宋体" w:cs="宋体"/>
          <w:szCs w:val="21"/>
        </w:rPr>
      </w:pPr>
    </w:p>
    <w:p>
      <w:pPr>
        <w:pStyle w:val="52"/>
        <w:rPr>
          <w:rFonts w:ascii="宋体" w:hAnsi="宋体" w:cs="宋体"/>
          <w:sz w:val="21"/>
          <w:szCs w:val="21"/>
        </w:rPr>
      </w:pPr>
    </w:p>
    <w:p>
      <w:pPr>
        <w:rPr>
          <w:rFonts w:ascii="宋体" w:hAnsi="宋体" w:cs="宋体"/>
          <w:szCs w:val="21"/>
        </w:rPr>
      </w:pPr>
    </w:p>
    <w:p>
      <w:pPr>
        <w:pStyle w:val="52"/>
        <w:rPr>
          <w:rFonts w:ascii="宋体" w:hAnsi="宋体" w:cs="宋体"/>
          <w:sz w:val="21"/>
          <w:szCs w:val="21"/>
        </w:rPr>
      </w:pPr>
    </w:p>
    <w:p>
      <w:pPr>
        <w:rPr>
          <w:rFonts w:ascii="宋体" w:hAnsi="宋体" w:cs="宋体"/>
          <w:szCs w:val="21"/>
        </w:rPr>
      </w:pPr>
    </w:p>
    <w:p>
      <w:pPr>
        <w:pStyle w:val="52"/>
        <w:rPr>
          <w:rFonts w:ascii="宋体" w:hAnsi="宋体" w:cs="宋体"/>
          <w:sz w:val="21"/>
          <w:szCs w:val="21"/>
        </w:rPr>
      </w:pPr>
    </w:p>
    <w:p>
      <w:pPr>
        <w:rPr>
          <w:rFonts w:ascii="宋体" w:hAnsi="宋体" w:cs="宋体"/>
          <w:szCs w:val="21"/>
        </w:rPr>
      </w:pPr>
    </w:p>
    <w:p>
      <w:pPr>
        <w:pStyle w:val="52"/>
        <w:rPr>
          <w:rFonts w:ascii="宋体" w:hAnsi="宋体" w:cs="宋体"/>
          <w:sz w:val="21"/>
          <w:szCs w:val="21"/>
        </w:rPr>
      </w:pPr>
    </w:p>
    <w:p>
      <w:pPr>
        <w:rPr>
          <w:rFonts w:ascii="宋体" w:hAnsi="宋体" w:cs="宋体"/>
          <w:szCs w:val="21"/>
        </w:rPr>
      </w:pPr>
      <w:r>
        <w:rPr>
          <w:rFonts w:ascii="宋体" w:hAnsi="宋体" w:cs="宋体"/>
          <w:szCs w:val="21"/>
        </w:rPr>
        <w:br w:type="page"/>
      </w:r>
    </w:p>
    <w:p>
      <w:pPr>
        <w:pStyle w:val="261"/>
      </w:pPr>
    </w:p>
    <w:p>
      <w:pPr>
        <w:pStyle w:val="52"/>
        <w:jc w:val="both"/>
      </w:pPr>
    </w:p>
    <w:p>
      <w:pPr>
        <w:pStyle w:val="3"/>
        <w:rPr>
          <w:rFonts w:ascii="宋体" w:cs="宋体"/>
          <w:color w:val="auto"/>
          <w:sz w:val="28"/>
          <w:szCs w:val="28"/>
        </w:rPr>
      </w:pPr>
      <w:bookmarkStart w:id="43" w:name="_Toc532282497"/>
      <w:bookmarkStart w:id="44" w:name="_Toc394573947"/>
      <w:bookmarkStart w:id="45" w:name="_Toc278377207"/>
      <w:bookmarkStart w:id="46" w:name="_Toc16521978"/>
      <w:bookmarkStart w:id="47" w:name="_Toc8305382"/>
      <w:bookmarkStart w:id="48" w:name="_Toc12080"/>
      <w:bookmarkStart w:id="49" w:name="_Toc267919286"/>
      <w:bookmarkStart w:id="50" w:name="_Toc29916"/>
      <w:r>
        <w:rPr>
          <w:rFonts w:hint="eastAsia" w:ascii="宋体" w:cs="宋体"/>
          <w:color w:val="auto"/>
          <w:sz w:val="28"/>
          <w:szCs w:val="28"/>
        </w:rPr>
        <w:t>第三部分　　专用</w:t>
      </w:r>
      <w:bookmarkEnd w:id="43"/>
      <w:bookmarkEnd w:id="44"/>
      <w:bookmarkEnd w:id="45"/>
      <w:bookmarkEnd w:id="46"/>
      <w:bookmarkEnd w:id="47"/>
      <w:bookmarkEnd w:id="48"/>
      <w:bookmarkEnd w:id="49"/>
      <w:r>
        <w:rPr>
          <w:rFonts w:hint="eastAsia" w:ascii="宋体" w:cs="宋体"/>
          <w:color w:val="auto"/>
          <w:sz w:val="28"/>
          <w:szCs w:val="28"/>
        </w:rPr>
        <w:t>条件</w:t>
      </w:r>
      <w:bookmarkEnd w:id="50"/>
    </w:p>
    <w:p>
      <w:pPr>
        <w:adjustRightInd w:val="0"/>
        <w:snapToGrid w:val="0"/>
        <w:spacing w:line="360" w:lineRule="auto"/>
        <w:ind w:firstLine="422" w:firstLineChars="200"/>
        <w:jc w:val="left"/>
        <w:rPr>
          <w:rFonts w:ascii="宋体" w:hAnsi="宋体" w:cs="宋体"/>
          <w:b/>
          <w:szCs w:val="21"/>
        </w:rPr>
      </w:pPr>
      <w:r>
        <w:rPr>
          <w:rFonts w:hint="eastAsia" w:ascii="宋体" w:hAnsi="宋体" w:cs="宋体"/>
          <w:b/>
          <w:szCs w:val="21"/>
        </w:rPr>
        <w:t>1. 定义与解释</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1.2  解释</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1.2.1 本合同文件除使用中文外，还可用</w:t>
      </w:r>
      <w:r>
        <w:rPr>
          <w:rFonts w:hint="eastAsia" w:ascii="宋体" w:hAnsi="宋体" w:cs="宋体"/>
          <w:szCs w:val="21"/>
          <w:u w:val="single"/>
        </w:rPr>
        <w:t xml:space="preserve">    /     </w:t>
      </w:r>
      <w:r>
        <w:rPr>
          <w:rFonts w:hint="eastAsia" w:ascii="宋体" w:hAnsi="宋体" w:cs="宋体"/>
          <w:szCs w:val="21"/>
        </w:rPr>
        <w:t>。</w:t>
      </w:r>
    </w:p>
    <w:p>
      <w:pPr>
        <w:pStyle w:val="404"/>
        <w:widowControl/>
        <w:spacing w:line="360" w:lineRule="auto"/>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1.2.2 约定本合同文件的解释顺序为： 1. 协议书；2. 专用条件及附录A附录B；3. 通用条件；4. 中标通知书；5. 招标文件；6. 投标文件；7. 补充协议；8.询标纪要及合同期内签署的相关会议纪要等与本工程有关的文件。</w:t>
      </w:r>
    </w:p>
    <w:p>
      <w:pPr>
        <w:autoSpaceDE w:val="0"/>
        <w:autoSpaceDN w:val="0"/>
        <w:adjustRightInd w:val="0"/>
        <w:snapToGrid w:val="0"/>
        <w:spacing w:line="360" w:lineRule="auto"/>
        <w:ind w:firstLine="420" w:firstLineChars="200"/>
        <w:jc w:val="left"/>
        <w:rPr>
          <w:rFonts w:hint="eastAsia" w:ascii="宋体" w:hAnsi="宋体" w:cs="宋体"/>
          <w:szCs w:val="21"/>
        </w:rPr>
      </w:pPr>
      <w:r>
        <w:rPr>
          <w:rFonts w:hint="eastAsia" w:ascii="宋体" w:hAnsi="宋体" w:cs="宋体"/>
          <w:kern w:val="0"/>
          <w:szCs w:val="21"/>
          <w:lang w:bidi="ar"/>
        </w:rPr>
        <w:t>双方签订的补充协议与其他文件发生矛盾或歧义时，属于同一类内容的文件，应以最新签署的为准。</w:t>
      </w:r>
    </w:p>
    <w:p>
      <w:pPr>
        <w:adjustRightInd w:val="0"/>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2. 监理人义务</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2.1 监理的范围和</w:t>
      </w:r>
      <w:r>
        <w:rPr>
          <w:rFonts w:hint="eastAsia" w:ascii="宋体" w:hAnsi="宋体" w:cs="宋体"/>
          <w:bCs/>
          <w:szCs w:val="21"/>
        </w:rPr>
        <w:t>内容</w:t>
      </w:r>
    </w:p>
    <w:p>
      <w:pPr>
        <w:pStyle w:val="23"/>
        <w:tabs>
          <w:tab w:val="left" w:pos="1343"/>
          <w:tab w:val="left" w:pos="2697"/>
          <w:tab w:val="left" w:pos="3264"/>
          <w:tab w:val="left" w:pos="4896"/>
          <w:tab w:val="left" w:pos="6005"/>
          <w:tab w:val="left" w:pos="7085"/>
          <w:tab w:val="left" w:pos="7498"/>
        </w:tabs>
        <w:kinsoku w:val="0"/>
        <w:overflowPunct w:val="0"/>
        <w:spacing w:line="360" w:lineRule="auto"/>
        <w:ind w:right="210" w:firstLine="420" w:firstLineChars="200"/>
        <w:rPr>
          <w:rFonts w:hint="eastAsia" w:ascii="宋体" w:hAnsi="宋体"/>
          <w:szCs w:val="21"/>
          <w:u w:val="single"/>
          <w:lang w:val="en-US" w:eastAsia="zh-CN"/>
        </w:rPr>
      </w:pPr>
      <w:r>
        <w:rPr>
          <w:rFonts w:hint="eastAsia" w:ascii="宋体" w:hAnsi="宋体" w:eastAsia="宋体" w:cs="宋体"/>
          <w:kern w:val="2"/>
          <w:sz w:val="21"/>
          <w:szCs w:val="21"/>
          <w:lang w:val="en-US" w:eastAsia="zh-CN" w:bidi="ar-SA"/>
        </w:rPr>
        <w:t>2.1.1 监理范围包括：</w:t>
      </w:r>
      <w:r>
        <w:rPr>
          <w:rFonts w:hint="eastAsia" w:ascii="宋体" w:hAnsi="宋体" w:eastAsia="宋体" w:cs="宋体"/>
          <w:kern w:val="2"/>
          <w:sz w:val="21"/>
          <w:szCs w:val="21"/>
          <w:u w:val="single"/>
          <w:lang w:val="en-US" w:eastAsia="zh-CN" w:bidi="ar-SA"/>
        </w:rPr>
        <w:t>监理服务范围为施工图纸范围内的所有工程施工阶段的全过程监理和缺陷责任期的协助监理以及在工程实施中可能出现的施工图纸修改及额外增加的工程内容，并受委托人委托对工程建设相关的工作和施工阶段进行质量、进度、投资控制，合同、信息、安全管理，协调有关单位之间的关系等工作。</w:t>
      </w:r>
      <w:r>
        <w:rPr>
          <w:rFonts w:hint="eastAsia" w:ascii="宋体" w:hAnsi="宋体"/>
          <w:szCs w:val="21"/>
          <w:lang w:val="en-US" w:eastAsia="zh-CN"/>
        </w:rPr>
        <w:t xml:space="preserve"> </w:t>
      </w:r>
    </w:p>
    <w:p>
      <w:pPr>
        <w:snapToGrid w:val="0"/>
        <w:spacing w:line="360" w:lineRule="auto"/>
        <w:ind w:firstLine="420" w:firstLineChars="200"/>
        <w:rPr>
          <w:rFonts w:ascii="宋体" w:hAnsi="宋体" w:cs="宋体"/>
          <w:szCs w:val="21"/>
        </w:rPr>
      </w:pPr>
      <w:r>
        <w:rPr>
          <w:rFonts w:hint="eastAsia" w:ascii="宋体" w:hAnsi="宋体" w:cs="宋体"/>
          <w:szCs w:val="21"/>
        </w:rPr>
        <w:t>2.1.2 监理工作内容还包括：</w:t>
      </w:r>
    </w:p>
    <w:p>
      <w:pPr>
        <w:spacing w:line="360" w:lineRule="auto"/>
        <w:ind w:firstLine="420" w:firstLineChars="200"/>
        <w:rPr>
          <w:szCs w:val="21"/>
        </w:rPr>
      </w:pPr>
      <w:r>
        <w:rPr>
          <w:rFonts w:hint="eastAsia"/>
          <w:szCs w:val="21"/>
        </w:rPr>
        <w:t>（1） 质量控制目标：各分项工程质量均达到招投标文件及合同规定的验收合格标准，确保一次性验收合格；</w:t>
      </w:r>
    </w:p>
    <w:p>
      <w:pPr>
        <w:spacing w:line="360" w:lineRule="auto"/>
        <w:ind w:firstLine="420" w:firstLineChars="200"/>
        <w:rPr>
          <w:szCs w:val="21"/>
        </w:rPr>
      </w:pPr>
      <w:r>
        <w:rPr>
          <w:rFonts w:hint="eastAsia"/>
          <w:szCs w:val="21"/>
        </w:rPr>
        <w:t>（2）进度控制目标：各分项工程控制工期不超过合同要求工期；</w:t>
      </w:r>
    </w:p>
    <w:p>
      <w:pPr>
        <w:spacing w:line="360" w:lineRule="auto"/>
        <w:ind w:firstLine="420" w:firstLineChars="200"/>
        <w:rPr>
          <w:szCs w:val="21"/>
        </w:rPr>
      </w:pPr>
      <w:r>
        <w:rPr>
          <w:rFonts w:hint="eastAsia"/>
          <w:szCs w:val="21"/>
        </w:rPr>
        <w:t>（3）投资控制目标：各分项工程竣工结算控制在批准的预算内，设备采购造价不超过合同总价，防止不必要的索赔；</w:t>
      </w:r>
    </w:p>
    <w:p>
      <w:pPr>
        <w:spacing w:line="360" w:lineRule="auto"/>
        <w:ind w:firstLine="420" w:firstLineChars="200"/>
        <w:rPr>
          <w:szCs w:val="21"/>
        </w:rPr>
      </w:pPr>
      <w:r>
        <w:rPr>
          <w:rFonts w:hint="eastAsia"/>
          <w:szCs w:val="21"/>
        </w:rPr>
        <w:t>（4）安全生产管理目标：确保安装、施工过程的安全、文明，无重大安全责任事故。</w:t>
      </w:r>
    </w:p>
    <w:p>
      <w:pPr>
        <w:snapToGrid w:val="0"/>
        <w:spacing w:line="360" w:lineRule="auto"/>
        <w:ind w:firstLine="420" w:firstLineChars="200"/>
        <w:rPr>
          <w:rFonts w:hint="eastAsia" w:ascii="宋体" w:hAnsi="宋体" w:cs="宋体"/>
          <w:szCs w:val="21"/>
        </w:rPr>
      </w:pPr>
      <w:r>
        <w:rPr>
          <w:rFonts w:hint="eastAsia" w:ascii="宋体" w:hAnsi="宋体" w:cs="宋体"/>
          <w:szCs w:val="21"/>
        </w:rPr>
        <w:t>2.1.3服务内容和要求：</w:t>
      </w:r>
    </w:p>
    <w:p>
      <w:pPr>
        <w:snapToGrid w:val="0"/>
        <w:spacing w:line="360" w:lineRule="auto"/>
        <w:ind w:firstLine="420" w:firstLineChars="200"/>
        <w:rPr>
          <w:szCs w:val="21"/>
        </w:rPr>
      </w:pPr>
      <w:r>
        <w:rPr>
          <w:rFonts w:hint="eastAsia" w:ascii="宋体" w:hAnsi="宋体" w:cs="宋体"/>
          <w:szCs w:val="21"/>
        </w:rPr>
        <w:t>服务内容</w:t>
      </w:r>
      <w:r>
        <w:rPr>
          <w:rFonts w:hint="eastAsia"/>
          <w:szCs w:val="21"/>
        </w:rPr>
        <w:t>：按照《建设工程监理规范》（GB50319-2013）规范要求，主要做好本次采购范围涉及的各分项工程的全过程监理服务，含1）施工设计阶段，方案及施工图于现行规范、标准的符合性审查，并按照委托人要求，提出合理化意见建议；2）施工阶段，项目工程质量、进度、费用控制、安全文明生产监督、档案资料等管理；3）质保阶段，质保期内的质量保修服务监督落实；4）委托人与施工单位项目合同签订过程中的专业审核及咨询服务，合同、信息等方面协调管理；5）施工组织协调及委托人交办的与工程相关的其它事项。具体内容包括但不仅限于：</w:t>
      </w:r>
    </w:p>
    <w:p>
      <w:pPr>
        <w:spacing w:line="360" w:lineRule="auto"/>
        <w:ind w:firstLine="420" w:firstLineChars="200"/>
        <w:rPr>
          <w:szCs w:val="21"/>
        </w:rPr>
      </w:pPr>
      <w:r>
        <w:rPr>
          <w:rFonts w:hint="eastAsia"/>
          <w:szCs w:val="21"/>
        </w:rPr>
        <w:t>（1）协助委托人审核施工图的设计和概(预)算,主持组织图纸会审,编制图纸会审纪要，对设计方案提出合理化建议；协助委托人进行施工招投标工作，协助委托人做好工程前期的有关工作。</w:t>
      </w:r>
    </w:p>
    <w:p>
      <w:pPr>
        <w:snapToGrid w:val="0"/>
        <w:spacing w:line="360" w:lineRule="auto"/>
        <w:ind w:firstLine="420" w:firstLineChars="200"/>
        <w:rPr>
          <w:szCs w:val="21"/>
        </w:rPr>
      </w:pPr>
      <w:r>
        <w:rPr>
          <w:rFonts w:hint="eastAsia"/>
          <w:szCs w:val="21"/>
        </w:rPr>
        <w:t>（2）参与委托人与承包商签定施工承包合同,主持审查施工进度计划及各阶段提交的各种详细计划和变更计划，并在实施过程中督查承包商严格按合同和施工规范、工程技术标准、设计要求进行设备采购和施工，监督承包商现场施工管理。</w:t>
      </w:r>
    </w:p>
    <w:p>
      <w:pPr>
        <w:pStyle w:val="66"/>
        <w:spacing w:line="360" w:lineRule="auto"/>
        <w:ind w:firstLine="0" w:firstLineChars="0"/>
        <w:rPr>
          <w:szCs w:val="21"/>
        </w:rPr>
      </w:pPr>
      <w:r>
        <w:rPr>
          <w:rFonts w:hint="eastAsia" w:ascii="Times New Roman" w:hAnsi="Times New Roman" w:cs="Times New Roman"/>
          <w:szCs w:val="21"/>
        </w:rPr>
        <w:t xml:space="preserve">    （3）协助委托人做好开工前准备，在施工方进场后开工前对施工场地的地形、地貌、标高进行核查，</w:t>
      </w:r>
      <w:r>
        <w:rPr>
          <w:rFonts w:hint="eastAsia"/>
          <w:szCs w:val="21"/>
        </w:rPr>
        <w:t>对周边房屋、道路、管线等安全鉴定情况进行确认，审批开工报告，复核灰线，经同意下达开工令。</w:t>
      </w:r>
    </w:p>
    <w:p>
      <w:pPr>
        <w:snapToGrid w:val="0"/>
        <w:spacing w:line="360" w:lineRule="auto"/>
        <w:ind w:firstLine="420" w:firstLineChars="200"/>
        <w:rPr>
          <w:szCs w:val="21"/>
        </w:rPr>
      </w:pPr>
      <w:r>
        <w:rPr>
          <w:rFonts w:hint="eastAsia"/>
          <w:szCs w:val="21"/>
        </w:rPr>
        <w:t>（4）审批施工组织设计，审查和检查施工技术措施、质量保证体系及安全防护措施，提出合理的整改意见和建议。</w:t>
      </w:r>
    </w:p>
    <w:p>
      <w:pPr>
        <w:snapToGrid w:val="0"/>
        <w:spacing w:line="360" w:lineRule="auto"/>
        <w:ind w:firstLine="420" w:firstLineChars="200"/>
        <w:rPr>
          <w:szCs w:val="21"/>
        </w:rPr>
      </w:pPr>
      <w:r>
        <w:rPr>
          <w:rFonts w:hint="eastAsia"/>
          <w:szCs w:val="21"/>
        </w:rPr>
        <w:t>（5）审查承包商采购清单，检查验收工程使用材料、构件、设备的规格、质量与数量，并按相关规范及委托人要求办理材料、构件及设备等的入场手续。督促承包商编制材料的供需计划，协助安排甲供材料的供应计划。</w:t>
      </w:r>
    </w:p>
    <w:p>
      <w:pPr>
        <w:snapToGrid w:val="0"/>
        <w:spacing w:line="360" w:lineRule="auto"/>
        <w:ind w:firstLine="420" w:firstLineChars="200"/>
        <w:rPr>
          <w:szCs w:val="21"/>
        </w:rPr>
      </w:pPr>
      <w:r>
        <w:rPr>
          <w:rFonts w:hint="eastAsia"/>
          <w:szCs w:val="21"/>
        </w:rPr>
        <w:t>（6）主持施工图交底，参与设计变更的签证，复核施工变更工程量、单价及价款并对施工变更的量、价签证。编制完成工程量统计表，对实际完成量和计划完成量比较分析，发现偏差，应提出调整建议，并向建设单位书面报告。</w:t>
      </w:r>
    </w:p>
    <w:p>
      <w:pPr>
        <w:snapToGrid w:val="0"/>
        <w:spacing w:line="360" w:lineRule="auto"/>
        <w:ind w:firstLine="420" w:firstLineChars="200"/>
        <w:rPr>
          <w:szCs w:val="21"/>
        </w:rPr>
      </w:pPr>
      <w:r>
        <w:rPr>
          <w:rFonts w:hint="eastAsia"/>
          <w:szCs w:val="21"/>
        </w:rPr>
        <w:t>（7）定期召开监理例会，根据需要主持召开工程协调会议及综合管理协调会议，并做好会议纪要，调解有关工程建设各种合同争议，处理索赔事项。</w:t>
      </w:r>
    </w:p>
    <w:p>
      <w:pPr>
        <w:snapToGrid w:val="0"/>
        <w:spacing w:line="360" w:lineRule="auto"/>
        <w:ind w:firstLine="420" w:firstLineChars="200"/>
        <w:rPr>
          <w:szCs w:val="21"/>
        </w:rPr>
      </w:pPr>
      <w:r>
        <w:rPr>
          <w:rFonts w:hint="eastAsia"/>
          <w:szCs w:val="21"/>
        </w:rPr>
        <w:t>（8）检查、审核、监督施工单位的安全防护措施和文明施工,检查督促工程进度、施工质量。做好材料设备验收，工序签证、隐蔽工程验收，做好各分部工程的验收。</w:t>
      </w:r>
    </w:p>
    <w:p>
      <w:pPr>
        <w:snapToGrid w:val="0"/>
        <w:spacing w:line="360" w:lineRule="auto"/>
        <w:ind w:firstLine="420" w:firstLineChars="200"/>
        <w:rPr>
          <w:szCs w:val="21"/>
        </w:rPr>
      </w:pPr>
      <w:r>
        <w:rPr>
          <w:rFonts w:hint="eastAsia"/>
          <w:szCs w:val="21"/>
        </w:rPr>
        <w:t>（9）督促施工单位及时整理技术资料及竣工验收资料，及时整理并提交委托人工程档案资料至委托人、杭州市城建档案馆接受认可为止。</w:t>
      </w:r>
    </w:p>
    <w:p>
      <w:pPr>
        <w:snapToGrid w:val="0"/>
        <w:spacing w:line="360" w:lineRule="auto"/>
        <w:ind w:firstLine="420" w:firstLineChars="200"/>
        <w:rPr>
          <w:szCs w:val="21"/>
        </w:rPr>
      </w:pPr>
      <w:r>
        <w:rPr>
          <w:rFonts w:hint="eastAsia"/>
          <w:szCs w:val="21"/>
        </w:rPr>
        <w:t>（10）协助委托人对工程投资进行控制，至竣工决算、审计完成止；对施工单位提出的付款申请进行审核，监督承包商按照政府相关规定支付农民工工资等各项费用。</w:t>
      </w:r>
    </w:p>
    <w:p>
      <w:pPr>
        <w:snapToGrid w:val="0"/>
        <w:spacing w:line="360" w:lineRule="auto"/>
        <w:ind w:firstLine="420" w:firstLineChars="200"/>
        <w:rPr>
          <w:szCs w:val="21"/>
        </w:rPr>
      </w:pPr>
      <w:r>
        <w:rPr>
          <w:rFonts w:hint="eastAsia"/>
          <w:szCs w:val="21"/>
        </w:rPr>
        <w:t>（11）参加审核工程结算，协助委托人审核工程造价，努力降低工程费用。</w:t>
      </w:r>
    </w:p>
    <w:p>
      <w:pPr>
        <w:snapToGrid w:val="0"/>
        <w:spacing w:line="360" w:lineRule="auto"/>
        <w:ind w:firstLine="420" w:firstLineChars="200"/>
        <w:rPr>
          <w:szCs w:val="21"/>
        </w:rPr>
      </w:pPr>
      <w:r>
        <w:rPr>
          <w:rFonts w:hint="eastAsia"/>
          <w:szCs w:val="21"/>
        </w:rPr>
        <w:t>（12）按照相关政府管理部门和委托人要求及时提供完整的监理资料，定期编制监理日报、周报、月报。</w:t>
      </w:r>
    </w:p>
    <w:p>
      <w:pPr>
        <w:snapToGrid w:val="0"/>
        <w:spacing w:line="360" w:lineRule="auto"/>
        <w:ind w:firstLine="420" w:firstLineChars="200"/>
        <w:rPr>
          <w:szCs w:val="21"/>
        </w:rPr>
      </w:pPr>
      <w:r>
        <w:rPr>
          <w:rFonts w:hint="eastAsia"/>
          <w:szCs w:val="21"/>
        </w:rPr>
        <w:t>（13）组织工程竣工预验收，参与委托人组织进行竣工验收。</w:t>
      </w:r>
    </w:p>
    <w:p>
      <w:pPr>
        <w:snapToGrid w:val="0"/>
        <w:spacing w:line="360" w:lineRule="auto"/>
        <w:ind w:firstLine="420" w:firstLineChars="200"/>
        <w:rPr>
          <w:szCs w:val="21"/>
        </w:rPr>
      </w:pPr>
      <w:r>
        <w:rPr>
          <w:rFonts w:hint="eastAsia"/>
          <w:szCs w:val="21"/>
        </w:rPr>
        <w:t>（14）主持工程质量事故的调查，调解委托人与承包商的合同争议。</w:t>
      </w:r>
    </w:p>
    <w:p>
      <w:pPr>
        <w:snapToGrid w:val="0"/>
        <w:spacing w:line="360" w:lineRule="auto"/>
        <w:ind w:firstLine="420" w:firstLineChars="200"/>
        <w:rPr>
          <w:szCs w:val="21"/>
        </w:rPr>
      </w:pPr>
      <w:r>
        <w:rPr>
          <w:rFonts w:hint="eastAsia"/>
          <w:szCs w:val="21"/>
        </w:rPr>
        <w:t>（15）严格按要求督促施工单位做好实测实量及精细化等工作。</w:t>
      </w:r>
    </w:p>
    <w:p>
      <w:pPr>
        <w:snapToGrid w:val="0"/>
        <w:spacing w:line="360" w:lineRule="auto"/>
        <w:ind w:firstLine="420" w:firstLineChars="200"/>
        <w:rPr>
          <w:szCs w:val="21"/>
        </w:rPr>
      </w:pPr>
      <w:r>
        <w:rPr>
          <w:rFonts w:hint="eastAsia"/>
          <w:szCs w:val="21"/>
        </w:rPr>
        <w:t>（16）信息管理：及时做好现场监理记录与信息反馈，参与编制工程项目总结报告。及时配合进行信息化管理工作。</w:t>
      </w:r>
    </w:p>
    <w:p>
      <w:pPr>
        <w:spacing w:line="360" w:lineRule="auto"/>
        <w:ind w:firstLine="420" w:firstLineChars="200"/>
        <w:rPr>
          <w:szCs w:val="21"/>
        </w:rPr>
      </w:pPr>
      <w:r>
        <w:rPr>
          <w:rFonts w:hint="eastAsia"/>
          <w:szCs w:val="21"/>
        </w:rPr>
        <w:t>（17）监督检查施工单位主要技术、管理人员、主要机械设备等的构成、数量与合同所列是否相符，做好考勤记录，督促施工单位及时妥善完成合同规定的相关事项和承诺。</w:t>
      </w:r>
    </w:p>
    <w:p>
      <w:pPr>
        <w:spacing w:line="360" w:lineRule="auto"/>
        <w:ind w:firstLine="480"/>
        <w:rPr>
          <w:szCs w:val="21"/>
        </w:rPr>
      </w:pPr>
      <w:r>
        <w:rPr>
          <w:rFonts w:hint="eastAsia"/>
          <w:szCs w:val="21"/>
        </w:rPr>
        <w:t>（18）协调委托人及承包商做好省市区各级政府相关部门的各类检查、评估及考核等相关工作，并按相关要求监督落实整改事项。</w:t>
      </w:r>
    </w:p>
    <w:p>
      <w:pPr>
        <w:snapToGrid w:val="0"/>
        <w:spacing w:line="360" w:lineRule="auto"/>
        <w:ind w:firstLine="420" w:firstLineChars="200"/>
        <w:rPr>
          <w:szCs w:val="21"/>
        </w:rPr>
      </w:pPr>
      <w:r>
        <w:rPr>
          <w:rFonts w:hint="eastAsia"/>
          <w:szCs w:val="21"/>
        </w:rPr>
        <w:t>（19）工程竣工验收后30天内，提供委托人满足委托人及杭州市城建档案馆要求，完整并装订成册的监理资料四份，包括监理合同、监理规划、监理细则，建立项目监理机构文件和会议纪要（含监理工程师发布的各项指令及联系单）、监理日记、监理月报、监理工作总结、质量评估报告以及由监理抽检或监理主持验收的各类原材料、成品及半成品、隐蔽工程和其它重要的质量部位的资料。</w:t>
      </w:r>
    </w:p>
    <w:p>
      <w:pPr>
        <w:spacing w:line="360" w:lineRule="auto"/>
        <w:ind w:firstLine="480"/>
        <w:rPr>
          <w:szCs w:val="21"/>
        </w:rPr>
      </w:pPr>
      <w:r>
        <w:rPr>
          <w:rFonts w:hint="eastAsia"/>
          <w:szCs w:val="21"/>
        </w:rPr>
        <w:t>（20）完成监理规范要求的其他工作内容，履行其他法律、法规规定的监理职责义务，提供其他可免费提供的监理服务。</w:t>
      </w:r>
    </w:p>
    <w:p>
      <w:pPr>
        <w:spacing w:line="360" w:lineRule="auto"/>
        <w:ind w:firstLine="480"/>
        <w:rPr>
          <w:szCs w:val="21"/>
        </w:rPr>
      </w:pPr>
      <w:r>
        <w:rPr>
          <w:rFonts w:hint="eastAsia"/>
          <w:szCs w:val="21"/>
        </w:rPr>
        <w:t>（21）在项目发生除与监理人之外的其他主体争议时，提供包括但不限于监理记录、咨询意见、证人出庭等各种协助，帮助委托人解决争议。</w:t>
      </w:r>
    </w:p>
    <w:p>
      <w:pPr>
        <w:spacing w:line="360" w:lineRule="auto"/>
        <w:ind w:firstLine="480"/>
        <w:rPr>
          <w:rFonts w:hint="eastAsia"/>
          <w:szCs w:val="21"/>
        </w:rPr>
      </w:pPr>
      <w:r>
        <w:rPr>
          <w:rFonts w:hint="eastAsia"/>
          <w:szCs w:val="21"/>
        </w:rPr>
        <w:t>（22）处置发现的质量问题和安全事故隐患。</w:t>
      </w:r>
    </w:p>
    <w:p>
      <w:pPr>
        <w:spacing w:line="360" w:lineRule="auto"/>
        <w:ind w:firstLine="420" w:firstLineChars="200"/>
        <w:jc w:val="left"/>
        <w:rPr>
          <w:rFonts w:ascii="宋体" w:hAnsi="宋体" w:cs="宋体"/>
          <w:szCs w:val="21"/>
        </w:rPr>
      </w:pPr>
      <w:r>
        <w:rPr>
          <w:rFonts w:hint="eastAsia" w:ascii="宋体" w:hAnsi="宋体" w:cs="宋体"/>
          <w:szCs w:val="21"/>
        </w:rPr>
        <w:t>2.2 监理与相关服务依据</w:t>
      </w:r>
    </w:p>
    <w:p>
      <w:pPr>
        <w:spacing w:line="360" w:lineRule="auto"/>
        <w:ind w:firstLine="420" w:firstLineChars="200"/>
        <w:jc w:val="left"/>
        <w:rPr>
          <w:rFonts w:ascii="宋体" w:hAnsi="宋体" w:cs="宋体"/>
          <w:szCs w:val="21"/>
          <w:u w:val="single"/>
        </w:rPr>
      </w:pPr>
      <w:r>
        <w:rPr>
          <w:rFonts w:hint="eastAsia" w:ascii="宋体" w:hAnsi="宋体" w:cs="宋体"/>
          <w:szCs w:val="21"/>
        </w:rPr>
        <w:t>2.2.1 监理依据包括：</w:t>
      </w:r>
      <w:r>
        <w:rPr>
          <w:rFonts w:hint="eastAsia" w:ascii="宋体" w:hAnsi="宋体" w:cs="宋体"/>
          <w:szCs w:val="21"/>
          <w:u w:val="single"/>
        </w:rPr>
        <w:t xml:space="preserve">《中华人民共和国建筑法》、《建设工程质量管理条例》、《浙江省建设工程监理管理条例》、《房屋建筑和市政基础设施工程竣工验收规定》、《建设工程监理规范》（GB/T50319-2013）、《施工旁站监理管理办法》等有关法律、法规、规章、标准和规范性文件。 </w:t>
      </w:r>
    </w:p>
    <w:p>
      <w:pPr>
        <w:spacing w:line="360" w:lineRule="auto"/>
        <w:ind w:firstLine="420" w:firstLineChars="200"/>
        <w:jc w:val="left"/>
        <w:rPr>
          <w:rFonts w:ascii="宋体" w:hAnsi="宋体" w:cs="宋体"/>
          <w:szCs w:val="21"/>
        </w:rPr>
      </w:pPr>
      <w:r>
        <w:rPr>
          <w:rFonts w:hint="eastAsia" w:ascii="宋体" w:hAnsi="宋体" w:cs="宋体"/>
          <w:szCs w:val="21"/>
        </w:rPr>
        <w:t>2.2.2 相关服务依据包括：</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jc w:val="left"/>
        <w:rPr>
          <w:rFonts w:ascii="宋体" w:hAnsi="宋体" w:cs="宋体"/>
          <w:kern w:val="0"/>
          <w:szCs w:val="21"/>
        </w:rPr>
      </w:pPr>
      <w:r>
        <w:rPr>
          <w:rFonts w:hint="eastAsia" w:ascii="宋体" w:hAnsi="宋体" w:cs="宋体"/>
          <w:szCs w:val="21"/>
        </w:rPr>
        <w:t>2.3项目监理机构</w:t>
      </w:r>
      <w:r>
        <w:rPr>
          <w:rFonts w:hint="eastAsia" w:ascii="宋体" w:hAnsi="宋体" w:cs="宋体"/>
          <w:kern w:val="0"/>
          <w:szCs w:val="21"/>
        </w:rPr>
        <w:t>和人员</w:t>
      </w:r>
    </w:p>
    <w:p>
      <w:pPr>
        <w:spacing w:line="360" w:lineRule="auto"/>
        <w:ind w:firstLine="420" w:firstLineChars="200"/>
        <w:rPr>
          <w:rFonts w:ascii="宋体" w:hAnsi="宋体" w:cs="宋体"/>
          <w:kern w:val="0"/>
          <w:szCs w:val="21"/>
          <w:u w:val="single"/>
        </w:rPr>
      </w:pPr>
      <w:r>
        <w:rPr>
          <w:rFonts w:hint="eastAsia" w:ascii="宋体" w:hAnsi="宋体" w:cs="宋体"/>
          <w:kern w:val="0"/>
          <w:szCs w:val="21"/>
        </w:rPr>
        <w:t>2.3.1监理机构组成要求：</w:t>
      </w:r>
      <w:r>
        <w:rPr>
          <w:rFonts w:hint="eastAsia" w:ascii="宋体" w:hAnsi="宋体" w:cs="宋体"/>
          <w:kern w:val="0"/>
          <w:szCs w:val="21"/>
          <w:u w:val="single"/>
        </w:rPr>
        <w:t>1、总监理工程师：1人，已取得《中华人民共和国注册监理工程师注册执业证书》的监理工程师（总监理工程师项目施工期间必须到招标人指定地点视频考勤）。2、监理员基本要求：至少 1人，持有监理员岗位证书。3、专职资料员：至少1 人，允许兼职，根据需要到位。4、监理机构组成应根据工程实际进展需要确保工程相应专业人员配套齐全、安排充足。</w:t>
      </w:r>
    </w:p>
    <w:p>
      <w:pPr>
        <w:spacing w:line="360" w:lineRule="auto"/>
        <w:jc w:val="center"/>
        <w:rPr>
          <w:rFonts w:ascii="宋体" w:hAnsi="宋体" w:cs="宋体"/>
          <w:b/>
          <w:szCs w:val="21"/>
        </w:rPr>
      </w:pPr>
      <w:r>
        <w:rPr>
          <w:rFonts w:hint="eastAsia" w:ascii="宋体" w:hAnsi="宋体" w:cs="宋体"/>
          <w:b/>
          <w:szCs w:val="21"/>
        </w:rPr>
        <w:t>监理人员一览表(根据响应承诺填写）</w:t>
      </w:r>
    </w:p>
    <w:tbl>
      <w:tblPr>
        <w:tblStyle w:val="56"/>
        <w:tblW w:w="0" w:type="auto"/>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924"/>
        <w:gridCol w:w="1107"/>
        <w:gridCol w:w="911"/>
        <w:gridCol w:w="650"/>
        <w:gridCol w:w="3211"/>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154"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r>
              <w:rPr>
                <w:rFonts w:hint="eastAsia" w:ascii="宋体" w:hAnsi="宋体" w:cs="宋体"/>
                <w:szCs w:val="21"/>
              </w:rPr>
              <w:t>职务</w:t>
            </w:r>
          </w:p>
        </w:tc>
        <w:tc>
          <w:tcPr>
            <w:tcW w:w="924"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r>
              <w:rPr>
                <w:rFonts w:hint="eastAsia" w:ascii="宋体" w:hAnsi="宋体" w:cs="宋体"/>
                <w:szCs w:val="21"/>
              </w:rPr>
              <w:t>姓名</w:t>
            </w:r>
          </w:p>
        </w:tc>
        <w:tc>
          <w:tcPr>
            <w:tcW w:w="1107"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r>
              <w:rPr>
                <w:rFonts w:hint="eastAsia" w:ascii="宋体" w:hAnsi="宋体" w:cs="宋体"/>
                <w:szCs w:val="21"/>
              </w:rPr>
              <w:t>岗位证书号码</w:t>
            </w:r>
          </w:p>
        </w:tc>
        <w:tc>
          <w:tcPr>
            <w:tcW w:w="911"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r>
              <w:rPr>
                <w:rFonts w:hint="eastAsia" w:ascii="宋体" w:hAnsi="宋体" w:cs="宋体"/>
                <w:szCs w:val="21"/>
              </w:rPr>
              <w:t>身份证号</w:t>
            </w:r>
          </w:p>
        </w:tc>
        <w:tc>
          <w:tcPr>
            <w:tcW w:w="650"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r>
              <w:rPr>
                <w:rFonts w:hint="eastAsia" w:ascii="宋体" w:hAnsi="宋体" w:cs="宋体"/>
                <w:szCs w:val="21"/>
              </w:rPr>
              <w:t>进场安排</w:t>
            </w:r>
          </w:p>
        </w:tc>
        <w:tc>
          <w:tcPr>
            <w:tcW w:w="3211"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r>
              <w:rPr>
                <w:rFonts w:hint="eastAsia" w:ascii="宋体" w:hAnsi="宋体" w:cs="宋体"/>
                <w:szCs w:val="21"/>
              </w:rPr>
              <w:t>须提供的证书</w:t>
            </w:r>
          </w:p>
        </w:tc>
        <w:tc>
          <w:tcPr>
            <w:tcW w:w="1074" w:type="dxa"/>
            <w:tcBorders>
              <w:bottom w:val="single" w:color="auto" w:sz="4" w:space="0"/>
            </w:tcBorders>
            <w:noWrap w:val="0"/>
            <w:vAlign w:val="center"/>
          </w:tcPr>
          <w:p>
            <w:pPr>
              <w:keepNext w:val="0"/>
              <w:keepLines w:val="0"/>
              <w:suppressLineNumbers w:val="0"/>
              <w:spacing w:before="0" w:beforeAutospacing="0" w:after="0" w:afterAutospacing="0" w:line="360" w:lineRule="auto"/>
              <w:ind w:left="35" w:leftChars="-32" w:right="-69" w:rightChars="-33" w:hanging="102" w:hangingChars="49"/>
              <w:jc w:val="center"/>
              <w:rPr>
                <w:rFonts w:hint="default"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exact"/>
        </w:trPr>
        <w:tc>
          <w:tcPr>
            <w:tcW w:w="1154" w:type="dxa"/>
            <w:noWrap w:val="0"/>
            <w:vAlign w:val="center"/>
          </w:tcPr>
          <w:p>
            <w:pPr>
              <w:keepNext w:val="0"/>
              <w:keepLines w:val="0"/>
              <w:suppressLineNumbers w:val="0"/>
              <w:spacing w:before="0" w:beforeAutospacing="0" w:after="0" w:afterAutospacing="0" w:line="360" w:lineRule="auto"/>
              <w:ind w:left="-71" w:leftChars="-34" w:right="-69" w:rightChars="-33" w:firstLine="2"/>
              <w:jc w:val="center"/>
              <w:rPr>
                <w:rFonts w:hint="default" w:ascii="宋体" w:hAnsi="宋体" w:cs="宋体"/>
                <w:szCs w:val="21"/>
              </w:rPr>
            </w:pPr>
            <w:r>
              <w:rPr>
                <w:rFonts w:hint="eastAsia" w:ascii="宋体" w:hAnsi="宋体" w:cs="宋体"/>
                <w:szCs w:val="21"/>
              </w:rPr>
              <w:t>总监理工程师</w:t>
            </w:r>
          </w:p>
        </w:tc>
        <w:tc>
          <w:tcPr>
            <w:tcW w:w="924"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p>
        </w:tc>
        <w:tc>
          <w:tcPr>
            <w:tcW w:w="1107"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p>
        </w:tc>
        <w:tc>
          <w:tcPr>
            <w:tcW w:w="911"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p>
        </w:tc>
        <w:tc>
          <w:tcPr>
            <w:tcW w:w="65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p>
        </w:tc>
        <w:tc>
          <w:tcPr>
            <w:tcW w:w="3211" w:type="dxa"/>
            <w:noWrap w:val="0"/>
            <w:vAlign w:val="center"/>
          </w:tcPr>
          <w:p>
            <w:pPr>
              <w:keepNext w:val="0"/>
              <w:keepLines w:val="0"/>
              <w:suppressLineNumbers w:val="0"/>
              <w:spacing w:before="0" w:beforeAutospacing="0" w:after="0" w:afterAutospacing="0" w:line="360" w:lineRule="auto"/>
              <w:ind w:left="67" w:leftChars="-60" w:right="-84" w:rightChars="-40" w:hanging="193" w:hangingChars="92"/>
              <w:rPr>
                <w:rFonts w:hint="default" w:ascii="宋体" w:hAnsi="宋体" w:cs="宋体"/>
                <w:szCs w:val="21"/>
              </w:rPr>
            </w:pPr>
            <w:r>
              <w:rPr>
                <w:rFonts w:hint="eastAsia" w:ascii="宋体" w:hAnsi="宋体" w:cs="宋体"/>
              </w:rPr>
              <w:t>具有建筑工程专业国家注册监理工程师</w:t>
            </w:r>
          </w:p>
        </w:tc>
        <w:tc>
          <w:tcPr>
            <w:tcW w:w="1074" w:type="dxa"/>
            <w:noWrap w:val="0"/>
            <w:vAlign w:val="center"/>
          </w:tcPr>
          <w:p>
            <w:pPr>
              <w:keepNext w:val="0"/>
              <w:keepLines w:val="0"/>
              <w:suppressLineNumbers w:val="0"/>
              <w:spacing w:before="0" w:beforeAutospacing="0" w:after="0" w:afterAutospacing="0" w:line="360" w:lineRule="auto"/>
              <w:ind w:left="-67" w:leftChars="-32" w:right="-69" w:rightChars="-33" w:firstLine="2"/>
              <w:jc w:val="center"/>
              <w:rPr>
                <w:rFonts w:hint="default" w:ascii="宋体" w:hAnsi="宋体" w:cs="宋体"/>
                <w:szCs w:val="21"/>
              </w:rPr>
            </w:pPr>
            <w:r>
              <w:rPr>
                <w:rFonts w:hint="eastAsia" w:ascii="宋体" w:hAnsi="宋体" w:cs="宋体"/>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exact"/>
        </w:trPr>
        <w:tc>
          <w:tcPr>
            <w:tcW w:w="1154" w:type="dxa"/>
            <w:noWrap w:val="0"/>
            <w:vAlign w:val="center"/>
          </w:tcPr>
          <w:p>
            <w:pPr>
              <w:keepNext w:val="0"/>
              <w:keepLines w:val="0"/>
              <w:suppressLineNumbers w:val="0"/>
              <w:spacing w:before="0" w:beforeAutospacing="0" w:after="0" w:afterAutospacing="0" w:line="360" w:lineRule="auto"/>
              <w:ind w:left="-71" w:leftChars="-34" w:right="-69" w:rightChars="-33" w:firstLine="2"/>
              <w:jc w:val="center"/>
              <w:rPr>
                <w:rFonts w:hint="default" w:ascii="宋体" w:hAnsi="宋体" w:cs="宋体"/>
                <w:szCs w:val="21"/>
              </w:rPr>
            </w:pPr>
            <w:r>
              <w:rPr>
                <w:rFonts w:hint="eastAsia" w:ascii="宋体" w:hAnsi="宋体" w:cs="宋体"/>
                <w:szCs w:val="21"/>
              </w:rPr>
              <w:t>监理员</w:t>
            </w:r>
          </w:p>
          <w:p>
            <w:pPr>
              <w:keepNext w:val="0"/>
              <w:keepLines w:val="0"/>
              <w:suppressLineNumbers w:val="0"/>
              <w:spacing w:before="0" w:beforeAutospacing="0" w:after="0" w:afterAutospacing="0" w:line="360" w:lineRule="auto"/>
              <w:ind w:left="-71" w:leftChars="-34" w:right="-69" w:rightChars="-33" w:firstLine="2"/>
              <w:jc w:val="center"/>
              <w:rPr>
                <w:rFonts w:hint="default" w:ascii="宋体" w:hAnsi="宋体" w:cs="宋体"/>
                <w:szCs w:val="21"/>
              </w:rPr>
            </w:pPr>
          </w:p>
        </w:tc>
        <w:tc>
          <w:tcPr>
            <w:tcW w:w="924" w:type="dxa"/>
            <w:noWrap w:val="0"/>
            <w:vAlign w:val="center"/>
          </w:tcPr>
          <w:p>
            <w:pPr>
              <w:keepNext w:val="0"/>
              <w:keepLines w:val="0"/>
              <w:suppressLineNumbers w:val="0"/>
              <w:spacing w:before="0" w:beforeAutospacing="0" w:after="0" w:afterAutospacing="0" w:line="360" w:lineRule="auto"/>
              <w:ind w:left="-71" w:leftChars="-34" w:right="-69" w:rightChars="-33" w:firstLine="2"/>
              <w:jc w:val="center"/>
              <w:rPr>
                <w:rFonts w:hint="default" w:ascii="宋体" w:hAnsi="宋体" w:cs="宋体"/>
                <w:szCs w:val="21"/>
              </w:rPr>
            </w:pPr>
          </w:p>
        </w:tc>
        <w:tc>
          <w:tcPr>
            <w:tcW w:w="1107" w:type="dxa"/>
            <w:noWrap w:val="0"/>
            <w:vAlign w:val="center"/>
          </w:tcPr>
          <w:p>
            <w:pPr>
              <w:keepNext w:val="0"/>
              <w:keepLines w:val="0"/>
              <w:suppressLineNumbers w:val="0"/>
              <w:spacing w:before="0" w:beforeAutospacing="0" w:after="0" w:afterAutospacing="0" w:line="360" w:lineRule="auto"/>
              <w:ind w:left="-71" w:leftChars="-34" w:right="-69" w:rightChars="-33" w:firstLine="2"/>
              <w:jc w:val="center"/>
              <w:rPr>
                <w:rFonts w:hint="default" w:ascii="宋体" w:hAnsi="宋体" w:cs="宋体"/>
                <w:szCs w:val="21"/>
              </w:rPr>
            </w:pPr>
          </w:p>
        </w:tc>
        <w:tc>
          <w:tcPr>
            <w:tcW w:w="911" w:type="dxa"/>
            <w:noWrap w:val="0"/>
            <w:vAlign w:val="center"/>
          </w:tcPr>
          <w:p>
            <w:pPr>
              <w:keepNext w:val="0"/>
              <w:keepLines w:val="0"/>
              <w:suppressLineNumbers w:val="0"/>
              <w:spacing w:before="0" w:beforeAutospacing="0" w:after="0" w:afterAutospacing="0" w:line="360" w:lineRule="auto"/>
              <w:ind w:left="-71" w:leftChars="-34" w:right="-69" w:rightChars="-33" w:firstLine="2"/>
              <w:jc w:val="center"/>
              <w:rPr>
                <w:rFonts w:hint="default" w:ascii="宋体" w:hAnsi="宋体" w:cs="宋体"/>
                <w:szCs w:val="21"/>
              </w:rPr>
            </w:pPr>
          </w:p>
        </w:tc>
        <w:tc>
          <w:tcPr>
            <w:tcW w:w="650" w:type="dxa"/>
            <w:noWrap w:val="0"/>
            <w:vAlign w:val="center"/>
          </w:tcPr>
          <w:p>
            <w:pPr>
              <w:keepNext w:val="0"/>
              <w:keepLines w:val="0"/>
              <w:suppressLineNumbers w:val="0"/>
              <w:spacing w:before="0" w:beforeAutospacing="0" w:after="0" w:afterAutospacing="0" w:line="360" w:lineRule="auto"/>
              <w:ind w:left="-71" w:leftChars="-34" w:right="-69" w:rightChars="-33" w:firstLine="2"/>
              <w:jc w:val="center"/>
              <w:rPr>
                <w:rFonts w:hint="default" w:ascii="宋体" w:hAnsi="宋体" w:cs="宋体"/>
                <w:szCs w:val="21"/>
              </w:rPr>
            </w:pPr>
          </w:p>
        </w:tc>
        <w:tc>
          <w:tcPr>
            <w:tcW w:w="3211" w:type="dxa"/>
            <w:noWrap w:val="0"/>
            <w:vAlign w:val="center"/>
          </w:tcPr>
          <w:p>
            <w:pPr>
              <w:keepNext w:val="0"/>
              <w:keepLines w:val="0"/>
              <w:suppressLineNumbers w:val="0"/>
              <w:spacing w:before="0" w:beforeAutospacing="0" w:after="0" w:afterAutospacing="0" w:line="360" w:lineRule="auto"/>
              <w:ind w:left="-71" w:leftChars="-34" w:right="-69" w:rightChars="-33" w:firstLine="2"/>
              <w:jc w:val="center"/>
              <w:rPr>
                <w:rFonts w:hint="default" w:ascii="宋体" w:hAnsi="宋体" w:cs="宋体"/>
                <w:szCs w:val="21"/>
              </w:rPr>
            </w:pPr>
            <w:r>
              <w:rPr>
                <w:rFonts w:hint="eastAsia" w:ascii="宋体" w:hAnsi="宋体" w:cs="宋体"/>
              </w:rPr>
              <w:t>具有省级监理员上岗证书或省级及以上监理工程师注册证书，（市政工程专业）</w:t>
            </w:r>
          </w:p>
        </w:tc>
        <w:tc>
          <w:tcPr>
            <w:tcW w:w="1074" w:type="dxa"/>
            <w:noWrap w:val="0"/>
            <w:vAlign w:val="center"/>
          </w:tcPr>
          <w:p>
            <w:pPr>
              <w:keepNext w:val="0"/>
              <w:keepLines w:val="0"/>
              <w:suppressLineNumbers w:val="0"/>
              <w:spacing w:before="0" w:beforeAutospacing="0" w:after="0" w:afterAutospacing="0" w:line="360" w:lineRule="auto"/>
              <w:ind w:left="-71" w:leftChars="-34" w:right="-69" w:rightChars="-33" w:firstLine="2"/>
              <w:jc w:val="center"/>
              <w:rPr>
                <w:rFonts w:hint="default" w:ascii="宋体" w:hAnsi="宋体" w:cs="宋体"/>
                <w:szCs w:val="21"/>
              </w:rPr>
            </w:pPr>
            <w:r>
              <w:rPr>
                <w:rFonts w:hint="eastAsia" w:ascii="宋体" w:hAnsi="宋体" w:cs="宋体"/>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exact"/>
        </w:trPr>
        <w:tc>
          <w:tcPr>
            <w:tcW w:w="1154" w:type="dxa"/>
            <w:noWrap w:val="0"/>
            <w:vAlign w:val="center"/>
          </w:tcPr>
          <w:p>
            <w:pPr>
              <w:keepNext w:val="0"/>
              <w:keepLines w:val="0"/>
              <w:suppressLineNumbers w:val="0"/>
              <w:spacing w:before="0" w:beforeAutospacing="0" w:after="0" w:afterAutospacing="0" w:line="360" w:lineRule="auto"/>
              <w:ind w:left="-71" w:leftChars="-34" w:right="-69" w:rightChars="-33" w:firstLine="2"/>
              <w:jc w:val="center"/>
              <w:rPr>
                <w:rFonts w:hint="default" w:ascii="宋体" w:hAnsi="宋体" w:cs="宋体"/>
                <w:szCs w:val="21"/>
              </w:rPr>
            </w:pPr>
            <w:r>
              <w:rPr>
                <w:rFonts w:hint="eastAsia" w:ascii="宋体" w:hAnsi="宋体" w:cs="宋体"/>
                <w:szCs w:val="21"/>
              </w:rPr>
              <w:t>监理员</w:t>
            </w:r>
          </w:p>
        </w:tc>
        <w:tc>
          <w:tcPr>
            <w:tcW w:w="924" w:type="dxa"/>
            <w:noWrap w:val="0"/>
            <w:vAlign w:val="center"/>
          </w:tcPr>
          <w:p>
            <w:pPr>
              <w:keepNext w:val="0"/>
              <w:keepLines w:val="0"/>
              <w:suppressLineNumbers w:val="0"/>
              <w:spacing w:before="0" w:beforeAutospacing="0" w:after="0" w:afterAutospacing="0" w:line="360" w:lineRule="auto"/>
              <w:ind w:left="-71" w:leftChars="-34" w:right="-69" w:rightChars="-33" w:firstLine="2"/>
              <w:jc w:val="center"/>
              <w:rPr>
                <w:rFonts w:hint="default" w:ascii="宋体" w:hAnsi="宋体" w:cs="宋体"/>
                <w:szCs w:val="21"/>
              </w:rPr>
            </w:pPr>
          </w:p>
        </w:tc>
        <w:tc>
          <w:tcPr>
            <w:tcW w:w="1107" w:type="dxa"/>
            <w:noWrap w:val="0"/>
            <w:vAlign w:val="center"/>
          </w:tcPr>
          <w:p>
            <w:pPr>
              <w:keepNext w:val="0"/>
              <w:keepLines w:val="0"/>
              <w:suppressLineNumbers w:val="0"/>
              <w:spacing w:before="0" w:beforeAutospacing="0" w:after="0" w:afterAutospacing="0" w:line="360" w:lineRule="auto"/>
              <w:ind w:left="-71" w:leftChars="-34" w:right="-69" w:rightChars="-33" w:firstLine="2"/>
              <w:jc w:val="center"/>
              <w:rPr>
                <w:rFonts w:hint="default" w:ascii="宋体" w:hAnsi="宋体" w:cs="宋体"/>
                <w:szCs w:val="21"/>
              </w:rPr>
            </w:pPr>
          </w:p>
        </w:tc>
        <w:tc>
          <w:tcPr>
            <w:tcW w:w="911" w:type="dxa"/>
            <w:noWrap w:val="0"/>
            <w:vAlign w:val="center"/>
          </w:tcPr>
          <w:p>
            <w:pPr>
              <w:keepNext w:val="0"/>
              <w:keepLines w:val="0"/>
              <w:suppressLineNumbers w:val="0"/>
              <w:spacing w:before="0" w:beforeAutospacing="0" w:after="0" w:afterAutospacing="0" w:line="360" w:lineRule="auto"/>
              <w:ind w:left="-71" w:leftChars="-34" w:right="-69" w:rightChars="-33" w:firstLine="2"/>
              <w:jc w:val="center"/>
              <w:rPr>
                <w:rFonts w:hint="default" w:ascii="宋体" w:hAnsi="宋体" w:cs="宋体"/>
                <w:szCs w:val="21"/>
              </w:rPr>
            </w:pPr>
          </w:p>
        </w:tc>
        <w:tc>
          <w:tcPr>
            <w:tcW w:w="650" w:type="dxa"/>
            <w:noWrap w:val="0"/>
            <w:vAlign w:val="center"/>
          </w:tcPr>
          <w:p>
            <w:pPr>
              <w:keepNext w:val="0"/>
              <w:keepLines w:val="0"/>
              <w:suppressLineNumbers w:val="0"/>
              <w:spacing w:before="0" w:beforeAutospacing="0" w:after="0" w:afterAutospacing="0" w:line="360" w:lineRule="auto"/>
              <w:ind w:left="-71" w:leftChars="-34" w:right="-69" w:rightChars="-33" w:firstLine="2"/>
              <w:jc w:val="center"/>
              <w:rPr>
                <w:rFonts w:hint="default" w:ascii="宋体" w:hAnsi="宋体" w:cs="宋体"/>
                <w:szCs w:val="21"/>
              </w:rPr>
            </w:pPr>
          </w:p>
        </w:tc>
        <w:tc>
          <w:tcPr>
            <w:tcW w:w="3211" w:type="dxa"/>
            <w:noWrap w:val="0"/>
            <w:vAlign w:val="center"/>
          </w:tcPr>
          <w:p>
            <w:pPr>
              <w:keepNext w:val="0"/>
              <w:keepLines w:val="0"/>
              <w:suppressLineNumbers w:val="0"/>
              <w:spacing w:before="0" w:beforeAutospacing="0" w:after="0" w:afterAutospacing="0" w:line="360" w:lineRule="auto"/>
              <w:ind w:left="-71" w:leftChars="-34" w:right="-69" w:rightChars="-33" w:firstLine="2"/>
              <w:jc w:val="center"/>
              <w:rPr>
                <w:rFonts w:hint="eastAsia" w:ascii="宋体" w:hAnsi="宋体" w:cs="宋体"/>
                <w:szCs w:val="21"/>
              </w:rPr>
            </w:pPr>
            <w:r>
              <w:rPr>
                <w:rFonts w:hint="eastAsia" w:ascii="宋体" w:hAnsi="宋体" w:cs="宋体"/>
              </w:rPr>
              <w:t>具有省级监理员上岗证书或省级及以上监理工程师注册证书，（市政工程专业）</w:t>
            </w:r>
          </w:p>
        </w:tc>
        <w:tc>
          <w:tcPr>
            <w:tcW w:w="1074" w:type="dxa"/>
            <w:noWrap w:val="0"/>
            <w:vAlign w:val="center"/>
          </w:tcPr>
          <w:p>
            <w:pPr>
              <w:keepNext w:val="0"/>
              <w:keepLines w:val="0"/>
              <w:suppressLineNumbers w:val="0"/>
              <w:spacing w:before="0" w:beforeAutospacing="0" w:after="0" w:afterAutospacing="0" w:line="360" w:lineRule="auto"/>
              <w:ind w:left="-71" w:leftChars="-34" w:right="-69" w:rightChars="-33" w:firstLine="2"/>
              <w:jc w:val="center"/>
              <w:rPr>
                <w:rFonts w:hint="eastAsia" w:ascii="宋体" w:hAnsi="宋体" w:cs="宋体"/>
                <w:szCs w:val="21"/>
              </w:rPr>
            </w:pPr>
            <w:r>
              <w:rPr>
                <w:rFonts w:hint="eastAsia" w:ascii="宋体" w:hAnsi="宋体" w:cs="宋体"/>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exact"/>
        </w:trPr>
        <w:tc>
          <w:tcPr>
            <w:tcW w:w="1154" w:type="dxa"/>
            <w:noWrap w:val="0"/>
            <w:vAlign w:val="center"/>
          </w:tcPr>
          <w:p>
            <w:pPr>
              <w:keepNext w:val="0"/>
              <w:keepLines w:val="0"/>
              <w:suppressLineNumbers w:val="0"/>
              <w:spacing w:before="0" w:beforeAutospacing="0" w:after="0" w:afterAutospacing="0" w:line="360" w:lineRule="auto"/>
              <w:ind w:left="0" w:right="-73" w:rightChars="-35"/>
              <w:jc w:val="center"/>
              <w:rPr>
                <w:rFonts w:hint="eastAsia" w:ascii="宋体" w:hAnsi="宋体" w:cs="宋体"/>
                <w:szCs w:val="21"/>
              </w:rPr>
            </w:pPr>
            <w:r>
              <w:rPr>
                <w:rFonts w:hint="eastAsia" w:ascii="宋体" w:hAnsi="宋体" w:cs="宋体"/>
                <w:szCs w:val="21"/>
              </w:rPr>
              <w:t>监理员</w:t>
            </w:r>
          </w:p>
        </w:tc>
        <w:tc>
          <w:tcPr>
            <w:tcW w:w="924" w:type="dxa"/>
            <w:noWrap w:val="0"/>
            <w:vAlign w:val="center"/>
          </w:tcPr>
          <w:p>
            <w:pPr>
              <w:keepNext w:val="0"/>
              <w:keepLines w:val="0"/>
              <w:suppressLineNumbers w:val="0"/>
              <w:spacing w:before="0" w:beforeAutospacing="0" w:after="0" w:afterAutospacing="0" w:line="360" w:lineRule="auto"/>
              <w:ind w:left="0" w:right="-73" w:rightChars="-35"/>
              <w:jc w:val="center"/>
              <w:rPr>
                <w:rFonts w:hint="default" w:ascii="宋体" w:hAnsi="宋体" w:cs="宋体"/>
                <w:szCs w:val="21"/>
              </w:rPr>
            </w:pPr>
          </w:p>
        </w:tc>
        <w:tc>
          <w:tcPr>
            <w:tcW w:w="1107" w:type="dxa"/>
            <w:noWrap w:val="0"/>
            <w:vAlign w:val="center"/>
          </w:tcPr>
          <w:p>
            <w:pPr>
              <w:keepNext w:val="0"/>
              <w:keepLines w:val="0"/>
              <w:suppressLineNumbers w:val="0"/>
              <w:spacing w:before="0" w:beforeAutospacing="0" w:after="0" w:afterAutospacing="0" w:line="360" w:lineRule="auto"/>
              <w:ind w:left="0" w:right="-73" w:rightChars="-35"/>
              <w:jc w:val="center"/>
              <w:rPr>
                <w:rFonts w:hint="default" w:ascii="宋体" w:hAnsi="宋体" w:cs="宋体"/>
                <w:szCs w:val="21"/>
              </w:rPr>
            </w:pPr>
          </w:p>
        </w:tc>
        <w:tc>
          <w:tcPr>
            <w:tcW w:w="911" w:type="dxa"/>
            <w:noWrap w:val="0"/>
            <w:vAlign w:val="center"/>
          </w:tcPr>
          <w:p>
            <w:pPr>
              <w:keepNext w:val="0"/>
              <w:keepLines w:val="0"/>
              <w:suppressLineNumbers w:val="0"/>
              <w:spacing w:before="0" w:beforeAutospacing="0" w:after="0" w:afterAutospacing="0" w:line="360" w:lineRule="auto"/>
              <w:ind w:left="0" w:right="-73" w:rightChars="-35"/>
              <w:jc w:val="center"/>
              <w:rPr>
                <w:rFonts w:hint="default" w:ascii="宋体" w:hAnsi="宋体" w:cs="宋体"/>
                <w:szCs w:val="21"/>
              </w:rPr>
            </w:pPr>
          </w:p>
        </w:tc>
        <w:tc>
          <w:tcPr>
            <w:tcW w:w="650" w:type="dxa"/>
            <w:noWrap w:val="0"/>
            <w:vAlign w:val="center"/>
          </w:tcPr>
          <w:p>
            <w:pPr>
              <w:keepNext w:val="0"/>
              <w:keepLines w:val="0"/>
              <w:suppressLineNumbers w:val="0"/>
              <w:spacing w:before="0" w:beforeAutospacing="0" w:after="0" w:afterAutospacing="0" w:line="360" w:lineRule="auto"/>
              <w:ind w:left="0" w:right="-73" w:rightChars="-35"/>
              <w:jc w:val="center"/>
              <w:rPr>
                <w:rFonts w:hint="default" w:ascii="宋体" w:hAnsi="宋体" w:cs="宋体"/>
                <w:szCs w:val="21"/>
              </w:rPr>
            </w:pPr>
          </w:p>
        </w:tc>
        <w:tc>
          <w:tcPr>
            <w:tcW w:w="3211" w:type="dxa"/>
            <w:noWrap w:val="0"/>
            <w:vAlign w:val="center"/>
          </w:tcPr>
          <w:p>
            <w:pPr>
              <w:keepNext w:val="0"/>
              <w:keepLines w:val="0"/>
              <w:suppressLineNumbers w:val="0"/>
              <w:spacing w:before="0" w:beforeAutospacing="0" w:after="0" w:afterAutospacing="0" w:line="360" w:lineRule="auto"/>
              <w:ind w:left="0" w:right="-73" w:rightChars="-35"/>
              <w:jc w:val="center"/>
              <w:rPr>
                <w:rFonts w:hint="default" w:ascii="宋体" w:hAnsi="宋体" w:cs="宋体"/>
                <w:szCs w:val="21"/>
              </w:rPr>
            </w:pPr>
            <w:r>
              <w:rPr>
                <w:rFonts w:hint="eastAsia" w:ascii="宋体" w:hAnsi="宋体" w:cs="宋体"/>
              </w:rPr>
              <w:t>具有省级监理员上岗证书或省级及以上监理工程师注册证书，（机电安装工程专业）</w:t>
            </w:r>
          </w:p>
        </w:tc>
        <w:tc>
          <w:tcPr>
            <w:tcW w:w="1074" w:type="dxa"/>
            <w:noWrap w:val="0"/>
            <w:vAlign w:val="center"/>
          </w:tcPr>
          <w:p>
            <w:pPr>
              <w:keepNext w:val="0"/>
              <w:keepLines w:val="0"/>
              <w:suppressLineNumbers w:val="0"/>
              <w:spacing w:before="0" w:beforeAutospacing="0" w:after="0" w:afterAutospacing="0" w:line="360" w:lineRule="auto"/>
              <w:ind w:left="0" w:right="-73" w:rightChars="-35"/>
              <w:rPr>
                <w:rFonts w:hint="eastAsia" w:ascii="宋体" w:hAnsi="宋体" w:cs="宋体"/>
                <w:szCs w:val="21"/>
              </w:rPr>
            </w:pPr>
            <w:r>
              <w:rPr>
                <w:rFonts w:hint="eastAsia" w:ascii="宋体" w:hAnsi="宋体" w:cs="宋体"/>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exact"/>
        </w:trPr>
        <w:tc>
          <w:tcPr>
            <w:tcW w:w="1154" w:type="dxa"/>
            <w:noWrap w:val="0"/>
            <w:vAlign w:val="center"/>
          </w:tcPr>
          <w:p>
            <w:pPr>
              <w:keepNext w:val="0"/>
              <w:keepLines w:val="0"/>
              <w:suppressLineNumbers w:val="0"/>
              <w:spacing w:before="0" w:beforeAutospacing="0" w:after="0" w:afterAutospacing="0" w:line="360" w:lineRule="auto"/>
              <w:ind w:left="0" w:right="-73" w:rightChars="-35"/>
              <w:jc w:val="center"/>
              <w:rPr>
                <w:rFonts w:hint="default" w:ascii="宋体" w:hAnsi="宋体" w:cs="宋体"/>
                <w:szCs w:val="21"/>
              </w:rPr>
            </w:pPr>
            <w:r>
              <w:rPr>
                <w:rFonts w:hint="eastAsia" w:ascii="宋体" w:hAnsi="宋体" w:cs="宋体"/>
                <w:szCs w:val="21"/>
              </w:rPr>
              <w:t>资料员</w:t>
            </w:r>
          </w:p>
        </w:tc>
        <w:tc>
          <w:tcPr>
            <w:tcW w:w="924" w:type="dxa"/>
            <w:noWrap w:val="0"/>
            <w:vAlign w:val="center"/>
          </w:tcPr>
          <w:p>
            <w:pPr>
              <w:keepNext w:val="0"/>
              <w:keepLines w:val="0"/>
              <w:suppressLineNumbers w:val="0"/>
              <w:spacing w:before="0" w:beforeAutospacing="0" w:after="0" w:afterAutospacing="0" w:line="360" w:lineRule="auto"/>
              <w:ind w:left="0" w:right="-73" w:rightChars="-35"/>
              <w:jc w:val="center"/>
              <w:rPr>
                <w:rFonts w:hint="default" w:ascii="宋体" w:hAnsi="宋体" w:cs="宋体"/>
                <w:szCs w:val="21"/>
              </w:rPr>
            </w:pPr>
          </w:p>
        </w:tc>
        <w:tc>
          <w:tcPr>
            <w:tcW w:w="1107" w:type="dxa"/>
            <w:noWrap w:val="0"/>
            <w:vAlign w:val="center"/>
          </w:tcPr>
          <w:p>
            <w:pPr>
              <w:keepNext w:val="0"/>
              <w:keepLines w:val="0"/>
              <w:suppressLineNumbers w:val="0"/>
              <w:spacing w:before="0" w:beforeAutospacing="0" w:after="0" w:afterAutospacing="0" w:line="360" w:lineRule="auto"/>
              <w:ind w:left="0" w:right="-73" w:rightChars="-35"/>
              <w:jc w:val="center"/>
              <w:rPr>
                <w:rFonts w:hint="default" w:ascii="宋体" w:hAnsi="宋体" w:cs="宋体"/>
                <w:szCs w:val="21"/>
              </w:rPr>
            </w:pPr>
          </w:p>
        </w:tc>
        <w:tc>
          <w:tcPr>
            <w:tcW w:w="911" w:type="dxa"/>
            <w:noWrap w:val="0"/>
            <w:vAlign w:val="center"/>
          </w:tcPr>
          <w:p>
            <w:pPr>
              <w:keepNext w:val="0"/>
              <w:keepLines w:val="0"/>
              <w:suppressLineNumbers w:val="0"/>
              <w:spacing w:before="0" w:beforeAutospacing="0" w:after="0" w:afterAutospacing="0" w:line="360" w:lineRule="auto"/>
              <w:ind w:left="0" w:right="-73" w:rightChars="-35"/>
              <w:jc w:val="center"/>
              <w:rPr>
                <w:rFonts w:hint="default" w:ascii="宋体" w:hAnsi="宋体" w:cs="宋体"/>
                <w:szCs w:val="21"/>
              </w:rPr>
            </w:pPr>
          </w:p>
        </w:tc>
        <w:tc>
          <w:tcPr>
            <w:tcW w:w="650" w:type="dxa"/>
            <w:noWrap w:val="0"/>
            <w:vAlign w:val="center"/>
          </w:tcPr>
          <w:p>
            <w:pPr>
              <w:keepNext w:val="0"/>
              <w:keepLines w:val="0"/>
              <w:suppressLineNumbers w:val="0"/>
              <w:spacing w:before="0" w:beforeAutospacing="0" w:after="0" w:afterAutospacing="0" w:line="360" w:lineRule="auto"/>
              <w:ind w:left="0" w:right="-73" w:rightChars="-35"/>
              <w:jc w:val="center"/>
              <w:rPr>
                <w:rFonts w:hint="default" w:ascii="宋体" w:hAnsi="宋体" w:cs="宋体"/>
                <w:szCs w:val="21"/>
              </w:rPr>
            </w:pPr>
          </w:p>
        </w:tc>
        <w:tc>
          <w:tcPr>
            <w:tcW w:w="3211" w:type="dxa"/>
            <w:noWrap w:val="0"/>
            <w:vAlign w:val="center"/>
          </w:tcPr>
          <w:p>
            <w:pPr>
              <w:keepNext w:val="0"/>
              <w:keepLines w:val="0"/>
              <w:suppressLineNumbers w:val="0"/>
              <w:spacing w:before="0" w:beforeAutospacing="0" w:after="0" w:afterAutospacing="0" w:line="360" w:lineRule="auto"/>
              <w:ind w:left="0" w:right="-73" w:rightChars="-35"/>
              <w:jc w:val="center"/>
              <w:rPr>
                <w:rFonts w:hint="default" w:ascii="宋体" w:hAnsi="宋体" w:cs="宋体"/>
                <w:szCs w:val="21"/>
              </w:rPr>
            </w:pPr>
          </w:p>
        </w:tc>
        <w:tc>
          <w:tcPr>
            <w:tcW w:w="1074" w:type="dxa"/>
            <w:noWrap w:val="0"/>
            <w:vAlign w:val="center"/>
          </w:tcPr>
          <w:p>
            <w:pPr>
              <w:keepNext w:val="0"/>
              <w:keepLines w:val="0"/>
              <w:suppressLineNumbers w:val="0"/>
              <w:spacing w:before="0" w:beforeAutospacing="0" w:after="0" w:afterAutospacing="0" w:line="360" w:lineRule="auto"/>
              <w:ind w:left="0" w:right="-73" w:rightChars="-35"/>
              <w:rPr>
                <w:rFonts w:hint="default" w:ascii="宋体" w:hAnsi="宋体" w:cs="宋体"/>
                <w:szCs w:val="21"/>
              </w:rPr>
            </w:pPr>
            <w:r>
              <w:rPr>
                <w:rFonts w:hint="eastAsia" w:ascii="宋体" w:hAnsi="宋体" w:cs="宋体"/>
                <w:szCs w:val="21"/>
              </w:rPr>
              <w:t>允许兼职，根据需要到位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exact"/>
        </w:trPr>
        <w:tc>
          <w:tcPr>
            <w:tcW w:w="1154" w:type="dxa"/>
            <w:noWrap w:val="0"/>
            <w:vAlign w:val="center"/>
          </w:tcPr>
          <w:p>
            <w:pPr>
              <w:keepNext w:val="0"/>
              <w:keepLines w:val="0"/>
              <w:suppressLineNumbers w:val="0"/>
              <w:spacing w:before="0" w:beforeAutospacing="0" w:after="0" w:afterAutospacing="0" w:line="360" w:lineRule="auto"/>
              <w:ind w:left="-71" w:leftChars="-34" w:right="-69" w:rightChars="-33" w:firstLine="2"/>
              <w:jc w:val="center"/>
              <w:rPr>
                <w:rFonts w:hint="eastAsia" w:ascii="宋体" w:hAnsi="宋体" w:cs="宋体"/>
                <w:szCs w:val="21"/>
              </w:rPr>
            </w:pPr>
            <w:r>
              <w:rPr>
                <w:rFonts w:hint="eastAsia" w:ascii="宋体" w:hAnsi="宋体" w:cs="宋体"/>
                <w:szCs w:val="21"/>
              </w:rPr>
              <w:t>…</w:t>
            </w:r>
          </w:p>
        </w:tc>
        <w:tc>
          <w:tcPr>
            <w:tcW w:w="924"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p>
        </w:tc>
        <w:tc>
          <w:tcPr>
            <w:tcW w:w="1107"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p>
        </w:tc>
        <w:tc>
          <w:tcPr>
            <w:tcW w:w="911"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p>
        </w:tc>
        <w:tc>
          <w:tcPr>
            <w:tcW w:w="650"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p>
        </w:tc>
        <w:tc>
          <w:tcPr>
            <w:tcW w:w="3211" w:type="dxa"/>
            <w:noWrap w:val="0"/>
            <w:vAlign w:val="center"/>
          </w:tcPr>
          <w:p>
            <w:pPr>
              <w:keepNext w:val="0"/>
              <w:keepLines w:val="0"/>
              <w:suppressLineNumbers w:val="0"/>
              <w:spacing w:before="0" w:beforeAutospacing="0" w:after="0" w:afterAutospacing="0" w:line="360" w:lineRule="auto"/>
              <w:ind w:left="0" w:right="-84" w:rightChars="-40" w:firstLine="1050" w:firstLineChars="500"/>
              <w:rPr>
                <w:rFonts w:hint="default" w:ascii="宋体" w:hAnsi="宋体" w:cs="宋体"/>
                <w:szCs w:val="21"/>
              </w:rPr>
            </w:pPr>
          </w:p>
        </w:tc>
        <w:tc>
          <w:tcPr>
            <w:tcW w:w="1074" w:type="dxa"/>
            <w:noWrap w:val="0"/>
            <w:vAlign w:val="center"/>
          </w:tcPr>
          <w:p>
            <w:pPr>
              <w:keepNext w:val="0"/>
              <w:keepLines w:val="0"/>
              <w:suppressLineNumbers w:val="0"/>
              <w:spacing w:before="0" w:beforeAutospacing="0" w:after="0" w:afterAutospacing="0" w:line="360" w:lineRule="auto"/>
              <w:ind w:left="0" w:right="-73" w:rightChars="-35"/>
              <w:jc w:val="center"/>
              <w:rPr>
                <w:rFonts w:hint="eastAsia" w:ascii="宋体" w:hAnsi="宋体" w:cs="宋体"/>
                <w:szCs w:val="21"/>
              </w:rPr>
            </w:pPr>
          </w:p>
        </w:tc>
      </w:tr>
    </w:tbl>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2.3.2本合同履行过程中，总监理工程师及重要岗位监理人员应保持相对稳定，以保证监理工作正常进行。</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经委托人书面审核同意。</w:t>
      </w:r>
    </w:p>
    <w:p>
      <w:pPr>
        <w:pStyle w:val="49"/>
        <w:snapToGrid w:val="0"/>
        <w:spacing w:before="0" w:beforeAutospacing="0" w:after="0" w:afterAutospacing="0" w:line="360" w:lineRule="auto"/>
        <w:jc w:val="both"/>
        <w:rPr>
          <w:rFonts w:cs="宋体"/>
          <w:sz w:val="21"/>
          <w:szCs w:val="21"/>
        </w:rPr>
      </w:pPr>
      <w:r>
        <w:rPr>
          <w:rFonts w:hint="eastAsia" w:cs="宋体"/>
          <w:sz w:val="21"/>
          <w:szCs w:val="21"/>
        </w:rPr>
        <w:t xml:space="preserve">    2.3.4 更换监理人员的其他情形：</w:t>
      </w:r>
      <w:r>
        <w:rPr>
          <w:rFonts w:hint="eastAsia" w:cs="宋体"/>
          <w:sz w:val="21"/>
          <w:szCs w:val="21"/>
          <w:u w:val="single"/>
        </w:rPr>
        <w:t xml:space="preserve">                              。</w:t>
      </w: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2.4 </w:t>
      </w:r>
      <w:r>
        <w:rPr>
          <w:rFonts w:hint="eastAsia" w:ascii="宋体" w:hAnsi="宋体" w:cs="宋体"/>
          <w:kern w:val="0"/>
          <w:szCs w:val="21"/>
        </w:rPr>
        <w:t>履行职责</w:t>
      </w:r>
    </w:p>
    <w:p>
      <w:pPr>
        <w:adjustRightInd w:val="0"/>
        <w:snapToGrid w:val="0"/>
        <w:spacing w:line="360" w:lineRule="auto"/>
        <w:ind w:firstLine="420" w:firstLineChars="200"/>
        <w:jc w:val="left"/>
        <w:rPr>
          <w:rFonts w:hint="eastAsia" w:ascii="宋体" w:hAnsi="宋体" w:cs="宋体"/>
          <w:szCs w:val="21"/>
          <w:u w:val="single"/>
        </w:rPr>
      </w:pPr>
      <w:r>
        <w:rPr>
          <w:rFonts w:hint="eastAsia" w:ascii="宋体" w:hAnsi="宋体" w:cs="宋体"/>
          <w:szCs w:val="21"/>
        </w:rPr>
        <w:t>2.4.3 对监理人的授权范围：</w:t>
      </w:r>
      <w:r>
        <w:rPr>
          <w:rFonts w:hint="eastAsia" w:ascii="宋体" w:hAnsi="宋体" w:cs="宋体"/>
          <w:szCs w:val="21"/>
          <w:u w:val="single"/>
        </w:rPr>
        <w:t xml:space="preserve">    </w:t>
      </w:r>
      <w:r>
        <w:rPr>
          <w:rFonts w:hint="eastAsia" w:ascii="宋体" w:hAnsi="宋体" w:cs="宋体"/>
          <w:kern w:val="0"/>
          <w:szCs w:val="21"/>
          <w:u w:val="single"/>
          <w:lang w:bidi="ar"/>
        </w:rPr>
        <w:t>工程项目全过程监理，包括工程质量、进度、投资、安全进行控制，合同、信息、档案管理及现场协调等</w:t>
      </w:r>
      <w:r>
        <w:rPr>
          <w:rFonts w:hint="eastAsia" w:ascii="宋体" w:hAnsi="宋体" w:cs="宋体"/>
          <w:kern w:val="0"/>
          <w:szCs w:val="21"/>
          <w:lang w:bidi="ar"/>
        </w:rPr>
        <w:t>。</w:t>
      </w:r>
      <w:r>
        <w:rPr>
          <w:rFonts w:hint="eastAsia" w:ascii="宋体" w:hAnsi="宋体" w:cs="宋体"/>
          <w:szCs w:val="21"/>
          <w:u w:val="single"/>
        </w:rPr>
        <w:t>。</w:t>
      </w:r>
    </w:p>
    <w:p>
      <w:pPr>
        <w:autoSpaceDE w:val="0"/>
        <w:autoSpaceDN w:val="0"/>
        <w:adjustRightInd w:val="0"/>
        <w:snapToGrid w:val="0"/>
        <w:spacing w:line="360" w:lineRule="auto"/>
        <w:ind w:firstLine="420" w:firstLineChars="200"/>
        <w:jc w:val="left"/>
        <w:rPr>
          <w:rFonts w:hint="eastAsia" w:ascii="宋体" w:hAnsi="宋体" w:cs="宋体"/>
          <w:szCs w:val="21"/>
          <w:u w:val="single"/>
        </w:rPr>
      </w:pPr>
      <w:r>
        <w:rPr>
          <w:rFonts w:hint="eastAsia" w:ascii="宋体" w:hAnsi="宋体" w:cs="宋体"/>
          <w:kern w:val="0"/>
          <w:szCs w:val="21"/>
          <w:u w:val="single"/>
          <w:lang w:bidi="ar"/>
        </w:rPr>
        <w:t>所有的工程联系单必须经委托人盖章认可后方才生效；涉及大宗及关键设备和材料的进场、验收、计量等，必须事先经过委托人认可后方可签字并下达指令。</w:t>
      </w:r>
    </w:p>
    <w:p>
      <w:pPr>
        <w:adjustRightInd w:val="0"/>
        <w:snapToGrid w:val="0"/>
        <w:spacing w:line="360" w:lineRule="auto"/>
        <w:ind w:firstLine="420" w:firstLineChars="200"/>
        <w:jc w:val="left"/>
        <w:rPr>
          <w:rFonts w:hint="eastAsia" w:ascii="宋体" w:hAnsi="宋体" w:cs="宋体"/>
          <w:kern w:val="0"/>
          <w:szCs w:val="21"/>
          <w:u w:val="single"/>
        </w:rPr>
      </w:pPr>
      <w:r>
        <w:rPr>
          <w:rFonts w:hint="eastAsia" w:ascii="宋体" w:hAnsi="宋体" w:cs="宋体"/>
          <w:kern w:val="0"/>
          <w:szCs w:val="21"/>
        </w:rPr>
        <w:t xml:space="preserve">2.4.4 </w:t>
      </w:r>
      <w:r>
        <w:rPr>
          <w:rFonts w:hint="eastAsia" w:ascii="宋体" w:hAnsi="宋体" w:cs="宋体"/>
          <w:szCs w:val="21"/>
        </w:rPr>
        <w:t>监理人有权要求承包人调换其人员的限制条件：</w:t>
      </w:r>
      <w:r>
        <w:rPr>
          <w:rFonts w:hint="eastAsia" w:ascii="宋体" w:hAnsi="宋体" w:cs="宋体"/>
          <w:kern w:val="0"/>
          <w:szCs w:val="21"/>
          <w:u w:val="single"/>
        </w:rPr>
        <w:t xml:space="preserve"> 1、监理人要求承包人调换项目经理的，应事先和委托人协商，委托人同意后提前7天向承包人发出调换项目经理，并经委托人书面审核同意。2、监理人要求承包人调换其他管理人员的应提前7天通知委托人，并经委托人书面审核同意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kern w:val="0"/>
          <w:szCs w:val="21"/>
        </w:rPr>
        <w:t xml:space="preserve">2.5 </w:t>
      </w:r>
      <w:r>
        <w:rPr>
          <w:rFonts w:hint="eastAsia" w:ascii="宋体" w:hAnsi="宋体" w:cs="宋体"/>
          <w:szCs w:val="21"/>
        </w:rPr>
        <w:t>提交</w:t>
      </w:r>
      <w:r>
        <w:rPr>
          <w:rFonts w:hint="eastAsia" w:ascii="宋体" w:hAnsi="宋体" w:cs="宋体"/>
          <w:kern w:val="0"/>
          <w:szCs w:val="21"/>
        </w:rPr>
        <w:t>报告</w:t>
      </w:r>
    </w:p>
    <w:p>
      <w:pPr>
        <w:adjustRightInd w:val="0"/>
        <w:snapToGrid w:val="0"/>
        <w:spacing w:line="360" w:lineRule="auto"/>
        <w:ind w:firstLine="420" w:firstLineChars="200"/>
        <w:jc w:val="left"/>
        <w:rPr>
          <w:rFonts w:ascii="宋体" w:hAnsi="宋体" w:cs="宋体"/>
          <w:kern w:val="0"/>
          <w:szCs w:val="21"/>
          <w:u w:val="single"/>
        </w:rPr>
      </w:pPr>
      <w:r>
        <w:rPr>
          <w:rFonts w:hint="eastAsia" w:ascii="宋体" w:hAnsi="宋体" w:cs="宋体"/>
          <w:szCs w:val="21"/>
        </w:rPr>
        <w:t>监理人应提交报告的种类(</w:t>
      </w:r>
      <w:r>
        <w:rPr>
          <w:rFonts w:hint="eastAsia" w:ascii="宋体" w:hAnsi="宋体" w:cs="宋体"/>
          <w:kern w:val="0"/>
          <w:szCs w:val="21"/>
        </w:rPr>
        <w:t>包括监理规划、监理月报及约定的专项报告)</w:t>
      </w:r>
      <w:r>
        <w:rPr>
          <w:rFonts w:hint="eastAsia" w:ascii="宋体" w:hAnsi="宋体" w:cs="宋体"/>
          <w:szCs w:val="21"/>
        </w:rPr>
        <w:t>、时间和份数</w:t>
      </w:r>
      <w:r>
        <w:rPr>
          <w:rFonts w:hint="eastAsia" w:ascii="宋体" w:hAnsi="宋体" w:cs="宋体"/>
          <w:kern w:val="0"/>
          <w:szCs w:val="21"/>
        </w:rPr>
        <w:t>：</w:t>
      </w:r>
      <w:r>
        <w:rPr>
          <w:rFonts w:hint="eastAsia" w:ascii="宋体" w:hAnsi="宋体" w:cs="宋体"/>
          <w:kern w:val="0"/>
          <w:szCs w:val="21"/>
          <w:u w:val="single"/>
        </w:rPr>
        <w:t xml:space="preserve">1、监理人应在工程开工前14日向委托人提供2套《监理规划》；2、监理人应在每月的5日前向委托人提供1份上月的《监理月报》； 3、监理人应根据工程需要或有关规定编制《监理实施细则》，在专项工程开工前14日向委托人提供2套《监理实施细则》，监理人应及时或按照委托人的要求时限和份数提供专项报告  。                                 </w:t>
      </w:r>
    </w:p>
    <w:p>
      <w:pPr>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 xml:space="preserve"> 2.7 使用委托人的财产</w:t>
      </w:r>
    </w:p>
    <w:p>
      <w:pPr>
        <w:snapToGrid w:val="0"/>
        <w:spacing w:line="360" w:lineRule="auto"/>
        <w:ind w:firstLine="420" w:firstLineChars="200"/>
        <w:rPr>
          <w:rFonts w:ascii="宋体" w:hAnsi="宋体" w:cs="宋体"/>
          <w:szCs w:val="21"/>
        </w:rPr>
      </w:pPr>
      <w:r>
        <w:rPr>
          <w:rFonts w:hint="eastAsia" w:ascii="宋体" w:hAnsi="宋体" w:cs="宋体"/>
          <w:kern w:val="0"/>
          <w:szCs w:val="21"/>
        </w:rPr>
        <w:t xml:space="preserve"> </w:t>
      </w:r>
      <w:r>
        <w:rPr>
          <w:rFonts w:hint="eastAsia" w:ascii="宋体" w:hAnsi="宋体" w:cs="宋体"/>
          <w:szCs w:val="21"/>
        </w:rPr>
        <w:t>附录B中由委托人无偿提供的房屋、设备的所有权属于：</w:t>
      </w:r>
      <w:r>
        <w:rPr>
          <w:rFonts w:hint="eastAsia" w:ascii="宋体" w:hAnsi="宋体" w:cs="宋体"/>
          <w:szCs w:val="21"/>
          <w:u w:val="single"/>
        </w:rPr>
        <w:t xml:space="preserve"> 委托人 </w:t>
      </w:r>
      <w:r>
        <w:rPr>
          <w:rFonts w:hint="eastAsia" w:ascii="宋体" w:hAnsi="宋体" w:cs="宋体"/>
          <w:szCs w:val="21"/>
        </w:rPr>
        <w:t>。</w:t>
      </w:r>
    </w:p>
    <w:p>
      <w:pPr>
        <w:snapToGrid w:val="0"/>
        <w:spacing w:line="360" w:lineRule="auto"/>
        <w:ind w:firstLine="420" w:firstLineChars="200"/>
        <w:jc w:val="left"/>
        <w:rPr>
          <w:rFonts w:ascii="宋体" w:hAnsi="宋体" w:cs="宋体"/>
          <w:kern w:val="0"/>
          <w:szCs w:val="21"/>
        </w:rPr>
      </w:pPr>
      <w:r>
        <w:rPr>
          <w:rFonts w:hint="eastAsia" w:ascii="宋体" w:hAnsi="宋体" w:cs="宋体"/>
          <w:szCs w:val="21"/>
        </w:rPr>
        <w:t>监理人应在本合同终止后</w:t>
      </w:r>
      <w:r>
        <w:rPr>
          <w:rFonts w:hint="eastAsia" w:ascii="宋体" w:hAnsi="宋体" w:cs="宋体"/>
          <w:szCs w:val="21"/>
          <w:u w:val="single"/>
        </w:rPr>
        <w:t xml:space="preserve"> 14  </w:t>
      </w:r>
      <w:r>
        <w:rPr>
          <w:rFonts w:hint="eastAsia" w:ascii="宋体" w:hAnsi="宋体" w:cs="宋体"/>
          <w:szCs w:val="21"/>
        </w:rPr>
        <w:t>天内移交委托人无偿提供的房屋、设备，移交的时间和方式为：</w:t>
      </w:r>
      <w:r>
        <w:rPr>
          <w:rFonts w:hint="eastAsia" w:ascii="宋体" w:hAnsi="宋体" w:cs="宋体"/>
          <w:szCs w:val="21"/>
          <w:u w:val="single"/>
        </w:rPr>
        <w:t xml:space="preserve">合同终止日期后14天内，现场移交  </w:t>
      </w:r>
      <w:r>
        <w:rPr>
          <w:rFonts w:hint="eastAsia" w:ascii="宋体" w:hAnsi="宋体" w:cs="宋体"/>
          <w:szCs w:val="21"/>
        </w:rPr>
        <w:t>。</w:t>
      </w:r>
    </w:p>
    <w:p>
      <w:pPr>
        <w:adjustRightInd w:val="0"/>
        <w:snapToGrid w:val="0"/>
        <w:spacing w:line="360" w:lineRule="auto"/>
        <w:ind w:firstLine="422" w:firstLineChars="200"/>
        <w:jc w:val="left"/>
        <w:rPr>
          <w:rFonts w:ascii="宋体" w:hAnsi="宋体" w:cs="宋体"/>
          <w:b/>
          <w:szCs w:val="21"/>
        </w:rPr>
      </w:pPr>
      <w:r>
        <w:rPr>
          <w:rFonts w:hint="eastAsia" w:ascii="宋体" w:hAnsi="宋体" w:cs="宋体"/>
          <w:b/>
          <w:kern w:val="0"/>
          <w:szCs w:val="21"/>
        </w:rPr>
        <w:t xml:space="preserve">3. 委托人义务  </w:t>
      </w:r>
    </w:p>
    <w:p>
      <w:pPr>
        <w:snapToGrid w:val="0"/>
        <w:spacing w:line="360" w:lineRule="auto"/>
        <w:ind w:firstLine="420" w:firstLineChars="200"/>
        <w:jc w:val="left"/>
        <w:rPr>
          <w:rFonts w:ascii="宋体" w:hAnsi="宋体" w:cs="宋体"/>
          <w:szCs w:val="21"/>
        </w:rPr>
      </w:pPr>
      <w:r>
        <w:rPr>
          <w:rFonts w:hint="eastAsia" w:ascii="宋体" w:hAnsi="宋体" w:cs="宋体"/>
          <w:kern w:val="0"/>
          <w:szCs w:val="21"/>
        </w:rPr>
        <w:t>3.4 委托人代表</w:t>
      </w:r>
    </w:p>
    <w:p>
      <w:pPr>
        <w:adjustRightInd w:val="0"/>
        <w:snapToGrid w:val="0"/>
        <w:spacing w:line="360" w:lineRule="auto"/>
        <w:ind w:firstLine="420" w:firstLineChars="200"/>
        <w:jc w:val="left"/>
        <w:rPr>
          <w:rFonts w:ascii="宋体" w:hAnsi="宋体" w:cs="宋体"/>
          <w:szCs w:val="21"/>
          <w:u w:val="single"/>
        </w:rPr>
      </w:pPr>
      <w:r>
        <w:rPr>
          <w:rFonts w:hint="eastAsia" w:ascii="宋体" w:hAnsi="宋体" w:cs="宋体"/>
          <w:szCs w:val="21"/>
        </w:rPr>
        <w:t>委托人代表为：</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3.6 答复</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委托人同意在</w:t>
      </w:r>
      <w:r>
        <w:rPr>
          <w:rFonts w:hint="eastAsia" w:ascii="宋体" w:hAnsi="宋体" w:cs="宋体"/>
          <w:szCs w:val="21"/>
          <w:u w:val="single"/>
        </w:rPr>
        <w:t xml:space="preserve">  7  </w:t>
      </w:r>
      <w:r>
        <w:rPr>
          <w:rFonts w:hint="eastAsia" w:ascii="宋体" w:hAnsi="宋体" w:cs="宋体"/>
          <w:szCs w:val="21"/>
        </w:rPr>
        <w:t>天内，对监理人书面提交并要求做出决定的事宜给予书面答复。</w:t>
      </w:r>
    </w:p>
    <w:p>
      <w:pPr>
        <w:snapToGrid w:val="0"/>
        <w:spacing w:line="360" w:lineRule="auto"/>
        <w:ind w:firstLine="422" w:firstLineChars="200"/>
        <w:jc w:val="left"/>
        <w:rPr>
          <w:rFonts w:ascii="宋体" w:hAnsi="宋体" w:cs="宋体"/>
          <w:b/>
          <w:bCs/>
          <w:szCs w:val="21"/>
        </w:rPr>
      </w:pPr>
      <w:r>
        <w:rPr>
          <w:rFonts w:hint="eastAsia" w:ascii="宋体" w:hAnsi="宋体" w:cs="宋体"/>
          <w:b/>
          <w:bCs/>
          <w:szCs w:val="21"/>
        </w:rPr>
        <w:t>4. 违约责任</w:t>
      </w:r>
    </w:p>
    <w:p>
      <w:pPr>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4.1 监理人的违约责任</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4.1.1监理人赔偿金额按下列方法确定：</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szCs w:val="21"/>
        </w:rPr>
        <w:t>赔偿金＝直接经济损失×正常工作酬金÷工程概算</w:t>
      </w:r>
      <w:r>
        <w:rPr>
          <w:rFonts w:hint="eastAsia" w:ascii="宋体" w:hAnsi="宋体" w:cs="宋体"/>
          <w:kern w:val="0"/>
          <w:szCs w:val="21"/>
        </w:rPr>
        <w:t>投资额（或建筑安装工程费）</w:t>
      </w:r>
    </w:p>
    <w:p>
      <w:pPr>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4.2 委托人的违约责任</w:t>
      </w:r>
    </w:p>
    <w:p>
      <w:pPr>
        <w:snapToGrid w:val="0"/>
        <w:spacing w:line="360" w:lineRule="auto"/>
        <w:ind w:firstLine="420" w:firstLineChars="200"/>
        <w:jc w:val="left"/>
        <w:rPr>
          <w:rFonts w:ascii="宋体" w:hAnsi="宋体" w:cs="宋体"/>
          <w:kern w:val="0"/>
          <w:szCs w:val="21"/>
        </w:rPr>
      </w:pPr>
      <w:r>
        <w:rPr>
          <w:rFonts w:hint="eastAsia" w:ascii="宋体" w:hAnsi="宋体" w:cs="宋体"/>
          <w:szCs w:val="21"/>
        </w:rPr>
        <w:t>4.2.3 委托人</w:t>
      </w:r>
      <w:r>
        <w:rPr>
          <w:rFonts w:hint="eastAsia" w:ascii="宋体" w:hAnsi="宋体" w:cs="宋体"/>
          <w:kern w:val="0"/>
          <w:szCs w:val="21"/>
        </w:rPr>
        <w:t>逾期付款利息按下列方法确定：</w:t>
      </w:r>
    </w:p>
    <w:p>
      <w:pPr>
        <w:snapToGrid w:val="0"/>
        <w:spacing w:line="360" w:lineRule="auto"/>
        <w:ind w:firstLine="420" w:firstLineChars="200"/>
        <w:jc w:val="left"/>
        <w:rPr>
          <w:rFonts w:ascii="宋体" w:hAnsi="宋体" w:cs="宋体"/>
          <w:szCs w:val="21"/>
        </w:rPr>
      </w:pPr>
      <w:r>
        <w:rPr>
          <w:rFonts w:hint="eastAsia" w:ascii="宋体" w:hAnsi="宋体" w:cs="宋体"/>
          <w:szCs w:val="21"/>
        </w:rPr>
        <w:t>逾期付款利息＝当期应付款总额×银行同期贷款利率×拖延支付天数</w:t>
      </w:r>
    </w:p>
    <w:p>
      <w:pPr>
        <w:snapToGrid w:val="0"/>
        <w:spacing w:line="360" w:lineRule="auto"/>
        <w:ind w:firstLine="422" w:firstLineChars="200"/>
        <w:jc w:val="left"/>
        <w:rPr>
          <w:rFonts w:ascii="宋体" w:hAnsi="宋体" w:cs="宋体"/>
          <w:b/>
          <w:szCs w:val="21"/>
        </w:rPr>
      </w:pPr>
      <w:r>
        <w:rPr>
          <w:rFonts w:hint="eastAsia" w:ascii="宋体" w:hAnsi="宋体" w:cs="宋体"/>
          <w:b/>
          <w:bCs/>
          <w:szCs w:val="21"/>
        </w:rPr>
        <w:t>5. 支付</w:t>
      </w:r>
    </w:p>
    <w:p>
      <w:pPr>
        <w:snapToGrid w:val="0"/>
        <w:spacing w:line="360" w:lineRule="auto"/>
        <w:ind w:firstLine="315" w:firstLineChars="150"/>
        <w:jc w:val="left"/>
        <w:rPr>
          <w:rFonts w:ascii="宋体" w:hAnsi="宋体" w:cs="宋体"/>
          <w:bCs/>
          <w:szCs w:val="21"/>
        </w:rPr>
      </w:pPr>
      <w:r>
        <w:rPr>
          <w:rFonts w:hint="eastAsia" w:ascii="宋体" w:hAnsi="宋体" w:cs="宋体"/>
          <w:szCs w:val="21"/>
        </w:rPr>
        <w:t xml:space="preserve"> 5.1 </w:t>
      </w:r>
      <w:r>
        <w:rPr>
          <w:rFonts w:hint="eastAsia" w:ascii="宋体" w:hAnsi="宋体" w:cs="宋体"/>
          <w:bCs/>
          <w:szCs w:val="21"/>
        </w:rPr>
        <w:t>支付货币</w:t>
      </w:r>
    </w:p>
    <w:p>
      <w:pPr>
        <w:snapToGrid w:val="0"/>
        <w:spacing w:line="360" w:lineRule="auto"/>
        <w:ind w:firstLine="420" w:firstLineChars="200"/>
        <w:jc w:val="left"/>
        <w:rPr>
          <w:rFonts w:ascii="宋体" w:hAnsi="宋体" w:cs="宋体"/>
          <w:szCs w:val="21"/>
        </w:rPr>
      </w:pPr>
      <w:r>
        <w:rPr>
          <w:rFonts w:hint="eastAsia" w:ascii="宋体" w:hAnsi="宋体" w:cs="宋体"/>
          <w:szCs w:val="21"/>
        </w:rPr>
        <w:t>币种为：</w:t>
      </w:r>
      <w:r>
        <w:rPr>
          <w:rFonts w:hint="eastAsia" w:ascii="宋体" w:hAnsi="宋体" w:cs="宋体"/>
          <w:szCs w:val="21"/>
          <w:u w:val="single"/>
        </w:rPr>
        <w:t xml:space="preserve">  人民币   </w:t>
      </w:r>
      <w:r>
        <w:rPr>
          <w:rFonts w:hint="eastAsia" w:ascii="宋体" w:hAnsi="宋体" w:cs="宋体"/>
          <w:szCs w:val="21"/>
        </w:rPr>
        <w:t>，比例为：</w:t>
      </w:r>
      <w:r>
        <w:rPr>
          <w:rFonts w:hint="eastAsia" w:ascii="宋体" w:hAnsi="宋体" w:cs="宋体"/>
          <w:szCs w:val="21"/>
          <w:u w:val="single"/>
        </w:rPr>
        <w:t xml:space="preserve">      </w:t>
      </w:r>
      <w:r>
        <w:rPr>
          <w:rFonts w:hint="eastAsia" w:ascii="宋体" w:hAnsi="宋体" w:cs="宋体"/>
          <w:szCs w:val="21"/>
        </w:rPr>
        <w:t>，汇率为：</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5.3 支付酬金</w:t>
      </w:r>
    </w:p>
    <w:p>
      <w:pPr>
        <w:pStyle w:val="49"/>
        <w:snapToGrid w:val="0"/>
        <w:spacing w:before="0" w:beforeAutospacing="0" w:after="0" w:afterAutospacing="0" w:line="360" w:lineRule="auto"/>
        <w:ind w:firstLine="420" w:firstLineChars="200"/>
        <w:jc w:val="both"/>
        <w:rPr>
          <w:rFonts w:cs="宋体"/>
          <w:sz w:val="21"/>
          <w:szCs w:val="21"/>
        </w:rPr>
      </w:pPr>
      <w:r>
        <w:rPr>
          <w:rFonts w:hint="eastAsia" w:cs="宋体"/>
          <w:sz w:val="21"/>
          <w:szCs w:val="21"/>
        </w:rPr>
        <w:t>正常的监理费用计取及支付：</w:t>
      </w:r>
    </w:p>
    <w:p>
      <w:pPr>
        <w:widowControl/>
        <w:adjustRightInd w:val="0"/>
        <w:spacing w:line="360" w:lineRule="auto"/>
        <w:ind w:firstLine="420" w:firstLineChars="200"/>
        <w:rPr>
          <w:rFonts w:hint="eastAsia" w:ascii="宋体" w:hAnsi="宋体" w:cs="宋体"/>
          <w:kern w:val="0"/>
          <w:szCs w:val="21"/>
          <w:u w:val="single"/>
        </w:rPr>
      </w:pPr>
      <w:r>
        <w:rPr>
          <w:rFonts w:hint="eastAsia" w:ascii="宋体" w:hAnsi="宋体" w:cs="宋体"/>
          <w:kern w:val="0"/>
          <w:szCs w:val="21"/>
          <w:u w:val="single"/>
        </w:rPr>
        <w:t>监理费按成交价一次性包干，不做调整。</w:t>
      </w:r>
    </w:p>
    <w:p>
      <w:pPr>
        <w:widowControl/>
        <w:adjustRightInd w:val="0"/>
        <w:spacing w:line="360" w:lineRule="auto"/>
        <w:ind w:firstLine="420" w:firstLineChars="200"/>
        <w:rPr>
          <w:rFonts w:ascii="宋体" w:hAnsi="宋体" w:cs="宋体"/>
          <w:kern w:val="0"/>
          <w:szCs w:val="21"/>
          <w:u w:val="single"/>
        </w:rPr>
      </w:pPr>
      <w:r>
        <w:rPr>
          <w:rFonts w:hint="eastAsia" w:ascii="宋体" w:hAnsi="宋体" w:cs="宋体"/>
          <w:kern w:val="0"/>
          <w:szCs w:val="21"/>
          <w:u w:val="single"/>
        </w:rPr>
        <w:t>履约保证金：</w:t>
      </w:r>
      <w:r>
        <w:rPr>
          <w:rFonts w:ascii="宋体" w:hAnsi="宋体" w:cs="宋体"/>
          <w:kern w:val="0"/>
          <w:szCs w:val="21"/>
          <w:u w:val="single"/>
        </w:rPr>
        <w:t>合同生效后</w:t>
      </w:r>
      <w:r>
        <w:rPr>
          <w:rFonts w:hint="eastAsia" w:ascii="宋体" w:hAnsi="宋体" w:cs="宋体"/>
          <w:kern w:val="0"/>
          <w:szCs w:val="21"/>
          <w:u w:val="single"/>
        </w:rPr>
        <w:t>7</w:t>
      </w:r>
      <w:r>
        <w:rPr>
          <w:rFonts w:ascii="宋体" w:hAnsi="宋体" w:cs="宋体"/>
          <w:kern w:val="0"/>
          <w:szCs w:val="21"/>
          <w:u w:val="single"/>
        </w:rPr>
        <w:t>个工作日内，</w:t>
      </w:r>
      <w:r>
        <w:rPr>
          <w:rFonts w:hint="eastAsia" w:ascii="宋体" w:hAnsi="宋体" w:cs="宋体"/>
          <w:kern w:val="0"/>
          <w:szCs w:val="21"/>
          <w:u w:val="single"/>
        </w:rPr>
        <w:t>成交监理人</w:t>
      </w:r>
      <w:r>
        <w:rPr>
          <w:rFonts w:ascii="宋体" w:hAnsi="宋体" w:cs="宋体"/>
          <w:kern w:val="0"/>
          <w:szCs w:val="21"/>
          <w:u w:val="single"/>
        </w:rPr>
        <w:t>向</w:t>
      </w:r>
      <w:r>
        <w:rPr>
          <w:rFonts w:hint="eastAsia" w:ascii="宋体" w:hAnsi="宋体" w:cs="宋体"/>
          <w:kern w:val="0"/>
          <w:szCs w:val="21"/>
          <w:u w:val="single"/>
        </w:rPr>
        <w:t>委托人缴纳</w:t>
      </w:r>
      <w:r>
        <w:rPr>
          <w:rFonts w:ascii="宋体" w:hAnsi="宋体" w:cs="宋体"/>
          <w:kern w:val="0"/>
          <w:szCs w:val="21"/>
          <w:u w:val="single"/>
        </w:rPr>
        <w:t>合同总价1%的履约保证金</w:t>
      </w:r>
      <w:r>
        <w:rPr>
          <w:rFonts w:hint="eastAsia" w:ascii="宋体" w:hAnsi="宋体" w:cs="宋体"/>
          <w:kern w:val="0"/>
          <w:szCs w:val="21"/>
          <w:u w:val="single"/>
        </w:rPr>
        <w:t>。</w:t>
      </w:r>
    </w:p>
    <w:p>
      <w:pPr>
        <w:autoSpaceDE w:val="0"/>
        <w:autoSpaceDN w:val="0"/>
        <w:adjustRightInd w:val="0"/>
        <w:snapToGrid w:val="0"/>
        <w:spacing w:line="360" w:lineRule="auto"/>
        <w:ind w:firstLine="420" w:firstLineChars="200"/>
        <w:jc w:val="left"/>
        <w:rPr>
          <w:rFonts w:ascii="宋体" w:hAnsi="宋体" w:cs="宋体"/>
          <w:kern w:val="0"/>
          <w:szCs w:val="21"/>
          <w:u w:val="single"/>
        </w:rPr>
      </w:pPr>
      <w:r>
        <w:rPr>
          <w:rFonts w:hint="eastAsia" w:ascii="宋体" w:hAnsi="宋体" w:cs="宋体"/>
          <w:kern w:val="0"/>
          <w:szCs w:val="21"/>
          <w:u w:val="single"/>
        </w:rPr>
        <w:t>付款方式：</w:t>
      </w:r>
      <w:r>
        <w:rPr>
          <w:rFonts w:ascii="宋体" w:hAnsi="宋体" w:cs="宋体"/>
          <w:kern w:val="0"/>
          <w:szCs w:val="21"/>
          <w:u w:val="single"/>
        </w:rPr>
        <w:t>合同签订后7个工作日内，采购人支付合同总额的</w:t>
      </w:r>
      <w:r>
        <w:rPr>
          <w:rFonts w:hint="eastAsia" w:ascii="宋体" w:hAnsi="宋体" w:cs="宋体"/>
          <w:kern w:val="0"/>
          <w:szCs w:val="21"/>
          <w:u w:val="single"/>
        </w:rPr>
        <w:t>2</w:t>
      </w:r>
      <w:r>
        <w:rPr>
          <w:rFonts w:ascii="宋体" w:hAnsi="宋体" w:cs="宋体"/>
          <w:kern w:val="0"/>
          <w:szCs w:val="21"/>
          <w:u w:val="single"/>
        </w:rPr>
        <w:t>0%作为预付款；工程竣工并通过验收后7个工作日内，支付至合同总额的80%（预付款以抵扣</w:t>
      </w:r>
      <w:r>
        <w:rPr>
          <w:rFonts w:hint="eastAsia" w:ascii="宋体" w:hAnsi="宋体" w:cs="宋体"/>
          <w:kern w:val="0"/>
          <w:szCs w:val="21"/>
          <w:u w:val="single"/>
        </w:rPr>
        <w:t>委托人</w:t>
      </w:r>
      <w:r>
        <w:rPr>
          <w:rFonts w:ascii="宋体" w:hAnsi="宋体" w:cs="宋体"/>
          <w:kern w:val="0"/>
          <w:szCs w:val="21"/>
          <w:u w:val="single"/>
        </w:rPr>
        <w:t>应付价款的方式扣回）；</w:t>
      </w:r>
      <w:r>
        <w:rPr>
          <w:rFonts w:hint="eastAsia" w:ascii="宋体" w:hAnsi="宋体" w:cs="宋体"/>
          <w:kern w:val="0"/>
          <w:szCs w:val="21"/>
          <w:u w:val="single"/>
        </w:rPr>
        <w:t>工程</w:t>
      </w:r>
      <w:r>
        <w:rPr>
          <w:rFonts w:ascii="宋体" w:hAnsi="宋体" w:cs="宋体"/>
          <w:kern w:val="0"/>
          <w:szCs w:val="21"/>
          <w:u w:val="single"/>
        </w:rPr>
        <w:t>结算审核</w:t>
      </w:r>
      <w:r>
        <w:rPr>
          <w:rFonts w:hint="eastAsia" w:ascii="宋体" w:hAnsi="宋体" w:cs="宋体"/>
          <w:kern w:val="0"/>
          <w:szCs w:val="21"/>
          <w:u w:val="single"/>
        </w:rPr>
        <w:t>结束后，</w:t>
      </w:r>
      <w:r>
        <w:rPr>
          <w:rFonts w:ascii="宋体" w:hAnsi="宋体" w:cs="宋体"/>
          <w:kern w:val="0"/>
          <w:szCs w:val="21"/>
          <w:u w:val="single"/>
        </w:rPr>
        <w:t>经</w:t>
      </w:r>
      <w:r>
        <w:rPr>
          <w:rFonts w:hint="eastAsia" w:ascii="宋体" w:hAnsi="宋体" w:cs="宋体"/>
          <w:kern w:val="0"/>
          <w:szCs w:val="21"/>
          <w:u w:val="single"/>
        </w:rPr>
        <w:t>委托</w:t>
      </w:r>
      <w:r>
        <w:rPr>
          <w:rFonts w:ascii="宋体" w:hAnsi="宋体" w:cs="宋体"/>
          <w:kern w:val="0"/>
          <w:szCs w:val="21"/>
          <w:u w:val="single"/>
        </w:rPr>
        <w:t>人确认完成后7个工作日内支付</w:t>
      </w:r>
      <w:r>
        <w:rPr>
          <w:rFonts w:hint="eastAsia" w:ascii="宋体" w:hAnsi="宋体" w:cs="宋体"/>
          <w:kern w:val="0"/>
          <w:szCs w:val="21"/>
          <w:u w:val="single"/>
        </w:rPr>
        <w:t>至98.5%，剩余费用</w:t>
      </w:r>
      <w:r>
        <w:rPr>
          <w:rFonts w:hint="eastAsia" w:ascii="宋体" w:hAnsi="宋体" w:cs="宋体"/>
          <w:kern w:val="0"/>
          <w:szCs w:val="21"/>
          <w:u w:val="single"/>
          <w:lang w:bidi="ar"/>
        </w:rPr>
        <w:t>待工程保修期满且质量回访合格后20个工作日内无息结清。</w:t>
      </w:r>
    </w:p>
    <w:p>
      <w:pPr>
        <w:pStyle w:val="49"/>
        <w:snapToGrid w:val="0"/>
        <w:spacing w:before="0" w:beforeAutospacing="0" w:after="0" w:afterAutospacing="0" w:line="360" w:lineRule="auto"/>
        <w:ind w:firstLine="420" w:firstLineChars="200"/>
        <w:jc w:val="both"/>
        <w:rPr>
          <w:rFonts w:cs="宋体"/>
          <w:sz w:val="21"/>
          <w:szCs w:val="21"/>
          <w:u w:val="single"/>
        </w:rPr>
      </w:pPr>
      <w:r>
        <w:rPr>
          <w:rFonts w:hint="eastAsia" w:cs="宋体"/>
          <w:sz w:val="21"/>
          <w:szCs w:val="21"/>
          <w:u w:val="single"/>
        </w:rPr>
        <w:t>停工期间不计取酬金。停工期间，不包含在监理服务期内，监理服务期相应顺延。</w:t>
      </w:r>
    </w:p>
    <w:p>
      <w:pPr>
        <w:pStyle w:val="49"/>
        <w:snapToGrid w:val="0"/>
        <w:spacing w:before="0" w:beforeAutospacing="0" w:after="0" w:afterAutospacing="0" w:line="360" w:lineRule="auto"/>
        <w:ind w:firstLine="420" w:firstLineChars="200"/>
        <w:jc w:val="both"/>
        <w:rPr>
          <w:rFonts w:cs="宋体"/>
          <w:sz w:val="21"/>
          <w:szCs w:val="21"/>
          <w:u w:val="single"/>
        </w:rPr>
      </w:pPr>
      <w:r>
        <w:rPr>
          <w:rFonts w:hint="eastAsia" w:cs="宋体"/>
          <w:sz w:val="21"/>
          <w:szCs w:val="21"/>
          <w:u w:val="single"/>
        </w:rPr>
        <w:t>工程保修期间：保修期间，监理方须根据工程保修需要随时到位服务。费用已包括在合同价内，不另行计取。</w:t>
      </w:r>
    </w:p>
    <w:p>
      <w:pPr>
        <w:snapToGrid w:val="0"/>
        <w:spacing w:line="360" w:lineRule="auto"/>
        <w:ind w:firstLine="420" w:firstLineChars="200"/>
        <w:jc w:val="left"/>
        <w:rPr>
          <w:rFonts w:ascii="宋体" w:hAnsi="宋体" w:cs="宋体"/>
          <w:szCs w:val="21"/>
          <w:u w:val="single"/>
        </w:rPr>
      </w:pPr>
      <w:r>
        <w:rPr>
          <w:rFonts w:hint="eastAsia" w:ascii="宋体" w:hAnsi="宋体" w:cs="宋体"/>
          <w:szCs w:val="21"/>
          <w:u w:val="single"/>
        </w:rPr>
        <w:t>工程保修阶段的服务内容：检查和记录工程质量缺陷，对缺陷原因进行调查分析并确定责任归属，审核修复方案，监督修复过程并验收，审核修复费用。</w:t>
      </w:r>
    </w:p>
    <w:p>
      <w:pPr>
        <w:snapToGrid w:val="0"/>
        <w:spacing w:line="360" w:lineRule="auto"/>
        <w:ind w:firstLine="420" w:firstLineChars="200"/>
        <w:jc w:val="left"/>
        <w:rPr>
          <w:rFonts w:ascii="宋体" w:hAnsi="宋体" w:cs="宋体"/>
          <w:b/>
          <w:bCs/>
          <w:szCs w:val="21"/>
        </w:rPr>
      </w:pPr>
      <w:r>
        <w:rPr>
          <w:rFonts w:hint="eastAsia" w:ascii="宋体" w:hAnsi="宋体" w:cs="宋体"/>
          <w:bCs/>
          <w:szCs w:val="21"/>
        </w:rPr>
        <w:t>6</w:t>
      </w:r>
      <w:r>
        <w:rPr>
          <w:rFonts w:hint="eastAsia" w:ascii="宋体" w:hAnsi="宋体" w:cs="宋体"/>
          <w:b/>
          <w:bCs/>
          <w:szCs w:val="21"/>
        </w:rPr>
        <w:t>. 合同生效、变更、暂停、解除与终止</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6.1 生效</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本合同生效条件：</w:t>
      </w:r>
      <w:r>
        <w:rPr>
          <w:rFonts w:hint="eastAsia" w:ascii="宋体" w:hAnsi="宋体" w:cs="宋体"/>
          <w:szCs w:val="21"/>
          <w:u w:val="single"/>
        </w:rPr>
        <w:t>本合同自双方经法定代表人或其授权的代理人签字，加盖本单位公章后生效</w:t>
      </w:r>
      <w:r>
        <w:rPr>
          <w:rFonts w:hint="eastAsia" w:ascii="宋体" w:hAnsi="宋体" w:cs="宋体"/>
          <w:szCs w:val="21"/>
        </w:rPr>
        <w:t>。</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6.2 变更</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6.2.2 除不可抗力外， 因非监理人原因导致本合同期限延长时，附加工作酬金按下列方法确定：</w:t>
      </w:r>
      <w:r>
        <w:rPr>
          <w:rFonts w:hint="eastAsia" w:ascii="宋体" w:hAnsi="宋体" w:cs="宋体"/>
          <w:kern w:val="0"/>
          <w:szCs w:val="21"/>
          <w:u w:val="single"/>
        </w:rPr>
        <w:t xml:space="preserve"> 各种原因引起的监理时间延长均不另行计取费用。</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6.2.5 正常工作酬金增加额按下列方法确定：</w:t>
      </w:r>
      <w:r>
        <w:rPr>
          <w:rFonts w:hint="eastAsia" w:ascii="宋体" w:hAnsi="宋体" w:cs="宋体"/>
          <w:szCs w:val="21"/>
          <w:u w:val="single"/>
        </w:rPr>
        <w:t xml:space="preserve"> 总价包干，不做调整</w:t>
      </w:r>
      <w:r>
        <w:rPr>
          <w:rFonts w:hint="eastAsia" w:ascii="宋体" w:hAnsi="宋体" w:cs="宋体"/>
          <w:szCs w:val="21"/>
        </w:rPr>
        <w:t>。</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6.2.6 因工程规模、监理范围的变化导致监理人的正常工作量减少时，按减少工作量的比例从协议书约定的正常工作酬金中扣减相同比例的酬金。</w:t>
      </w:r>
    </w:p>
    <w:p>
      <w:pPr>
        <w:snapToGrid w:val="0"/>
        <w:spacing w:line="360" w:lineRule="auto"/>
        <w:ind w:firstLine="422" w:firstLineChars="200"/>
        <w:jc w:val="left"/>
        <w:rPr>
          <w:rFonts w:ascii="宋体" w:hAnsi="宋体" w:cs="宋体"/>
          <w:b/>
          <w:szCs w:val="21"/>
        </w:rPr>
      </w:pPr>
      <w:r>
        <w:rPr>
          <w:rFonts w:hint="eastAsia" w:ascii="宋体" w:hAnsi="宋体" w:cs="宋体"/>
          <w:b/>
          <w:bCs/>
          <w:szCs w:val="21"/>
        </w:rPr>
        <w:t>7. 争议解决</w:t>
      </w: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7.2 </w:t>
      </w:r>
      <w:r>
        <w:rPr>
          <w:rFonts w:hint="eastAsia" w:ascii="宋体" w:hAnsi="宋体" w:cs="宋体"/>
          <w:bCs/>
          <w:szCs w:val="21"/>
        </w:rPr>
        <w:t>调解</w:t>
      </w:r>
    </w:p>
    <w:p>
      <w:pPr>
        <w:snapToGrid w:val="0"/>
        <w:spacing w:line="360" w:lineRule="auto"/>
        <w:ind w:firstLine="420" w:firstLineChars="200"/>
        <w:jc w:val="left"/>
        <w:rPr>
          <w:rFonts w:ascii="宋体" w:hAnsi="宋体" w:cs="宋体"/>
          <w:szCs w:val="21"/>
        </w:rPr>
      </w:pPr>
      <w:r>
        <w:rPr>
          <w:rFonts w:hint="eastAsia" w:ascii="宋体" w:hAnsi="宋体" w:cs="宋体"/>
          <w:szCs w:val="21"/>
        </w:rPr>
        <w:t>本合同争议进行调解时，可提交工程所在地</w:t>
      </w:r>
      <w:r>
        <w:rPr>
          <w:rFonts w:hint="eastAsia" w:ascii="宋体" w:hAnsi="宋体" w:cs="宋体"/>
          <w:szCs w:val="21"/>
          <w:u w:val="single"/>
        </w:rPr>
        <w:t>建设行政主管部门</w:t>
      </w:r>
      <w:r>
        <w:rPr>
          <w:rFonts w:hint="eastAsia" w:ascii="宋体" w:hAnsi="宋体" w:cs="宋体"/>
          <w:szCs w:val="21"/>
        </w:rPr>
        <w:t>进行调解。</w:t>
      </w: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7.3 </w:t>
      </w:r>
      <w:r>
        <w:rPr>
          <w:rFonts w:hint="eastAsia" w:ascii="宋体" w:hAnsi="宋体" w:cs="宋体"/>
          <w:bCs/>
          <w:szCs w:val="21"/>
        </w:rPr>
        <w:t>仲裁或诉讼</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合同争议的最终解决方式为下列第</w:t>
      </w:r>
      <w:r>
        <w:rPr>
          <w:rFonts w:hint="eastAsia" w:ascii="宋体" w:hAnsi="宋体" w:cs="宋体"/>
          <w:szCs w:val="21"/>
          <w:u w:val="single"/>
        </w:rPr>
        <w:t xml:space="preserve">  2  </w:t>
      </w:r>
      <w:r>
        <w:rPr>
          <w:rFonts w:hint="eastAsia" w:ascii="宋体" w:hAnsi="宋体" w:cs="宋体"/>
          <w:szCs w:val="21"/>
        </w:rPr>
        <w:t>种方式：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（1）提请</w:t>
      </w:r>
      <w:r>
        <w:rPr>
          <w:rFonts w:hint="eastAsia" w:ascii="宋体" w:hAnsi="宋体" w:cs="宋体"/>
          <w:szCs w:val="21"/>
          <w:u w:val="single"/>
        </w:rPr>
        <w:t xml:space="preserve">    </w:t>
      </w:r>
      <w:r>
        <w:rPr>
          <w:rFonts w:hint="eastAsia" w:ascii="宋体" w:hAnsi="宋体" w:cs="宋体"/>
          <w:szCs w:val="21"/>
        </w:rPr>
        <w:t>仲裁委员会进行仲裁。</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（2）向工程所在地人民法院提起诉讼。</w:t>
      </w:r>
    </w:p>
    <w:p>
      <w:pPr>
        <w:adjustRightInd w:val="0"/>
        <w:snapToGrid w:val="0"/>
        <w:spacing w:line="360" w:lineRule="auto"/>
        <w:ind w:firstLine="422" w:firstLineChars="200"/>
        <w:jc w:val="left"/>
        <w:rPr>
          <w:rFonts w:ascii="宋体" w:hAnsi="宋体" w:cs="宋体"/>
          <w:b/>
          <w:bCs/>
          <w:szCs w:val="21"/>
        </w:rPr>
      </w:pPr>
      <w:r>
        <w:rPr>
          <w:rFonts w:hint="eastAsia" w:ascii="宋体" w:hAnsi="宋体" w:cs="宋体"/>
          <w:b/>
          <w:bCs/>
          <w:szCs w:val="21"/>
        </w:rPr>
        <w:t>8. 其他</w:t>
      </w:r>
    </w:p>
    <w:p>
      <w:pPr>
        <w:adjustRightInd w:val="0"/>
        <w:snapToGrid w:val="0"/>
        <w:spacing w:line="360" w:lineRule="auto"/>
        <w:ind w:firstLine="310" w:firstLineChars="147"/>
        <w:jc w:val="left"/>
        <w:rPr>
          <w:rFonts w:ascii="宋体" w:hAnsi="宋体" w:cs="宋体"/>
          <w:bCs/>
          <w:szCs w:val="21"/>
        </w:rPr>
      </w:pPr>
      <w:r>
        <w:rPr>
          <w:rFonts w:hint="eastAsia" w:ascii="宋体" w:hAnsi="宋体" w:cs="宋体"/>
          <w:b/>
          <w:bCs/>
          <w:szCs w:val="21"/>
        </w:rPr>
        <w:t xml:space="preserve"> </w:t>
      </w:r>
      <w:r>
        <w:rPr>
          <w:rFonts w:hint="eastAsia" w:ascii="宋体" w:hAnsi="宋体" w:cs="宋体"/>
          <w:bCs/>
          <w:szCs w:val="21"/>
        </w:rPr>
        <w:t>8.2 检测费用</w:t>
      </w:r>
    </w:p>
    <w:p>
      <w:pPr>
        <w:adjustRightInd w:val="0"/>
        <w:snapToGrid w:val="0"/>
        <w:spacing w:line="360" w:lineRule="auto"/>
        <w:ind w:firstLine="420" w:firstLineChars="200"/>
        <w:jc w:val="left"/>
        <w:rPr>
          <w:rFonts w:ascii="宋体" w:hAnsi="宋体" w:cs="宋体"/>
          <w:bCs/>
          <w:szCs w:val="21"/>
        </w:rPr>
      </w:pPr>
      <w:r>
        <w:rPr>
          <w:rFonts w:hint="eastAsia" w:ascii="宋体" w:hAnsi="宋体" w:cs="宋体"/>
          <w:bCs/>
          <w:szCs w:val="21"/>
        </w:rPr>
        <w:t>委托人应在检测工作完成后</w:t>
      </w:r>
      <w:r>
        <w:rPr>
          <w:rFonts w:hint="eastAsia" w:ascii="宋体" w:hAnsi="宋体" w:cs="宋体"/>
          <w:szCs w:val="21"/>
          <w:u w:val="single"/>
        </w:rPr>
        <w:t xml:space="preserve">     </w:t>
      </w:r>
      <w:r>
        <w:rPr>
          <w:rFonts w:hint="eastAsia" w:ascii="宋体" w:hAnsi="宋体" w:cs="宋体"/>
          <w:bCs/>
          <w:szCs w:val="21"/>
        </w:rPr>
        <w:t>天内支付检测费用。</w:t>
      </w:r>
    </w:p>
    <w:p>
      <w:pPr>
        <w:adjustRightInd w:val="0"/>
        <w:snapToGrid w:val="0"/>
        <w:spacing w:line="360" w:lineRule="auto"/>
        <w:ind w:firstLine="315" w:firstLineChars="150"/>
        <w:jc w:val="left"/>
        <w:rPr>
          <w:rFonts w:ascii="宋体" w:hAnsi="宋体" w:cs="宋体"/>
          <w:bCs/>
          <w:szCs w:val="21"/>
        </w:rPr>
      </w:pPr>
      <w:r>
        <w:rPr>
          <w:rFonts w:hint="eastAsia" w:ascii="宋体" w:hAnsi="宋体" w:cs="宋体"/>
          <w:bCs/>
          <w:szCs w:val="21"/>
        </w:rPr>
        <w:t xml:space="preserve"> 8.3 咨询费用</w:t>
      </w:r>
    </w:p>
    <w:p>
      <w:pPr>
        <w:adjustRightInd w:val="0"/>
        <w:snapToGrid w:val="0"/>
        <w:spacing w:line="360" w:lineRule="auto"/>
        <w:ind w:firstLine="420" w:firstLineChars="200"/>
        <w:jc w:val="left"/>
        <w:rPr>
          <w:rFonts w:ascii="宋体" w:hAnsi="宋体" w:cs="宋体"/>
          <w:bCs/>
          <w:szCs w:val="21"/>
        </w:rPr>
      </w:pPr>
      <w:r>
        <w:rPr>
          <w:rFonts w:hint="eastAsia" w:ascii="宋体" w:hAnsi="宋体" w:cs="宋体"/>
          <w:bCs/>
          <w:szCs w:val="21"/>
        </w:rPr>
        <w:t>委托人应在咨询工作完成后</w:t>
      </w:r>
      <w:r>
        <w:rPr>
          <w:rFonts w:hint="eastAsia" w:ascii="宋体" w:hAnsi="宋体" w:cs="宋体"/>
          <w:szCs w:val="21"/>
          <w:u w:val="single"/>
        </w:rPr>
        <w:t xml:space="preserve">     </w:t>
      </w:r>
      <w:r>
        <w:rPr>
          <w:rFonts w:hint="eastAsia" w:ascii="宋体" w:hAnsi="宋体" w:cs="宋体"/>
          <w:bCs/>
          <w:szCs w:val="21"/>
        </w:rPr>
        <w:t>天内支付咨询费用。</w:t>
      </w:r>
    </w:p>
    <w:p>
      <w:pPr>
        <w:snapToGrid w:val="0"/>
        <w:spacing w:line="360" w:lineRule="auto"/>
        <w:ind w:firstLine="420" w:firstLineChars="200"/>
        <w:jc w:val="left"/>
        <w:rPr>
          <w:rFonts w:ascii="宋体" w:hAnsi="宋体" w:cs="宋体"/>
          <w:szCs w:val="21"/>
        </w:rPr>
      </w:pPr>
      <w:r>
        <w:rPr>
          <w:rFonts w:hint="eastAsia" w:ascii="宋体" w:hAnsi="宋体" w:cs="宋体"/>
          <w:szCs w:val="21"/>
        </w:rPr>
        <w:t>8.4 奖励</w:t>
      </w:r>
    </w:p>
    <w:p>
      <w:pPr>
        <w:snapToGrid w:val="0"/>
        <w:spacing w:line="360" w:lineRule="auto"/>
        <w:ind w:firstLine="420" w:firstLineChars="200"/>
        <w:jc w:val="left"/>
        <w:rPr>
          <w:rFonts w:ascii="宋体" w:hAnsi="宋体" w:cs="宋体"/>
          <w:szCs w:val="21"/>
        </w:rPr>
      </w:pPr>
      <w:r>
        <w:rPr>
          <w:rFonts w:hint="eastAsia" w:ascii="宋体" w:hAnsi="宋体" w:cs="宋体"/>
          <w:szCs w:val="21"/>
        </w:rPr>
        <w:t>合理化建议的奖励金额按下列方法确定为：/</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8.6 保密</w:t>
      </w:r>
    </w:p>
    <w:p>
      <w:pPr>
        <w:adjustRightInd w:val="0"/>
        <w:snapToGrid w:val="0"/>
        <w:spacing w:line="360" w:lineRule="auto"/>
        <w:ind w:firstLine="420" w:firstLineChars="200"/>
        <w:jc w:val="left"/>
        <w:rPr>
          <w:rFonts w:ascii="宋体" w:hAnsi="宋体" w:cs="宋体"/>
          <w:szCs w:val="21"/>
          <w:u w:val="single"/>
        </w:rPr>
      </w:pPr>
      <w:r>
        <w:rPr>
          <w:rFonts w:hint="eastAsia" w:ascii="宋体" w:hAnsi="宋体" w:cs="宋体"/>
          <w:szCs w:val="21"/>
        </w:rPr>
        <w:t>委托人申明的保密事项和期限：</w:t>
      </w:r>
      <w:r>
        <w:rPr>
          <w:rFonts w:hint="eastAsia" w:ascii="宋体" w:hAnsi="宋体" w:cs="宋体"/>
          <w:szCs w:val="21"/>
          <w:u w:val="single"/>
        </w:rPr>
        <w:t xml:space="preserve">  有关工程设计及专项技术，保密期限为长期  </w:t>
      </w:r>
      <w:r>
        <w:rPr>
          <w:rFonts w:hint="eastAsia" w:ascii="宋体" w:hAnsi="宋体" w:cs="宋体"/>
          <w:szCs w:val="21"/>
        </w:rPr>
        <w:t>。</w:t>
      </w:r>
    </w:p>
    <w:p>
      <w:pPr>
        <w:adjustRightInd w:val="0"/>
        <w:snapToGrid w:val="0"/>
        <w:spacing w:line="360" w:lineRule="auto"/>
        <w:ind w:firstLine="420" w:firstLineChars="200"/>
        <w:jc w:val="left"/>
        <w:rPr>
          <w:rFonts w:ascii="宋体" w:hAnsi="宋体" w:cs="宋体"/>
          <w:szCs w:val="21"/>
          <w:u w:val="single"/>
        </w:rPr>
      </w:pPr>
      <w:r>
        <w:rPr>
          <w:rFonts w:hint="eastAsia" w:ascii="宋体" w:hAnsi="宋体" w:cs="宋体"/>
          <w:szCs w:val="21"/>
        </w:rPr>
        <w:t>监理人申明的保密事项和期限：</w:t>
      </w:r>
      <w:r>
        <w:rPr>
          <w:rFonts w:hint="eastAsia" w:ascii="宋体" w:hAnsi="宋体" w:cs="宋体"/>
          <w:szCs w:val="21"/>
          <w:u w:val="single"/>
        </w:rPr>
        <w:t xml:space="preserve"> 有关本工程的监理规划、实施细则、专项监理方案，保密期限为长期  </w:t>
      </w:r>
      <w:r>
        <w:rPr>
          <w:rFonts w:hint="eastAsia" w:ascii="宋体" w:hAnsi="宋体" w:cs="宋体"/>
          <w:szCs w:val="21"/>
        </w:rPr>
        <w:t>。</w:t>
      </w:r>
    </w:p>
    <w:p>
      <w:pPr>
        <w:adjustRightInd w:val="0"/>
        <w:snapToGrid w:val="0"/>
        <w:spacing w:line="360" w:lineRule="auto"/>
        <w:ind w:firstLine="420" w:firstLineChars="200"/>
        <w:jc w:val="left"/>
        <w:rPr>
          <w:rFonts w:ascii="宋体" w:hAnsi="宋体" w:cs="宋体"/>
          <w:szCs w:val="21"/>
          <w:u w:val="single"/>
        </w:rPr>
      </w:pPr>
      <w:r>
        <w:rPr>
          <w:rFonts w:hint="eastAsia" w:ascii="宋体" w:hAnsi="宋体" w:cs="宋体"/>
          <w:szCs w:val="21"/>
        </w:rPr>
        <w:t>第三方申明的保密事项和期限：</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jc w:val="left"/>
        <w:rPr>
          <w:rFonts w:ascii="宋体" w:hAnsi="宋体" w:cs="宋体"/>
          <w:bCs/>
          <w:szCs w:val="21"/>
        </w:rPr>
      </w:pPr>
      <w:r>
        <w:rPr>
          <w:rFonts w:hint="eastAsia" w:ascii="宋体" w:hAnsi="宋体" w:cs="宋体"/>
          <w:szCs w:val="21"/>
        </w:rPr>
        <w:t>8.8</w:t>
      </w:r>
      <w:r>
        <w:rPr>
          <w:rFonts w:hint="eastAsia" w:ascii="宋体" w:hAnsi="宋体" w:cs="宋体"/>
          <w:bCs/>
          <w:szCs w:val="21"/>
        </w:rPr>
        <w:t>著作权</w:t>
      </w:r>
    </w:p>
    <w:p>
      <w:pPr>
        <w:snapToGrid w:val="0"/>
        <w:spacing w:line="360" w:lineRule="auto"/>
        <w:ind w:firstLine="420" w:firstLineChars="200"/>
        <w:jc w:val="left"/>
        <w:rPr>
          <w:rFonts w:ascii="宋体" w:hAnsi="宋体" w:cs="宋体"/>
          <w:szCs w:val="21"/>
        </w:rPr>
      </w:pPr>
      <w:r>
        <w:rPr>
          <w:rFonts w:hint="eastAsia" w:ascii="宋体" w:hAnsi="宋体" w:cs="宋体"/>
          <w:szCs w:val="21"/>
        </w:rPr>
        <w:t>监理人在本合同履行期间及本合同终止后两年内出版涉及本工程的有关监理与相关服务的资料的限制条件：</w:t>
      </w:r>
      <w:r>
        <w:rPr>
          <w:rFonts w:hint="eastAsia" w:ascii="宋体" w:hAnsi="宋体" w:cs="宋体"/>
          <w:szCs w:val="21"/>
          <w:u w:val="single"/>
        </w:rPr>
        <w:t xml:space="preserve"> 涉及本工程设计及专项技术内容的，监理人应事先征得委托人同意，不经委托人同意不得出版相关内容</w:t>
      </w:r>
      <w:r>
        <w:rPr>
          <w:rFonts w:hint="eastAsia" w:ascii="宋体" w:hAnsi="宋体" w:cs="宋体"/>
          <w:szCs w:val="21"/>
        </w:rPr>
        <w:t>。</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 补充条款（</w:t>
      </w:r>
      <w:r>
        <w:rPr>
          <w:rFonts w:hint="eastAsia" w:ascii="宋体" w:hAnsi="宋体" w:cs="宋体"/>
          <w:b/>
          <w:bCs/>
          <w:szCs w:val="21"/>
        </w:rPr>
        <w:t>附加协议条款</w:t>
      </w:r>
      <w:r>
        <w:rPr>
          <w:rFonts w:hint="eastAsia" w:ascii="宋体" w:hAnsi="宋体" w:cs="宋体"/>
          <w:szCs w:val="21"/>
        </w:rPr>
        <w:t>）：</w:t>
      </w:r>
    </w:p>
    <w:p>
      <w:pPr>
        <w:autoSpaceDE w:val="0"/>
        <w:autoSpaceDN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工程质量未达到承包人投标时承诺的质量等级时，监理人应承担违约责任，并向委托人支付监理合同价10%的违约金。</w:t>
      </w:r>
    </w:p>
    <w:p>
      <w:pPr>
        <w:autoSpaceDE w:val="0"/>
        <w:autoSpaceDN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监理人须于施工现场配备至少1台电脑，专项负责造价控制的人员须自行配备预算软件（其费用由监理人自行负责），每月中旬前根据工程实际完成工程量，将预算造价与实际造价的出入情况上报委托人。</w:t>
      </w:r>
    </w:p>
    <w:p>
      <w:pPr>
        <w:autoSpaceDE w:val="0"/>
        <w:autoSpaceDN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隐蔽工程验收时，监理方必须会同委托人一起验收，并经监理方、委托人代表签字盖章确认后，方可进行下道工序施工。监理方应做好隐蔽资料的验收工作，并及时对隐蔽部分进行影像记录的保存工作，及时移交委托人。</w:t>
      </w:r>
    </w:p>
    <w:p>
      <w:pPr>
        <w:autoSpaceDE w:val="0"/>
        <w:autoSpaceDN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监理人在项目全过程工作中，要做好所有封存封样材料的保管及台账工作，待本工程竣工验收通过后移交给使用单位。</w:t>
      </w:r>
    </w:p>
    <w:p>
      <w:pPr>
        <w:autoSpaceDE w:val="0"/>
        <w:autoSpaceDN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监理人应对驻现场监理人员的人身和财产安全负全部责任，在监理服务期内为派驻到项目所在地的人员办理人身和自有财产的有关保险，并承担有关费用。保险时间应随服务时间的延长而顺延，并在出险后自行办理索赔。如监理人不办理上述保险，则应对有关风险及后果自负其责。</w:t>
      </w:r>
    </w:p>
    <w:p>
      <w:pPr>
        <w:autoSpaceDE w:val="0"/>
        <w:autoSpaceDN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监理人须设立监察点，全程监察施工时对相邻建筑物的安全影响。</w:t>
      </w:r>
    </w:p>
    <w:p>
      <w:pPr>
        <w:autoSpaceDE w:val="0"/>
        <w:autoSpaceDN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监理人须协助委托人做好工程前期准备工作，包括总承包、各专业工程、设备材料招标、办理各项手续等工作。</w:t>
      </w:r>
    </w:p>
    <w:p>
      <w:pPr>
        <w:adjustRightInd w:val="0"/>
        <w:snapToGrid w:val="0"/>
        <w:spacing w:line="360" w:lineRule="auto"/>
        <w:ind w:firstLine="576" w:firstLineChars="273"/>
        <w:rPr>
          <w:rFonts w:ascii="宋体" w:hAnsi="宋体" w:cs="宋体"/>
          <w:b/>
          <w:szCs w:val="21"/>
          <w:u w:val="single"/>
        </w:rPr>
      </w:pPr>
      <w:r>
        <w:rPr>
          <w:rFonts w:hint="eastAsia" w:ascii="宋体" w:hAnsi="宋体" w:cs="宋体"/>
          <w:b/>
          <w:szCs w:val="21"/>
        </w:rPr>
        <w:t>总监在处理以下事项时：</w:t>
      </w:r>
      <w:r>
        <w:rPr>
          <w:rFonts w:hint="eastAsia" w:ascii="宋体" w:hAnsi="宋体" w:cs="宋体"/>
          <w:b/>
          <w:szCs w:val="21"/>
          <w:u w:val="single"/>
        </w:rPr>
        <w:t>1、工程计量；2、工程价款（包括工程预付款、进度款、结算款）的确认和支付；3、工程变更和价格调整；4、竣工结算；5、工期确认（包括开工日期、竣工日期、工期延误的确认）；6、索赔处理。须按施工合同约定的时限内完成，且必须经委托人审查同意、书面签认后，方可将确认结果回复予承包人。未在规定的期限内完成，或未经委托人书面签认，每次委托人向监理人扣监理合同价的0.5%，如发现监理签认的误差超过3%以上的，委托人按超过实际金额的10%向监理人扣除监理费。</w:t>
      </w:r>
    </w:p>
    <w:p>
      <w:pPr>
        <w:autoSpaceDE w:val="0"/>
        <w:autoSpaceDN w:val="0"/>
        <w:snapToGrid w:val="0"/>
        <w:spacing w:line="360" w:lineRule="auto"/>
        <w:ind w:firstLine="573" w:firstLineChars="273"/>
        <w:rPr>
          <w:rFonts w:ascii="宋体" w:hAnsi="宋体" w:cs="宋体"/>
          <w:szCs w:val="21"/>
          <w:u w:val="single"/>
        </w:rPr>
      </w:pPr>
      <w:r>
        <w:rPr>
          <w:rFonts w:hint="eastAsia" w:ascii="宋体" w:hAnsi="宋体" w:cs="宋体"/>
          <w:szCs w:val="21"/>
          <w:u w:val="single"/>
        </w:rPr>
        <w:t>如发现监理人有与施工方（或生产厂家）合谋，偷工减料、弄虚作假、以次代好的现象，委托人有权立即停止施工，查明情况后，根据情节轻重每次罚除监理人监理合同价的3%。如造成委托人损失的，赔偿损失。</w:t>
      </w:r>
    </w:p>
    <w:p>
      <w:pPr>
        <w:adjustRightInd w:val="0"/>
        <w:snapToGrid w:val="0"/>
        <w:spacing w:line="360" w:lineRule="auto"/>
        <w:ind w:firstLine="422" w:firstLineChars="200"/>
        <w:jc w:val="left"/>
        <w:rPr>
          <w:rFonts w:ascii="宋体" w:hAnsi="宋体" w:cs="宋体"/>
          <w:b/>
          <w:bCs/>
          <w:szCs w:val="21"/>
          <w:u w:val="single"/>
        </w:rPr>
      </w:pPr>
      <w:r>
        <w:rPr>
          <w:rFonts w:hint="eastAsia" w:ascii="宋体" w:hAnsi="宋体" w:cs="宋体"/>
          <w:b/>
          <w:bCs/>
          <w:szCs w:val="21"/>
          <w:u w:val="single"/>
        </w:rPr>
        <w:t>如监理人有违反廉政规定并被纪检部门或司法机关查处的，则监理人向委托人支付合同价10%的违约金。</w:t>
      </w:r>
    </w:p>
    <w:p>
      <w:pPr>
        <w:numPr>
          <w:ilvl w:val="0"/>
          <w:numId w:val="1"/>
        </w:numPr>
        <w:adjustRightInd w:val="0"/>
        <w:snapToGrid w:val="0"/>
        <w:spacing w:line="360" w:lineRule="auto"/>
        <w:ind w:firstLine="422" w:firstLineChars="200"/>
        <w:jc w:val="left"/>
        <w:rPr>
          <w:rFonts w:hint="eastAsia" w:ascii="宋体" w:hAnsi="宋体" w:cs="宋体"/>
          <w:b/>
          <w:bCs/>
          <w:szCs w:val="21"/>
          <w:u w:val="single"/>
        </w:rPr>
      </w:pPr>
      <w:r>
        <w:rPr>
          <w:rFonts w:hint="eastAsia" w:ascii="宋体" w:hAnsi="宋体" w:cs="宋体"/>
          <w:b/>
          <w:bCs/>
          <w:szCs w:val="21"/>
          <w:u w:val="single"/>
        </w:rPr>
        <w:t>其他</w:t>
      </w:r>
    </w:p>
    <w:p>
      <w:pPr>
        <w:snapToGrid w:val="0"/>
        <w:spacing w:line="360" w:lineRule="auto"/>
        <w:ind w:firstLine="420" w:firstLineChars="200"/>
        <w:rPr>
          <w:rFonts w:ascii="宋体" w:hAnsi="宋体"/>
          <w:szCs w:val="21"/>
        </w:rPr>
      </w:pPr>
      <w:r>
        <w:rPr>
          <w:rFonts w:hint="eastAsia" w:ascii="宋体" w:hAnsi="宋体"/>
          <w:szCs w:val="21"/>
        </w:rPr>
        <w:t>1、监理人应按响应文件中提供监理人员名单表的监理人员名单到位上岗。每位监理人员必须持证上岗。从项目成交到竣工，监理企业不得随意更换项目总监。确因以下情形需要更换项目总监的，应当办理书面更换手续。</w:t>
      </w:r>
    </w:p>
    <w:p>
      <w:pPr>
        <w:snapToGrid w:val="0"/>
        <w:spacing w:line="360" w:lineRule="auto"/>
        <w:ind w:firstLine="420" w:firstLineChars="200"/>
        <w:rPr>
          <w:rFonts w:ascii="宋体" w:hAnsi="宋体"/>
          <w:szCs w:val="21"/>
        </w:rPr>
      </w:pPr>
      <w:r>
        <w:rPr>
          <w:rFonts w:hint="eastAsia" w:ascii="宋体" w:hAnsi="宋体"/>
          <w:szCs w:val="21"/>
        </w:rPr>
        <w:t>（一）项目总监长期缺岗和缺位建设单位要求更换的；</w:t>
      </w:r>
    </w:p>
    <w:p>
      <w:pPr>
        <w:snapToGrid w:val="0"/>
        <w:spacing w:line="360" w:lineRule="auto"/>
        <w:ind w:firstLine="420" w:firstLineChars="200"/>
        <w:rPr>
          <w:rFonts w:ascii="宋体" w:hAnsi="宋体"/>
          <w:szCs w:val="21"/>
        </w:rPr>
      </w:pPr>
      <w:r>
        <w:rPr>
          <w:rFonts w:hint="eastAsia" w:ascii="宋体" w:hAnsi="宋体"/>
          <w:szCs w:val="21"/>
        </w:rPr>
        <w:t>（二）因身体原因（应有市级及以上医院的住院证明）不能胜任项目管理工作的；</w:t>
      </w:r>
    </w:p>
    <w:p>
      <w:pPr>
        <w:snapToGrid w:val="0"/>
        <w:spacing w:line="360" w:lineRule="auto"/>
        <w:ind w:firstLine="420" w:firstLineChars="200"/>
        <w:rPr>
          <w:rFonts w:ascii="宋体" w:hAnsi="宋体"/>
          <w:szCs w:val="21"/>
        </w:rPr>
      </w:pPr>
      <w:r>
        <w:rPr>
          <w:rFonts w:hint="eastAsia" w:ascii="宋体" w:hAnsi="宋体"/>
          <w:szCs w:val="21"/>
        </w:rPr>
        <w:t>（三）劳动合同到期不再续签、劳动合同解除或中止的；</w:t>
      </w:r>
    </w:p>
    <w:p>
      <w:pPr>
        <w:snapToGrid w:val="0"/>
        <w:spacing w:line="360" w:lineRule="auto"/>
        <w:ind w:firstLine="420" w:firstLineChars="200"/>
        <w:rPr>
          <w:rFonts w:ascii="宋体" w:hAnsi="宋体"/>
          <w:szCs w:val="21"/>
        </w:rPr>
      </w:pPr>
      <w:r>
        <w:rPr>
          <w:rFonts w:hint="eastAsia" w:ascii="宋体" w:hAnsi="宋体"/>
          <w:szCs w:val="21"/>
        </w:rPr>
        <w:t>（四）项目总监年满六十五周岁的；</w:t>
      </w:r>
    </w:p>
    <w:p>
      <w:pPr>
        <w:snapToGrid w:val="0"/>
        <w:spacing w:line="360" w:lineRule="auto"/>
        <w:ind w:firstLine="420" w:firstLineChars="200"/>
        <w:rPr>
          <w:rFonts w:ascii="宋体" w:hAnsi="宋体"/>
          <w:szCs w:val="21"/>
        </w:rPr>
      </w:pPr>
      <w:r>
        <w:rPr>
          <w:rFonts w:hint="eastAsia" w:ascii="宋体" w:hAnsi="宋体"/>
          <w:szCs w:val="21"/>
        </w:rPr>
        <w:t>（五）项目总监不具备执业资格的。</w:t>
      </w:r>
    </w:p>
    <w:p>
      <w:pPr>
        <w:snapToGrid w:val="0"/>
        <w:spacing w:line="360" w:lineRule="auto"/>
        <w:ind w:firstLine="420" w:firstLineChars="200"/>
        <w:rPr>
          <w:rFonts w:ascii="宋体" w:hAnsi="宋体"/>
          <w:szCs w:val="21"/>
        </w:rPr>
      </w:pPr>
      <w:r>
        <w:rPr>
          <w:rFonts w:hint="eastAsia" w:ascii="宋体" w:hAnsi="宋体"/>
          <w:szCs w:val="21"/>
        </w:rPr>
        <w:t>从项目成交到竣工，监理企业不得随意更换项目总监。确因需要更换项目总监的，应当办理书面更换手续, 更换后的项目总监必须同样满足执业资格、业绩等要求，并经委托人面试并书面同意后方可更换，总监每更换一次处以监理合同价的5%作为违约金。</w:t>
      </w:r>
    </w:p>
    <w:p>
      <w:pPr>
        <w:snapToGrid w:val="0"/>
        <w:spacing w:line="360" w:lineRule="auto"/>
        <w:ind w:firstLine="420" w:firstLineChars="200"/>
        <w:rPr>
          <w:rFonts w:ascii="宋体" w:hAnsi="宋体"/>
          <w:szCs w:val="21"/>
        </w:rPr>
      </w:pPr>
      <w:r>
        <w:rPr>
          <w:rFonts w:hint="eastAsia" w:ascii="宋体" w:hAnsi="宋体"/>
          <w:szCs w:val="21"/>
        </w:rPr>
        <w:t>其他人员在监理期间不准更换，特殊情况要求更换的，须经委托人同意备案且处违约金2000元/人/次，擅自更换其他监理人员，额外再每人每次处违约金5000元/人/次。</w:t>
      </w:r>
    </w:p>
    <w:p>
      <w:pPr>
        <w:snapToGrid w:val="0"/>
        <w:spacing w:line="360" w:lineRule="auto"/>
        <w:ind w:firstLine="420" w:firstLineChars="200"/>
        <w:rPr>
          <w:rFonts w:ascii="宋体" w:hAnsi="宋体"/>
          <w:szCs w:val="21"/>
        </w:rPr>
      </w:pPr>
      <w:r>
        <w:rPr>
          <w:rFonts w:hint="eastAsia" w:ascii="宋体" w:hAnsi="宋体"/>
          <w:szCs w:val="21"/>
        </w:rPr>
        <w:t>1.1书面请示报告；</w:t>
      </w:r>
    </w:p>
    <w:p>
      <w:pPr>
        <w:snapToGrid w:val="0"/>
        <w:spacing w:line="360" w:lineRule="auto"/>
        <w:ind w:firstLine="420" w:firstLineChars="200"/>
        <w:rPr>
          <w:rFonts w:ascii="宋体" w:hAnsi="宋体"/>
          <w:szCs w:val="21"/>
        </w:rPr>
      </w:pPr>
      <w:r>
        <w:rPr>
          <w:rFonts w:hint="eastAsia" w:ascii="宋体" w:hAnsi="宋体"/>
          <w:szCs w:val="21"/>
        </w:rPr>
        <w:t>1.2替换人的技术职称证书、监理岗位证书、身份证（验证原件，提供复印件）及其工作经历与业绩等有关证明材料。当替换人的职称、资质和工作经历委托人认为可以接受时，委托人可以给予批准。</w:t>
      </w:r>
    </w:p>
    <w:p>
      <w:pPr>
        <w:snapToGrid w:val="0"/>
        <w:spacing w:line="360" w:lineRule="auto"/>
        <w:ind w:firstLine="420" w:firstLineChars="200"/>
        <w:rPr>
          <w:rFonts w:ascii="宋体" w:hAnsi="宋体"/>
          <w:szCs w:val="21"/>
        </w:rPr>
      </w:pPr>
      <w:r>
        <w:rPr>
          <w:rFonts w:hint="eastAsia" w:ascii="宋体" w:hAnsi="宋体"/>
          <w:szCs w:val="21"/>
        </w:rPr>
        <w:t>2、监理人必须无条件签收委托人开具的书面文件（包括处罚通知单），如监理人拒绝签收的，委托人对监理人每次额外处以3000元的违约金，且书面文件（包括处罚通知单）照样生效（无须监理人签字认可）。</w:t>
      </w:r>
    </w:p>
    <w:p>
      <w:pPr>
        <w:snapToGrid w:val="0"/>
        <w:spacing w:line="360" w:lineRule="auto"/>
        <w:ind w:firstLine="420" w:firstLineChars="200"/>
        <w:rPr>
          <w:rFonts w:ascii="宋体" w:hAnsi="宋体"/>
          <w:szCs w:val="21"/>
        </w:rPr>
      </w:pPr>
      <w:r>
        <w:rPr>
          <w:rFonts w:hint="eastAsia" w:ascii="宋体" w:hAnsi="宋体"/>
          <w:szCs w:val="21"/>
        </w:rPr>
        <w:t>3、总监理工程师及</w:t>
      </w:r>
      <w:bookmarkStart w:id="51" w:name="OLE_LINK1"/>
      <w:bookmarkStart w:id="52" w:name="OLE_LINK2"/>
      <w:r>
        <w:rPr>
          <w:rFonts w:hint="eastAsia" w:ascii="宋体" w:hAnsi="宋体"/>
          <w:szCs w:val="21"/>
        </w:rPr>
        <w:t>其他监理人员</w:t>
      </w:r>
      <w:bookmarkEnd w:id="51"/>
      <w:bookmarkEnd w:id="52"/>
      <w:r>
        <w:rPr>
          <w:rFonts w:hint="eastAsia" w:ascii="宋体" w:hAnsi="宋体"/>
          <w:szCs w:val="21"/>
        </w:rPr>
        <w:t>应按承诺到岗，项目总监应严格按照住建部《建筑工程项目总监理工程师质量安全责任六项规定》要求，切实履行项目总监岗位职责，每月现场出勤天数不得少于本月施工</w:t>
      </w:r>
      <w:r>
        <w:rPr>
          <w:rFonts w:ascii="宋体" w:hAnsi="宋体"/>
          <w:szCs w:val="21"/>
        </w:rPr>
        <w:t>天数</w:t>
      </w:r>
      <w:r>
        <w:rPr>
          <w:rFonts w:hint="eastAsia" w:ascii="宋体" w:hAnsi="宋体"/>
          <w:szCs w:val="21"/>
        </w:rPr>
        <w:t>的</w:t>
      </w:r>
      <w:r>
        <w:rPr>
          <w:rFonts w:ascii="宋体" w:hAnsi="宋体"/>
          <w:szCs w:val="21"/>
        </w:rPr>
        <w:t>8</w:t>
      </w:r>
      <w:r>
        <w:rPr>
          <w:rFonts w:hint="eastAsia" w:ascii="宋体" w:hAnsi="宋体"/>
          <w:szCs w:val="21"/>
        </w:rPr>
        <w:t>0%（且每天不小于8小时）。若每月现场出勤少于本月施工时间的</w:t>
      </w:r>
      <w:r>
        <w:rPr>
          <w:rFonts w:ascii="宋体" w:hAnsi="宋体"/>
          <w:szCs w:val="21"/>
        </w:rPr>
        <w:t>8</w:t>
      </w:r>
      <w:r>
        <w:rPr>
          <w:rFonts w:hint="eastAsia" w:ascii="宋体" w:hAnsi="宋体"/>
          <w:szCs w:val="21"/>
        </w:rPr>
        <w:t>0%，多于70%，每月次处以监理合同价的1.5%作为违约金；若每月现场出勤少于本月施工时间的70%，每月次处以监理合同价的4%作为违约金；若抽查检查时发现无故不在岗，每次处以监理合同价的1%作为违约金。项目监理企业应按投标承诺组建项目监理机构，项目监理机构人员每月现场出勤不得少于本月施工时间的90%（按需到岗自委托人书面通知起按此考勤，且每天不小于8小时）。若每月现场出勤少于本月施工时间的90%，多于80%，每月次处以监理合同价的1%作为违约金；若现场出勤少于本月施工时间的80%，每月次处以监理合同价的</w:t>
      </w:r>
      <w:r>
        <w:rPr>
          <w:rFonts w:ascii="宋体" w:hAnsi="宋体"/>
          <w:szCs w:val="21"/>
        </w:rPr>
        <w:t>2</w:t>
      </w:r>
      <w:r>
        <w:rPr>
          <w:rFonts w:hint="eastAsia" w:ascii="宋体" w:hAnsi="宋体"/>
          <w:szCs w:val="21"/>
        </w:rPr>
        <w:t>%作为违约金。项目总监应签署工程质量终身责任承诺书，对设计使用年限内的工程质量承担相应终身责任。</w:t>
      </w:r>
    </w:p>
    <w:p>
      <w:pPr>
        <w:snapToGrid w:val="0"/>
        <w:spacing w:line="360" w:lineRule="auto"/>
        <w:ind w:firstLine="420" w:firstLineChars="200"/>
        <w:rPr>
          <w:rFonts w:ascii="宋体" w:hAnsi="宋体"/>
          <w:szCs w:val="21"/>
        </w:rPr>
      </w:pPr>
      <w:r>
        <w:rPr>
          <w:rFonts w:hint="eastAsia" w:ascii="宋体" w:hAnsi="宋体"/>
          <w:szCs w:val="21"/>
        </w:rPr>
        <w:t>4、监理项目部人员用餐自理，不得在总包单位搭伙。中午及工作时间(包括值班时间)不得饮酒。每发现一次处5000元违约金。</w:t>
      </w:r>
    </w:p>
    <w:p>
      <w:pPr>
        <w:snapToGrid w:val="0"/>
        <w:spacing w:line="360" w:lineRule="auto"/>
        <w:ind w:firstLine="420" w:firstLineChars="200"/>
        <w:rPr>
          <w:rFonts w:ascii="宋体" w:hAnsi="宋体"/>
          <w:szCs w:val="21"/>
        </w:rPr>
      </w:pPr>
      <w:r>
        <w:rPr>
          <w:rFonts w:hint="eastAsia" w:ascii="宋体" w:hAnsi="宋体"/>
          <w:szCs w:val="21"/>
        </w:rPr>
        <w:t>5、在工程监理过程中，监理机构人员须廉洁自律，严禁吃拿卡要。若有发生，视作监理机构不履职违约，每起处以监理合同价5%的违约金。如情节严重构成犯罪的，将移交司法机关予以处理。</w:t>
      </w:r>
    </w:p>
    <w:p>
      <w:pPr>
        <w:snapToGrid w:val="0"/>
        <w:spacing w:line="360" w:lineRule="auto"/>
        <w:ind w:firstLine="420" w:firstLineChars="200"/>
        <w:rPr>
          <w:rFonts w:ascii="宋体" w:hAnsi="宋体"/>
          <w:szCs w:val="21"/>
        </w:rPr>
      </w:pPr>
      <w:r>
        <w:rPr>
          <w:rFonts w:hint="eastAsia" w:ascii="宋体" w:hAnsi="宋体"/>
          <w:szCs w:val="21"/>
        </w:rPr>
        <w:t>6、如监理人员不符合委托人管理要求，随时可以要求撤换，监理单位应无条件执行，并在3天内完成人员调整。如未及时撤换总监理工程师每次处10000元违约金。如未及时撤换其他监理人员每次处2000元违约金。如调整后仍不能胜任本岗位工作，将处以10000元/次的违约金。</w:t>
      </w:r>
    </w:p>
    <w:p>
      <w:pPr>
        <w:adjustRightInd w:val="0"/>
        <w:snapToGrid w:val="0"/>
        <w:spacing w:line="360" w:lineRule="auto"/>
        <w:jc w:val="left"/>
        <w:rPr>
          <w:rFonts w:hint="eastAsia" w:ascii="宋体" w:hAnsi="宋体" w:cs="宋体"/>
          <w:b/>
          <w:bCs/>
          <w:szCs w:val="21"/>
          <w:u w:val="single"/>
        </w:rPr>
      </w:pPr>
    </w:p>
    <w:p>
      <w:pPr>
        <w:adjustRightInd w:val="0"/>
        <w:snapToGrid w:val="0"/>
        <w:spacing w:line="360" w:lineRule="auto"/>
        <w:jc w:val="left"/>
        <w:rPr>
          <w:rFonts w:ascii="宋体" w:hAnsi="宋体" w:cs="宋体"/>
          <w:b/>
          <w:bCs/>
          <w:szCs w:val="21"/>
          <w:u w:val="single"/>
        </w:rPr>
      </w:pPr>
      <w:r>
        <w:rPr>
          <w:rFonts w:hint="eastAsia" w:ascii="宋体" w:hAnsi="宋体" w:cs="宋体"/>
          <w:b/>
          <w:bCs/>
          <w:szCs w:val="21"/>
          <w:u w:val="single"/>
        </w:rPr>
        <w:t xml:space="preserve"> </w:t>
      </w:r>
    </w:p>
    <w:p>
      <w:pPr>
        <w:adjustRightInd w:val="0"/>
        <w:snapToGrid w:val="0"/>
        <w:spacing w:line="360" w:lineRule="auto"/>
        <w:jc w:val="left"/>
        <w:rPr>
          <w:rFonts w:ascii="宋体" w:hAnsi="宋体" w:cs="宋体"/>
          <w:b/>
          <w:bCs/>
          <w:szCs w:val="21"/>
          <w:u w:val="single"/>
        </w:rPr>
      </w:pPr>
    </w:p>
    <w:p>
      <w:pPr>
        <w:adjustRightInd w:val="0"/>
        <w:snapToGrid w:val="0"/>
        <w:spacing w:line="360" w:lineRule="auto"/>
        <w:ind w:firstLine="422" w:firstLineChars="200"/>
        <w:jc w:val="left"/>
        <w:rPr>
          <w:rFonts w:ascii="宋体" w:hAnsi="宋体" w:cs="宋体"/>
          <w:b/>
          <w:bCs/>
          <w:szCs w:val="21"/>
          <w:u w:val="single"/>
        </w:rPr>
      </w:pPr>
      <w:r>
        <w:rPr>
          <w:rFonts w:hint="eastAsia" w:ascii="宋体" w:hAnsi="宋体" w:cs="宋体"/>
          <w:b/>
          <w:bCs/>
          <w:szCs w:val="21"/>
          <w:u w:val="single"/>
        </w:rPr>
        <w:t>附录A  相关服务的范围和内容</w:t>
      </w:r>
    </w:p>
    <w:p>
      <w:pPr>
        <w:snapToGrid w:val="0"/>
        <w:spacing w:line="360" w:lineRule="auto"/>
        <w:ind w:firstLine="422" w:firstLineChars="200"/>
        <w:jc w:val="left"/>
        <w:rPr>
          <w:rFonts w:ascii="宋体" w:hAnsi="宋体" w:cs="宋体"/>
          <w:b/>
          <w:bCs/>
          <w:szCs w:val="21"/>
          <w:u w:val="single"/>
        </w:rPr>
      </w:pPr>
      <w:r>
        <w:rPr>
          <w:rFonts w:hint="eastAsia" w:ascii="宋体" w:hAnsi="宋体" w:cs="宋体"/>
          <w:b/>
          <w:bCs/>
          <w:szCs w:val="21"/>
          <w:u w:val="single"/>
        </w:rPr>
        <w:t xml:space="preserve">A-1 勘察阶段：         /                               </w:t>
      </w:r>
    </w:p>
    <w:p>
      <w:pPr>
        <w:snapToGrid w:val="0"/>
        <w:spacing w:line="360" w:lineRule="auto"/>
        <w:ind w:firstLine="422" w:firstLineChars="200"/>
        <w:jc w:val="left"/>
        <w:rPr>
          <w:rFonts w:ascii="宋体" w:hAnsi="宋体" w:cs="宋体"/>
          <w:b/>
          <w:bCs/>
          <w:szCs w:val="21"/>
          <w:u w:val="single"/>
        </w:rPr>
      </w:pPr>
      <w:r>
        <w:rPr>
          <w:rFonts w:hint="eastAsia" w:ascii="宋体" w:hAnsi="宋体" w:cs="宋体"/>
          <w:b/>
          <w:bCs/>
          <w:szCs w:val="21"/>
          <w:u w:val="single"/>
        </w:rPr>
        <w:t xml:space="preserve">                                              。</w:t>
      </w:r>
    </w:p>
    <w:p>
      <w:pPr>
        <w:snapToGrid w:val="0"/>
        <w:spacing w:line="360" w:lineRule="auto"/>
        <w:ind w:firstLine="422" w:firstLineChars="200"/>
        <w:jc w:val="left"/>
        <w:rPr>
          <w:rFonts w:ascii="宋体" w:hAnsi="宋体" w:cs="宋体"/>
          <w:b/>
          <w:bCs/>
          <w:szCs w:val="21"/>
          <w:u w:val="single"/>
        </w:rPr>
      </w:pPr>
      <w:r>
        <w:rPr>
          <w:rFonts w:hint="eastAsia" w:ascii="宋体" w:hAnsi="宋体" w:cs="宋体"/>
          <w:b/>
          <w:bCs/>
          <w:szCs w:val="21"/>
          <w:u w:val="single"/>
        </w:rPr>
        <w:t xml:space="preserve">A-2 设计阶段：          /                      </w:t>
      </w:r>
    </w:p>
    <w:p>
      <w:pPr>
        <w:snapToGrid w:val="0"/>
        <w:spacing w:line="360" w:lineRule="auto"/>
        <w:ind w:firstLine="422" w:firstLineChars="200"/>
        <w:jc w:val="left"/>
        <w:rPr>
          <w:rFonts w:ascii="宋体" w:hAnsi="宋体" w:cs="宋体"/>
          <w:b/>
          <w:bCs/>
          <w:szCs w:val="21"/>
          <w:u w:val="single"/>
        </w:rPr>
      </w:pPr>
      <w:r>
        <w:rPr>
          <w:rFonts w:hint="eastAsia" w:ascii="宋体" w:hAnsi="宋体" w:cs="宋体"/>
          <w:b/>
          <w:bCs/>
          <w:szCs w:val="21"/>
          <w:u w:val="single"/>
        </w:rPr>
        <w:t xml:space="preserve">                                              。</w:t>
      </w:r>
    </w:p>
    <w:p>
      <w:pPr>
        <w:snapToGrid w:val="0"/>
        <w:spacing w:line="360" w:lineRule="auto"/>
        <w:ind w:firstLine="422" w:firstLineChars="200"/>
        <w:jc w:val="left"/>
        <w:rPr>
          <w:rFonts w:ascii="宋体" w:hAnsi="宋体" w:cs="宋体"/>
          <w:b/>
          <w:bCs/>
          <w:szCs w:val="21"/>
          <w:u w:val="single"/>
        </w:rPr>
      </w:pPr>
      <w:r>
        <w:rPr>
          <w:rFonts w:hint="eastAsia" w:ascii="宋体" w:hAnsi="宋体" w:cs="宋体"/>
          <w:b/>
          <w:bCs/>
          <w:szCs w:val="21"/>
          <w:u w:val="single"/>
        </w:rPr>
        <w:t xml:space="preserve">A-3 保修阶段：                                                      </w:t>
      </w:r>
    </w:p>
    <w:p>
      <w:pPr>
        <w:snapToGrid w:val="0"/>
        <w:spacing w:line="360" w:lineRule="auto"/>
        <w:ind w:firstLine="422" w:firstLineChars="200"/>
        <w:jc w:val="left"/>
        <w:rPr>
          <w:rFonts w:ascii="宋体" w:hAnsi="宋体" w:cs="宋体"/>
          <w:b/>
          <w:bCs/>
          <w:szCs w:val="21"/>
          <w:u w:val="single"/>
        </w:rPr>
      </w:pPr>
      <w:r>
        <w:rPr>
          <w:rFonts w:hint="eastAsia" w:ascii="宋体" w:hAnsi="宋体" w:cs="宋体"/>
          <w:b/>
          <w:bCs/>
          <w:szCs w:val="21"/>
          <w:u w:val="single"/>
        </w:rPr>
        <w:t xml:space="preserve">                                              。</w:t>
      </w:r>
    </w:p>
    <w:p>
      <w:pPr>
        <w:snapToGrid w:val="0"/>
        <w:spacing w:line="360" w:lineRule="auto"/>
        <w:ind w:firstLine="422" w:firstLineChars="200"/>
        <w:jc w:val="left"/>
        <w:rPr>
          <w:rFonts w:ascii="宋体" w:hAnsi="宋体" w:cs="宋体"/>
          <w:b/>
          <w:bCs/>
          <w:szCs w:val="21"/>
          <w:u w:val="single"/>
        </w:rPr>
      </w:pPr>
      <w:r>
        <w:rPr>
          <w:rFonts w:hint="eastAsia" w:ascii="宋体" w:hAnsi="宋体" w:cs="宋体"/>
          <w:b/>
          <w:bCs/>
          <w:szCs w:val="21"/>
          <w:u w:val="single"/>
        </w:rPr>
        <w:t xml:space="preserve">A-4 其他（专业技术咨询、外部协调工作等）：   </w:t>
      </w:r>
    </w:p>
    <w:p>
      <w:pPr>
        <w:adjustRightInd w:val="0"/>
        <w:snapToGrid w:val="0"/>
        <w:spacing w:line="360" w:lineRule="auto"/>
        <w:ind w:firstLine="422" w:firstLineChars="200"/>
        <w:jc w:val="left"/>
        <w:rPr>
          <w:rFonts w:ascii="宋体" w:hAnsi="宋体" w:cs="宋体"/>
          <w:b/>
          <w:bCs/>
          <w:szCs w:val="21"/>
          <w:u w:val="single"/>
        </w:rPr>
      </w:pPr>
      <w:r>
        <w:rPr>
          <w:rFonts w:hint="eastAsia" w:ascii="宋体" w:hAnsi="宋体" w:cs="宋体"/>
          <w:b/>
          <w:bCs/>
          <w:szCs w:val="21"/>
          <w:u w:val="single"/>
        </w:rPr>
        <w:t xml:space="preserve">                                              。</w:t>
      </w:r>
    </w:p>
    <w:p>
      <w:pPr>
        <w:adjustRightInd w:val="0"/>
        <w:snapToGrid w:val="0"/>
        <w:spacing w:line="360" w:lineRule="auto"/>
        <w:ind w:firstLine="422" w:firstLineChars="200"/>
        <w:jc w:val="left"/>
        <w:rPr>
          <w:rFonts w:ascii="宋体" w:hAnsi="宋体" w:cs="宋体"/>
          <w:b/>
          <w:bCs/>
          <w:szCs w:val="21"/>
          <w:u w:val="single"/>
        </w:rPr>
      </w:pPr>
    </w:p>
    <w:p>
      <w:pPr>
        <w:adjustRightInd w:val="0"/>
        <w:snapToGrid w:val="0"/>
        <w:spacing w:line="360" w:lineRule="auto"/>
        <w:ind w:firstLine="422" w:firstLineChars="200"/>
        <w:jc w:val="left"/>
        <w:rPr>
          <w:rFonts w:ascii="宋体" w:hAnsi="宋体" w:cs="宋体"/>
          <w:b/>
          <w:bCs/>
          <w:szCs w:val="21"/>
          <w:u w:val="single"/>
        </w:rPr>
      </w:pPr>
      <w:r>
        <w:rPr>
          <w:rFonts w:hint="eastAsia" w:ascii="宋体" w:hAnsi="宋体" w:cs="宋体"/>
          <w:b/>
          <w:bCs/>
          <w:szCs w:val="21"/>
          <w:u w:val="single"/>
        </w:rPr>
        <w:t>附录B  委托人派遣的人员和提供的房屋、资料、设备</w:t>
      </w:r>
    </w:p>
    <w:p>
      <w:pPr>
        <w:spacing w:line="360" w:lineRule="auto"/>
        <w:ind w:firstLine="422" w:firstLineChars="200"/>
        <w:jc w:val="left"/>
        <w:rPr>
          <w:rFonts w:ascii="宋体" w:hAnsi="宋体" w:cs="宋体"/>
          <w:b/>
          <w:kern w:val="0"/>
          <w:szCs w:val="21"/>
        </w:rPr>
      </w:pPr>
      <w:r>
        <w:rPr>
          <w:rFonts w:hint="eastAsia" w:ascii="宋体" w:hAnsi="宋体" w:cs="宋体"/>
          <w:b/>
          <w:kern w:val="0"/>
          <w:szCs w:val="21"/>
        </w:rPr>
        <w:t>B-1  委托人派遣的人员</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名称</w:t>
            </w:r>
          </w:p>
        </w:tc>
        <w:tc>
          <w:tcPr>
            <w:tcW w:w="177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数量</w:t>
            </w: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工作要求</w:t>
            </w: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 xml:space="preserve">1. 工程技术人员 </w:t>
            </w:r>
          </w:p>
        </w:tc>
        <w:tc>
          <w:tcPr>
            <w:tcW w:w="177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2. 辅助工作人员</w:t>
            </w:r>
          </w:p>
        </w:tc>
        <w:tc>
          <w:tcPr>
            <w:tcW w:w="177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3. 其他人员</w:t>
            </w:r>
          </w:p>
        </w:tc>
        <w:tc>
          <w:tcPr>
            <w:tcW w:w="177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177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r>
    </w:tbl>
    <w:p>
      <w:pPr>
        <w:spacing w:line="360" w:lineRule="auto"/>
        <w:ind w:firstLine="422" w:firstLineChars="200"/>
        <w:jc w:val="left"/>
        <w:rPr>
          <w:rFonts w:ascii="宋体" w:hAnsi="宋体" w:cs="宋体"/>
          <w:b/>
          <w:kern w:val="0"/>
          <w:szCs w:val="21"/>
        </w:rPr>
      </w:pPr>
      <w:r>
        <w:rPr>
          <w:rFonts w:hint="eastAsia" w:ascii="宋体" w:hAnsi="宋体" w:cs="宋体"/>
          <w:b/>
          <w:kern w:val="0"/>
          <w:szCs w:val="21"/>
        </w:rPr>
        <w:t>B-2  委托人提供的房屋</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名称</w:t>
            </w: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数量</w:t>
            </w: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面积</w:t>
            </w: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1. 办公用房</w:t>
            </w: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eastAsia" w:ascii="宋体" w:hAnsi="宋体" w:cs="宋体"/>
                <w:szCs w:val="21"/>
              </w:rPr>
            </w:pP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 xml:space="preserve"> </w:t>
            </w: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2. 生活用房</w:t>
            </w: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dstrike/>
                <w:szCs w:val="21"/>
              </w:rPr>
            </w:pPr>
            <w:r>
              <w:rPr>
                <w:rFonts w:hint="eastAsia" w:ascii="宋体" w:hAnsi="宋体" w:cs="宋体"/>
                <w:szCs w:val="21"/>
              </w:rPr>
              <w:t>3. 试验用房</w:t>
            </w: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4. 样品用房</w:t>
            </w: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keepNext w:val="0"/>
              <w:keepLines w:val="0"/>
              <w:suppressLineNumbers w:val="0"/>
              <w:spacing w:before="0" w:beforeAutospacing="0" w:after="0" w:afterAutospacing="0" w:line="360" w:lineRule="auto"/>
              <w:ind w:left="0" w:right="0"/>
              <w:jc w:val="left"/>
              <w:rPr>
                <w:rFonts w:hint="default" w:ascii="宋体" w:hAnsi="宋体" w:cs="宋体"/>
                <w:szCs w:val="21"/>
              </w:rPr>
            </w:pPr>
            <w:r>
              <w:rPr>
                <w:rFonts w:hint="eastAsia" w:ascii="宋体" w:hAnsi="宋体" w:cs="宋体"/>
                <w:szCs w:val="21"/>
              </w:rPr>
              <w:t>用餐及其他生活条件</w:t>
            </w:r>
          </w:p>
        </w:tc>
        <w:tc>
          <w:tcPr>
            <w:tcW w:w="6120" w:type="dxa"/>
            <w:gridSpan w:val="3"/>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r>
    </w:tbl>
    <w:p>
      <w:pPr>
        <w:spacing w:line="360" w:lineRule="auto"/>
        <w:ind w:firstLine="422" w:firstLineChars="200"/>
        <w:jc w:val="left"/>
        <w:rPr>
          <w:rFonts w:ascii="宋体" w:hAnsi="宋体" w:cs="宋体"/>
          <w:b/>
          <w:kern w:val="0"/>
          <w:szCs w:val="21"/>
        </w:rPr>
      </w:pPr>
      <w:r>
        <w:rPr>
          <w:rFonts w:hint="eastAsia" w:ascii="宋体" w:hAnsi="宋体" w:cs="宋体"/>
          <w:b/>
          <w:kern w:val="0"/>
          <w:szCs w:val="21"/>
        </w:rPr>
        <w:t>B-3  委托人提供的资料</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r>
              <w:rPr>
                <w:rFonts w:hint="eastAsia" w:ascii="宋体" w:hAnsi="宋体" w:cs="宋体"/>
                <w:kern w:val="0"/>
                <w:szCs w:val="21"/>
              </w:rPr>
              <w:t>名称</w:t>
            </w:r>
          </w:p>
        </w:tc>
        <w:tc>
          <w:tcPr>
            <w:tcW w:w="1491"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r>
              <w:rPr>
                <w:rFonts w:hint="eastAsia" w:ascii="宋体" w:hAnsi="宋体" w:cs="宋体"/>
                <w:kern w:val="0"/>
                <w:szCs w:val="21"/>
              </w:rPr>
              <w:t>份数</w:t>
            </w:r>
          </w:p>
        </w:tc>
        <w:tc>
          <w:tcPr>
            <w:tcW w:w="2147"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r>
              <w:rPr>
                <w:rFonts w:hint="eastAsia" w:ascii="宋体" w:hAnsi="宋体" w:cs="宋体"/>
                <w:kern w:val="0"/>
                <w:szCs w:val="21"/>
              </w:rPr>
              <w:t>提供时间</w:t>
            </w:r>
          </w:p>
        </w:tc>
        <w:tc>
          <w:tcPr>
            <w:tcW w:w="2082"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r>
              <w:rPr>
                <w:rFonts w:hint="eastAsia" w:ascii="宋体" w:hAnsi="宋体" w:cs="宋体"/>
                <w:kern w:val="0"/>
                <w:szCs w:val="21"/>
              </w:rPr>
              <w:t>1. 工程立项文件</w:t>
            </w:r>
          </w:p>
        </w:tc>
        <w:tc>
          <w:tcPr>
            <w:tcW w:w="1491"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c>
          <w:tcPr>
            <w:tcW w:w="2147"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c>
          <w:tcPr>
            <w:tcW w:w="2082"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r>
              <w:rPr>
                <w:rFonts w:hint="eastAsia" w:ascii="宋体" w:hAnsi="宋体" w:cs="宋体"/>
                <w:kern w:val="0"/>
                <w:szCs w:val="21"/>
              </w:rPr>
              <w:t>2. 工程勘察文件</w:t>
            </w:r>
          </w:p>
        </w:tc>
        <w:tc>
          <w:tcPr>
            <w:tcW w:w="1491"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c>
          <w:tcPr>
            <w:tcW w:w="2147"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c>
          <w:tcPr>
            <w:tcW w:w="2082"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r>
              <w:rPr>
                <w:rFonts w:hint="eastAsia" w:ascii="宋体" w:hAnsi="宋体" w:cs="宋体"/>
                <w:kern w:val="0"/>
                <w:szCs w:val="21"/>
              </w:rPr>
              <w:t>3. 工程设计及施工图纸</w:t>
            </w:r>
          </w:p>
        </w:tc>
        <w:tc>
          <w:tcPr>
            <w:tcW w:w="1491"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c>
          <w:tcPr>
            <w:tcW w:w="2147"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c>
          <w:tcPr>
            <w:tcW w:w="2082"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r>
              <w:rPr>
                <w:rFonts w:hint="eastAsia" w:ascii="宋体" w:hAnsi="宋体" w:cs="宋体"/>
                <w:kern w:val="0"/>
                <w:szCs w:val="21"/>
              </w:rPr>
              <w:t>4. 工程承包合同及其他相关合同</w:t>
            </w:r>
          </w:p>
        </w:tc>
        <w:tc>
          <w:tcPr>
            <w:tcW w:w="1491"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c>
          <w:tcPr>
            <w:tcW w:w="2147"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c>
          <w:tcPr>
            <w:tcW w:w="2082"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r>
              <w:rPr>
                <w:rFonts w:hint="eastAsia" w:ascii="宋体" w:hAnsi="宋体" w:cs="宋体"/>
                <w:kern w:val="0"/>
                <w:szCs w:val="21"/>
              </w:rPr>
              <w:t>5. 施工许可文件</w:t>
            </w:r>
          </w:p>
        </w:tc>
        <w:tc>
          <w:tcPr>
            <w:tcW w:w="1491"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c>
          <w:tcPr>
            <w:tcW w:w="2147"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c>
          <w:tcPr>
            <w:tcW w:w="2082"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r>
              <w:rPr>
                <w:rFonts w:hint="eastAsia" w:ascii="宋体" w:hAnsi="宋体" w:cs="宋体"/>
                <w:kern w:val="0"/>
                <w:szCs w:val="21"/>
              </w:rPr>
              <w:t>6. 其他文件</w:t>
            </w:r>
          </w:p>
        </w:tc>
        <w:tc>
          <w:tcPr>
            <w:tcW w:w="1491"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c>
          <w:tcPr>
            <w:tcW w:w="2147"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c>
          <w:tcPr>
            <w:tcW w:w="2082"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c>
          <w:tcPr>
            <w:tcW w:w="1491"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c>
          <w:tcPr>
            <w:tcW w:w="2147"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c>
          <w:tcPr>
            <w:tcW w:w="2082"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kern w:val="0"/>
                <w:szCs w:val="21"/>
              </w:rPr>
            </w:pPr>
          </w:p>
        </w:tc>
      </w:tr>
    </w:tbl>
    <w:p>
      <w:pPr>
        <w:spacing w:line="360" w:lineRule="auto"/>
        <w:ind w:firstLine="422" w:firstLineChars="200"/>
        <w:jc w:val="left"/>
        <w:rPr>
          <w:rFonts w:ascii="宋体" w:hAnsi="宋体" w:cs="宋体"/>
          <w:b/>
          <w:kern w:val="0"/>
          <w:szCs w:val="21"/>
        </w:rPr>
      </w:pPr>
      <w:r>
        <w:rPr>
          <w:rFonts w:hint="eastAsia" w:ascii="宋体" w:hAnsi="宋体" w:cs="宋体"/>
          <w:b/>
          <w:kern w:val="0"/>
          <w:szCs w:val="21"/>
        </w:rPr>
        <w:t>B-4 委托人提供的设备</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名称</w:t>
            </w:r>
          </w:p>
        </w:tc>
        <w:tc>
          <w:tcPr>
            <w:tcW w:w="159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数量</w:t>
            </w: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型号与规格</w:t>
            </w: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1. 通讯设备</w:t>
            </w:r>
          </w:p>
        </w:tc>
        <w:tc>
          <w:tcPr>
            <w:tcW w:w="159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2. 办公设备</w:t>
            </w:r>
          </w:p>
        </w:tc>
        <w:tc>
          <w:tcPr>
            <w:tcW w:w="159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3. 交通工具</w:t>
            </w:r>
          </w:p>
        </w:tc>
        <w:tc>
          <w:tcPr>
            <w:tcW w:w="159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r>
              <w:rPr>
                <w:rFonts w:hint="eastAsia" w:ascii="宋体" w:hAnsi="宋体" w:cs="宋体"/>
                <w:szCs w:val="21"/>
              </w:rPr>
              <w:t>4. 检测和试验设备</w:t>
            </w:r>
          </w:p>
        </w:tc>
        <w:tc>
          <w:tcPr>
            <w:tcW w:w="159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159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213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c>
          <w:tcPr>
            <w:tcW w:w="1860" w:type="dxa"/>
            <w:noWrap w:val="0"/>
            <w:vAlign w:val="top"/>
          </w:tcPr>
          <w:p>
            <w:pPr>
              <w:keepNext w:val="0"/>
              <w:keepLines w:val="0"/>
              <w:suppressLineNumbers w:val="0"/>
              <w:spacing w:before="0" w:beforeAutospacing="0" w:after="0" w:afterAutospacing="0" w:line="360" w:lineRule="auto"/>
              <w:ind w:left="0" w:right="0" w:firstLine="420" w:firstLineChars="200"/>
              <w:jc w:val="left"/>
              <w:rPr>
                <w:rFonts w:hint="default" w:ascii="宋体" w:hAnsi="宋体" w:cs="宋体"/>
                <w:szCs w:val="21"/>
              </w:rPr>
            </w:pPr>
          </w:p>
        </w:tc>
      </w:tr>
    </w:tbl>
    <w:p>
      <w:pPr>
        <w:autoSpaceDE w:val="0"/>
        <w:autoSpaceDN w:val="0"/>
        <w:spacing w:line="360" w:lineRule="exact"/>
        <w:ind w:firstLine="573" w:firstLineChars="273"/>
        <w:rPr>
          <w:rFonts w:ascii="宋体" w:hAnsi="宋体" w:cs="宋体"/>
          <w:szCs w:val="21"/>
          <w:u w:val="single"/>
        </w:rPr>
        <w:sectPr>
          <w:footerReference r:id="rId4" w:type="first"/>
          <w:footnotePr>
            <w:numRestart w:val="eachPage"/>
          </w:footnotePr>
          <w:endnotePr>
            <w:numRestart w:val="eachSect"/>
          </w:endnotePr>
          <w:pgSz w:w="11907" w:h="16840"/>
          <w:pgMar w:top="1304" w:right="1001" w:bottom="1247" w:left="1435" w:header="851" w:footer="854" w:gutter="0"/>
          <w:pgNumType w:fmt="decimal"/>
          <w:cols w:space="720" w:num="1"/>
          <w:docGrid w:linePitch="435" w:charSpace="-6554"/>
        </w:sectPr>
      </w:pPr>
    </w:p>
    <w:p>
      <w:pPr>
        <w:spacing w:line="360" w:lineRule="auto"/>
        <w:ind w:firstLine="422" w:firstLineChars="200"/>
        <w:jc w:val="center"/>
        <w:rPr>
          <w:rFonts w:ascii="宋体" w:hAnsi="宋体"/>
          <w:szCs w:val="32"/>
        </w:rPr>
      </w:pPr>
      <w:r>
        <w:rPr>
          <w:rFonts w:hint="eastAsia" w:eastAsia="黑体"/>
          <w:b/>
          <w:bCs/>
          <w:kern w:val="0"/>
          <w:szCs w:val="32"/>
        </w:rPr>
        <w:t>第四部分  工程监理廉政责任书</w:t>
      </w:r>
    </w:p>
    <w:p>
      <w:pPr>
        <w:rPr>
          <w:sz w:val="24"/>
        </w:rPr>
      </w:pPr>
    </w:p>
    <w:p>
      <w:pPr>
        <w:snapToGrid w:val="0"/>
        <w:spacing w:after="50" w:line="288" w:lineRule="auto"/>
        <w:ind w:firstLine="315" w:firstLineChars="150"/>
        <w:rPr>
          <w:rFonts w:ascii="宋体" w:hAnsi="宋体" w:cs="宋体"/>
          <w:szCs w:val="21"/>
        </w:rPr>
      </w:pPr>
      <w:r>
        <w:rPr>
          <w:rFonts w:hint="eastAsia" w:ascii="宋体" w:hAnsi="宋体" w:cs="宋体"/>
          <w:szCs w:val="21"/>
        </w:rPr>
        <w:t>工程项目名称：</w:t>
      </w:r>
      <w:r>
        <w:rPr>
          <w:rFonts w:hint="eastAsia" w:ascii="宋体" w:hAnsi="宋体" w:cs="宋体"/>
          <w:szCs w:val="21"/>
          <w:u w:val="single"/>
        </w:rPr>
        <w:t xml:space="preserve">  </w:t>
      </w:r>
      <w:r>
        <w:rPr>
          <w:rFonts w:hint="eastAsia" w:ascii="宋体" w:hAnsi="宋体" w:cs="宋体"/>
          <w:szCs w:val="21"/>
          <w:u w:val="single"/>
          <w:lang w:eastAsia="zh-CN"/>
        </w:rPr>
        <w:t>浙江理工大学消防管网改造及安全防护设施、电梯更新项目监理服务</w:t>
      </w:r>
      <w:r>
        <w:rPr>
          <w:rFonts w:hint="eastAsia" w:ascii="宋体" w:hAnsi="宋体" w:cs="宋体"/>
          <w:szCs w:val="21"/>
          <w:u w:val="single"/>
        </w:rPr>
        <w:t xml:space="preserve">   </w:t>
      </w:r>
    </w:p>
    <w:p>
      <w:pPr>
        <w:snapToGrid w:val="0"/>
        <w:spacing w:after="50" w:line="288" w:lineRule="auto"/>
        <w:ind w:firstLine="315" w:firstLineChars="150"/>
        <w:rPr>
          <w:rFonts w:ascii="宋体" w:hAnsi="宋体" w:cs="宋体"/>
          <w:szCs w:val="21"/>
        </w:rPr>
      </w:pPr>
      <w:r>
        <w:rPr>
          <w:rFonts w:hint="eastAsia" w:ascii="宋体" w:hAnsi="宋体" w:cs="宋体"/>
          <w:szCs w:val="21"/>
        </w:rPr>
        <w:t>工程地点：</w:t>
      </w:r>
      <w:r>
        <w:rPr>
          <w:rFonts w:hint="eastAsia" w:ascii="宋体" w:hAnsi="宋体" w:cs="宋体"/>
          <w:szCs w:val="21"/>
          <w:u w:val="single"/>
        </w:rPr>
        <w:t xml:space="preserve"> 杭州市钱塘区       </w:t>
      </w:r>
      <w:r>
        <w:rPr>
          <w:rFonts w:hint="eastAsia" w:ascii="宋体" w:hAnsi="宋体" w:cs="宋体"/>
          <w:szCs w:val="21"/>
        </w:rPr>
        <w:t xml:space="preserve"> </w:t>
      </w:r>
    </w:p>
    <w:p>
      <w:pPr>
        <w:snapToGrid w:val="0"/>
        <w:spacing w:after="50" w:line="288" w:lineRule="auto"/>
        <w:ind w:firstLine="315" w:firstLineChars="150"/>
        <w:rPr>
          <w:rFonts w:ascii="宋体" w:hAnsi="宋体" w:cs="宋体"/>
          <w:szCs w:val="21"/>
          <w:u w:val="single"/>
        </w:rPr>
      </w:pP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t>预报业监理工程师（总监不得兼任）：市政</w:t>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vanish/>
          <w:szCs w:val="21"/>
          <w:u w:val="single"/>
        </w:rPr>
        <w:pgNum/>
      </w:r>
      <w:r>
        <w:rPr>
          <w:rFonts w:hint="eastAsia" w:ascii="宋体" w:hAnsi="宋体" w:cs="宋体"/>
          <w:szCs w:val="21"/>
        </w:rPr>
        <w:t>建设单位（甲方）：</w:t>
      </w:r>
      <w:r>
        <w:rPr>
          <w:rFonts w:hint="eastAsia" w:ascii="宋体" w:hAnsi="宋体" w:cs="宋体"/>
          <w:szCs w:val="21"/>
          <w:u w:val="single"/>
        </w:rPr>
        <w:t xml:space="preserve">   浙江理工大学   </w:t>
      </w:r>
    </w:p>
    <w:p>
      <w:pPr>
        <w:snapToGrid w:val="0"/>
        <w:spacing w:after="50" w:line="288" w:lineRule="auto"/>
        <w:ind w:firstLine="315" w:firstLineChars="150"/>
        <w:rPr>
          <w:rFonts w:ascii="宋体" w:hAnsi="宋体" w:cs="宋体"/>
          <w:szCs w:val="21"/>
        </w:rPr>
      </w:pPr>
      <w:r>
        <w:rPr>
          <w:rFonts w:hint="eastAsia" w:ascii="宋体" w:hAnsi="宋体" w:cs="宋体"/>
          <w:szCs w:val="21"/>
        </w:rPr>
        <w:t>监理单位（乙方）：</w:t>
      </w:r>
      <w:r>
        <w:rPr>
          <w:rFonts w:hint="eastAsia" w:ascii="宋体" w:hAnsi="宋体" w:cs="宋体"/>
          <w:szCs w:val="21"/>
          <w:u w:val="single"/>
        </w:rPr>
        <w:t xml:space="preserve">                                          </w:t>
      </w:r>
    </w:p>
    <w:p>
      <w:pPr>
        <w:snapToGrid w:val="0"/>
        <w:spacing w:after="50" w:line="288" w:lineRule="auto"/>
        <w:ind w:firstLine="315" w:firstLineChars="150"/>
        <w:rPr>
          <w:rFonts w:ascii="宋体" w:hAnsi="宋体" w:cs="宋体"/>
          <w:szCs w:val="21"/>
        </w:rPr>
      </w:pPr>
      <w:r>
        <w:rPr>
          <w:rFonts w:hint="eastAsia" w:ascii="宋体" w:hAnsi="宋体" w:cs="宋体"/>
          <w:szCs w:val="21"/>
        </w:rPr>
        <w:t>为加强工程建设中的廉政建设，规范工程建设监理委托与被委托双方的各项活动，防止发生各种谋取不正当利益的违法违纪行为，保护国家、集体和当事人的合法权益，根据国家有关工程建设的法律法规和廉政建设责任制规定，特订立本廉政责任书。</w:t>
      </w:r>
    </w:p>
    <w:p>
      <w:pPr>
        <w:snapToGrid w:val="0"/>
        <w:spacing w:after="50" w:line="288" w:lineRule="auto"/>
        <w:ind w:firstLine="315" w:firstLineChars="150"/>
        <w:rPr>
          <w:rFonts w:ascii="宋体" w:hAnsi="宋体" w:cs="宋体"/>
          <w:szCs w:val="21"/>
        </w:rPr>
      </w:pPr>
      <w:r>
        <w:rPr>
          <w:rFonts w:hint="eastAsia" w:ascii="宋体" w:hAnsi="宋体" w:cs="宋体"/>
          <w:szCs w:val="21"/>
        </w:rPr>
        <w:t>第一条　甲乙双方的责任</w:t>
      </w:r>
    </w:p>
    <w:p>
      <w:pPr>
        <w:snapToGrid w:val="0"/>
        <w:spacing w:after="50" w:line="288" w:lineRule="auto"/>
        <w:ind w:firstLine="315" w:firstLineChars="150"/>
        <w:rPr>
          <w:rFonts w:ascii="宋体" w:hAnsi="宋体" w:cs="宋体"/>
          <w:szCs w:val="21"/>
        </w:rPr>
      </w:pPr>
      <w:r>
        <w:rPr>
          <w:rFonts w:hint="eastAsia" w:ascii="宋体" w:hAnsi="宋体" w:cs="宋体"/>
          <w:szCs w:val="21"/>
        </w:rPr>
        <w:t>（一）应严格遵守国家关于市场准入、项目招标投标、工程建设、工程监理和市场活动的有关法律、法规，相关政策，以及廉政建设的各项规定。</w:t>
      </w:r>
    </w:p>
    <w:p>
      <w:pPr>
        <w:snapToGrid w:val="0"/>
        <w:spacing w:after="50" w:line="288" w:lineRule="auto"/>
        <w:ind w:firstLine="315" w:firstLineChars="150"/>
        <w:rPr>
          <w:rFonts w:ascii="宋体" w:hAnsi="宋体" w:cs="宋体"/>
          <w:szCs w:val="21"/>
        </w:rPr>
      </w:pPr>
      <w:r>
        <w:rPr>
          <w:rFonts w:hint="eastAsia" w:ascii="宋体" w:hAnsi="宋体" w:cs="宋体"/>
          <w:szCs w:val="21"/>
        </w:rPr>
        <w:t>（二）严格执行建设工程项目监理合同文件，自觉按合同办事。</w:t>
      </w:r>
    </w:p>
    <w:p>
      <w:pPr>
        <w:snapToGrid w:val="0"/>
        <w:spacing w:after="50" w:line="288" w:lineRule="auto"/>
        <w:ind w:firstLine="315" w:firstLineChars="150"/>
        <w:rPr>
          <w:rFonts w:ascii="宋体" w:hAnsi="宋体" w:cs="宋体"/>
          <w:szCs w:val="21"/>
        </w:rPr>
      </w:pPr>
      <w:r>
        <w:rPr>
          <w:rFonts w:hint="eastAsia" w:ascii="宋体" w:hAnsi="宋体" w:cs="宋体"/>
          <w:szCs w:val="21"/>
        </w:rPr>
        <w:t>（三）业务活动必须坚持公开、公平、公正、诚信、透明的原则（除法律法规另有规定者外），不得为获取不正当的利益，损害国家、集体和对方利益，不得违反工程建设管理、建设监理的规章制度。</w:t>
      </w:r>
    </w:p>
    <w:p>
      <w:pPr>
        <w:snapToGrid w:val="0"/>
        <w:spacing w:after="50" w:line="288" w:lineRule="auto"/>
        <w:ind w:firstLine="315" w:firstLineChars="150"/>
        <w:rPr>
          <w:rFonts w:ascii="宋体" w:hAnsi="宋体" w:cs="宋体"/>
          <w:szCs w:val="21"/>
        </w:rPr>
      </w:pPr>
      <w:r>
        <w:rPr>
          <w:rFonts w:hint="eastAsia" w:ascii="宋体" w:hAnsi="宋体" w:cs="宋体"/>
          <w:szCs w:val="21"/>
        </w:rPr>
        <w:t>（四）发现对方在业务活动中有违规、违纪、违法行为的，应及时提醒对方，情节严重的，应向其上级主管部门或纪检监察、司法等有关机关举报。</w:t>
      </w:r>
    </w:p>
    <w:p>
      <w:pPr>
        <w:snapToGrid w:val="0"/>
        <w:spacing w:after="50" w:line="288" w:lineRule="auto"/>
        <w:ind w:firstLine="315" w:firstLineChars="150"/>
        <w:rPr>
          <w:rFonts w:ascii="宋体" w:hAnsi="宋体" w:cs="宋体"/>
          <w:szCs w:val="21"/>
        </w:rPr>
      </w:pPr>
      <w:r>
        <w:rPr>
          <w:rFonts w:hint="eastAsia" w:ascii="宋体" w:hAnsi="宋体" w:cs="宋体"/>
          <w:szCs w:val="21"/>
        </w:rPr>
        <w:t>第二条　甲方的责任</w:t>
      </w:r>
    </w:p>
    <w:p>
      <w:pPr>
        <w:snapToGrid w:val="0"/>
        <w:spacing w:after="50" w:line="288" w:lineRule="auto"/>
        <w:ind w:firstLine="315" w:firstLineChars="150"/>
        <w:rPr>
          <w:rFonts w:ascii="宋体" w:hAnsi="宋体" w:cs="宋体"/>
          <w:szCs w:val="21"/>
        </w:rPr>
      </w:pPr>
      <w:r>
        <w:rPr>
          <w:rFonts w:hint="eastAsia" w:ascii="宋体" w:hAnsi="宋体" w:cs="宋体"/>
          <w:szCs w:val="21"/>
        </w:rPr>
        <w:t>甲方的领导和从事该建设工程项目的工作人员在工程建设的事前、事中、事后应遵守以下规定：</w:t>
      </w:r>
    </w:p>
    <w:p>
      <w:pPr>
        <w:snapToGrid w:val="0"/>
        <w:spacing w:after="50" w:line="288" w:lineRule="auto"/>
        <w:ind w:firstLine="315" w:firstLineChars="150"/>
        <w:rPr>
          <w:rFonts w:ascii="宋体" w:hAnsi="宋体" w:cs="宋体"/>
          <w:szCs w:val="21"/>
        </w:rPr>
      </w:pPr>
      <w:r>
        <w:rPr>
          <w:rFonts w:hint="eastAsia" w:ascii="宋体" w:hAnsi="宋体" w:cs="宋体"/>
          <w:szCs w:val="21"/>
        </w:rPr>
        <w:t>（一）不准向乙方和相关单位索要或接受回扣、礼金、有价证券、贵重物品和好处费、感谢费等。</w:t>
      </w:r>
    </w:p>
    <w:p>
      <w:pPr>
        <w:snapToGrid w:val="0"/>
        <w:spacing w:after="50" w:line="288" w:lineRule="auto"/>
        <w:ind w:firstLine="315" w:firstLineChars="150"/>
        <w:rPr>
          <w:rFonts w:ascii="宋体" w:hAnsi="宋体" w:cs="宋体"/>
          <w:szCs w:val="21"/>
        </w:rPr>
      </w:pPr>
      <w:r>
        <w:rPr>
          <w:rFonts w:hint="eastAsia" w:ascii="宋体" w:hAnsi="宋体" w:cs="宋体"/>
          <w:szCs w:val="21"/>
        </w:rPr>
        <w:t>（二）不准在乙方和相关单位报销任何应由甲方或个人支付的费用。</w:t>
      </w:r>
    </w:p>
    <w:p>
      <w:pPr>
        <w:snapToGrid w:val="0"/>
        <w:spacing w:after="50" w:line="288" w:lineRule="auto"/>
        <w:ind w:firstLine="315" w:firstLineChars="150"/>
        <w:rPr>
          <w:rFonts w:ascii="宋体" w:hAnsi="宋体" w:cs="宋体"/>
          <w:szCs w:val="21"/>
        </w:rPr>
      </w:pPr>
      <w:r>
        <w:rPr>
          <w:rFonts w:hint="eastAsia" w:ascii="宋体" w:hAnsi="宋体" w:cs="宋体"/>
          <w:szCs w:val="21"/>
        </w:rPr>
        <w:t>（三）不准要求、暗示或接受乙方和相关单位为个人装修住房、婚丧嫁娶、配偶子女的工作安排以及出国（境）、旅游等提供方便。</w:t>
      </w:r>
    </w:p>
    <w:p>
      <w:pPr>
        <w:snapToGrid w:val="0"/>
        <w:spacing w:after="50" w:line="288" w:lineRule="auto"/>
        <w:ind w:firstLine="315" w:firstLineChars="150"/>
        <w:rPr>
          <w:rFonts w:ascii="宋体" w:hAnsi="宋体" w:cs="宋体"/>
          <w:szCs w:val="21"/>
        </w:rPr>
      </w:pPr>
      <w:r>
        <w:rPr>
          <w:rFonts w:hint="eastAsia" w:ascii="宋体" w:hAnsi="宋体" w:cs="宋体"/>
          <w:szCs w:val="21"/>
        </w:rPr>
        <w:t>（四）不准参加有可能影响公正执行公务的乙方和相关单位的宴请、健身、娱乐等活动。</w:t>
      </w:r>
    </w:p>
    <w:p>
      <w:pPr>
        <w:snapToGrid w:val="0"/>
        <w:spacing w:after="50" w:line="288" w:lineRule="auto"/>
        <w:ind w:firstLine="315" w:firstLineChars="150"/>
        <w:rPr>
          <w:rFonts w:ascii="宋体" w:hAnsi="宋体" w:cs="宋体"/>
          <w:szCs w:val="21"/>
        </w:rPr>
      </w:pPr>
      <w:r>
        <w:rPr>
          <w:rFonts w:hint="eastAsia" w:ascii="宋体" w:hAnsi="宋体" w:cs="宋体"/>
          <w:szCs w:val="21"/>
        </w:rPr>
        <w:t>（五）不准向乙方和相关单位介绍或为配偶、子女、亲属参与同甲方工程项目合同有关的监理分包项目等活动。不准向乙方和相关单位介绍或为配偶、子女、亲属参与同项目工程合同有关的设备、材料、工程分包、劳务等经济活动。不得以任何理由向乙方和相关单位推荐分包单位和要求购买与项目工程合同规定以外的材料、设备等。</w:t>
      </w:r>
    </w:p>
    <w:p>
      <w:pPr>
        <w:snapToGrid w:val="0"/>
        <w:spacing w:after="50" w:line="288" w:lineRule="auto"/>
        <w:ind w:firstLine="315" w:firstLineChars="150"/>
        <w:rPr>
          <w:rFonts w:ascii="宋体" w:hAnsi="宋体" w:cs="宋体"/>
          <w:szCs w:val="21"/>
        </w:rPr>
      </w:pPr>
      <w:r>
        <w:rPr>
          <w:rFonts w:hint="eastAsia" w:ascii="宋体" w:hAnsi="宋体" w:cs="宋体"/>
          <w:szCs w:val="21"/>
        </w:rPr>
        <w:t>第三条　乙方的责任</w:t>
      </w:r>
    </w:p>
    <w:p>
      <w:pPr>
        <w:snapToGrid w:val="0"/>
        <w:spacing w:after="50" w:line="288" w:lineRule="auto"/>
        <w:ind w:firstLine="315" w:firstLineChars="150"/>
        <w:rPr>
          <w:rFonts w:ascii="宋体" w:hAnsi="宋体" w:cs="宋体"/>
          <w:szCs w:val="21"/>
        </w:rPr>
      </w:pPr>
      <w:r>
        <w:rPr>
          <w:rFonts w:hint="eastAsia" w:ascii="宋体" w:hAnsi="宋体" w:cs="宋体"/>
          <w:szCs w:val="21"/>
        </w:rPr>
        <w:t xml:space="preserve">应与甲方和相关单位保持正常的业务交往，按照有关法律法规和程序开展业务工作，严格执行工程建设的方针、政策，尤其是有关勘察设计、建筑施工安装的强制性标准和规范，以及监理法规，认真履行监理职责，并遵守以下规定： </w:t>
      </w:r>
    </w:p>
    <w:p>
      <w:pPr>
        <w:snapToGrid w:val="0"/>
        <w:spacing w:after="50" w:line="288" w:lineRule="auto"/>
        <w:ind w:firstLine="315" w:firstLineChars="150"/>
        <w:rPr>
          <w:rFonts w:ascii="宋体" w:hAnsi="宋体" w:cs="宋体"/>
          <w:szCs w:val="21"/>
        </w:rPr>
      </w:pPr>
      <w:r>
        <w:rPr>
          <w:rFonts w:hint="eastAsia" w:ascii="宋体" w:hAnsi="宋体" w:cs="宋体"/>
          <w:szCs w:val="21"/>
        </w:rPr>
        <w:t>（一）不准以任何理由向甲方和相关单位及其工作人员索要、接受或赠送礼金、有价证券、贵重物品及回扣、好处费、感谢费等。</w:t>
      </w:r>
    </w:p>
    <w:p>
      <w:pPr>
        <w:snapToGrid w:val="0"/>
        <w:spacing w:after="50" w:line="288" w:lineRule="auto"/>
        <w:ind w:firstLine="315" w:firstLineChars="150"/>
        <w:rPr>
          <w:rFonts w:ascii="宋体" w:hAnsi="宋体" w:cs="宋体"/>
          <w:szCs w:val="21"/>
        </w:rPr>
      </w:pPr>
      <w:r>
        <w:rPr>
          <w:rFonts w:hint="eastAsia" w:ascii="宋体" w:hAnsi="宋体" w:cs="宋体"/>
          <w:szCs w:val="21"/>
        </w:rPr>
        <w:t>（二）不准以任何理由为甲方和相关单位报销应由对方或个人支付的费用。</w:t>
      </w:r>
    </w:p>
    <w:p>
      <w:pPr>
        <w:snapToGrid w:val="0"/>
        <w:spacing w:after="50" w:line="288" w:lineRule="auto"/>
        <w:ind w:firstLine="315" w:firstLineChars="150"/>
        <w:rPr>
          <w:rFonts w:ascii="宋体" w:hAnsi="宋体" w:cs="宋体"/>
          <w:szCs w:val="21"/>
        </w:rPr>
      </w:pPr>
      <w:r>
        <w:rPr>
          <w:rFonts w:hint="eastAsia" w:ascii="宋体" w:hAnsi="宋体" w:cs="宋体"/>
          <w:szCs w:val="21"/>
        </w:rPr>
        <w:t>（三）不准接受或暗示为甲方、相关单位或个人装修住房、婚丧嫁娶、配偶子女的工作安排以及出国（境）、旅游等提供方便。</w:t>
      </w:r>
    </w:p>
    <w:p>
      <w:pPr>
        <w:snapToGrid w:val="0"/>
        <w:spacing w:after="50" w:line="288" w:lineRule="auto"/>
        <w:ind w:firstLine="315" w:firstLineChars="150"/>
        <w:rPr>
          <w:rFonts w:ascii="宋体" w:hAnsi="宋体" w:cs="宋体"/>
          <w:szCs w:val="21"/>
        </w:rPr>
      </w:pPr>
      <w:r>
        <w:rPr>
          <w:rFonts w:hint="eastAsia" w:ascii="宋体" w:hAnsi="宋体" w:cs="宋体"/>
          <w:szCs w:val="21"/>
        </w:rPr>
        <w:t>（四）不准违反合同约定而使用甲方、相关单位提供的通信、交通工具和高档办公用品。</w:t>
      </w:r>
    </w:p>
    <w:p>
      <w:pPr>
        <w:snapToGrid w:val="0"/>
        <w:spacing w:after="50" w:line="288" w:lineRule="auto"/>
        <w:ind w:firstLine="315" w:firstLineChars="150"/>
        <w:rPr>
          <w:rFonts w:ascii="宋体" w:hAnsi="宋体" w:cs="宋体"/>
          <w:szCs w:val="21"/>
        </w:rPr>
      </w:pPr>
      <w:r>
        <w:rPr>
          <w:rFonts w:hint="eastAsia" w:ascii="宋体" w:hAnsi="宋体" w:cs="宋体"/>
          <w:szCs w:val="21"/>
        </w:rPr>
        <w:t>（五）不准以任何理由为甲方、相关单位或个人组织有可能影响公正执行公务的宴请、健身、娱乐等活动。</w:t>
      </w:r>
    </w:p>
    <w:p>
      <w:pPr>
        <w:snapToGrid w:val="0"/>
        <w:spacing w:after="50" w:line="288" w:lineRule="auto"/>
        <w:ind w:firstLine="315" w:firstLineChars="150"/>
        <w:rPr>
          <w:rFonts w:ascii="宋体" w:hAnsi="宋体" w:cs="宋体"/>
          <w:szCs w:val="21"/>
        </w:rPr>
      </w:pPr>
      <w:r>
        <w:rPr>
          <w:rFonts w:hint="eastAsia" w:ascii="宋体" w:hAnsi="宋体" w:cs="宋体"/>
          <w:szCs w:val="21"/>
        </w:rPr>
        <w:t>（六）不准接受受监理单位的宴请、健身、娱乐等活动。</w:t>
      </w:r>
    </w:p>
    <w:p>
      <w:pPr>
        <w:snapToGrid w:val="0"/>
        <w:spacing w:after="50" w:line="288" w:lineRule="auto"/>
        <w:ind w:firstLine="315" w:firstLineChars="150"/>
        <w:rPr>
          <w:rFonts w:ascii="宋体" w:hAnsi="宋体" w:cs="宋体"/>
          <w:szCs w:val="21"/>
        </w:rPr>
      </w:pPr>
      <w:r>
        <w:rPr>
          <w:rFonts w:hint="eastAsia" w:ascii="宋体" w:hAnsi="宋体" w:cs="宋体"/>
          <w:szCs w:val="21"/>
        </w:rPr>
        <w:t>第四条　违约责任</w:t>
      </w:r>
    </w:p>
    <w:p>
      <w:pPr>
        <w:snapToGrid w:val="0"/>
        <w:spacing w:after="50" w:line="288" w:lineRule="auto"/>
        <w:ind w:firstLine="315" w:firstLineChars="150"/>
        <w:rPr>
          <w:rFonts w:ascii="宋体" w:hAnsi="宋体" w:cs="宋体"/>
          <w:szCs w:val="21"/>
        </w:rPr>
      </w:pPr>
      <w:r>
        <w:rPr>
          <w:rFonts w:hint="eastAsia" w:ascii="宋体" w:hAnsi="宋体" w:cs="宋体"/>
          <w:szCs w:val="21"/>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pPr>
        <w:snapToGrid w:val="0"/>
        <w:spacing w:after="50" w:line="288" w:lineRule="auto"/>
        <w:ind w:firstLine="315" w:firstLineChars="150"/>
        <w:rPr>
          <w:rFonts w:ascii="宋体" w:hAnsi="宋体" w:cs="宋体"/>
          <w:szCs w:val="21"/>
        </w:rPr>
      </w:pPr>
      <w:r>
        <w:rPr>
          <w:rFonts w:hint="eastAsia" w:ascii="宋体" w:hAnsi="宋体" w:cs="宋体"/>
          <w:szCs w:val="21"/>
        </w:rPr>
        <w:t>（二）乙方工作人员有违反本责任书第一、三条责任行为的，按照管理权限，依据有关法律法规和规定给予党纪、政纪处分或组织处理；涉嫌犯罪的，移交司法机关追究刑事责任；给甲方单位造成经济损失的，应予以赔偿。</w:t>
      </w:r>
    </w:p>
    <w:p>
      <w:pPr>
        <w:snapToGrid w:val="0"/>
        <w:spacing w:after="50" w:line="288" w:lineRule="auto"/>
        <w:ind w:firstLine="315" w:firstLineChars="150"/>
        <w:rPr>
          <w:rFonts w:ascii="宋体" w:hAnsi="宋体" w:cs="宋体"/>
          <w:szCs w:val="21"/>
        </w:rPr>
      </w:pPr>
      <w:r>
        <w:rPr>
          <w:rFonts w:hint="eastAsia" w:ascii="宋体" w:hAnsi="宋体" w:cs="宋体"/>
          <w:szCs w:val="21"/>
        </w:rPr>
        <w:t>（三）乙方工作人员有违反本责任书第三条责任行为中任何一条规定的，每次罚款人民币1000元。</w:t>
      </w:r>
    </w:p>
    <w:p>
      <w:pPr>
        <w:snapToGrid w:val="0"/>
        <w:spacing w:after="50" w:line="288" w:lineRule="auto"/>
        <w:ind w:firstLine="315" w:firstLineChars="150"/>
        <w:rPr>
          <w:rFonts w:ascii="宋体" w:hAnsi="宋体" w:cs="宋体"/>
          <w:szCs w:val="21"/>
        </w:rPr>
      </w:pPr>
      <w:r>
        <w:rPr>
          <w:rFonts w:hint="eastAsia" w:ascii="宋体" w:hAnsi="宋体" w:cs="宋体"/>
          <w:szCs w:val="21"/>
        </w:rPr>
        <w:t>第五条　本责任书作为工程监理合同的附件，与工程监理合同具有同等法律效力。经双方签署后立即生效。</w:t>
      </w:r>
    </w:p>
    <w:p>
      <w:pPr>
        <w:snapToGrid w:val="0"/>
        <w:spacing w:after="50" w:line="288" w:lineRule="auto"/>
        <w:ind w:firstLine="315" w:firstLineChars="150"/>
        <w:rPr>
          <w:rFonts w:ascii="宋体" w:hAnsi="宋体" w:cs="宋体"/>
          <w:szCs w:val="21"/>
        </w:rPr>
      </w:pPr>
      <w:r>
        <w:rPr>
          <w:rFonts w:hint="eastAsia" w:ascii="宋体" w:hAnsi="宋体" w:cs="宋体"/>
          <w:szCs w:val="21"/>
        </w:rPr>
        <w:t>第六条　本责任书的有效期为双方签署之日起至该工程项目竣工验收合格时止。</w:t>
      </w:r>
    </w:p>
    <w:p>
      <w:pPr>
        <w:snapToGrid w:val="0"/>
        <w:spacing w:after="50" w:line="288" w:lineRule="auto"/>
        <w:ind w:firstLine="315" w:firstLineChars="150"/>
        <w:rPr>
          <w:rFonts w:ascii="宋体" w:hAnsi="宋体" w:cs="宋体"/>
          <w:szCs w:val="21"/>
        </w:rPr>
      </w:pPr>
      <w:r>
        <w:rPr>
          <w:rFonts w:hint="eastAsia" w:ascii="宋体" w:hAnsi="宋体" w:cs="宋体"/>
          <w:szCs w:val="21"/>
        </w:rPr>
        <w:t>第七条　本责任书一式四份，由甲乙双方各执一份，送交甲乙双方的监督单位各一份。</w:t>
      </w:r>
    </w:p>
    <w:p>
      <w:pPr>
        <w:snapToGrid w:val="0"/>
        <w:spacing w:after="50" w:line="288" w:lineRule="auto"/>
        <w:rPr>
          <w:rFonts w:ascii="宋体" w:hAnsi="宋体" w:cs="宋体"/>
          <w:szCs w:val="21"/>
        </w:rPr>
      </w:pPr>
    </w:p>
    <w:p>
      <w:pPr>
        <w:snapToGrid w:val="0"/>
        <w:spacing w:after="50" w:line="288" w:lineRule="auto"/>
        <w:ind w:firstLine="315" w:firstLineChars="150"/>
        <w:rPr>
          <w:rFonts w:ascii="宋体" w:hAnsi="宋体" w:cs="宋体"/>
          <w:szCs w:val="21"/>
        </w:rPr>
      </w:pPr>
      <w:r>
        <w:rPr>
          <w:rFonts w:hint="eastAsia" w:ascii="宋体" w:hAnsi="宋体" w:cs="宋体"/>
          <w:szCs w:val="21"/>
        </w:rPr>
        <w:t>甲方单位：（盖章）　　　　　　　　　　　　　乙方单位：（盖章）</w:t>
      </w:r>
    </w:p>
    <w:p>
      <w:pPr>
        <w:snapToGrid w:val="0"/>
        <w:spacing w:after="50" w:line="288" w:lineRule="auto"/>
        <w:ind w:firstLine="315" w:firstLineChars="150"/>
        <w:jc w:val="right"/>
        <w:rPr>
          <w:rFonts w:ascii="宋体" w:hAnsi="宋体" w:cs="宋体"/>
          <w:szCs w:val="21"/>
        </w:rPr>
      </w:pPr>
    </w:p>
    <w:p>
      <w:pPr>
        <w:snapToGrid w:val="0"/>
        <w:spacing w:after="50" w:line="288" w:lineRule="auto"/>
        <w:ind w:firstLine="315" w:firstLineChars="150"/>
        <w:jc w:val="center"/>
        <w:rPr>
          <w:rFonts w:ascii="宋体" w:hAnsi="宋体" w:cs="宋体"/>
          <w:szCs w:val="21"/>
        </w:rPr>
      </w:pPr>
      <w:r>
        <w:rPr>
          <w:rFonts w:hint="eastAsia" w:ascii="宋体" w:hAnsi="宋体" w:cs="宋体"/>
          <w:szCs w:val="21"/>
        </w:rPr>
        <w:t xml:space="preserve">    </w:t>
      </w:r>
    </w:p>
    <w:p>
      <w:pPr>
        <w:snapToGrid w:val="0"/>
        <w:spacing w:after="50" w:line="288" w:lineRule="auto"/>
        <w:ind w:firstLine="315" w:firstLineChars="150"/>
        <w:rPr>
          <w:rFonts w:ascii="宋体" w:hAnsi="宋体" w:cs="宋体"/>
          <w:szCs w:val="21"/>
        </w:rPr>
      </w:pPr>
      <w:r>
        <w:rPr>
          <w:rFonts w:hint="eastAsia" w:ascii="宋体" w:hAnsi="宋体" w:cs="宋体"/>
          <w:szCs w:val="21"/>
        </w:rPr>
        <w:t>法定代表人（签章）：</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法定代表人（签章）：</w:t>
      </w:r>
    </w:p>
    <w:p>
      <w:pPr>
        <w:snapToGrid w:val="0"/>
        <w:spacing w:after="50" w:line="288" w:lineRule="auto"/>
        <w:ind w:firstLine="315" w:firstLineChars="150"/>
        <w:rPr>
          <w:rFonts w:ascii="宋体" w:hAnsi="宋体" w:cs="宋体"/>
          <w:szCs w:val="21"/>
        </w:rPr>
      </w:pPr>
    </w:p>
    <w:p>
      <w:pPr>
        <w:snapToGrid w:val="0"/>
        <w:spacing w:after="50" w:line="288" w:lineRule="auto"/>
        <w:ind w:firstLine="315" w:firstLineChars="150"/>
        <w:rPr>
          <w:rFonts w:ascii="宋体" w:hAnsi="宋体" w:cs="宋体"/>
          <w:szCs w:val="21"/>
        </w:rPr>
      </w:pPr>
    </w:p>
    <w:p>
      <w:pPr>
        <w:snapToGrid w:val="0"/>
        <w:spacing w:after="50" w:line="288" w:lineRule="auto"/>
        <w:ind w:firstLine="315" w:firstLineChars="150"/>
        <w:rPr>
          <w:rFonts w:ascii="宋体" w:hAnsi="宋体" w:cs="宋体"/>
          <w:szCs w:val="21"/>
        </w:rPr>
      </w:pPr>
    </w:p>
    <w:p>
      <w:pPr>
        <w:snapToGrid w:val="0"/>
        <w:spacing w:after="50" w:line="288" w:lineRule="auto"/>
        <w:ind w:firstLine="315" w:firstLineChars="150"/>
        <w:rPr>
          <w:rFonts w:ascii="宋体" w:hAnsi="宋体" w:cs="宋体"/>
          <w:szCs w:val="21"/>
        </w:rPr>
      </w:pPr>
      <w:r>
        <w:rPr>
          <w:rFonts w:hint="eastAsia" w:ascii="宋体" w:hAnsi="宋体" w:cs="宋体"/>
          <w:szCs w:val="21"/>
        </w:rPr>
        <w:t>甲方监督单位（盖章）　　　　　　　　       乙方监督单位（盖章）</w:t>
      </w:r>
    </w:p>
    <w:p>
      <w:pPr>
        <w:snapToGrid w:val="0"/>
        <w:spacing w:after="50" w:line="288" w:lineRule="auto"/>
        <w:ind w:firstLine="315" w:firstLineChars="150"/>
        <w:rPr>
          <w:rFonts w:ascii="宋体" w:hAnsi="宋体" w:cs="宋体"/>
          <w:szCs w:val="21"/>
        </w:rPr>
      </w:pPr>
    </w:p>
    <w:p>
      <w:pPr>
        <w:pStyle w:val="261"/>
        <w:rPr>
          <w:rFonts w:hint="eastAsia"/>
        </w:rPr>
      </w:pPr>
      <w:r>
        <w:rPr>
          <w:rFonts w:hint="eastAsia"/>
          <w:sz w:val="21"/>
          <w:szCs w:val="21"/>
        </w:rPr>
        <w:t>　年　月　日                               　年　月　日</w:t>
      </w:r>
    </w:p>
    <w:p>
      <w:pPr>
        <w:widowControl/>
        <w:jc w:val="left"/>
        <w:rPr>
          <w:rFonts w:ascii="宋体" w:hAnsi="宋体" w:cs="宋体"/>
          <w:b/>
          <w:sz w:val="32"/>
          <w:highlight w:val="none"/>
        </w:rPr>
      </w:pPr>
      <w:r>
        <w:rPr>
          <w:rFonts w:hint="eastAsia" w:ascii="宋体" w:hAnsi="宋体" w:cs="宋体"/>
          <w:highlight w:val="none"/>
        </w:rPr>
        <w:br w:type="page"/>
      </w:r>
    </w:p>
    <w:bookmarkEnd w:id="39"/>
    <w:p>
      <w:pPr>
        <w:pStyle w:val="3"/>
        <w:bidi w:val="0"/>
        <w:rPr>
          <w:highlight w:val="none"/>
        </w:rPr>
      </w:pPr>
      <w:bookmarkStart w:id="53" w:name="_Toc17596"/>
      <w:r>
        <w:rPr>
          <w:rFonts w:hint="eastAsia" w:ascii="宋体" w:hAnsi="宋体" w:cs="宋体"/>
          <w:bCs/>
          <w:color w:val="auto"/>
          <w:kern w:val="44"/>
          <w:sz w:val="30"/>
          <w:szCs w:val="44"/>
          <w:highlight w:val="none"/>
        </w:rPr>
        <w:t>第</w:t>
      </w:r>
      <w:r>
        <w:rPr>
          <w:rFonts w:hint="eastAsia" w:ascii="宋体" w:hAnsi="宋体" w:cs="宋体"/>
          <w:bCs/>
          <w:color w:val="auto"/>
          <w:kern w:val="44"/>
          <w:sz w:val="30"/>
          <w:szCs w:val="44"/>
          <w:highlight w:val="none"/>
          <w:lang w:val="en-US" w:eastAsia="zh-CN"/>
        </w:rPr>
        <w:t>五</w:t>
      </w:r>
      <w:r>
        <w:rPr>
          <w:rFonts w:hint="eastAsia" w:ascii="宋体" w:hAnsi="宋体" w:cs="宋体"/>
          <w:bCs/>
          <w:color w:val="auto"/>
          <w:kern w:val="44"/>
          <w:sz w:val="30"/>
          <w:szCs w:val="44"/>
          <w:highlight w:val="none"/>
        </w:rPr>
        <w:t xml:space="preserve">章 </w:t>
      </w:r>
      <w:r>
        <w:rPr>
          <w:rFonts w:hint="eastAsia"/>
          <w:highlight w:val="none"/>
        </w:rPr>
        <w:t xml:space="preserve"> </w:t>
      </w:r>
      <w:r>
        <w:rPr>
          <w:rFonts w:hint="eastAsia" w:ascii="宋体" w:hAnsi="宋体" w:cs="宋体"/>
          <w:bCs/>
          <w:color w:val="auto"/>
          <w:kern w:val="44"/>
          <w:sz w:val="30"/>
          <w:szCs w:val="44"/>
          <w:highlight w:val="none"/>
        </w:rPr>
        <w:t>投标人须知前附表</w:t>
      </w:r>
      <w:bookmarkEnd w:id="53"/>
    </w:p>
    <w:tbl>
      <w:tblPr>
        <w:tblStyle w:val="5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309"/>
        <w:gridCol w:w="6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投标人须知条款号</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名称</w:t>
            </w:r>
          </w:p>
        </w:tc>
        <w:tc>
          <w:tcPr>
            <w:tcW w:w="6227"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1.3</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采购人</w:t>
            </w:r>
          </w:p>
        </w:tc>
        <w:tc>
          <w:tcPr>
            <w:tcW w:w="6227" w:type="dxa"/>
            <w:vAlign w:val="center"/>
          </w:tcPr>
          <w:p>
            <w:pPr>
              <w:pStyle w:val="145"/>
              <w:keepNext w:val="0"/>
              <w:keepLines w:val="0"/>
              <w:suppressLineNumbers w:val="0"/>
              <w:snapToGrid w:val="0"/>
              <w:spacing w:before="0" w:beforeAutospacing="0" w:after="0" w:afterAutospacing="0" w:line="360" w:lineRule="auto"/>
              <w:ind w:left="0" w:right="0" w:firstLine="0" w:firstLineChars="0"/>
              <w:rPr>
                <w:rFonts w:hint="eastAsia" w:ascii="宋体" w:hAnsi="宋体" w:eastAsia="宋体" w:cs="宋体"/>
                <w:kern w:val="0"/>
                <w:szCs w:val="21"/>
                <w:highlight w:val="none"/>
                <w:lang w:eastAsia="zh-CN"/>
              </w:rPr>
            </w:pPr>
            <w:r>
              <w:rPr>
                <w:rFonts w:hint="eastAsia" w:ascii="宋体" w:hAnsi="宋体" w:cs="宋体"/>
                <w:kern w:val="0"/>
                <w:szCs w:val="21"/>
                <w:highlight w:val="none"/>
              </w:rPr>
              <w:t>采购人名称：</w:t>
            </w:r>
            <w:r>
              <w:rPr>
                <w:rFonts w:hint="eastAsia" w:ascii="宋体" w:hAnsi="宋体" w:cs="宋体"/>
                <w:kern w:val="0"/>
                <w:szCs w:val="21"/>
                <w:highlight w:val="none"/>
                <w:lang w:eastAsia="zh-CN"/>
              </w:rPr>
              <w:t>浙江理工大学</w:t>
            </w:r>
          </w:p>
          <w:p>
            <w:pPr>
              <w:pStyle w:val="145"/>
              <w:keepNext w:val="0"/>
              <w:keepLines w:val="0"/>
              <w:suppressLineNumbers w:val="0"/>
              <w:snapToGrid w:val="0"/>
              <w:spacing w:before="0" w:beforeAutospacing="0" w:after="0" w:afterAutospacing="0" w:line="360" w:lineRule="auto"/>
              <w:ind w:left="0" w:right="0" w:firstLine="0" w:firstLineChars="0"/>
              <w:rPr>
                <w:rFonts w:hint="eastAsia" w:ascii="宋体" w:hAnsi="宋体" w:eastAsia="宋体" w:cs="宋体"/>
                <w:kern w:val="0"/>
                <w:szCs w:val="21"/>
                <w:highlight w:val="none"/>
                <w:lang w:eastAsia="zh-CN"/>
              </w:rPr>
            </w:pPr>
            <w:r>
              <w:rPr>
                <w:rFonts w:hint="eastAsia" w:ascii="宋体" w:hAnsi="宋体" w:cs="宋体"/>
                <w:kern w:val="0"/>
                <w:szCs w:val="21"/>
                <w:highlight w:val="none"/>
              </w:rPr>
              <w:t>地点：</w:t>
            </w:r>
            <w:r>
              <w:rPr>
                <w:rFonts w:hint="eastAsia" w:ascii="宋体" w:hAnsi="宋体" w:cs="宋体"/>
                <w:szCs w:val="21"/>
                <w:highlight w:val="none"/>
                <w:lang w:eastAsia="zh-CN"/>
              </w:rPr>
              <w:t>杭州市钱塘区2号大街928号</w:t>
            </w:r>
          </w:p>
          <w:p>
            <w:pPr>
              <w:keepNext w:val="0"/>
              <w:keepLines w:val="0"/>
              <w:suppressLineNumbers w:val="0"/>
              <w:spacing w:before="0" w:beforeAutospacing="0" w:after="0" w:afterAutospacing="0" w:line="360" w:lineRule="auto"/>
              <w:ind w:left="0" w:right="0"/>
              <w:rPr>
                <w:rFonts w:hint="default" w:ascii="宋体" w:hAnsi="宋体" w:cs="宋体"/>
                <w:kern w:val="0"/>
                <w:szCs w:val="21"/>
                <w:highlight w:val="none"/>
              </w:rPr>
            </w:pPr>
            <w:r>
              <w:rPr>
                <w:rFonts w:hint="eastAsia" w:ascii="宋体" w:hAnsi="宋体" w:cs="宋体"/>
                <w:kern w:val="0"/>
                <w:szCs w:val="21"/>
                <w:highlight w:val="none"/>
              </w:rPr>
              <w:t>项目联系人：</w:t>
            </w:r>
            <w:r>
              <w:rPr>
                <w:rFonts w:hint="eastAsia" w:ascii="宋体" w:hAnsi="宋体" w:cs="宋体"/>
                <w:kern w:val="0"/>
                <w:szCs w:val="21"/>
                <w:highlight w:val="none"/>
                <w:lang w:val="en-US" w:eastAsia="zh-CN"/>
              </w:rPr>
              <w:t>来老师</w:t>
            </w:r>
            <w:r>
              <w:rPr>
                <w:rFonts w:hint="eastAsia" w:ascii="宋体" w:hAnsi="宋体" w:cs="宋体"/>
                <w:kern w:val="0"/>
                <w:szCs w:val="21"/>
                <w:highlight w:val="none"/>
              </w:rPr>
              <w:t xml:space="preserve"> </w:t>
            </w:r>
          </w:p>
          <w:p>
            <w:pPr>
              <w:keepNext w:val="0"/>
              <w:keepLines w:val="0"/>
              <w:widowControl/>
              <w:suppressLineNumbers w:val="0"/>
              <w:adjustRightInd w:val="0"/>
              <w:snapToGrid w:val="0"/>
              <w:spacing w:before="0" w:beforeAutospacing="0" w:after="0" w:afterAutospacing="0" w:line="360" w:lineRule="auto"/>
              <w:ind w:left="0" w:right="0"/>
              <w:jc w:val="left"/>
              <w:rPr>
                <w:rFonts w:hint="eastAsia" w:ascii="宋体" w:hAnsi="宋体" w:eastAsia="宋体" w:cs="宋体"/>
                <w:highlight w:val="none"/>
                <w:lang w:eastAsia="zh-CN"/>
              </w:rPr>
            </w:pPr>
            <w:r>
              <w:rPr>
                <w:rFonts w:hint="eastAsia" w:ascii="宋体" w:hAnsi="宋体" w:cs="宋体"/>
                <w:kern w:val="0"/>
                <w:szCs w:val="21"/>
                <w:highlight w:val="none"/>
              </w:rPr>
              <w:t>项目联系方式：</w:t>
            </w:r>
            <w:r>
              <w:rPr>
                <w:rFonts w:hint="eastAsia" w:ascii="宋体" w:hAnsi="宋体" w:cs="宋体"/>
                <w:kern w:val="0"/>
                <w:szCs w:val="21"/>
                <w:highlight w:val="none"/>
                <w:lang w:eastAsia="zh-CN"/>
              </w:rPr>
              <w:t>0571-86843097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1.3</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采购代理机构</w:t>
            </w:r>
          </w:p>
        </w:tc>
        <w:tc>
          <w:tcPr>
            <w:tcW w:w="6227" w:type="dxa"/>
            <w:vAlign w:val="center"/>
          </w:tcPr>
          <w:p>
            <w:pPr>
              <w:keepNext w:val="0"/>
              <w:keepLines w:val="0"/>
              <w:widowControl/>
              <w:suppressLineNumbers w:val="0"/>
              <w:adjustRightInd w:val="0"/>
              <w:snapToGrid w:val="0"/>
              <w:spacing w:before="0" w:beforeAutospacing="0" w:after="0" w:afterAutospacing="0" w:line="360" w:lineRule="auto"/>
              <w:ind w:left="0" w:right="0"/>
              <w:jc w:val="left"/>
              <w:rPr>
                <w:rFonts w:hint="default" w:ascii="宋体" w:hAnsi="宋体" w:cs="宋体"/>
                <w:kern w:val="0"/>
                <w:szCs w:val="21"/>
                <w:highlight w:val="none"/>
              </w:rPr>
            </w:pPr>
            <w:r>
              <w:rPr>
                <w:rFonts w:hint="eastAsia" w:ascii="宋体" w:hAnsi="宋体" w:cs="宋体"/>
                <w:kern w:val="0"/>
                <w:szCs w:val="21"/>
                <w:highlight w:val="none"/>
              </w:rPr>
              <w:t>名称：浙江省成套招标代理有限公司</w:t>
            </w:r>
          </w:p>
          <w:p>
            <w:pPr>
              <w:keepNext w:val="0"/>
              <w:keepLines w:val="0"/>
              <w:widowControl/>
              <w:suppressLineNumbers w:val="0"/>
              <w:adjustRightInd w:val="0"/>
              <w:snapToGrid w:val="0"/>
              <w:spacing w:before="0" w:beforeAutospacing="0" w:after="0" w:afterAutospacing="0" w:line="360" w:lineRule="auto"/>
              <w:ind w:left="0" w:right="0"/>
              <w:jc w:val="left"/>
              <w:rPr>
                <w:rFonts w:hint="default" w:ascii="宋体" w:hAnsi="宋体" w:cs="宋体"/>
                <w:kern w:val="0"/>
                <w:szCs w:val="21"/>
                <w:highlight w:val="none"/>
              </w:rPr>
            </w:pPr>
            <w:r>
              <w:rPr>
                <w:rFonts w:hint="eastAsia" w:ascii="宋体" w:hAnsi="宋体" w:cs="宋体"/>
                <w:kern w:val="0"/>
                <w:szCs w:val="21"/>
                <w:highlight w:val="none"/>
              </w:rPr>
              <w:t>地点：杭州市文晖路42号现代置业大厦西楼18层1801室</w:t>
            </w:r>
          </w:p>
          <w:p>
            <w:pPr>
              <w:keepNext w:val="0"/>
              <w:keepLines w:val="0"/>
              <w:widowControl/>
              <w:suppressLineNumbers w:val="0"/>
              <w:adjustRightInd w:val="0"/>
              <w:snapToGrid w:val="0"/>
              <w:spacing w:before="0" w:beforeAutospacing="0" w:after="0" w:afterAutospacing="0" w:line="360" w:lineRule="auto"/>
              <w:ind w:left="0" w:right="0"/>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联系人：</w:t>
            </w:r>
            <w:r>
              <w:rPr>
                <w:rFonts w:hint="eastAsia" w:ascii="宋体" w:hAnsi="宋体" w:cs="宋体"/>
                <w:kern w:val="0"/>
                <w:szCs w:val="21"/>
                <w:highlight w:val="none"/>
                <w:lang w:eastAsia="zh-CN"/>
              </w:rPr>
              <w:t>汪利锋</w:t>
            </w:r>
          </w:p>
          <w:p>
            <w:pPr>
              <w:keepNext w:val="0"/>
              <w:keepLines w:val="0"/>
              <w:widowControl/>
              <w:suppressLineNumbers w:val="0"/>
              <w:adjustRightInd w:val="0"/>
              <w:snapToGrid w:val="0"/>
              <w:spacing w:before="0" w:beforeAutospacing="0" w:after="0" w:afterAutospacing="0" w:line="360" w:lineRule="auto"/>
              <w:ind w:left="0" w:right="0"/>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联系电话：0571-85830273，</w:t>
            </w:r>
            <w:r>
              <w:rPr>
                <w:rFonts w:hint="eastAsia" w:ascii="宋体" w:hAnsi="宋体" w:cs="宋体"/>
                <w:kern w:val="0"/>
                <w:szCs w:val="21"/>
                <w:highlight w:val="none"/>
                <w:lang w:eastAsia="zh-CN"/>
              </w:rPr>
              <w:t>15168318003</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highlight w:val="none"/>
              </w:rPr>
            </w:pPr>
            <w:r>
              <w:rPr>
                <w:rFonts w:hint="eastAsia" w:ascii="宋体" w:hAnsi="宋体" w:cs="宋体"/>
                <w:highlight w:val="none"/>
              </w:rPr>
              <w:t>传真：</w:t>
            </w:r>
            <w:r>
              <w:rPr>
                <w:rFonts w:hint="eastAsia" w:ascii="宋体" w:hAnsi="宋体" w:cs="宋体"/>
                <w:kern w:val="0"/>
                <w:szCs w:val="21"/>
                <w:highlight w:val="none"/>
              </w:rPr>
              <w:t>4008-266-163转07285</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highlight w:val="none"/>
              </w:rPr>
            </w:pPr>
            <w:r>
              <w:rPr>
                <w:rFonts w:hint="eastAsia" w:ascii="宋体" w:hAnsi="宋体" w:cs="宋体"/>
                <w:highlight w:val="none"/>
              </w:rPr>
              <w:t>Email：</w:t>
            </w:r>
            <w:r>
              <w:rPr>
                <w:rFonts w:hint="eastAsia" w:ascii="宋体" w:hAnsi="宋体" w:cs="宋体"/>
                <w:highlight w:val="none"/>
                <w:lang w:val="en-US" w:eastAsia="zh-CN"/>
              </w:rPr>
              <w:t>wanglf</w:t>
            </w:r>
            <w:r>
              <w:rPr>
                <w:rFonts w:hint="eastAsia" w:ascii="宋体" w:hAnsi="宋体" w:cs="宋体"/>
                <w:kern w:val="0"/>
                <w:szCs w:val="21"/>
                <w:highlight w:val="none"/>
              </w:rPr>
              <w:t>@zjsct.cn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1.4</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是否接受联合体投标</w:t>
            </w:r>
          </w:p>
        </w:tc>
        <w:tc>
          <w:tcPr>
            <w:tcW w:w="6227" w:type="dxa"/>
            <w:vAlign w:val="center"/>
          </w:tcPr>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highlight w:val="none"/>
              </w:rPr>
            </w:pPr>
            <w:r>
              <w:rPr>
                <w:rFonts w:hint="eastAsia" w:ascii="宋体" w:hAnsi="宋体" w:cs="宋体"/>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1.9</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踏勘现场</w:t>
            </w:r>
          </w:p>
        </w:tc>
        <w:tc>
          <w:tcPr>
            <w:tcW w:w="6227" w:type="dxa"/>
            <w:vAlign w:val="center"/>
          </w:tcPr>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szCs w:val="21"/>
                <w:highlight w:val="none"/>
              </w:rPr>
            </w:pPr>
            <w:r>
              <w:rPr>
                <w:rFonts w:hint="eastAsia" w:ascii="宋体" w:hAnsi="宋体" w:cs="宋体"/>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1.10</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答疑会</w:t>
            </w:r>
          </w:p>
        </w:tc>
        <w:tc>
          <w:tcPr>
            <w:tcW w:w="6227" w:type="dxa"/>
            <w:vAlign w:val="center"/>
          </w:tcPr>
          <w:p>
            <w:pPr>
              <w:keepNext w:val="0"/>
              <w:keepLines w:val="0"/>
              <w:suppressLineNumbers w:val="0"/>
              <w:autoSpaceDE w:val="0"/>
              <w:autoSpaceDN w:val="0"/>
              <w:adjustRightInd w:val="0"/>
              <w:spacing w:before="0" w:beforeAutospacing="0" w:after="0" w:afterAutospacing="0" w:line="360" w:lineRule="auto"/>
              <w:ind w:left="0" w:right="105" w:rightChars="50"/>
              <w:rPr>
                <w:rFonts w:hint="default" w:ascii="宋体" w:hAnsi="宋体" w:cs="宋体"/>
                <w:kern w:val="0"/>
                <w:szCs w:val="21"/>
                <w:highlight w:val="none"/>
              </w:rPr>
            </w:pPr>
            <w:r>
              <w:rPr>
                <w:rFonts w:hint="eastAsia" w:ascii="宋体" w:hAnsi="宋体" w:cs="宋体"/>
                <w:kern w:val="0"/>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2.4.1</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提疑截止时间</w:t>
            </w:r>
          </w:p>
        </w:tc>
        <w:tc>
          <w:tcPr>
            <w:tcW w:w="6227" w:type="dxa"/>
            <w:vAlign w:val="center"/>
          </w:tcPr>
          <w:p>
            <w:pPr>
              <w:keepNext w:val="0"/>
              <w:keepLines w:val="0"/>
              <w:widowControl/>
              <w:suppressLineNumbers w:val="0"/>
              <w:spacing w:before="0" w:beforeAutospacing="0" w:after="0" w:afterAutospacing="0" w:line="360" w:lineRule="auto"/>
              <w:ind w:left="0" w:right="0"/>
              <w:jc w:val="left"/>
              <w:rPr>
                <w:rFonts w:hint="default" w:ascii="宋体" w:hAnsi="宋体" w:cs="宋体"/>
                <w:kern w:val="0"/>
                <w:szCs w:val="21"/>
                <w:highlight w:val="none"/>
              </w:rPr>
            </w:pPr>
            <w:r>
              <w:rPr>
                <w:rFonts w:hint="eastAsia" w:ascii="宋体" w:hAnsi="宋体" w:cs="宋体"/>
                <w:kern w:val="0"/>
                <w:szCs w:val="21"/>
                <w:highlight w:val="none"/>
              </w:rPr>
              <w:t>采购文件提疑截止时间：</w:t>
            </w:r>
            <w:r>
              <w:rPr>
                <w:rFonts w:hint="eastAsia" w:ascii="宋体" w:hAnsi="宋体" w:cs="宋体"/>
                <w:highlight w:val="none"/>
                <w:lang w:eastAsia="zh-CN"/>
              </w:rPr>
              <w:t>2024</w:t>
            </w:r>
            <w:r>
              <w:rPr>
                <w:rFonts w:hint="eastAsia" w:ascii="宋体" w:hAnsi="宋体" w:cs="宋体"/>
                <w:highlight w:val="none"/>
              </w:rPr>
              <w:t>年</w:t>
            </w:r>
            <w:r>
              <w:rPr>
                <w:rFonts w:hint="eastAsia" w:ascii="宋体" w:hAnsi="宋体" w:cs="宋体"/>
                <w:highlight w:val="none"/>
                <w:lang w:val="en-US" w:eastAsia="zh-CN"/>
              </w:rPr>
              <w:t>5</w:t>
            </w:r>
            <w:r>
              <w:rPr>
                <w:rFonts w:hint="eastAsia" w:ascii="宋体" w:hAnsi="宋体" w:cs="宋体"/>
                <w:highlight w:val="none"/>
              </w:rPr>
              <w:t>月</w:t>
            </w:r>
            <w:r>
              <w:rPr>
                <w:rFonts w:hint="eastAsia" w:ascii="宋体" w:hAnsi="宋体" w:cs="宋体"/>
                <w:highlight w:val="none"/>
                <w:lang w:val="en-US" w:eastAsia="zh-CN"/>
              </w:rPr>
              <w:t>7</w:t>
            </w:r>
            <w:r>
              <w:rPr>
                <w:rFonts w:hint="eastAsia" w:ascii="宋体" w:hAnsi="宋体" w:cs="宋体"/>
                <w:highlight w:val="none"/>
              </w:rPr>
              <w:t>日17时30分前</w:t>
            </w:r>
            <w:r>
              <w:rPr>
                <w:rFonts w:hint="eastAsia" w:ascii="宋体" w:hAnsi="宋体" w:cs="宋体"/>
                <w:szCs w:val="21"/>
                <w:highlight w:val="none"/>
              </w:rPr>
              <w:t>传真（</w:t>
            </w:r>
            <w:r>
              <w:rPr>
                <w:rFonts w:hint="eastAsia" w:ascii="宋体" w:hAnsi="宋体" w:cs="宋体"/>
                <w:kern w:val="0"/>
                <w:szCs w:val="21"/>
                <w:highlight w:val="none"/>
              </w:rPr>
              <w:t>4008-266-163转07285</w:t>
            </w:r>
            <w:r>
              <w:rPr>
                <w:rFonts w:hint="eastAsia" w:ascii="宋体" w:hAnsi="宋体" w:cs="宋体"/>
                <w:szCs w:val="21"/>
                <w:highlight w:val="none"/>
              </w:rPr>
              <w:t>）至采购代理机构并将电子稿件发至邮箱</w:t>
            </w:r>
            <w:r>
              <w:rPr>
                <w:rFonts w:hint="eastAsia" w:ascii="宋体" w:hAnsi="宋体" w:cs="宋体"/>
                <w:szCs w:val="21"/>
                <w:highlight w:val="none"/>
                <w:lang w:val="en-US" w:eastAsia="zh-CN"/>
              </w:rPr>
              <w:t>wanglf</w:t>
            </w:r>
            <w:r>
              <w:rPr>
                <w:rFonts w:hint="eastAsia" w:ascii="宋体" w:hAnsi="宋体" w:cs="宋体"/>
                <w:kern w:val="0"/>
                <w:szCs w:val="21"/>
                <w:highlight w:val="none"/>
              </w:rPr>
              <w:t>@zjsct.cn。</w:t>
            </w:r>
          </w:p>
          <w:p>
            <w:pPr>
              <w:keepNext w:val="0"/>
              <w:keepLines w:val="0"/>
              <w:widowControl/>
              <w:suppressLineNumbers w:val="0"/>
              <w:spacing w:before="0" w:beforeAutospacing="0" w:after="0" w:afterAutospacing="0" w:line="360" w:lineRule="auto"/>
              <w:ind w:left="0" w:right="0"/>
              <w:jc w:val="left"/>
              <w:rPr>
                <w:rFonts w:hint="default" w:ascii="宋体" w:hAnsi="宋体" w:cs="宋体"/>
                <w:kern w:val="0"/>
                <w:szCs w:val="21"/>
                <w:highlight w:val="none"/>
              </w:rPr>
            </w:pPr>
            <w:r>
              <w:rPr>
                <w:rFonts w:hint="eastAsia" w:ascii="宋体" w:hAnsi="宋体" w:cs="宋体"/>
                <w:kern w:val="0"/>
                <w:szCs w:val="21"/>
                <w:highlight w:val="none"/>
              </w:rPr>
              <w:t>投标人如对采购文件有疑问应按采购文件规定的提疑时间前提出，逾期提出的，采购组织机构可以不予受理、答复。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2.4</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补充及答疑时间</w:t>
            </w:r>
          </w:p>
        </w:tc>
        <w:tc>
          <w:tcPr>
            <w:tcW w:w="6227" w:type="dxa"/>
            <w:vAlign w:val="center"/>
          </w:tcPr>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highlight w:val="none"/>
              </w:rPr>
            </w:pPr>
            <w:r>
              <w:rPr>
                <w:rFonts w:hint="eastAsia" w:ascii="宋体" w:hAnsi="宋体" w:cs="宋体"/>
                <w:highlight w:val="none"/>
              </w:rPr>
              <w:t>补充及答疑文件将在投标截止时间7天前在浙江政府采购网（http://zfcg.czt.zj.gov.cn）网上更正公告形式告知所有获取采购文件的投标人。</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highlight w:val="none"/>
              </w:rPr>
            </w:pPr>
            <w:r>
              <w:rPr>
                <w:rFonts w:hint="eastAsia" w:ascii="宋体" w:hAnsi="宋体" w:cs="宋体"/>
                <w:highlight w:val="none"/>
              </w:rPr>
              <w:t>同时投标截止时间前，投标人应关注该网站是否有最新的更正公告。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3.1.1</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szCs w:val="21"/>
                <w:highlight w:val="none"/>
              </w:rPr>
            </w:pPr>
            <w:r>
              <w:rPr>
                <w:rFonts w:hint="eastAsia" w:ascii="宋体" w:hAnsi="宋体" w:cs="宋体"/>
                <w:szCs w:val="21"/>
                <w:highlight w:val="none"/>
              </w:rPr>
              <w:t>投标文件的形式</w:t>
            </w:r>
          </w:p>
        </w:tc>
        <w:tc>
          <w:tcPr>
            <w:tcW w:w="6227" w:type="dxa"/>
            <w:vAlign w:val="center"/>
          </w:tcPr>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szCs w:val="21"/>
                <w:highlight w:val="none"/>
              </w:rPr>
            </w:pPr>
            <w:r>
              <w:rPr>
                <w:rFonts w:hint="eastAsia" w:ascii="宋体" w:hAnsi="宋体" w:cs="宋体"/>
                <w:szCs w:val="21"/>
                <w:highlight w:val="none"/>
              </w:rPr>
              <w:t>☑电子投标文件（包括“电子加密投标文件”和“备份投标文件”，在投标文件编制完成后同时生成）</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szCs w:val="21"/>
                <w:highlight w:val="none"/>
              </w:rPr>
            </w:pPr>
            <w:r>
              <w:rPr>
                <w:rFonts w:hint="eastAsia" w:ascii="宋体" w:hAnsi="宋体" w:cs="宋体"/>
                <w:szCs w:val="21"/>
                <w:highlight w:val="none"/>
              </w:rPr>
              <w:t>（1）“电子加密投标文件”是指通过“政采云电子交易客户端”完成投标文件编制后生成并加密的数据电文形式的投标文件。</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szCs w:val="21"/>
                <w:highlight w:val="none"/>
              </w:rPr>
            </w:pPr>
            <w:r>
              <w:rPr>
                <w:rFonts w:hint="eastAsia" w:ascii="宋体" w:hAnsi="宋体" w:cs="宋体"/>
                <w:szCs w:val="21"/>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3.3.1</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szCs w:val="21"/>
                <w:highlight w:val="none"/>
              </w:rPr>
            </w:pPr>
            <w:r>
              <w:rPr>
                <w:rFonts w:hint="eastAsia" w:ascii="宋体" w:hAnsi="宋体" w:cs="宋体"/>
                <w:szCs w:val="21"/>
                <w:highlight w:val="none"/>
              </w:rPr>
              <w:t>投标文件的编制要求</w:t>
            </w:r>
          </w:p>
        </w:tc>
        <w:tc>
          <w:tcPr>
            <w:tcW w:w="6227" w:type="dxa"/>
            <w:vAlign w:val="center"/>
          </w:tcPr>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szCs w:val="21"/>
                <w:highlight w:val="none"/>
              </w:rPr>
            </w:pPr>
            <w:r>
              <w:rPr>
                <w:rFonts w:hint="eastAsia" w:ascii="宋体" w:hAnsi="宋体" w:cs="宋体"/>
                <w:szCs w:val="21"/>
                <w:highlight w:val="none"/>
              </w:rPr>
              <w:t>投标人应先安装“政采云电子交易客户端”，并按照采购文件中规定的“投标文件格式”中提供的格式和“政府采购云平台”的要求，通过“政采云电子交易客户端”编制并加密投标文件。</w:t>
            </w:r>
            <w:r>
              <w:rPr>
                <w:rFonts w:hint="eastAsia" w:ascii="宋体" w:hAnsi="宋体" w:cs="宋体"/>
                <w:b/>
                <w:szCs w:val="21"/>
                <w:highlight w:val="none"/>
              </w:rPr>
              <w:t>其中《资格文件》和《商务技术文件》中不得出现本项目投标报价，如因投标人原因提前泄露投标报价，是投标人的责任。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3.3.3</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投标文件的签字或盖章要求</w:t>
            </w:r>
          </w:p>
        </w:tc>
        <w:tc>
          <w:tcPr>
            <w:tcW w:w="6227" w:type="dxa"/>
            <w:vAlign w:val="center"/>
          </w:tcPr>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b/>
                <w:bCs/>
                <w:highlight w:val="none"/>
              </w:rPr>
            </w:pPr>
            <w:r>
              <w:rPr>
                <w:rFonts w:hint="eastAsia" w:ascii="宋体" w:hAnsi="宋体" w:cs="宋体"/>
                <w:b/>
                <w:bCs/>
                <w:highlight w:val="none"/>
              </w:rPr>
              <w:t>1、按“投标文件格式”中提供的格式进行签字盖章。</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b/>
                <w:bCs/>
                <w:highlight w:val="none"/>
              </w:rPr>
            </w:pPr>
            <w:r>
              <w:rPr>
                <w:rFonts w:hint="eastAsia" w:ascii="宋体" w:hAnsi="宋体" w:cs="宋体"/>
                <w:b/>
                <w:bCs/>
                <w:highlight w:val="none"/>
              </w:rPr>
              <w:t>2、投标文件签署人（签字或盖章）：因系统无法进行法定代表人或其授权代表签字或盖章操作，需线下签字或盖章扫描后上传至电子投标文件中。</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b/>
                <w:bCs/>
                <w:highlight w:val="none"/>
              </w:rPr>
            </w:pPr>
            <w:r>
              <w:rPr>
                <w:rFonts w:hint="eastAsia" w:ascii="宋体" w:hAnsi="宋体" w:cs="宋体"/>
                <w:b/>
                <w:bCs/>
                <w:highlight w:val="none"/>
              </w:rPr>
              <w:t>3、盖单位公章：可使用电子公章在线签章或盖单位公章扫描上传。</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b/>
                <w:szCs w:val="21"/>
                <w:highlight w:val="none"/>
              </w:rPr>
            </w:pPr>
            <w:r>
              <w:rPr>
                <w:rFonts w:hint="eastAsia" w:ascii="宋体" w:hAnsi="宋体" w:cs="宋体"/>
                <w:b/>
                <w:bCs/>
                <w:highlight w:val="none"/>
              </w:rPr>
              <w:t>4、电子签章操作指南详见《供应商项目采购-电子招投标操作指南》。系统要求进行电子签章的，按系统要求签章。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3.3.4</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szCs w:val="21"/>
                <w:highlight w:val="none"/>
              </w:rPr>
            </w:pPr>
            <w:r>
              <w:rPr>
                <w:rFonts w:hint="eastAsia" w:ascii="宋体" w:hAnsi="宋体" w:cs="宋体"/>
                <w:szCs w:val="21"/>
                <w:highlight w:val="none"/>
              </w:rPr>
              <w:t>投标文件份数</w:t>
            </w:r>
          </w:p>
        </w:tc>
        <w:tc>
          <w:tcPr>
            <w:tcW w:w="6227" w:type="dxa"/>
            <w:vAlign w:val="center"/>
          </w:tcPr>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szCs w:val="21"/>
                <w:highlight w:val="none"/>
              </w:rPr>
            </w:pPr>
            <w:r>
              <w:rPr>
                <w:rFonts w:hint="eastAsia" w:ascii="宋体" w:hAnsi="宋体" w:cs="宋体"/>
                <w:szCs w:val="21"/>
                <w:highlight w:val="none"/>
              </w:rPr>
              <w:t>（1）“电子加密投标文件”：在线上传递交一份。</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szCs w:val="21"/>
                <w:highlight w:val="none"/>
              </w:rPr>
            </w:pPr>
            <w:r>
              <w:rPr>
                <w:rFonts w:hint="eastAsia" w:ascii="宋体" w:hAnsi="宋体" w:cs="宋体"/>
                <w:szCs w:val="21"/>
                <w:highlight w:val="none"/>
              </w:rPr>
              <w:t>（2）“备份投标文件”：密封包装后（可邮寄形式）投标截止时间前递交一份（邮寄地址：杭州市文晖路42号现代置业大厦西楼1801室张谊收）。</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szCs w:val="21"/>
                <w:highlight w:val="none"/>
              </w:rPr>
            </w:pPr>
            <w:r>
              <w:rPr>
                <w:rFonts w:hint="eastAsia" w:ascii="宋体" w:hAnsi="宋体" w:cs="宋体"/>
                <w:szCs w:val="21"/>
                <w:highlight w:val="none"/>
              </w:rPr>
              <w:t>（3）中标人在领取中标通知书时向采购人提供全套纸质投标文件3份。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3.5.1</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投标文件有效期</w:t>
            </w:r>
          </w:p>
        </w:tc>
        <w:tc>
          <w:tcPr>
            <w:tcW w:w="6227" w:type="dxa"/>
            <w:vAlign w:val="center"/>
          </w:tcPr>
          <w:p>
            <w:pPr>
              <w:keepNext w:val="0"/>
              <w:keepLines w:val="0"/>
              <w:widowControl/>
              <w:suppressLineNumbers w:val="0"/>
              <w:snapToGrid w:val="0"/>
              <w:spacing w:before="0" w:beforeAutospacing="0" w:after="0" w:afterAutospacing="0" w:line="360" w:lineRule="auto"/>
              <w:ind w:left="0" w:right="0"/>
              <w:rPr>
                <w:rFonts w:hint="default" w:ascii="宋体" w:hAnsi="宋体" w:cs="宋体"/>
                <w:highlight w:val="none"/>
              </w:rPr>
            </w:pPr>
            <w:r>
              <w:rPr>
                <w:rFonts w:hint="eastAsia" w:ascii="宋体" w:hAnsi="宋体" w:cs="宋体"/>
                <w:highlight w:val="none"/>
              </w:rPr>
              <w:t>自投标截止时间起120天内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4.1</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投标截止时间</w:t>
            </w:r>
          </w:p>
        </w:tc>
        <w:tc>
          <w:tcPr>
            <w:tcW w:w="6227" w:type="dxa"/>
            <w:vAlign w:val="center"/>
          </w:tcPr>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highlight w:val="none"/>
              </w:rPr>
            </w:pPr>
            <w:r>
              <w:rPr>
                <w:rFonts w:hint="eastAsia" w:ascii="宋体" w:hAnsi="宋体" w:cs="宋体"/>
                <w:szCs w:val="21"/>
                <w:highlight w:val="none"/>
              </w:rPr>
              <w:t>按“招标公告”规定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4.1</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投标地点</w:t>
            </w:r>
          </w:p>
        </w:tc>
        <w:tc>
          <w:tcPr>
            <w:tcW w:w="6227" w:type="dxa"/>
            <w:vAlign w:val="center"/>
          </w:tcPr>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szCs w:val="21"/>
                <w:highlight w:val="none"/>
              </w:rPr>
            </w:pPr>
            <w:r>
              <w:rPr>
                <w:rFonts w:hint="eastAsia" w:ascii="宋体" w:hAnsi="宋体" w:cs="宋体"/>
                <w:szCs w:val="21"/>
                <w:highlight w:val="none"/>
              </w:rPr>
              <w:t>按“招标公告”规定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5.1.1</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开标时间和地点</w:t>
            </w:r>
          </w:p>
        </w:tc>
        <w:tc>
          <w:tcPr>
            <w:tcW w:w="6227" w:type="dxa"/>
            <w:vAlign w:val="center"/>
          </w:tcPr>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highlight w:val="none"/>
              </w:rPr>
            </w:pPr>
            <w:r>
              <w:rPr>
                <w:rFonts w:hint="eastAsia" w:ascii="宋体" w:hAnsi="宋体" w:cs="宋体"/>
                <w:szCs w:val="21"/>
                <w:highlight w:val="none"/>
              </w:rPr>
              <w:t>按“招标公告”规定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5.13</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履约保证金</w:t>
            </w:r>
          </w:p>
        </w:tc>
        <w:tc>
          <w:tcPr>
            <w:tcW w:w="6227" w:type="dxa"/>
            <w:vAlign w:val="center"/>
          </w:tcPr>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highlight w:val="none"/>
              </w:rPr>
            </w:pPr>
            <w:r>
              <w:rPr>
                <w:rFonts w:hint="eastAsia" w:ascii="宋体" w:hAnsi="宋体" w:cs="宋体"/>
                <w:highlight w:val="none"/>
              </w:rPr>
              <w:t>履约保证金金额：合同金额的1%</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highlight w:val="none"/>
              </w:rPr>
            </w:pPr>
            <w:r>
              <w:rPr>
                <w:rFonts w:hint="eastAsia" w:ascii="宋体" w:hAnsi="宋体" w:cs="宋体"/>
                <w:highlight w:val="none"/>
              </w:rPr>
              <w:t>履约保证金缴纳形式：</w:t>
            </w:r>
            <w:r>
              <w:rPr>
                <w:rFonts w:hint="eastAsia" w:ascii="宋体" w:hAnsi="宋体" w:cs="宋体"/>
                <w:lang w:val="en-US" w:eastAsia="zh-CN"/>
              </w:rPr>
              <w:t>支票、汇票、本票或者金融机构、担保机构出具的保函等非现金形式；</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highlight w:val="none"/>
              </w:rPr>
            </w:pPr>
            <w:r>
              <w:rPr>
                <w:rFonts w:hint="eastAsia" w:ascii="宋体" w:hAnsi="宋体" w:cs="宋体"/>
                <w:highlight w:val="none"/>
              </w:rPr>
              <w:t>履约保证金缴纳时间：合同签订后</w:t>
            </w:r>
            <w:r>
              <w:rPr>
                <w:rFonts w:hint="eastAsia" w:ascii="宋体" w:hAnsi="宋体" w:cs="宋体"/>
                <w:highlight w:val="none"/>
                <w:lang w:val="en-US" w:eastAsia="zh-CN"/>
              </w:rPr>
              <w:t>7</w:t>
            </w:r>
            <w:r>
              <w:rPr>
                <w:rFonts w:hint="eastAsia" w:ascii="宋体" w:hAnsi="宋体" w:cs="宋体"/>
                <w:highlight w:val="none"/>
              </w:rPr>
              <w:t xml:space="preserve">个工作日内 </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highlight w:val="none"/>
              </w:rPr>
            </w:pPr>
            <w:r>
              <w:rPr>
                <w:rFonts w:hint="eastAsia" w:ascii="宋体" w:hAnsi="宋体" w:cs="宋体"/>
                <w:highlight w:val="none"/>
              </w:rPr>
              <w:t>履约保证金接收人：合同甲方</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highlight w:val="none"/>
              </w:rPr>
            </w:pPr>
            <w:r>
              <w:rPr>
                <w:rFonts w:hint="eastAsia" w:ascii="宋体" w:hAnsi="宋体" w:cs="宋体"/>
                <w:highlight w:val="none"/>
              </w:rPr>
              <w:t>履约保证金有效期限：</w:t>
            </w:r>
            <w:r>
              <w:rPr>
                <w:rFonts w:hint="eastAsia" w:ascii="宋体" w:hAnsi="宋体" w:cs="宋体"/>
                <w:highlight w:val="none"/>
                <w:lang w:val="en-US" w:eastAsia="zh-CN"/>
              </w:rPr>
              <w:t>工程竣工验收合格，监理</w:t>
            </w:r>
            <w:r>
              <w:rPr>
                <w:rFonts w:hint="eastAsia" w:ascii="宋体" w:hAnsi="宋体" w:cs="宋体"/>
                <w:highlight w:val="none"/>
              </w:rPr>
              <w:t>服务期满后，退还履约保函。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5.14</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highlight w:val="none"/>
              </w:rPr>
            </w:pPr>
            <w:r>
              <w:rPr>
                <w:rFonts w:hint="eastAsia" w:ascii="宋体" w:hAnsi="宋体" w:cs="宋体"/>
                <w:highlight w:val="none"/>
              </w:rPr>
              <w:t>采购代理服务费</w:t>
            </w:r>
          </w:p>
        </w:tc>
        <w:tc>
          <w:tcPr>
            <w:tcW w:w="6227" w:type="dxa"/>
            <w:vAlign w:val="center"/>
          </w:tcPr>
          <w:p>
            <w:pPr>
              <w:keepNext w:val="0"/>
              <w:keepLines w:val="0"/>
              <w:suppressLineNumbers w:val="0"/>
              <w:spacing w:before="0" w:beforeAutospacing="0" w:after="0" w:afterAutospacing="0" w:line="360" w:lineRule="auto"/>
              <w:ind w:left="0" w:right="0" w:firstLine="422" w:firstLineChars="200"/>
              <w:jc w:val="left"/>
              <w:rPr>
                <w:rFonts w:hint="eastAsia" w:ascii="宋体" w:hAnsi="宋体" w:cs="Arial"/>
                <w:b/>
                <w:szCs w:val="21"/>
              </w:rPr>
            </w:pPr>
            <w:r>
              <w:rPr>
                <w:rFonts w:hint="eastAsia" w:ascii="宋体" w:hAnsi="宋体" w:cs="Arial"/>
                <w:b/>
                <w:szCs w:val="21"/>
              </w:rPr>
              <w:t>本项目的采购代理费由成交人支付，按照按国家计委关于印发《招标代理服务收费管理暂行办法》的通知[计价格[2002]1980号文的标准70%计取，不足2000元按2000元计取。结算方式及时间为：在领取成交通知书时由成交人一次性向采购代理机构付清。</w:t>
            </w:r>
          </w:p>
          <w:p>
            <w:pPr>
              <w:keepNext w:val="0"/>
              <w:keepLines w:val="0"/>
              <w:suppressLineNumbers w:val="0"/>
              <w:spacing w:before="0" w:beforeAutospacing="0" w:after="0" w:afterAutospacing="0" w:line="360" w:lineRule="auto"/>
              <w:ind w:left="0" w:right="0"/>
              <w:jc w:val="left"/>
              <w:rPr>
                <w:rFonts w:hint="eastAsia" w:hAnsi="宋体" w:cs="Arial"/>
                <w:kern w:val="0"/>
                <w:szCs w:val="21"/>
              </w:rPr>
            </w:pPr>
            <w:r>
              <w:rPr>
                <w:rFonts w:hint="default" w:ascii="宋体" w:hAnsi="宋体" w:cs="Arial"/>
              </w:rPr>
              <w:t>支付方式：</w:t>
            </w:r>
            <w:r>
              <w:rPr>
                <w:rFonts w:hint="eastAsia" w:hAnsi="宋体" w:cs="Arial"/>
                <w:kern w:val="0"/>
                <w:szCs w:val="21"/>
              </w:rPr>
              <w:t>银行转账（汇款、电汇）或汇（支、本）票等方式</w:t>
            </w:r>
          </w:p>
          <w:p>
            <w:pPr>
              <w:keepNext w:val="0"/>
              <w:keepLines w:val="0"/>
              <w:suppressLineNumbers w:val="0"/>
              <w:spacing w:before="0" w:beforeAutospacing="0" w:after="0" w:afterAutospacing="0" w:line="360" w:lineRule="auto"/>
              <w:ind w:left="0" w:right="0"/>
              <w:jc w:val="left"/>
              <w:rPr>
                <w:rFonts w:hint="eastAsia" w:ascii="宋体" w:hAnsi="宋体" w:cs="Arial"/>
                <w:szCs w:val="21"/>
              </w:rPr>
            </w:pPr>
            <w:r>
              <w:rPr>
                <w:rFonts w:hint="eastAsia" w:ascii="宋体" w:hAnsi="宋体" w:cs="Arial"/>
                <w:szCs w:val="21"/>
              </w:rPr>
              <w:t>收款单位（</w:t>
            </w:r>
            <w:r>
              <w:rPr>
                <w:rFonts w:hint="default" w:ascii="宋体" w:hAnsi="宋体" w:cs="Arial"/>
                <w:szCs w:val="21"/>
              </w:rPr>
              <w:t>户名</w:t>
            </w:r>
            <w:r>
              <w:rPr>
                <w:rFonts w:hint="eastAsia" w:ascii="宋体" w:hAnsi="宋体" w:cs="Arial"/>
                <w:szCs w:val="21"/>
              </w:rPr>
              <w:t>）</w:t>
            </w:r>
            <w:r>
              <w:rPr>
                <w:rFonts w:hint="default" w:ascii="宋体" w:hAnsi="宋体" w:cs="Arial"/>
                <w:szCs w:val="21"/>
              </w:rPr>
              <w:t>：浙江省成套招标代理有限公司</w:t>
            </w:r>
          </w:p>
          <w:p>
            <w:pPr>
              <w:keepNext w:val="0"/>
              <w:keepLines w:val="0"/>
              <w:suppressLineNumbers w:val="0"/>
              <w:spacing w:before="0" w:beforeAutospacing="0" w:after="0" w:afterAutospacing="0" w:line="360" w:lineRule="auto"/>
              <w:ind w:left="0" w:right="0"/>
              <w:jc w:val="left"/>
              <w:rPr>
                <w:rFonts w:hint="eastAsia" w:ascii="宋体" w:hAnsi="宋体" w:cs="Arial"/>
                <w:szCs w:val="21"/>
              </w:rPr>
            </w:pPr>
            <w:r>
              <w:rPr>
                <w:rFonts w:hint="default" w:ascii="宋体" w:hAnsi="宋体" w:cs="Arial"/>
                <w:szCs w:val="21"/>
              </w:rPr>
              <w:t>开户：中信银行杭州西湖支行</w:t>
            </w:r>
          </w:p>
          <w:p>
            <w:pPr>
              <w:pStyle w:val="145"/>
              <w:keepNext w:val="0"/>
              <w:keepLines w:val="0"/>
              <w:suppressLineNumbers w:val="0"/>
              <w:spacing w:before="0" w:beforeAutospacing="0" w:after="0" w:afterAutospacing="0" w:line="360" w:lineRule="auto"/>
              <w:ind w:left="0" w:right="0" w:firstLine="0" w:firstLineChars="0"/>
              <w:rPr>
                <w:rFonts w:hint="default" w:ascii="宋体" w:hAnsi="宋体" w:cs="宋体"/>
                <w:highlight w:val="none"/>
              </w:rPr>
            </w:pPr>
            <w:r>
              <w:rPr>
                <w:rFonts w:hint="default" w:ascii="宋体" w:hAnsi="宋体" w:cs="Arial"/>
                <w:szCs w:val="21"/>
                <w:lang w:val="en-US" w:eastAsia="zh-CN"/>
              </w:rPr>
              <w:t>账号：7331610182600126385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kern w:val="0"/>
                <w:highlight w:val="none"/>
              </w:rPr>
            </w:pPr>
            <w:r>
              <w:rPr>
                <w:rFonts w:hint="eastAsia" w:ascii="宋体" w:hAnsi="宋体" w:cs="宋体"/>
                <w:kern w:val="0"/>
                <w:highlight w:val="none"/>
              </w:rPr>
              <w:t>6</w:t>
            </w:r>
          </w:p>
        </w:tc>
        <w:tc>
          <w:tcPr>
            <w:tcW w:w="1309" w:type="dxa"/>
            <w:vAlign w:val="center"/>
          </w:tcPr>
          <w:p>
            <w:pPr>
              <w:pStyle w:val="145"/>
              <w:keepNext w:val="0"/>
              <w:keepLines w:val="0"/>
              <w:suppressLineNumbers w:val="0"/>
              <w:snapToGrid w:val="0"/>
              <w:spacing w:before="0" w:beforeAutospacing="0" w:after="0" w:afterAutospacing="0" w:line="360" w:lineRule="auto"/>
              <w:ind w:left="0" w:right="0" w:firstLine="0" w:firstLineChars="0"/>
              <w:jc w:val="center"/>
              <w:rPr>
                <w:rFonts w:hint="default" w:ascii="宋体" w:hAnsi="宋体" w:cs="宋体"/>
                <w:b/>
                <w:highlight w:val="none"/>
              </w:rPr>
            </w:pPr>
            <w:r>
              <w:rPr>
                <w:rFonts w:hint="eastAsia" w:ascii="宋体" w:hAnsi="宋体" w:cs="宋体"/>
                <w:b/>
                <w:highlight w:val="none"/>
              </w:rPr>
              <w:t>电子加密投标文件的解密和异常情况处理</w:t>
            </w:r>
          </w:p>
        </w:tc>
        <w:tc>
          <w:tcPr>
            <w:tcW w:w="6227" w:type="dxa"/>
            <w:vAlign w:val="center"/>
          </w:tcPr>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b/>
                <w:highlight w:val="none"/>
              </w:rPr>
            </w:pPr>
            <w:r>
              <w:rPr>
                <w:rFonts w:hint="eastAsia" w:ascii="宋体" w:hAnsi="宋体" w:cs="宋体"/>
                <w:b/>
                <w:highlight w:val="none"/>
              </w:rPr>
              <w:t>（1）开标后，采购组织机构将向各投标人发出“电子加密投标文件”的解密通知，各投标人代表应当在接到解密通知后30分钟内自行完成“电子加密投标文件”的在线解密。</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b/>
                <w:highlight w:val="none"/>
              </w:rPr>
            </w:pPr>
            <w:r>
              <w:rPr>
                <w:rFonts w:hint="eastAsia" w:ascii="宋体" w:hAnsi="宋体" w:cs="宋体"/>
                <w:b/>
                <w:highlight w:val="none"/>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b/>
                <w:highlight w:val="none"/>
              </w:rPr>
            </w:pPr>
            <w:r>
              <w:rPr>
                <w:rFonts w:hint="eastAsia" w:ascii="宋体" w:hAnsi="宋体" w:cs="宋体"/>
                <w:b/>
                <w:highlight w:val="none"/>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kern w:val="0"/>
                <w:highlight w:val="none"/>
              </w:rPr>
            </w:pPr>
            <w:r>
              <w:rPr>
                <w:rFonts w:hint="eastAsia" w:ascii="宋体" w:hAnsi="宋体" w:cs="宋体"/>
                <w:kern w:val="0"/>
                <w:highlight w:val="none"/>
              </w:rPr>
              <w:t>7</w:t>
            </w:r>
          </w:p>
        </w:tc>
        <w:tc>
          <w:tcPr>
            <w:tcW w:w="1309"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kern w:val="0"/>
                <w:szCs w:val="21"/>
                <w:highlight w:val="none"/>
              </w:rPr>
            </w:pPr>
            <w:r>
              <w:rPr>
                <w:rFonts w:hint="eastAsia" w:ascii="宋体" w:hAnsi="宋体" w:cs="宋体"/>
                <w:b/>
                <w:kern w:val="0"/>
                <w:szCs w:val="21"/>
                <w:highlight w:val="none"/>
              </w:rPr>
              <w:t>在线投标响应（电子投标）说明</w:t>
            </w:r>
          </w:p>
        </w:tc>
        <w:tc>
          <w:tcPr>
            <w:tcW w:w="6227" w:type="dxa"/>
            <w:vAlign w:val="center"/>
          </w:tcPr>
          <w:p>
            <w:pPr>
              <w:keepNext w:val="0"/>
              <w:keepLines w:val="0"/>
              <w:widowControl/>
              <w:suppressLineNumbers w:val="0"/>
              <w:spacing w:before="0" w:beforeAutospacing="0" w:after="0" w:afterAutospacing="0" w:line="360" w:lineRule="auto"/>
              <w:ind w:left="0" w:right="0"/>
              <w:jc w:val="left"/>
              <w:rPr>
                <w:rFonts w:hint="default" w:ascii="宋体" w:hAnsi="宋体" w:cs="宋体"/>
                <w:b/>
                <w:kern w:val="0"/>
                <w:szCs w:val="21"/>
                <w:highlight w:val="none"/>
              </w:rPr>
            </w:pPr>
            <w:r>
              <w:rPr>
                <w:rFonts w:hint="eastAsia" w:ascii="宋体" w:hAnsi="宋体" w:cs="宋体"/>
                <w:b/>
                <w:kern w:val="0"/>
                <w:szCs w:val="21"/>
                <w:highlight w:val="none"/>
              </w:rPr>
              <w:t>1、本项目通过“政府采购云平台（www.zcygov.cn）”实行在线投标响应（电子投标），供应商应安装“政采云电子交易客户端”，电子投标工具请供应商自行前往浙江政府采购网下载并安装，（下载网址：http://zfcg.czt.zj.gov.cn/bidClientTemplate/2019-09-24/12975.html）。“政采云电子交易客户端”请自行前往“浙江政府采购网-下载专区-电子交易客户端”进行下载；电子交易具体流程详见操作指南：登录“政府采购云平台（www.zcygov.cn）”，从首页-服务中心-帮助文档-项目采购-电子招投标，查看文档和视频；通过“政府采购云平台”参与在线投标时如遇平台技术问题详询400-881-7190。</w:t>
            </w:r>
          </w:p>
          <w:p>
            <w:pPr>
              <w:keepNext w:val="0"/>
              <w:keepLines w:val="0"/>
              <w:widowControl/>
              <w:suppressLineNumbers w:val="0"/>
              <w:spacing w:before="0" w:beforeAutospacing="0" w:after="0" w:afterAutospacing="0" w:line="360" w:lineRule="auto"/>
              <w:ind w:left="0" w:right="0"/>
              <w:jc w:val="left"/>
              <w:rPr>
                <w:rFonts w:hint="default" w:ascii="宋体" w:hAnsi="宋体" w:cs="宋体"/>
                <w:b/>
                <w:kern w:val="0"/>
                <w:szCs w:val="21"/>
                <w:highlight w:val="none"/>
              </w:rPr>
            </w:pPr>
            <w:r>
              <w:rPr>
                <w:rFonts w:hint="eastAsia" w:ascii="宋体" w:hAnsi="宋体" w:cs="宋体"/>
                <w:b/>
                <w:kern w:val="0"/>
                <w:szCs w:val="21"/>
                <w:highlight w:val="none"/>
              </w:rPr>
              <w:t>2、为确保网上操作合法、有效和安全，投标人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default"/>
                <w:highlight w:val="none"/>
              </w:rPr>
              <w:fldChar w:fldCharType="begin"/>
            </w:r>
            <w:r>
              <w:rPr>
                <w:rFonts w:hint="default"/>
                <w:highlight w:val="none"/>
              </w:rPr>
              <w:instrText xml:space="preserve"> HYPERLINK "http://www.zjzfcg.gov.cn/bidClientTemplate/2019-05-27/12945.html" \t "_blank" \o "CA驱动和申领流程" </w:instrText>
            </w:r>
            <w:r>
              <w:rPr>
                <w:rFonts w:hint="default"/>
                <w:highlight w:val="none"/>
              </w:rPr>
              <w:fldChar w:fldCharType="separate"/>
            </w:r>
            <w:r>
              <w:rPr>
                <w:rFonts w:hint="eastAsia" w:ascii="宋体" w:hAnsi="宋体" w:cs="宋体"/>
                <w:b/>
                <w:kern w:val="0"/>
                <w:szCs w:val="21"/>
                <w:highlight w:val="none"/>
              </w:rPr>
              <w:t>CA驱动和申领流程</w:t>
            </w:r>
            <w:r>
              <w:rPr>
                <w:rFonts w:hint="eastAsia" w:ascii="宋体" w:hAnsi="宋体" w:cs="宋体"/>
                <w:b/>
                <w:kern w:val="0"/>
                <w:szCs w:val="21"/>
                <w:highlight w:val="none"/>
              </w:rPr>
              <w:fldChar w:fldCharType="end"/>
            </w:r>
            <w:r>
              <w:rPr>
                <w:rFonts w:hint="eastAsia" w:ascii="宋体" w:hAnsi="宋体" w:cs="宋体"/>
                <w:b/>
                <w:kern w:val="0"/>
                <w:szCs w:val="21"/>
                <w:highlight w:val="none"/>
              </w:rPr>
              <w:t>”进行查阅。</w:t>
            </w:r>
          </w:p>
          <w:p>
            <w:pPr>
              <w:keepNext w:val="0"/>
              <w:keepLines w:val="0"/>
              <w:widowControl/>
              <w:suppressLineNumbers w:val="0"/>
              <w:spacing w:before="0" w:beforeAutospacing="0" w:after="0" w:afterAutospacing="0" w:line="360" w:lineRule="auto"/>
              <w:ind w:left="0" w:right="0"/>
              <w:jc w:val="left"/>
              <w:rPr>
                <w:rFonts w:hint="default" w:ascii="宋体" w:hAnsi="宋体" w:cs="宋体"/>
                <w:b/>
                <w:kern w:val="0"/>
                <w:szCs w:val="21"/>
                <w:highlight w:val="none"/>
              </w:rPr>
            </w:pPr>
            <w:r>
              <w:rPr>
                <w:rFonts w:hint="eastAsia" w:ascii="宋体" w:hAnsi="宋体" w:cs="宋体"/>
                <w:b/>
                <w:kern w:val="0"/>
                <w:szCs w:val="21"/>
                <w:highlight w:val="none"/>
              </w:rPr>
              <w:t>3、投标人应当在投标截止时间前，将生成的“电子加密投标文件”上传递交至“政府采购云平台”。投标截止时间以后上传递交的投标文件将被“政府采购云平台”拒收。</w:t>
            </w:r>
          </w:p>
          <w:p>
            <w:pPr>
              <w:keepNext w:val="0"/>
              <w:keepLines w:val="0"/>
              <w:widowControl/>
              <w:suppressLineNumbers w:val="0"/>
              <w:spacing w:before="0" w:beforeAutospacing="0" w:after="0" w:afterAutospacing="0" w:line="360" w:lineRule="auto"/>
              <w:ind w:left="0" w:right="0"/>
              <w:jc w:val="left"/>
              <w:rPr>
                <w:rFonts w:hint="default" w:ascii="宋体" w:hAnsi="宋体" w:cs="宋体"/>
                <w:b/>
                <w:kern w:val="0"/>
                <w:szCs w:val="21"/>
                <w:highlight w:val="none"/>
              </w:rPr>
            </w:pPr>
            <w:r>
              <w:rPr>
                <w:rFonts w:hint="eastAsia" w:ascii="宋体" w:hAnsi="宋体" w:cs="宋体"/>
                <w:b/>
                <w:kern w:val="0"/>
                <w:szCs w:val="21"/>
                <w:highlight w:val="none"/>
              </w:rPr>
              <w:t>4、投标人在“政府采购云平台”完成“电子加密投标文件”的上传递交后，还可以（邮寄形式）在投标截止时间前递交以介质（U盘）存储的数据电文形式的“备份投标文件”，“备份投标文件”应当密封包装并在包装上标注投标项目名称、投标单位名称并加盖公章。</w:t>
            </w:r>
          </w:p>
          <w:p>
            <w:pPr>
              <w:keepNext w:val="0"/>
              <w:keepLines w:val="0"/>
              <w:widowControl/>
              <w:suppressLineNumbers w:val="0"/>
              <w:spacing w:before="0" w:beforeAutospacing="0" w:after="0" w:afterAutospacing="0" w:line="360" w:lineRule="auto"/>
              <w:ind w:left="0" w:right="0"/>
              <w:jc w:val="left"/>
              <w:rPr>
                <w:rFonts w:hint="default" w:ascii="宋体" w:hAnsi="宋体" w:cs="宋体"/>
                <w:b/>
                <w:kern w:val="0"/>
                <w:szCs w:val="21"/>
                <w:highlight w:val="none"/>
              </w:rPr>
            </w:pPr>
            <w:r>
              <w:rPr>
                <w:rFonts w:hint="eastAsia" w:ascii="宋体" w:hAnsi="宋体" w:cs="宋体"/>
                <w:b/>
                <w:kern w:val="0"/>
                <w:szCs w:val="21"/>
                <w:highlight w:val="none"/>
              </w:rPr>
              <w:t>5、通过“政府采购云平台”上传递交的“电子加密投标文件”无法按时解密，投标人递交了备份投标文件的，以备份投标文件为依据，否则视为投标文件撤回。通过“政府采购云平台”上传递交的“电子加密投标文件”已按时解密的，“备份投标文件”自动失效。投标人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keepNext w:val="0"/>
              <w:keepLines w:val="0"/>
              <w:suppressLineNumbers w:val="0"/>
              <w:snapToGrid w:val="0"/>
              <w:spacing w:before="0" w:beforeAutospacing="0" w:after="0" w:afterAutospacing="0" w:line="360" w:lineRule="exact"/>
              <w:ind w:left="0" w:right="0"/>
              <w:jc w:val="center"/>
              <w:rPr>
                <w:rFonts w:hint="default" w:ascii="宋体" w:hAnsi="宋体" w:cs="宋体"/>
                <w:kern w:val="0"/>
                <w:highlight w:val="none"/>
              </w:rPr>
            </w:pPr>
            <w:r>
              <w:rPr>
                <w:rFonts w:hint="eastAsia" w:ascii="宋体" w:hAnsi="宋体" w:cs="宋体"/>
                <w:kern w:val="0"/>
                <w:highlight w:val="none"/>
              </w:rPr>
              <w:t>8</w:t>
            </w:r>
          </w:p>
        </w:tc>
        <w:tc>
          <w:tcPr>
            <w:tcW w:w="1309" w:type="dxa"/>
            <w:vAlign w:val="center"/>
          </w:tcPr>
          <w:p>
            <w:pPr>
              <w:keepNext w:val="0"/>
              <w:keepLines w:val="0"/>
              <w:suppressLineNumbers w:val="0"/>
              <w:snapToGrid w:val="0"/>
              <w:spacing w:before="0" w:beforeAutospacing="0" w:after="0" w:afterAutospacing="0" w:line="360" w:lineRule="exact"/>
              <w:ind w:left="0" w:right="0"/>
              <w:jc w:val="center"/>
              <w:rPr>
                <w:rFonts w:hint="default" w:ascii="宋体" w:hAnsi="宋体" w:cs="宋体"/>
                <w:b/>
                <w:kern w:val="0"/>
                <w:szCs w:val="21"/>
                <w:highlight w:val="none"/>
              </w:rPr>
            </w:pPr>
            <w:r>
              <w:rPr>
                <w:rFonts w:hint="eastAsia" w:ascii="宋体" w:hAnsi="宋体" w:cs="宋体"/>
                <w:b/>
                <w:snapToGrid w:val="0"/>
                <w:kern w:val="0"/>
                <w:highlight w:val="none"/>
              </w:rPr>
              <w:t>本项目对应的中小企业划分标准所属行业</w:t>
            </w:r>
          </w:p>
        </w:tc>
        <w:tc>
          <w:tcPr>
            <w:tcW w:w="6227" w:type="dxa"/>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bCs/>
                <w:kern w:val="0"/>
                <w:highlight w:val="none"/>
              </w:rPr>
            </w:pPr>
            <w:r>
              <w:rPr>
                <w:rFonts w:hint="eastAsia" w:ascii="宋体" w:hAnsi="宋体" w:cs="宋体"/>
                <w:bCs/>
                <w:kern w:val="0"/>
                <w:highlight w:val="none"/>
              </w:rPr>
              <w:t>标的：</w:t>
            </w:r>
            <w:r>
              <w:rPr>
                <w:rFonts w:hint="eastAsia" w:ascii="宋体" w:hAnsi="宋体" w:cs="宋体"/>
                <w:bCs/>
                <w:kern w:val="0"/>
                <w:highlight w:val="none"/>
                <w:u w:val="single"/>
              </w:rPr>
              <w:t xml:space="preserve"> </w:t>
            </w:r>
            <w:r>
              <w:rPr>
                <w:rFonts w:hint="eastAsia" w:ascii="宋体" w:hAnsi="宋体" w:cs="宋体"/>
                <w:bCs/>
                <w:kern w:val="0"/>
                <w:highlight w:val="none"/>
                <w:u w:val="single"/>
                <w:lang w:eastAsia="zh-CN"/>
              </w:rPr>
              <w:t>浙江理工大学消防管网改造及安全防护设施、电梯更新项目监理服务</w:t>
            </w:r>
            <w:r>
              <w:rPr>
                <w:rFonts w:hint="eastAsia" w:ascii="宋体" w:hAnsi="宋体" w:cs="宋体"/>
                <w:bCs/>
                <w:kern w:val="0"/>
                <w:highlight w:val="none"/>
                <w:u w:val="single"/>
              </w:rPr>
              <w:t xml:space="preserve"> </w:t>
            </w:r>
            <w:r>
              <w:rPr>
                <w:rFonts w:hint="eastAsia" w:ascii="宋体" w:hAnsi="宋体" w:cs="宋体"/>
                <w:bCs/>
                <w:kern w:val="0"/>
                <w:highlight w:val="none"/>
              </w:rPr>
              <w:t>，属于</w:t>
            </w:r>
            <w:r>
              <w:rPr>
                <w:rFonts w:hint="eastAsia" w:ascii="宋体" w:hAnsi="宋体" w:cs="宋体"/>
                <w:bCs/>
                <w:kern w:val="0"/>
                <w:highlight w:val="none"/>
                <w:u w:val="single"/>
              </w:rPr>
              <w:t xml:space="preserve"> 其他未列明行业 </w:t>
            </w:r>
            <w:r>
              <w:rPr>
                <w:rFonts w:hint="eastAsia" w:ascii="宋体" w:hAnsi="宋体" w:cs="宋体"/>
                <w:bCs/>
                <w:kern w:val="0"/>
                <w:highlight w:val="none"/>
              </w:rPr>
              <w:t>；</w:t>
            </w:r>
          </w:p>
          <w:p>
            <w:pPr>
              <w:keepNext w:val="0"/>
              <w:keepLines w:val="0"/>
              <w:widowControl/>
              <w:suppressLineNumbers w:val="0"/>
              <w:spacing w:before="0" w:beforeAutospacing="0" w:after="0" w:afterAutospacing="0" w:line="360" w:lineRule="exact"/>
              <w:ind w:left="0" w:right="0"/>
              <w:jc w:val="left"/>
              <w:rPr>
                <w:rFonts w:hint="default" w:ascii="宋体" w:hAnsi="宋体" w:cs="宋体"/>
                <w:bCs/>
                <w:kern w:val="0"/>
                <w:highlight w:val="none"/>
              </w:rPr>
            </w:pPr>
            <w:r>
              <w:rPr>
                <w:rFonts w:hint="eastAsia" w:ascii="宋体" w:hAnsi="宋体" w:cs="宋体"/>
                <w:bCs/>
                <w:kern w:val="0"/>
                <w:highlight w:val="none"/>
              </w:rPr>
              <w:t>备注：《关于印发中小企业划型标准规定的通知》（工信部联企业〔2011〕300）</w:t>
            </w:r>
            <w:r>
              <w:rPr>
                <w:rFonts w:hint="eastAsia" w:ascii="宋体" w:hAnsi="宋体" w:cs="宋体"/>
                <w:bCs/>
                <w:kern w:val="0"/>
                <w:highlight w:val="none"/>
                <w:lang w:val="en-US" w:eastAsia="zh-CN"/>
              </w:rPr>
              <w:t>号</w:t>
            </w:r>
            <w:r>
              <w:rPr>
                <w:rFonts w:hint="eastAsia" w:ascii="宋体" w:hAnsi="宋体" w:cs="宋体"/>
                <w:bCs/>
                <w:kern w:val="0"/>
                <w:highlight w:val="none"/>
              </w:rPr>
              <w:t>：</w:t>
            </w:r>
          </w:p>
          <w:p>
            <w:pPr>
              <w:keepNext w:val="0"/>
              <w:keepLines w:val="0"/>
              <w:widowControl/>
              <w:suppressLineNumbers w:val="0"/>
              <w:spacing w:before="0" w:beforeAutospacing="0" w:after="0" w:afterAutospacing="0" w:line="360" w:lineRule="exact"/>
              <w:ind w:left="0" w:right="0"/>
              <w:jc w:val="left"/>
              <w:rPr>
                <w:rFonts w:hint="default" w:ascii="宋体" w:hAnsi="宋体" w:cs="宋体"/>
                <w:b/>
                <w:kern w:val="0"/>
                <w:szCs w:val="21"/>
                <w:highlight w:val="none"/>
              </w:rPr>
            </w:pPr>
            <w:r>
              <w:rPr>
                <w:rFonts w:hint="eastAsia" w:ascii="宋体" w:hAnsi="宋体" w:cs="宋体"/>
                <w:bCs/>
                <w:kern w:val="0"/>
                <w:highlight w:val="none"/>
              </w:rPr>
              <w:t>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Merge w:val="restart"/>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kern w:val="0"/>
                <w:highlight w:val="none"/>
              </w:rPr>
            </w:pPr>
            <w:r>
              <w:rPr>
                <w:rFonts w:hint="eastAsia" w:ascii="宋体" w:hAnsi="宋体" w:cs="宋体"/>
                <w:kern w:val="0"/>
                <w:highlight w:val="none"/>
              </w:rPr>
              <w:t>9</w:t>
            </w:r>
          </w:p>
        </w:tc>
        <w:tc>
          <w:tcPr>
            <w:tcW w:w="1309" w:type="dxa"/>
            <w:vMerge w:val="restart"/>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b/>
                <w:snapToGrid w:val="0"/>
                <w:kern w:val="0"/>
                <w:highlight w:val="none"/>
              </w:rPr>
            </w:pPr>
            <w:r>
              <w:rPr>
                <w:rFonts w:hint="eastAsia" w:ascii="宋体" w:hAnsi="宋体" w:cs="宋体"/>
                <w:b/>
                <w:kern w:val="0"/>
                <w:highlight w:val="none"/>
              </w:rPr>
              <w:t>特别提醒</w:t>
            </w:r>
          </w:p>
        </w:tc>
        <w:tc>
          <w:tcPr>
            <w:tcW w:w="6227"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cs="宋体"/>
                <w:b/>
                <w:kern w:val="0"/>
                <w:highlight w:val="none"/>
              </w:rPr>
            </w:pPr>
            <w:r>
              <w:rPr>
                <w:rFonts w:hint="eastAsia" w:ascii="宋体" w:hAnsi="宋体" w:cs="宋体"/>
                <w:b/>
                <w:kern w:val="10"/>
                <w:szCs w:val="21"/>
                <w:highlight w:val="none"/>
              </w:rPr>
              <w:t>企业信用融资</w:t>
            </w:r>
            <w:r>
              <w:rPr>
                <w:rFonts w:hint="eastAsia" w:ascii="宋体" w:hAnsi="宋体" w:cs="宋体"/>
                <w:szCs w:val="21"/>
                <w:highlight w:val="none"/>
              </w:rPr>
              <w:t>：</w:t>
            </w:r>
            <w:r>
              <w:rPr>
                <w:rFonts w:hint="eastAsia" w:ascii="宋体" w:hAnsi="宋体" w:cs="宋体"/>
                <w:kern w:val="0"/>
                <w:szCs w:val="21"/>
                <w:highlight w:val="none"/>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http://www.zjzfcg.gov.cn/）中小企业信用融资栏目了解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Merge w:val="continue"/>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kern w:val="0"/>
                <w:highlight w:val="none"/>
              </w:rPr>
            </w:pPr>
          </w:p>
        </w:tc>
        <w:tc>
          <w:tcPr>
            <w:tcW w:w="1309" w:type="dxa"/>
            <w:vMerge w:val="continue"/>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b/>
                <w:snapToGrid w:val="0"/>
                <w:kern w:val="0"/>
                <w:highlight w:val="none"/>
              </w:rPr>
            </w:pPr>
          </w:p>
        </w:tc>
        <w:tc>
          <w:tcPr>
            <w:tcW w:w="6227" w:type="dxa"/>
            <w:vAlign w:val="center"/>
          </w:tcPr>
          <w:p>
            <w:pPr>
              <w:pStyle w:val="145"/>
              <w:keepNext w:val="0"/>
              <w:keepLines w:val="0"/>
              <w:suppressLineNumbers w:val="0"/>
              <w:snapToGrid w:val="0"/>
              <w:spacing w:before="0" w:beforeAutospacing="0" w:after="120" w:afterAutospacing="0" w:line="360" w:lineRule="auto"/>
              <w:ind w:left="0" w:right="0" w:firstLine="0" w:firstLineChars="0"/>
              <w:rPr>
                <w:rFonts w:hint="default" w:ascii="宋体" w:hAnsi="宋体" w:cs="宋体"/>
                <w:highlight w:val="none"/>
              </w:rPr>
            </w:pPr>
            <w:r>
              <w:rPr>
                <w:rFonts w:hint="eastAsia" w:ascii="宋体" w:hAnsi="宋体" w:cs="宋体"/>
                <w:highlight w:val="none"/>
              </w:rPr>
              <w:t>根据《关于在政府采购活动中查询及使用信用记录有关问题的通知》财库[2016]125号的规定：</w:t>
            </w:r>
          </w:p>
          <w:p>
            <w:pPr>
              <w:pStyle w:val="145"/>
              <w:keepNext w:val="0"/>
              <w:keepLines w:val="0"/>
              <w:suppressLineNumbers w:val="0"/>
              <w:snapToGrid w:val="0"/>
              <w:spacing w:before="0" w:beforeAutospacing="0" w:after="120" w:afterAutospacing="0" w:line="360" w:lineRule="auto"/>
              <w:ind w:left="0" w:right="0" w:firstLine="0" w:firstLineChars="0"/>
              <w:rPr>
                <w:rFonts w:hint="default" w:ascii="宋体" w:hAnsi="宋体" w:cs="宋体"/>
                <w:highlight w:val="none"/>
              </w:rPr>
            </w:pPr>
            <w:r>
              <w:rPr>
                <w:rFonts w:hint="eastAsia" w:ascii="宋体" w:hAnsi="宋体" w:cs="宋体"/>
                <w:highlight w:val="none"/>
              </w:rPr>
              <w:t>1）采购人或采购代理机构将对本项目供应商的信用信息进行查询。对列入失信被执行人、重大税收违法案件当事人名单、政府采购严重违法失信行为记录名单及其他不符合《中华人民共和国政府采购法》第二十二条规定条件的供应商，将拒绝其参与本次政府采购活动；</w:t>
            </w:r>
          </w:p>
          <w:p>
            <w:pPr>
              <w:pStyle w:val="145"/>
              <w:keepNext w:val="0"/>
              <w:keepLines w:val="0"/>
              <w:suppressLineNumbers w:val="0"/>
              <w:snapToGrid w:val="0"/>
              <w:spacing w:before="0" w:beforeAutospacing="0" w:after="120" w:afterAutospacing="0" w:line="360" w:lineRule="auto"/>
              <w:ind w:left="0" w:right="0" w:firstLine="0" w:firstLineChars="0"/>
              <w:rPr>
                <w:rFonts w:hint="default" w:ascii="宋体" w:hAnsi="宋体" w:cs="宋体"/>
                <w:highlight w:val="none"/>
              </w:rPr>
            </w:pPr>
            <w:r>
              <w:rPr>
                <w:rFonts w:hint="eastAsia" w:ascii="宋体" w:hAnsi="宋体" w:cs="宋体"/>
                <w:highlight w:val="none"/>
              </w:rPr>
              <w:t>2）查询渠道为信用中国网站（www.creditchina.gov.cn）、中国政府采购网（www.ccgp.gov.cn）；</w:t>
            </w:r>
          </w:p>
          <w:p>
            <w:pPr>
              <w:pStyle w:val="145"/>
              <w:keepNext w:val="0"/>
              <w:keepLines w:val="0"/>
              <w:suppressLineNumbers w:val="0"/>
              <w:snapToGrid w:val="0"/>
              <w:spacing w:before="0" w:beforeAutospacing="0" w:after="120" w:afterAutospacing="0" w:line="360" w:lineRule="auto"/>
              <w:ind w:left="0" w:right="0" w:firstLine="0" w:firstLineChars="0"/>
              <w:rPr>
                <w:rFonts w:hint="default" w:ascii="宋体" w:hAnsi="宋体" w:cs="宋体"/>
                <w:highlight w:val="none"/>
              </w:rPr>
            </w:pPr>
            <w:r>
              <w:rPr>
                <w:rFonts w:hint="eastAsia" w:ascii="宋体" w:hAnsi="宋体" w:cs="宋体"/>
                <w:highlight w:val="none"/>
              </w:rPr>
              <w:t>3）信用信息截止时点为投标文件递交截止日；</w:t>
            </w:r>
          </w:p>
          <w:p>
            <w:pPr>
              <w:pStyle w:val="145"/>
              <w:keepNext w:val="0"/>
              <w:keepLines w:val="0"/>
              <w:suppressLineNumbers w:val="0"/>
              <w:snapToGrid w:val="0"/>
              <w:spacing w:before="0" w:beforeAutospacing="0" w:after="120" w:afterAutospacing="0" w:line="360" w:lineRule="auto"/>
              <w:ind w:left="0" w:right="0" w:firstLine="0" w:firstLineChars="0"/>
              <w:rPr>
                <w:rFonts w:hint="default" w:ascii="宋体" w:hAnsi="宋体" w:cs="宋体"/>
                <w:highlight w:val="none"/>
              </w:rPr>
            </w:pPr>
            <w:r>
              <w:rPr>
                <w:rFonts w:hint="eastAsia" w:ascii="宋体" w:hAnsi="宋体" w:cs="宋体"/>
                <w:highlight w:val="none"/>
              </w:rPr>
              <w:t>4）信用信息查询记录和证据以网页截图等方式留存；</w:t>
            </w:r>
          </w:p>
          <w:p>
            <w:pPr>
              <w:pStyle w:val="145"/>
              <w:keepNext w:val="0"/>
              <w:keepLines w:val="0"/>
              <w:suppressLineNumbers w:val="0"/>
              <w:snapToGrid w:val="0"/>
              <w:spacing w:before="0" w:beforeAutospacing="0" w:after="120" w:afterAutospacing="0" w:line="360" w:lineRule="auto"/>
              <w:ind w:left="0" w:right="0" w:firstLine="0" w:firstLineChars="0"/>
              <w:rPr>
                <w:rFonts w:hint="default" w:ascii="宋体" w:hAnsi="宋体" w:cs="宋体"/>
                <w:highlight w:val="none"/>
              </w:rPr>
            </w:pPr>
            <w:r>
              <w:rPr>
                <w:rFonts w:hint="eastAsia" w:ascii="宋体" w:hAnsi="宋体" w:cs="宋体"/>
                <w:highlight w:val="none"/>
              </w:rPr>
              <w:t>5）投标截止日当日网站显示的信用信息将作为资格审查的依据。</w:t>
            </w:r>
          </w:p>
          <w:p>
            <w:pPr>
              <w:pStyle w:val="145"/>
              <w:keepNext w:val="0"/>
              <w:keepLines w:val="0"/>
              <w:suppressLineNumbers w:val="0"/>
              <w:snapToGrid w:val="0"/>
              <w:spacing w:before="0" w:beforeAutospacing="0" w:after="0" w:afterAutospacing="0" w:line="360" w:lineRule="auto"/>
              <w:ind w:left="0" w:right="0" w:firstLine="0" w:firstLineChars="0"/>
              <w:rPr>
                <w:rFonts w:hint="default" w:ascii="宋体" w:hAnsi="宋体" w:cs="宋体"/>
                <w:b/>
                <w:kern w:val="0"/>
                <w:highlight w:val="none"/>
              </w:rPr>
            </w:pPr>
            <w:r>
              <w:rPr>
                <w:rFonts w:hint="eastAsia" w:ascii="宋体" w:hAnsi="宋体" w:cs="宋体"/>
                <w:kern w:val="10"/>
                <w:szCs w:val="21"/>
                <w:highlight w:val="none"/>
              </w:rPr>
              <w:t>注：联合体信用信息查询：两个以上的自然人、法人或者其他组织组成一个联合体，以一个投标人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2"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kern w:val="0"/>
                <w:highlight w:val="none"/>
              </w:rPr>
            </w:pPr>
            <w:r>
              <w:rPr>
                <w:rFonts w:hint="eastAsia" w:ascii="宋体" w:hAnsi="宋体" w:cs="宋体"/>
                <w:kern w:val="0"/>
                <w:highlight w:val="none"/>
              </w:rPr>
              <w:t>10</w:t>
            </w:r>
          </w:p>
        </w:tc>
        <w:tc>
          <w:tcPr>
            <w:tcW w:w="1309"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b/>
                <w:snapToGrid w:val="0"/>
                <w:kern w:val="0"/>
                <w:highlight w:val="none"/>
              </w:rPr>
            </w:pPr>
            <w:r>
              <w:rPr>
                <w:rFonts w:hint="eastAsia" w:ascii="宋体" w:hAnsi="宋体" w:cs="宋体"/>
                <w:b/>
                <w:kern w:val="0"/>
                <w:highlight w:val="none"/>
              </w:rPr>
              <w:t>其他</w:t>
            </w:r>
          </w:p>
        </w:tc>
        <w:tc>
          <w:tcPr>
            <w:tcW w:w="6227" w:type="dxa"/>
            <w:vAlign w:val="center"/>
          </w:tcPr>
          <w:p>
            <w:pPr>
              <w:keepNext w:val="0"/>
              <w:keepLines w:val="0"/>
              <w:suppressLineNumbers w:val="0"/>
              <w:snapToGrid w:val="0"/>
              <w:spacing w:before="0" w:beforeAutospacing="0" w:after="0" w:afterAutospacing="0" w:line="360" w:lineRule="auto"/>
              <w:ind w:left="0" w:right="0"/>
              <w:rPr>
                <w:rFonts w:hint="default" w:ascii="宋体" w:hAnsi="宋体" w:cs="宋体"/>
                <w:b/>
                <w:snapToGrid w:val="0"/>
                <w:kern w:val="0"/>
                <w:szCs w:val="21"/>
                <w:highlight w:val="none"/>
              </w:rPr>
            </w:pPr>
            <w:r>
              <w:rPr>
                <w:rFonts w:hint="eastAsia" w:ascii="宋体" w:hAnsi="宋体" w:cs="宋体"/>
                <w:b/>
                <w:snapToGrid w:val="0"/>
                <w:kern w:val="0"/>
                <w:szCs w:val="21"/>
                <w:highlight w:val="none"/>
              </w:rPr>
              <w:t>1、</w:t>
            </w:r>
            <w:r>
              <w:rPr>
                <w:rFonts w:hint="eastAsia" w:ascii="宋体" w:hAnsi="宋体" w:cs="宋体"/>
                <w:b/>
                <w:highlight w:val="none"/>
              </w:rPr>
              <w:t>请各投标人收到本文件后自行核对，如有缺页、错装等情况请于当日向采购代理机构提出，如未提出，所有责任及由此造成的后果由投标人自负。</w:t>
            </w:r>
          </w:p>
          <w:p>
            <w:pPr>
              <w:keepNext w:val="0"/>
              <w:keepLines w:val="0"/>
              <w:suppressLineNumbers w:val="0"/>
              <w:snapToGrid w:val="0"/>
              <w:spacing w:before="0" w:beforeAutospacing="0" w:after="0" w:afterAutospacing="0" w:line="360" w:lineRule="auto"/>
              <w:ind w:left="0" w:right="0"/>
              <w:rPr>
                <w:rFonts w:hint="default" w:ascii="宋体" w:hAnsi="宋体" w:cs="宋体"/>
                <w:highlight w:val="none"/>
              </w:rPr>
            </w:pPr>
            <w:r>
              <w:rPr>
                <w:rFonts w:hint="eastAsia" w:ascii="宋体" w:hAnsi="宋体" w:cs="宋体"/>
                <w:b/>
                <w:snapToGrid w:val="0"/>
                <w:kern w:val="0"/>
                <w:szCs w:val="21"/>
                <w:highlight w:val="none"/>
              </w:rPr>
              <w:t>2、</w:t>
            </w:r>
            <w:r>
              <w:rPr>
                <w:rFonts w:hint="eastAsia" w:ascii="宋体" w:hAnsi="宋体" w:cs="宋体"/>
                <w:b/>
                <w:snapToGrid w:val="0"/>
                <w:kern w:val="0"/>
                <w:highlight w:val="none"/>
              </w:rPr>
              <w:t>请投标人仔细阅读本采购文件，其中带“</w:t>
            </w:r>
            <w:r>
              <w:rPr>
                <w:rFonts w:hint="eastAsia" w:ascii="宋体" w:hAnsi="宋体" w:cs="宋体"/>
                <w:highlight w:val="none"/>
              </w:rPr>
              <w:t>▲</w:t>
            </w:r>
            <w:r>
              <w:rPr>
                <w:rFonts w:hint="eastAsia" w:ascii="宋体" w:hAnsi="宋体" w:cs="宋体"/>
                <w:b/>
                <w:snapToGrid w:val="0"/>
                <w:kern w:val="0"/>
                <w:highlight w:val="none"/>
              </w:rPr>
              <w:t>”标记的条款为实质性内容，投标人须对带“</w:t>
            </w:r>
            <w:r>
              <w:rPr>
                <w:rFonts w:hint="eastAsia" w:ascii="宋体" w:hAnsi="宋体" w:cs="宋体"/>
                <w:highlight w:val="none"/>
              </w:rPr>
              <w:t>▲</w:t>
            </w:r>
            <w:r>
              <w:rPr>
                <w:rFonts w:hint="eastAsia" w:ascii="宋体" w:hAnsi="宋体" w:cs="宋体"/>
                <w:b/>
                <w:snapToGrid w:val="0"/>
                <w:kern w:val="0"/>
                <w:highlight w:val="none"/>
              </w:rPr>
              <w:t>”标记的条款作出实质性响应。</w:t>
            </w:r>
          </w:p>
        </w:tc>
      </w:tr>
    </w:tbl>
    <w:p>
      <w:pPr>
        <w:pStyle w:val="145"/>
        <w:spacing w:line="360" w:lineRule="auto"/>
        <w:ind w:firstLine="420"/>
        <w:rPr>
          <w:rFonts w:ascii="宋体" w:hAnsi="宋体" w:cs="宋体"/>
          <w:highlight w:val="none"/>
        </w:rPr>
      </w:pPr>
      <w:r>
        <w:rPr>
          <w:rFonts w:hint="eastAsia" w:ascii="宋体" w:hAnsi="宋体" w:cs="宋体"/>
          <w:highlight w:val="none"/>
        </w:rPr>
        <w:br w:type="page"/>
      </w:r>
    </w:p>
    <w:bookmarkEnd w:id="40"/>
    <w:bookmarkEnd w:id="41"/>
    <w:bookmarkEnd w:id="42"/>
    <w:p>
      <w:pPr>
        <w:pStyle w:val="3"/>
        <w:rPr>
          <w:rFonts w:ascii="宋体" w:hAnsi="宋体" w:cs="宋体"/>
          <w:color w:val="auto"/>
          <w:highlight w:val="none"/>
        </w:rPr>
      </w:pPr>
      <w:bookmarkStart w:id="54" w:name="_Toc82338238"/>
      <w:bookmarkStart w:id="55" w:name="_Toc11888"/>
      <w:bookmarkStart w:id="56" w:name="_Toc211745567"/>
      <w:bookmarkStart w:id="57" w:name="_Toc82873321"/>
      <w:r>
        <w:rPr>
          <w:rFonts w:hint="eastAsia" w:ascii="宋体" w:hAnsi="宋体" w:cs="宋体"/>
          <w:color w:val="auto"/>
          <w:highlight w:val="none"/>
        </w:rPr>
        <w:t>第六章 投标人须知</w:t>
      </w:r>
      <w:bookmarkEnd w:id="54"/>
      <w:bookmarkEnd w:id="55"/>
      <w:bookmarkEnd w:id="56"/>
      <w:bookmarkEnd w:id="57"/>
    </w:p>
    <w:p>
      <w:pPr>
        <w:pStyle w:val="4"/>
        <w:ind w:firstLine="422"/>
        <w:rPr>
          <w:rFonts w:ascii="宋体" w:hAnsi="宋体" w:cs="宋体"/>
          <w:highlight w:val="none"/>
        </w:rPr>
      </w:pPr>
      <w:bookmarkStart w:id="58" w:name="_Toc82338239"/>
      <w:bookmarkStart w:id="59" w:name="_Toc82873322"/>
      <w:bookmarkStart w:id="60" w:name="_Toc15369"/>
      <w:bookmarkStart w:id="61" w:name="_Toc5996"/>
      <w:bookmarkStart w:id="62" w:name="_Toc13188"/>
      <w:bookmarkStart w:id="63" w:name="_Toc14980"/>
      <w:bookmarkStart w:id="64" w:name="_Toc17053"/>
      <w:bookmarkStart w:id="65" w:name="_Toc35524548"/>
      <w:bookmarkStart w:id="66" w:name="_Toc16105"/>
      <w:bookmarkStart w:id="67" w:name="_Toc7465"/>
      <w:bookmarkStart w:id="68" w:name="_Toc16629"/>
      <w:bookmarkStart w:id="69" w:name="_Toc24889"/>
      <w:bookmarkStart w:id="70" w:name="_Toc17499"/>
      <w:bookmarkStart w:id="71" w:name="_Toc1205"/>
      <w:bookmarkStart w:id="72" w:name="_Toc29005"/>
      <w:bookmarkStart w:id="73" w:name="_Toc5746"/>
      <w:bookmarkStart w:id="74" w:name="_Toc14217"/>
      <w:r>
        <w:rPr>
          <w:rFonts w:hint="eastAsia" w:ascii="宋体" w:hAnsi="宋体" w:cs="宋体"/>
          <w:highlight w:val="none"/>
        </w:rPr>
        <w:t>一、</w:t>
      </w:r>
      <w:bookmarkEnd w:id="58"/>
      <w:bookmarkEnd w:id="59"/>
      <w:r>
        <w:rPr>
          <w:rFonts w:hint="eastAsia" w:ascii="宋体" w:hAnsi="宋体" w:cs="宋体"/>
          <w:highlight w:val="none"/>
        </w:rPr>
        <w:t>总则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145"/>
        <w:spacing w:line="360" w:lineRule="auto"/>
        <w:ind w:firstLine="420"/>
        <w:rPr>
          <w:rFonts w:ascii="宋体" w:hAnsi="宋体" w:cs="宋体"/>
          <w:highlight w:val="none"/>
        </w:rPr>
      </w:pPr>
      <w:bookmarkStart w:id="75" w:name="_Toc82873323"/>
      <w:bookmarkStart w:id="76" w:name="_Toc82338240"/>
      <w:r>
        <w:rPr>
          <w:rFonts w:hint="eastAsia" w:ascii="宋体" w:hAnsi="宋体" w:cs="宋体"/>
          <w:highlight w:val="none"/>
        </w:rPr>
        <w:t>1.1、实施依据</w:t>
      </w:r>
    </w:p>
    <w:p>
      <w:pPr>
        <w:pStyle w:val="145"/>
        <w:spacing w:line="360" w:lineRule="auto"/>
        <w:ind w:firstLine="420"/>
        <w:rPr>
          <w:rFonts w:ascii="宋体" w:hAnsi="宋体" w:cs="宋体"/>
          <w:highlight w:val="none"/>
        </w:rPr>
      </w:pPr>
      <w:r>
        <w:rPr>
          <w:rFonts w:hint="eastAsia" w:ascii="宋体" w:hAnsi="宋体" w:cs="宋体"/>
          <w:highlight w:val="none"/>
        </w:rPr>
        <w:t>本次招标工作是按照《中华人民共和国政府采购法》、《中华人民共和国政府采购法实施条例》、《政府采购货物和服务招标投标管理办法》、《浙江省政府采购项目电子交易管理暂行办法》等有关法律、法规、规章、文件的规定组织和实施。</w:t>
      </w:r>
    </w:p>
    <w:p>
      <w:pPr>
        <w:pStyle w:val="145"/>
        <w:spacing w:line="360" w:lineRule="auto"/>
        <w:ind w:firstLine="420"/>
        <w:rPr>
          <w:rFonts w:ascii="宋体" w:hAnsi="宋体" w:cs="宋体"/>
          <w:highlight w:val="none"/>
        </w:rPr>
      </w:pPr>
      <w:r>
        <w:rPr>
          <w:rFonts w:hint="eastAsia" w:ascii="宋体" w:hAnsi="宋体" w:cs="宋体"/>
          <w:highlight w:val="none"/>
        </w:rPr>
        <w:t>1.2、采购方式：公开招标</w:t>
      </w:r>
    </w:p>
    <w:p>
      <w:pPr>
        <w:pStyle w:val="145"/>
        <w:spacing w:line="360" w:lineRule="auto"/>
        <w:ind w:firstLine="420"/>
        <w:rPr>
          <w:rFonts w:ascii="宋体" w:hAnsi="宋体" w:cs="宋体"/>
          <w:highlight w:val="none"/>
        </w:rPr>
      </w:pPr>
      <w:r>
        <w:rPr>
          <w:rFonts w:hint="eastAsia" w:ascii="宋体" w:hAnsi="宋体" w:cs="宋体"/>
          <w:highlight w:val="none"/>
        </w:rPr>
        <w:t>1.3、定义</w:t>
      </w:r>
    </w:p>
    <w:p>
      <w:pPr>
        <w:pStyle w:val="145"/>
        <w:spacing w:line="360" w:lineRule="auto"/>
        <w:ind w:firstLine="420"/>
        <w:rPr>
          <w:rFonts w:ascii="宋体" w:hAnsi="宋体" w:cs="宋体"/>
          <w:highlight w:val="none"/>
        </w:rPr>
      </w:pPr>
      <w:r>
        <w:rPr>
          <w:rFonts w:hint="eastAsia" w:ascii="宋体" w:hAnsi="宋体" w:cs="宋体"/>
          <w:highlight w:val="none"/>
        </w:rPr>
        <w:t>采购人：是指依法进行政府采购的国家机关、事业单位、团体组织，见“投标人须知前附表”；</w:t>
      </w:r>
    </w:p>
    <w:p>
      <w:pPr>
        <w:pStyle w:val="145"/>
        <w:spacing w:line="360" w:lineRule="auto"/>
        <w:ind w:firstLine="420"/>
        <w:rPr>
          <w:rFonts w:ascii="宋体" w:hAnsi="宋体" w:cs="宋体"/>
          <w:highlight w:val="none"/>
        </w:rPr>
      </w:pPr>
      <w:r>
        <w:rPr>
          <w:rFonts w:hint="eastAsia" w:ascii="宋体" w:hAnsi="宋体" w:cs="宋体"/>
          <w:highlight w:val="none"/>
        </w:rPr>
        <w:t>采购代理机构：受采购人委托，在委托的范围内办理政府采购事宜的机构，见“投标人须知前附表”；</w:t>
      </w:r>
    </w:p>
    <w:p>
      <w:pPr>
        <w:pStyle w:val="145"/>
        <w:spacing w:line="360" w:lineRule="auto"/>
        <w:ind w:firstLine="420"/>
        <w:rPr>
          <w:rFonts w:ascii="宋体" w:hAnsi="宋体" w:cs="宋体"/>
          <w:highlight w:val="none"/>
        </w:rPr>
      </w:pPr>
      <w:r>
        <w:rPr>
          <w:rFonts w:hint="eastAsia" w:ascii="宋体" w:hAnsi="宋体" w:cs="宋体"/>
          <w:highlight w:val="none"/>
        </w:rPr>
        <w:t>投标人：是指参加本政府采购项目投标的供应商；</w:t>
      </w:r>
    </w:p>
    <w:p>
      <w:pPr>
        <w:pStyle w:val="145"/>
        <w:spacing w:line="360" w:lineRule="auto"/>
        <w:ind w:firstLine="420"/>
        <w:rPr>
          <w:rFonts w:ascii="宋体" w:hAnsi="宋体" w:cs="宋体"/>
          <w:highlight w:val="none"/>
        </w:rPr>
      </w:pPr>
      <w:r>
        <w:rPr>
          <w:rFonts w:hint="eastAsia" w:ascii="宋体" w:hAnsi="宋体" w:cs="宋体"/>
          <w:highlight w:val="none"/>
        </w:rPr>
        <w:t>投标人代表：是指参加本项目投标活动的投标人法定代表人或法定代表人授权代表；</w:t>
      </w:r>
    </w:p>
    <w:p>
      <w:pPr>
        <w:pStyle w:val="145"/>
        <w:spacing w:line="360" w:lineRule="auto"/>
        <w:ind w:firstLine="420"/>
        <w:rPr>
          <w:rFonts w:ascii="宋体" w:hAnsi="宋体" w:cs="宋体"/>
          <w:highlight w:val="none"/>
        </w:rPr>
      </w:pPr>
      <w:r>
        <w:rPr>
          <w:rFonts w:hint="eastAsia" w:ascii="宋体" w:hAnsi="宋体" w:cs="宋体"/>
          <w:highlight w:val="none"/>
        </w:rPr>
        <w:t>投标联合体：是指两个以上供应商组成联合体，以一个投标人的身份参加投标；</w:t>
      </w:r>
    </w:p>
    <w:p>
      <w:pPr>
        <w:pStyle w:val="145"/>
        <w:spacing w:line="360" w:lineRule="auto"/>
        <w:ind w:firstLine="420"/>
        <w:rPr>
          <w:rFonts w:ascii="宋体" w:hAnsi="宋体" w:cs="宋体"/>
          <w:highlight w:val="none"/>
        </w:rPr>
      </w:pPr>
      <w:r>
        <w:rPr>
          <w:rFonts w:hint="eastAsia" w:ascii="宋体" w:hAnsi="宋体" w:cs="宋体"/>
          <w:highlight w:val="none"/>
        </w:rPr>
        <w:t>甲方：是指合同签订的一方，一般与采购人、用户相同；</w:t>
      </w:r>
    </w:p>
    <w:p>
      <w:pPr>
        <w:pStyle w:val="145"/>
        <w:spacing w:line="360" w:lineRule="auto"/>
        <w:ind w:firstLine="420"/>
        <w:rPr>
          <w:rFonts w:ascii="宋体" w:hAnsi="宋体" w:cs="宋体"/>
          <w:highlight w:val="none"/>
        </w:rPr>
      </w:pPr>
      <w:r>
        <w:rPr>
          <w:rFonts w:hint="eastAsia" w:ascii="宋体" w:hAnsi="宋体" w:cs="宋体"/>
          <w:highlight w:val="none"/>
        </w:rPr>
        <w:t>乙方：是指合同签订的另一方，与中标人相同；</w:t>
      </w:r>
    </w:p>
    <w:p>
      <w:pPr>
        <w:pStyle w:val="145"/>
        <w:spacing w:line="360" w:lineRule="auto"/>
        <w:ind w:firstLine="420"/>
        <w:rPr>
          <w:rFonts w:ascii="宋体" w:hAnsi="宋体" w:cs="宋体"/>
          <w:highlight w:val="none"/>
        </w:rPr>
      </w:pPr>
      <w:r>
        <w:rPr>
          <w:rFonts w:hint="eastAsia" w:ascii="宋体" w:hAnsi="宋体" w:cs="宋体"/>
          <w:highlight w:val="none"/>
        </w:rPr>
        <w:t>制造商：是指拥有投标产品自主知识产权的单位；</w:t>
      </w:r>
    </w:p>
    <w:p>
      <w:pPr>
        <w:pStyle w:val="145"/>
        <w:spacing w:line="360" w:lineRule="auto"/>
        <w:ind w:firstLine="420"/>
        <w:rPr>
          <w:rFonts w:ascii="宋体" w:hAnsi="宋体" w:cs="宋体"/>
          <w:highlight w:val="none"/>
        </w:rPr>
      </w:pPr>
      <w:r>
        <w:rPr>
          <w:rFonts w:hint="eastAsia" w:ascii="宋体" w:hAnsi="宋体" w:cs="宋体"/>
          <w:highlight w:val="none"/>
        </w:rPr>
        <w:t>中小企业（含中型、小型、微型）指符合中小企业划分标准（工信部联企业[2011]300号），在本项目政府采购活动中</w:t>
      </w:r>
      <w:r>
        <w:rPr>
          <w:rFonts w:hint="eastAsia" w:ascii="宋体" w:hAnsi="宋体" w:cs="宋体"/>
          <w:kern w:val="0"/>
          <w:szCs w:val="21"/>
          <w:highlight w:val="none"/>
        </w:rPr>
        <w:t>的服务全部由符合政策要求的中小企业承接）</w:t>
      </w:r>
      <w:r>
        <w:rPr>
          <w:rFonts w:hint="eastAsia" w:ascii="宋体" w:hAnsi="宋体" w:cs="宋体"/>
          <w:highlight w:val="none"/>
        </w:rPr>
        <w:t>；</w:t>
      </w:r>
    </w:p>
    <w:p>
      <w:pPr>
        <w:pStyle w:val="145"/>
        <w:spacing w:line="360" w:lineRule="auto"/>
        <w:ind w:firstLine="420"/>
        <w:rPr>
          <w:rFonts w:ascii="宋体" w:hAnsi="宋体" w:cs="宋体"/>
          <w:highlight w:val="none"/>
        </w:rPr>
      </w:pPr>
      <w:r>
        <w:rPr>
          <w:rFonts w:hint="eastAsia" w:ascii="宋体" w:hAnsi="宋体" w:cs="宋体"/>
          <w:highlight w:val="none"/>
        </w:rPr>
        <w:t>监狱企业、残疾人福利性单位视同小微企业；</w:t>
      </w:r>
    </w:p>
    <w:p>
      <w:pPr>
        <w:pStyle w:val="145"/>
        <w:spacing w:line="360" w:lineRule="auto"/>
        <w:ind w:firstLine="420"/>
        <w:rPr>
          <w:rFonts w:ascii="宋体" w:hAnsi="宋体" w:cs="宋体"/>
          <w:kern w:val="0"/>
          <w:szCs w:val="21"/>
          <w:highlight w:val="none"/>
        </w:rPr>
      </w:pPr>
      <w:r>
        <w:rPr>
          <w:rFonts w:hint="eastAsia" w:ascii="宋体" w:hAnsi="宋体" w:cs="宋体"/>
          <w:kern w:val="0"/>
          <w:szCs w:val="21"/>
          <w:highlight w:val="none"/>
        </w:rPr>
        <w:t>监狱企业：</w:t>
      </w:r>
      <w:r>
        <w:rPr>
          <w:rFonts w:hint="eastAsia" w:ascii="宋体" w:hAnsi="宋体" w:cs="宋体"/>
          <w:szCs w:val="21"/>
          <w:highlight w:val="none"/>
        </w:rPr>
        <w:t>符合《关于政府采购支持监狱企业发展有关问题的通知》（财库[2014]68号）的规定的单位</w:t>
      </w:r>
      <w:r>
        <w:rPr>
          <w:rFonts w:hint="eastAsia" w:ascii="宋体" w:hAnsi="宋体" w:cs="宋体"/>
          <w:kern w:val="0"/>
          <w:szCs w:val="21"/>
          <w:highlight w:val="none"/>
        </w:rPr>
        <w:t>；</w:t>
      </w:r>
    </w:p>
    <w:p>
      <w:pPr>
        <w:pStyle w:val="145"/>
        <w:spacing w:line="360" w:lineRule="auto"/>
        <w:ind w:firstLine="420"/>
        <w:rPr>
          <w:rFonts w:ascii="宋体" w:hAnsi="宋体" w:cs="宋体"/>
          <w:highlight w:val="none"/>
        </w:rPr>
      </w:pPr>
      <w:r>
        <w:rPr>
          <w:rFonts w:hint="eastAsia" w:ascii="宋体" w:hAnsi="宋体" w:cs="宋体"/>
          <w:highlight w:val="none"/>
        </w:rPr>
        <w:t>残疾人福利性单位：符合《财政部民政部中国残疾人联合会关于促进残疾人就业政府采购政策的通知》（财库〔2017〕141号）的规定的单位；</w:t>
      </w:r>
    </w:p>
    <w:p>
      <w:pPr>
        <w:pStyle w:val="145"/>
        <w:spacing w:line="360" w:lineRule="auto"/>
        <w:ind w:firstLine="420"/>
        <w:rPr>
          <w:rFonts w:ascii="宋体" w:hAnsi="宋体" w:cs="宋体"/>
          <w:highlight w:val="none"/>
        </w:rPr>
      </w:pPr>
      <w:r>
        <w:rPr>
          <w:rFonts w:hint="eastAsia" w:ascii="宋体" w:hAnsi="宋体" w:cs="宋体"/>
          <w:highlight w:val="none"/>
        </w:rPr>
        <w:t>电子签章：本采购文件所称电子签章是指投标人单位法定名称电子公章；</w:t>
      </w:r>
    </w:p>
    <w:p>
      <w:pPr>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公章：本采购文件所称公章是指投标人单位法定名称章或者单位法定名称电子公章（即电子签章）。因特殊原因需要使用冠以法定名称的业务专用章的，投标时须提供《业务专用章使用说明函》（附件十二）</w:t>
      </w:r>
    </w:p>
    <w:p>
      <w:pPr>
        <w:pStyle w:val="145"/>
        <w:spacing w:line="360" w:lineRule="auto"/>
        <w:ind w:firstLine="420"/>
        <w:rPr>
          <w:rFonts w:ascii="宋体" w:hAnsi="宋体" w:cs="宋体"/>
          <w:highlight w:val="none"/>
        </w:rPr>
      </w:pPr>
      <w:r>
        <w:rPr>
          <w:rFonts w:hint="eastAsia" w:ascii="宋体" w:hAnsi="宋体" w:cs="宋体"/>
          <w:highlight w:val="none"/>
        </w:rPr>
        <w:t>1.4、联合体</w:t>
      </w:r>
    </w:p>
    <w:p>
      <w:pPr>
        <w:pStyle w:val="145"/>
        <w:spacing w:line="360" w:lineRule="auto"/>
        <w:ind w:firstLine="420"/>
        <w:rPr>
          <w:rFonts w:ascii="宋体" w:hAnsi="宋体" w:cs="宋体"/>
          <w:highlight w:val="none"/>
        </w:rPr>
      </w:pPr>
      <w:r>
        <w:rPr>
          <w:rFonts w:hint="eastAsia" w:ascii="宋体" w:hAnsi="宋体" w:cs="宋体"/>
          <w:highlight w:val="none"/>
        </w:rPr>
        <w:t>本项目允许以联合体形式投标，联合体各方均为中小企业的，联合体视同中小企业。其中，联合体各方均为小微企业的，联合体视同小微企业。</w:t>
      </w:r>
    </w:p>
    <w:p>
      <w:pPr>
        <w:adjustRightInd w:val="0"/>
        <w:snapToGrid w:val="0"/>
        <w:spacing w:line="360" w:lineRule="auto"/>
        <w:ind w:firstLine="420" w:firstLineChars="200"/>
        <w:rPr>
          <w:rFonts w:ascii="宋体" w:hAnsi="宋体" w:cs="宋体"/>
          <w:bCs/>
          <w:highlight w:val="none"/>
        </w:rPr>
      </w:pPr>
      <w:r>
        <w:rPr>
          <w:rFonts w:hint="eastAsia" w:ascii="宋体" w:hAnsi="宋体" w:cs="宋体"/>
          <w:bCs/>
          <w:highlight w:val="none"/>
        </w:rPr>
        <w:t>1.5、费用</w:t>
      </w:r>
    </w:p>
    <w:p>
      <w:pPr>
        <w:adjustRightInd w:val="0"/>
        <w:snapToGrid w:val="0"/>
        <w:spacing w:line="360" w:lineRule="auto"/>
        <w:ind w:firstLine="420" w:firstLineChars="200"/>
        <w:rPr>
          <w:rFonts w:ascii="宋体" w:hAnsi="宋体" w:cs="宋体"/>
          <w:b/>
          <w:bCs/>
          <w:highlight w:val="none"/>
        </w:rPr>
      </w:pPr>
      <w:r>
        <w:rPr>
          <w:rFonts w:hint="eastAsia" w:ascii="宋体" w:hAnsi="宋体" w:cs="宋体"/>
          <w:highlight w:val="none"/>
        </w:rPr>
        <w:t>无论招投标过程中的做法和结果如何，投标人自行承担招投标活动中所发生的全部费用。</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1.6、保密</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参与招标投标活动的各方应对采购文件和投标文件中的商业和技术等秘密保密，违者应对此造成的后果承担法律责任。</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1.7、语言文字</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除专用术语外，与招标投标有关的语言使用中文。专用术语应附有中文注释。</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1.8、计量单位</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所有计量均采用中华人民共和国法定计量单位。</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1.9、踏勘现场</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1.9.1投标人须知前附表规定组织踏勘现场的，采购人按投标人须知前附表规定的时间、地点组织投标人踏勘项目现场。</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1.9.2投标人踏勘现场发生的费用自理。</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1.9.3除采购人的原因外，投标人自行负责在踏勘现场中所发生的人员伤亡和财产损失。</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1.9.4采购人在踏勘现场中介绍的场地和相关的周边环境情况，供投标人在编制投标文件时参考，采购人不对投标人据此作出的判断和决策负责。</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1.10、答疑会（不召开）</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1.10.1投标人须知前附表规定召开答疑会的，采购人按投标人须知前附表规定的时间和地点召开答疑会，澄清投标人提出的问题。</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1.10.2投标人应在答疑会时间的前一天，以书面形式将提出的问题送达采购人，以便采购人在会议期间澄清。</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1.10.3答疑会后，采购人按本章2.4款规定对投标人所提问题进行澄清答复。</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1.11、偏离</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投标文件应完全响应采购文件规定的实质性内容和条件。</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1.12、其他</w:t>
      </w:r>
    </w:p>
    <w:p>
      <w:pPr>
        <w:pStyle w:val="145"/>
        <w:spacing w:line="360" w:lineRule="auto"/>
        <w:ind w:firstLine="420"/>
        <w:rPr>
          <w:rFonts w:ascii="宋体" w:hAnsi="宋体" w:cs="宋体"/>
          <w:b/>
          <w:highlight w:val="none"/>
          <w:u w:val="single"/>
        </w:rPr>
      </w:pPr>
      <w:r>
        <w:rPr>
          <w:rFonts w:hint="eastAsia" w:ascii="宋体" w:hAnsi="宋体" w:cs="宋体"/>
          <w:highlight w:val="none"/>
        </w:rPr>
        <w:t>1.12.1▲</w:t>
      </w:r>
      <w:r>
        <w:rPr>
          <w:rFonts w:hint="eastAsia" w:ascii="宋体" w:hAnsi="宋体" w:cs="宋体"/>
          <w:b/>
          <w:highlight w:val="none"/>
          <w:u w:val="single"/>
        </w:rPr>
        <w:t>投标人的法定代表人作为投标全权代表参加投标，投标人须在投标文件中提供《法定代表人资格证明书》；法定代表人授权投标人在职职工作为投标全权代表参加投标，投标人须在投标文件中提供附有《法定代表人资格证明书》的《法定代表人授权书》。</w:t>
      </w:r>
    </w:p>
    <w:p>
      <w:pPr>
        <w:pStyle w:val="145"/>
        <w:spacing w:line="360" w:lineRule="auto"/>
        <w:ind w:firstLine="422"/>
        <w:rPr>
          <w:rFonts w:ascii="宋体" w:hAnsi="宋体" w:cs="宋体"/>
          <w:highlight w:val="none"/>
        </w:rPr>
      </w:pPr>
      <w:r>
        <w:rPr>
          <w:rFonts w:hint="eastAsia" w:ascii="宋体" w:hAnsi="宋体" w:cs="宋体"/>
          <w:b/>
          <w:highlight w:val="none"/>
        </w:rPr>
        <w:t>根据政府采购相关法律、法规、规章、文件规定并满足采购文件规定资格条件的区域性分支机构、个体工商户、个人独资企业、合伙企业参加本项目投标并由单位负责人签署的相关投标资料与本采购文件规定由法定代表人签署的文件材料具有同等效力。</w:t>
      </w:r>
    </w:p>
    <w:p>
      <w:pPr>
        <w:pStyle w:val="145"/>
        <w:spacing w:line="360" w:lineRule="auto"/>
        <w:ind w:firstLine="420"/>
        <w:rPr>
          <w:rFonts w:hint="eastAsia" w:ascii="宋体" w:hAnsi="宋体" w:cs="宋体"/>
          <w:b/>
          <w:bCs/>
          <w:highlight w:val="none"/>
          <w:u w:val="single"/>
        </w:rPr>
      </w:pPr>
      <w:r>
        <w:rPr>
          <w:rFonts w:hint="eastAsia" w:ascii="宋体" w:hAnsi="宋体" w:cs="宋体"/>
          <w:highlight w:val="none"/>
        </w:rPr>
        <w:t>1.12.2▲</w:t>
      </w:r>
      <w:r>
        <w:rPr>
          <w:rFonts w:hint="eastAsia" w:ascii="宋体" w:hAnsi="宋体" w:cs="宋体"/>
          <w:b/>
          <w:bCs/>
          <w:highlight w:val="none"/>
          <w:u w:val="single"/>
        </w:rPr>
        <w:t>投标人对所投标项内的采购内容必须全部进行投标。</w:t>
      </w:r>
    </w:p>
    <w:p>
      <w:pPr>
        <w:pStyle w:val="145"/>
        <w:spacing w:line="360" w:lineRule="auto"/>
        <w:ind w:firstLine="420"/>
        <w:rPr>
          <w:rFonts w:ascii="宋体" w:hAnsi="宋体" w:cs="宋体"/>
          <w:bCs/>
          <w:highlight w:val="none"/>
        </w:rPr>
      </w:pPr>
      <w:r>
        <w:rPr>
          <w:rFonts w:hint="eastAsia" w:ascii="宋体" w:hAnsi="宋体" w:cs="宋体"/>
          <w:highlight w:val="none"/>
        </w:rPr>
        <w:t>投标人根据采购文件的要求完成所有工作内容并达到使用要求及质量标准所需费用、质保期服务所需的费用均包含在总价之中。</w:t>
      </w:r>
    </w:p>
    <w:p>
      <w:pPr>
        <w:pStyle w:val="145"/>
        <w:spacing w:line="360" w:lineRule="auto"/>
        <w:ind w:firstLine="420"/>
        <w:rPr>
          <w:rFonts w:ascii="宋体" w:hAnsi="宋体" w:cs="宋体"/>
          <w:bCs/>
          <w:highlight w:val="none"/>
        </w:rPr>
      </w:pPr>
      <w:r>
        <w:rPr>
          <w:rFonts w:hint="eastAsia" w:ascii="宋体" w:hAnsi="宋体" w:cs="宋体"/>
          <w:bCs/>
          <w:highlight w:val="none"/>
        </w:rPr>
        <w:t>1.12.3采购文件中如有描述歧义或前后不一致的地方，评标委员会有权按公平、合理的原则进行评判，但对同一条款的评判适用于每个投标人。</w:t>
      </w:r>
    </w:p>
    <w:p>
      <w:pPr>
        <w:pStyle w:val="145"/>
        <w:spacing w:line="360" w:lineRule="auto"/>
        <w:ind w:firstLine="420"/>
        <w:rPr>
          <w:rFonts w:ascii="宋体" w:hAnsi="宋体" w:cs="宋体"/>
          <w:highlight w:val="none"/>
        </w:rPr>
      </w:pPr>
      <w:r>
        <w:rPr>
          <w:rFonts w:hint="eastAsia" w:ascii="宋体" w:hAnsi="宋体" w:cs="宋体"/>
          <w:bCs/>
          <w:highlight w:val="none"/>
        </w:rPr>
        <w:t>1.12.4投标文件的响应内容必须真实、明确、准确。否则，评标委员会将对其作出不利的评审。</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w:t>
      </w:r>
      <w:r>
        <w:rPr>
          <w:rFonts w:hint="eastAsia" w:ascii="宋体" w:hAnsi="宋体" w:cs="宋体"/>
          <w:bCs/>
          <w:highlight w:val="none"/>
        </w:rPr>
        <w:t>12.5乙</w:t>
      </w:r>
      <w:r>
        <w:rPr>
          <w:rFonts w:hint="eastAsia" w:ascii="宋体" w:hAnsi="宋体" w:cs="宋体"/>
          <w:highlight w:val="none"/>
        </w:rPr>
        <w:t>方为履行合同引起的相关人员的差旅费、食宿费以及其它不可预知的费用由乙方自理。合同实施过程中，须与甲方积极配合。</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1.12.6项目资金为财政性投资，资金已落实。</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1.12.7投标人须对所投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投标人应承担相应后果，并负责赔偿。投标人为执行本项目合同而提供的技术资料等归采购人所有。</w:t>
      </w:r>
    </w:p>
    <w:p>
      <w:pPr>
        <w:adjustRightInd w:val="0"/>
        <w:snapToGrid w:val="0"/>
        <w:spacing w:line="360" w:lineRule="auto"/>
        <w:ind w:firstLine="422" w:firstLineChars="200"/>
        <w:rPr>
          <w:rFonts w:ascii="宋体" w:hAnsi="宋体" w:cs="宋体"/>
          <w:b/>
          <w:kern w:val="0"/>
          <w:szCs w:val="21"/>
          <w:highlight w:val="none"/>
        </w:rPr>
      </w:pPr>
      <w:r>
        <w:rPr>
          <w:rFonts w:hint="eastAsia" w:ascii="宋体" w:hAnsi="宋体" w:cs="宋体"/>
          <w:b/>
          <w:kern w:val="0"/>
          <w:szCs w:val="21"/>
          <w:highlight w:val="none"/>
        </w:rPr>
        <w:t>1.12.8投标所使用的资格、资信、业绩、企业认证等证明材料必须为投标人自身所拥有，不同法人、其他组织资料与投标人无关，评审时不作为该投标人的依据。</w:t>
      </w:r>
    </w:p>
    <w:p>
      <w:pPr>
        <w:pStyle w:val="145"/>
        <w:spacing w:line="360" w:lineRule="auto"/>
        <w:ind w:firstLine="422"/>
        <w:rPr>
          <w:rFonts w:ascii="宋体" w:hAnsi="宋体" w:cs="宋体"/>
          <w:b/>
          <w:kern w:val="0"/>
          <w:szCs w:val="21"/>
          <w:highlight w:val="none"/>
        </w:rPr>
      </w:pPr>
      <w:r>
        <w:rPr>
          <w:rFonts w:hint="eastAsia" w:ascii="宋体" w:hAnsi="宋体" w:cs="宋体"/>
          <w:b/>
          <w:kern w:val="0"/>
          <w:szCs w:val="21"/>
          <w:highlight w:val="none"/>
        </w:rPr>
        <w:t>1.12.9采购项目需要落实的政府采购政策</w:t>
      </w:r>
    </w:p>
    <w:p>
      <w:pPr>
        <w:spacing w:line="360" w:lineRule="auto"/>
        <w:ind w:firstLine="420" w:firstLineChars="200"/>
        <w:rPr>
          <w:rFonts w:ascii="宋体" w:hAnsi="宋体" w:cs="宋体"/>
          <w:szCs w:val="21"/>
          <w:highlight w:val="none"/>
        </w:rPr>
      </w:pPr>
      <w:r>
        <w:rPr>
          <w:rFonts w:hint="eastAsia" w:ascii="宋体" w:hAnsi="宋体" w:cs="宋体"/>
          <w:bCs/>
          <w:kern w:val="0"/>
          <w:szCs w:val="21"/>
          <w:highlight w:val="none"/>
        </w:rPr>
        <w:t>（1）</w:t>
      </w:r>
      <w:r>
        <w:rPr>
          <w:rFonts w:hint="eastAsia" w:ascii="宋体" w:hAnsi="宋体" w:cs="宋体"/>
          <w:szCs w:val="21"/>
          <w:highlight w:val="none"/>
        </w:rPr>
        <w:t>支持绿色发展</w:t>
      </w:r>
    </w:p>
    <w:p>
      <w:pPr>
        <w:spacing w:line="360" w:lineRule="auto"/>
        <w:ind w:firstLine="420" w:firstLineChars="200"/>
        <w:rPr>
          <w:rFonts w:ascii="宋体" w:hAnsi="宋体" w:cs="宋体"/>
          <w:b/>
          <w:szCs w:val="21"/>
          <w:highlight w:val="none"/>
        </w:rPr>
      </w:pPr>
      <w:r>
        <w:rPr>
          <w:rFonts w:hint="eastAsia" w:ascii="宋体" w:hAnsi="宋体" w:cs="宋体"/>
          <w:szCs w:val="21"/>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采购文件要求提供相关产品认证证书。▲</w:t>
      </w:r>
      <w:r>
        <w:rPr>
          <w:rFonts w:hint="eastAsia" w:ascii="宋体" w:hAnsi="宋体" w:cs="宋体"/>
          <w:b/>
          <w:szCs w:val="21"/>
          <w:highlight w:val="none"/>
        </w:rPr>
        <w:t>采购人拟采购的产品属于政府强制采购的节能产品品目清单范围的，投标人未按采购文件要求提供国家确定的认证机构出具的、处于有效期之内的节能产品认证证书的，投标无效。</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pStyle w:val="68"/>
        <w:ind w:firstLine="420"/>
        <w:rPr>
          <w:highlight w:val="none"/>
        </w:rPr>
      </w:pPr>
      <w:r>
        <w:rPr>
          <w:rFonts w:hint="eastAsia" w:ascii="宋体" w:hAnsi="宋体" w:cs="宋体"/>
          <w:szCs w:val="21"/>
          <w:highlight w:val="none"/>
        </w:rPr>
        <w:t>3）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w:t>
      </w:r>
      <w:r>
        <w:rPr>
          <w:rFonts w:hint="eastAsia" w:ascii="宋体" w:hAnsi="宋体" w:cs="宋体"/>
          <w:bCs/>
          <w:kern w:val="0"/>
          <w:szCs w:val="21"/>
          <w:highlight w:val="none"/>
        </w:rPr>
        <w:t>支</w:t>
      </w:r>
      <w:r>
        <w:rPr>
          <w:rFonts w:hint="eastAsia" w:ascii="宋体" w:hAnsi="宋体" w:cs="宋体"/>
          <w:szCs w:val="21"/>
          <w:highlight w:val="none"/>
        </w:rPr>
        <w:t>持中小企业发展</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符合中小企业划分标准的个体工商户，在政府采购活动中视同中小企业。</w:t>
      </w:r>
    </w:p>
    <w:p>
      <w:pPr>
        <w:widowControl/>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在政府采购活动中，投标人提供的货物、工程或者服务符合下列情形的，享受中小企业扶持政策：</w:t>
      </w:r>
    </w:p>
    <w:p>
      <w:pPr>
        <w:widowControl/>
        <w:spacing w:line="360" w:lineRule="auto"/>
        <w:ind w:firstLine="420" w:firstLineChars="200"/>
        <w:jc w:val="left"/>
        <w:rPr>
          <w:rFonts w:ascii="宋体" w:hAnsi="宋体" w:cs="宋体"/>
          <w:kern w:val="0"/>
          <w:szCs w:val="21"/>
          <w:highlight w:val="none"/>
        </w:rPr>
      </w:pPr>
      <w:r>
        <w:rPr>
          <w:rFonts w:hint="eastAsia" w:ascii="宋体" w:hAnsi="宋体" w:cs="宋体"/>
          <w:bCs/>
          <w:kern w:val="0"/>
          <w:szCs w:val="21"/>
          <w:highlight w:val="none"/>
        </w:rPr>
        <w:t>1）</w:t>
      </w:r>
      <w:r>
        <w:rPr>
          <w:rFonts w:hint="eastAsia" w:ascii="宋体" w:hAnsi="宋体" w:cs="宋体"/>
          <w:kern w:val="0"/>
          <w:szCs w:val="21"/>
          <w:highlight w:val="none"/>
        </w:rPr>
        <w:t>在货物采购项目中，货物由中小企业制造，即货物由中小企业生产且使用该中小企业商号或者注册商标；</w:t>
      </w:r>
    </w:p>
    <w:p>
      <w:pPr>
        <w:widowControl/>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2）在工程采购项目中，工程由中小企业承建，即工程施工单位为中小企业；</w:t>
      </w:r>
    </w:p>
    <w:p>
      <w:pPr>
        <w:widowControl/>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3）在服务采购项目中，服务由中小企业承接，即提供服务的人员为中小企业依照《中华人民共和国劳动合同法》订立劳动合同的从业人员。</w:t>
      </w:r>
    </w:p>
    <w:p>
      <w:pPr>
        <w:widowControl/>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在货物采购项目中，投标人提供的货物既有中小企业制造货物，也有大型企业制造货物的，不享受中小企业扶持政策。</w:t>
      </w:r>
    </w:p>
    <w:p>
      <w:pPr>
        <w:widowControl/>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对于未预留份额专门面向中小企业的政府采购货物或服务项目，以及预留份额政府采购货物或服务项目中的非预留部分，对小型和微型企业的投标报价给予10%</w:t>
      </w:r>
      <w:r>
        <w:rPr>
          <w:rFonts w:hint="eastAsia" w:ascii="宋体" w:hAnsi="宋体" w:cs="宋体"/>
          <w:szCs w:val="21"/>
          <w:highlight w:val="none"/>
          <w:lang w:val="en-US" w:eastAsia="zh-CN"/>
        </w:rPr>
        <w:t>-20%</w:t>
      </w:r>
      <w:r>
        <w:rPr>
          <w:rFonts w:hint="eastAsia" w:ascii="宋体" w:hAnsi="宋体" w:cs="宋体"/>
          <w:szCs w:val="21"/>
          <w:highlight w:val="none"/>
        </w:rPr>
        <w:t>的扣除，用扣除后的价格参与评审。接受大中型企业与小微企业组成联合体的政府采购货物或服务项目，对于联合协议约定小微企业的合同份额占到合同总金额30%以上的，对联合体或者大中型企业的报价给予4%-6%的扣除，用扣除后的价格参加评审。组成联合体的小微企业与联合体内其他企业之间存在直接控股、管理关系的，不享受价格扣除优惠政策。</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可享受中小企业扶持政策的投标人应按照采购文件格式要求提供《中小企业声明函》，投标人提供的《中小企业声明函》与实际情况不符的，不享受中小企业扶持政策。声明内容不实的，属于提供虚假材料谋取中标、成交的，依法承担法律责任。</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中小企业享受扶持政策获得政府采购合同的，小微企业不得将合同分包给大中型企业，中型企业不得将合同分包给大型企业。</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4）符合《关于促进残疾人就业政府采购政策的通知》（财库〔2017〕141号）规定的条件并提供《残疾人福利性单位声明函》（附件1）的残疾人福利性单位视同小型、微型企业；</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5）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7）中小企业享受扶持政策获得政府采购合同的，小微企业不得将合同分包给大中型企业，中型企业不得将合同分包给大型企业。</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（4）支持创新发展</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1）采购人优先采购被认定为首台套产品和“制造精品”的自主创新产品。</w:t>
      </w:r>
    </w:p>
    <w:p>
      <w:pPr>
        <w:adjustRightInd w:val="0"/>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（5）平等对待内外资企业和符合条件的破产重整企业</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平等对待内外资企业和符合条件的破产重整企业，切实保障企业公平竞争，平等维护企业的合法利益。</w:t>
      </w:r>
    </w:p>
    <w:p>
      <w:pPr>
        <w:pStyle w:val="4"/>
        <w:ind w:firstLine="422"/>
        <w:rPr>
          <w:rFonts w:ascii="宋体" w:hAnsi="宋体" w:cs="宋体"/>
          <w:highlight w:val="none"/>
        </w:rPr>
      </w:pPr>
      <w:bookmarkStart w:id="77" w:name="_Toc35524549"/>
      <w:bookmarkStart w:id="78" w:name="_Toc27228"/>
      <w:bookmarkStart w:id="79" w:name="_Toc25055"/>
      <w:bookmarkStart w:id="80" w:name="_Toc22592"/>
      <w:bookmarkStart w:id="81" w:name="_Toc6383"/>
      <w:bookmarkStart w:id="82" w:name="_Toc17659"/>
      <w:bookmarkStart w:id="83" w:name="_Toc22303"/>
      <w:bookmarkStart w:id="84" w:name="_Toc942"/>
      <w:bookmarkStart w:id="85" w:name="_Toc26547"/>
      <w:bookmarkStart w:id="86" w:name="_Toc10881"/>
      <w:bookmarkStart w:id="87" w:name="_Toc29762"/>
      <w:bookmarkStart w:id="88" w:name="_Toc14464"/>
      <w:bookmarkStart w:id="89" w:name="_Toc15429"/>
      <w:bookmarkStart w:id="90" w:name="_Toc19692"/>
      <w:bookmarkStart w:id="91" w:name="_Toc9229"/>
      <w:r>
        <w:rPr>
          <w:rFonts w:hint="eastAsia" w:ascii="宋体" w:hAnsi="宋体" w:cs="宋体"/>
          <w:highlight w:val="none"/>
        </w:rPr>
        <w:t>二、采购文件</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145"/>
        <w:spacing w:line="360" w:lineRule="auto"/>
        <w:ind w:firstLine="420"/>
        <w:rPr>
          <w:rFonts w:ascii="宋体" w:hAnsi="宋体" w:cs="宋体"/>
          <w:highlight w:val="none"/>
        </w:rPr>
      </w:pPr>
      <w:bookmarkStart w:id="92" w:name="_Toc82873324"/>
      <w:bookmarkStart w:id="93" w:name="_Toc82338241"/>
      <w:r>
        <w:rPr>
          <w:rFonts w:hint="eastAsia" w:ascii="宋体" w:hAnsi="宋体" w:cs="宋体"/>
          <w:highlight w:val="none"/>
        </w:rPr>
        <w:t>2.1、采购文件组成</w:t>
      </w:r>
    </w:p>
    <w:p>
      <w:pPr>
        <w:pStyle w:val="145"/>
        <w:spacing w:line="360" w:lineRule="auto"/>
        <w:ind w:firstLine="420"/>
        <w:rPr>
          <w:rFonts w:ascii="宋体" w:hAnsi="宋体" w:cs="宋体"/>
          <w:highlight w:val="none"/>
        </w:rPr>
      </w:pPr>
      <w:r>
        <w:rPr>
          <w:rFonts w:hint="eastAsia" w:ascii="宋体" w:hAnsi="宋体" w:cs="宋体"/>
          <w:highlight w:val="none"/>
        </w:rPr>
        <w:t>2.1.1第一章 招标公告</w:t>
      </w:r>
    </w:p>
    <w:p>
      <w:pPr>
        <w:pStyle w:val="145"/>
        <w:spacing w:line="360" w:lineRule="auto"/>
        <w:ind w:firstLine="420"/>
        <w:rPr>
          <w:rFonts w:ascii="宋体" w:hAnsi="宋体" w:cs="宋体"/>
          <w:highlight w:val="none"/>
        </w:rPr>
      </w:pPr>
      <w:r>
        <w:rPr>
          <w:rFonts w:hint="eastAsia" w:ascii="宋体" w:hAnsi="宋体" w:cs="宋体"/>
          <w:highlight w:val="none"/>
        </w:rPr>
        <w:t>2.1.2第二章 采购内容及技术要求</w:t>
      </w:r>
    </w:p>
    <w:p>
      <w:pPr>
        <w:pStyle w:val="145"/>
        <w:spacing w:line="360" w:lineRule="auto"/>
        <w:ind w:firstLine="420"/>
        <w:rPr>
          <w:rFonts w:ascii="宋体" w:hAnsi="宋体" w:cs="宋体"/>
          <w:highlight w:val="none"/>
        </w:rPr>
      </w:pPr>
      <w:r>
        <w:rPr>
          <w:rFonts w:hint="eastAsia" w:ascii="宋体" w:hAnsi="宋体" w:cs="宋体"/>
          <w:highlight w:val="none"/>
        </w:rPr>
        <w:t>2.1.3第三章 评标办法</w:t>
      </w:r>
    </w:p>
    <w:p>
      <w:pPr>
        <w:pStyle w:val="145"/>
        <w:spacing w:line="360" w:lineRule="auto"/>
        <w:ind w:firstLine="420"/>
        <w:rPr>
          <w:rFonts w:ascii="宋体" w:hAnsi="宋体" w:cs="宋体"/>
          <w:highlight w:val="none"/>
        </w:rPr>
      </w:pPr>
      <w:r>
        <w:rPr>
          <w:rFonts w:hint="eastAsia" w:ascii="宋体" w:hAnsi="宋体" w:cs="宋体"/>
          <w:highlight w:val="none"/>
        </w:rPr>
        <w:t>2.1.4第四章 采购合同</w:t>
      </w:r>
    </w:p>
    <w:p>
      <w:pPr>
        <w:pStyle w:val="145"/>
        <w:spacing w:line="360" w:lineRule="auto"/>
        <w:ind w:firstLine="420"/>
        <w:rPr>
          <w:rFonts w:ascii="宋体" w:hAnsi="宋体" w:cs="宋体"/>
          <w:highlight w:val="none"/>
        </w:rPr>
      </w:pPr>
      <w:r>
        <w:rPr>
          <w:rFonts w:hint="eastAsia" w:ascii="宋体" w:hAnsi="宋体" w:cs="宋体"/>
          <w:highlight w:val="none"/>
        </w:rPr>
        <w:t>2.1.5第五章 投标人须知前附表</w:t>
      </w:r>
    </w:p>
    <w:p>
      <w:pPr>
        <w:pStyle w:val="145"/>
        <w:spacing w:line="360" w:lineRule="auto"/>
        <w:ind w:firstLine="420"/>
        <w:rPr>
          <w:rFonts w:ascii="宋体" w:hAnsi="宋体" w:cs="宋体"/>
          <w:highlight w:val="none"/>
        </w:rPr>
      </w:pPr>
      <w:r>
        <w:rPr>
          <w:rFonts w:hint="eastAsia" w:ascii="宋体" w:hAnsi="宋体" w:cs="宋体"/>
          <w:highlight w:val="none"/>
        </w:rPr>
        <w:t>2.1.6第六章 投标人须知</w:t>
      </w:r>
    </w:p>
    <w:p>
      <w:pPr>
        <w:pStyle w:val="145"/>
        <w:spacing w:line="360" w:lineRule="auto"/>
        <w:ind w:firstLine="420"/>
        <w:rPr>
          <w:rFonts w:ascii="宋体" w:hAnsi="宋体" w:cs="宋体"/>
          <w:highlight w:val="none"/>
        </w:rPr>
      </w:pPr>
      <w:r>
        <w:rPr>
          <w:rFonts w:hint="eastAsia" w:ascii="宋体" w:hAnsi="宋体" w:cs="宋体"/>
          <w:highlight w:val="none"/>
        </w:rPr>
        <w:t>2.1.7第七章 投标文件格式</w:t>
      </w:r>
    </w:p>
    <w:p>
      <w:pPr>
        <w:pStyle w:val="145"/>
        <w:spacing w:line="360" w:lineRule="auto"/>
        <w:ind w:firstLine="420"/>
        <w:rPr>
          <w:rFonts w:ascii="宋体" w:hAnsi="宋体" w:cs="宋体"/>
          <w:highlight w:val="none"/>
        </w:rPr>
      </w:pPr>
      <w:r>
        <w:rPr>
          <w:rFonts w:hint="eastAsia" w:ascii="宋体" w:hAnsi="宋体" w:cs="宋体"/>
          <w:highlight w:val="none"/>
        </w:rPr>
        <w:t>2.1.8补充文件（如有）</w:t>
      </w:r>
    </w:p>
    <w:p>
      <w:pPr>
        <w:pStyle w:val="145"/>
        <w:spacing w:line="360" w:lineRule="auto"/>
        <w:ind w:firstLine="420"/>
        <w:rPr>
          <w:rFonts w:ascii="宋体" w:hAnsi="宋体" w:cs="宋体"/>
          <w:highlight w:val="none"/>
        </w:rPr>
      </w:pPr>
      <w:r>
        <w:rPr>
          <w:rFonts w:hint="eastAsia" w:ascii="宋体" w:hAnsi="宋体" w:cs="宋体"/>
          <w:highlight w:val="none"/>
        </w:rPr>
        <w:t>2.2、采购文件的解释权</w:t>
      </w:r>
    </w:p>
    <w:p>
      <w:pPr>
        <w:pStyle w:val="145"/>
        <w:spacing w:line="360" w:lineRule="auto"/>
        <w:ind w:firstLine="420"/>
        <w:rPr>
          <w:rFonts w:ascii="宋体" w:hAnsi="宋体" w:cs="宋体"/>
          <w:highlight w:val="none"/>
        </w:rPr>
      </w:pPr>
      <w:r>
        <w:rPr>
          <w:rFonts w:hint="eastAsia" w:ascii="宋体" w:hAnsi="宋体" w:cs="宋体"/>
          <w:highlight w:val="none"/>
        </w:rPr>
        <w:t>采购文件的解释权归采购人和采购代理机构所有。</w:t>
      </w:r>
    </w:p>
    <w:p>
      <w:pPr>
        <w:pStyle w:val="145"/>
        <w:spacing w:line="360" w:lineRule="auto"/>
        <w:ind w:firstLine="420"/>
        <w:rPr>
          <w:rFonts w:ascii="宋体" w:hAnsi="宋体" w:cs="宋体"/>
          <w:highlight w:val="none"/>
        </w:rPr>
      </w:pPr>
      <w:r>
        <w:rPr>
          <w:rFonts w:hint="eastAsia" w:ascii="宋体" w:hAnsi="宋体" w:cs="宋体"/>
          <w:highlight w:val="none"/>
        </w:rPr>
        <w:t>2.3、采购文件的质疑</w:t>
      </w:r>
    </w:p>
    <w:p>
      <w:pPr>
        <w:pStyle w:val="145"/>
        <w:spacing w:line="360" w:lineRule="auto"/>
        <w:ind w:firstLine="420"/>
        <w:rPr>
          <w:rFonts w:ascii="宋体" w:hAnsi="宋体" w:cs="宋体"/>
          <w:highlight w:val="none"/>
        </w:rPr>
      </w:pPr>
      <w:r>
        <w:rPr>
          <w:rFonts w:hint="eastAsia" w:ascii="宋体" w:hAnsi="宋体" w:cs="宋体"/>
          <w:highlight w:val="none"/>
        </w:rPr>
        <w:t>2.3.1投标人认为采购文件规定内容使自己的合法权益受到损害的，投标人可以提出书面质疑。</w:t>
      </w:r>
    </w:p>
    <w:p>
      <w:pPr>
        <w:pStyle w:val="145"/>
        <w:spacing w:line="360" w:lineRule="auto"/>
        <w:ind w:firstLine="420"/>
        <w:rPr>
          <w:rFonts w:ascii="宋体" w:hAnsi="宋体" w:cs="宋体"/>
          <w:highlight w:val="none"/>
        </w:rPr>
      </w:pPr>
      <w:r>
        <w:rPr>
          <w:rFonts w:hint="eastAsia" w:ascii="宋体" w:hAnsi="宋体" w:cs="宋体"/>
          <w:highlight w:val="none"/>
        </w:rPr>
        <w:t>2.3.2供应商提出质疑应当提交质疑函和必要的证明材料。质疑函应当包括下列内容：</w:t>
      </w:r>
    </w:p>
    <w:p>
      <w:pPr>
        <w:pStyle w:val="145"/>
        <w:spacing w:line="360" w:lineRule="auto"/>
        <w:ind w:firstLine="420"/>
        <w:rPr>
          <w:rFonts w:ascii="宋体" w:hAnsi="宋体" w:cs="宋体"/>
          <w:highlight w:val="none"/>
        </w:rPr>
      </w:pPr>
      <w:r>
        <w:rPr>
          <w:rFonts w:hint="eastAsia" w:ascii="宋体" w:hAnsi="宋体" w:cs="宋体"/>
          <w:highlight w:val="none"/>
        </w:rPr>
        <w:t>（1）供应商的姓名或者名称、地址、邮编、联系人及联系电话；</w:t>
      </w:r>
    </w:p>
    <w:p>
      <w:pPr>
        <w:pStyle w:val="145"/>
        <w:spacing w:line="360" w:lineRule="auto"/>
        <w:ind w:firstLine="420"/>
        <w:rPr>
          <w:rFonts w:ascii="宋体" w:hAnsi="宋体" w:cs="宋体"/>
          <w:highlight w:val="none"/>
        </w:rPr>
      </w:pPr>
      <w:r>
        <w:rPr>
          <w:rFonts w:hint="eastAsia" w:ascii="宋体" w:hAnsi="宋体" w:cs="宋体"/>
          <w:highlight w:val="none"/>
        </w:rPr>
        <w:t>（2）质疑项目的名称、编号；</w:t>
      </w:r>
    </w:p>
    <w:p>
      <w:pPr>
        <w:pStyle w:val="145"/>
        <w:spacing w:line="360" w:lineRule="auto"/>
        <w:ind w:firstLine="420"/>
        <w:rPr>
          <w:rFonts w:ascii="宋体" w:hAnsi="宋体" w:cs="宋体"/>
          <w:highlight w:val="none"/>
        </w:rPr>
      </w:pPr>
      <w:r>
        <w:rPr>
          <w:rFonts w:hint="eastAsia" w:ascii="宋体" w:hAnsi="宋体" w:cs="宋体"/>
          <w:highlight w:val="none"/>
        </w:rPr>
        <w:t>（3）具体、明确的质疑事项和与质疑事项相关的请求；</w:t>
      </w:r>
    </w:p>
    <w:p>
      <w:pPr>
        <w:pStyle w:val="145"/>
        <w:spacing w:line="360" w:lineRule="auto"/>
        <w:ind w:firstLine="420"/>
        <w:rPr>
          <w:rFonts w:ascii="宋体" w:hAnsi="宋体" w:cs="宋体"/>
          <w:highlight w:val="none"/>
        </w:rPr>
      </w:pPr>
      <w:r>
        <w:rPr>
          <w:rFonts w:hint="eastAsia" w:ascii="宋体" w:hAnsi="宋体" w:cs="宋体"/>
          <w:highlight w:val="none"/>
        </w:rPr>
        <w:t>（4）事实依据；</w:t>
      </w:r>
    </w:p>
    <w:p>
      <w:pPr>
        <w:pStyle w:val="145"/>
        <w:spacing w:line="360" w:lineRule="auto"/>
        <w:ind w:firstLine="420"/>
        <w:rPr>
          <w:rFonts w:ascii="宋体" w:hAnsi="宋体" w:cs="宋体"/>
          <w:highlight w:val="none"/>
        </w:rPr>
      </w:pPr>
      <w:r>
        <w:rPr>
          <w:rFonts w:hint="eastAsia" w:ascii="宋体" w:hAnsi="宋体" w:cs="宋体"/>
          <w:highlight w:val="none"/>
        </w:rPr>
        <w:t>（5）必要的法律依据；</w:t>
      </w:r>
    </w:p>
    <w:p>
      <w:pPr>
        <w:pStyle w:val="145"/>
        <w:spacing w:line="360" w:lineRule="auto"/>
        <w:ind w:firstLine="420"/>
        <w:rPr>
          <w:rFonts w:ascii="宋体" w:hAnsi="宋体" w:cs="宋体"/>
          <w:highlight w:val="none"/>
        </w:rPr>
      </w:pPr>
      <w:r>
        <w:rPr>
          <w:rFonts w:hint="eastAsia" w:ascii="宋体" w:hAnsi="宋体" w:cs="宋体"/>
          <w:highlight w:val="none"/>
        </w:rPr>
        <w:t>（6）提出质疑的日期。</w:t>
      </w:r>
    </w:p>
    <w:p>
      <w:pPr>
        <w:pStyle w:val="145"/>
        <w:spacing w:line="360" w:lineRule="auto"/>
        <w:ind w:firstLine="420"/>
        <w:rPr>
          <w:rFonts w:ascii="宋体" w:hAnsi="宋体" w:cs="宋体"/>
          <w:highlight w:val="none"/>
        </w:rPr>
      </w:pPr>
      <w:r>
        <w:rPr>
          <w:rFonts w:hint="eastAsia" w:ascii="宋体" w:hAnsi="宋体" w:cs="宋体"/>
          <w:highlight w:val="none"/>
        </w:rPr>
        <w:t>供应商为自然人的，应当由本人签字；供应商为法人或者其他组织的，应当由法定代表人、主要负责人，或者其授权代表签字或者盖章，并加盖公章。</w:t>
      </w:r>
    </w:p>
    <w:p>
      <w:pPr>
        <w:pStyle w:val="145"/>
        <w:spacing w:line="360" w:lineRule="auto"/>
        <w:ind w:firstLine="420"/>
        <w:rPr>
          <w:rFonts w:ascii="宋体" w:hAnsi="宋体" w:cs="宋体"/>
          <w:highlight w:val="none"/>
        </w:rPr>
      </w:pPr>
      <w:r>
        <w:rPr>
          <w:rFonts w:hint="eastAsia" w:ascii="宋体" w:hAnsi="宋体" w:cs="宋体"/>
          <w:highlight w:val="none"/>
        </w:rPr>
        <w:t>2.3.3质疑期限自投标人获得采购文件之日起7个工作日内且在投标截止时间前向采购代理机构提出。供应商须在法定质疑期内一次性提出针对采购文件的质疑。</w:t>
      </w:r>
    </w:p>
    <w:p>
      <w:pPr>
        <w:pStyle w:val="145"/>
        <w:spacing w:line="360" w:lineRule="auto"/>
        <w:ind w:firstLine="420"/>
        <w:rPr>
          <w:rFonts w:ascii="宋体" w:hAnsi="宋体" w:cs="宋体"/>
          <w:highlight w:val="none"/>
        </w:rPr>
      </w:pPr>
      <w:r>
        <w:rPr>
          <w:rFonts w:hint="eastAsia" w:ascii="宋体" w:hAnsi="宋体" w:cs="宋体"/>
          <w:highlight w:val="none"/>
        </w:rPr>
        <w:t>2.3.4质疑书中涉及的相关材料中有外文资料的，应当将与质疑相关的外文资料完整、客观、真实地翻译为中文，并注明翻译人员姓名、工作单位、联系方式等信息。</w:t>
      </w:r>
    </w:p>
    <w:p>
      <w:pPr>
        <w:pStyle w:val="145"/>
        <w:spacing w:line="360" w:lineRule="auto"/>
        <w:ind w:firstLine="420"/>
        <w:rPr>
          <w:rFonts w:ascii="宋体" w:hAnsi="宋体" w:cs="宋体"/>
          <w:highlight w:val="none"/>
        </w:rPr>
      </w:pPr>
      <w:r>
        <w:rPr>
          <w:rFonts w:hint="eastAsia" w:ascii="宋体" w:hAnsi="宋体" w:cs="宋体"/>
          <w:highlight w:val="none"/>
        </w:rPr>
        <w:t>2.3.5质疑书以直接提交、传真或邮寄方式提交（一式三份）。</w:t>
      </w:r>
    </w:p>
    <w:p>
      <w:pPr>
        <w:pStyle w:val="145"/>
        <w:spacing w:line="360" w:lineRule="auto"/>
        <w:ind w:firstLine="420"/>
        <w:rPr>
          <w:rFonts w:ascii="宋体" w:hAnsi="宋体" w:cs="宋体"/>
          <w:highlight w:val="none"/>
        </w:rPr>
      </w:pPr>
      <w:r>
        <w:rPr>
          <w:rFonts w:hint="eastAsia" w:ascii="宋体" w:hAnsi="宋体" w:cs="宋体"/>
          <w:highlight w:val="none"/>
        </w:rPr>
        <w:t>2.3.6质疑书以传真形式提交后，同时须向采购代理机构提交质疑书原件，实际收到原件之日作为收到质疑的日期。</w:t>
      </w:r>
    </w:p>
    <w:p>
      <w:pPr>
        <w:pStyle w:val="145"/>
        <w:spacing w:line="360" w:lineRule="auto"/>
        <w:ind w:firstLine="420"/>
        <w:rPr>
          <w:rFonts w:ascii="宋体" w:hAnsi="宋体" w:cs="宋体"/>
          <w:highlight w:val="none"/>
        </w:rPr>
      </w:pPr>
      <w:r>
        <w:rPr>
          <w:rFonts w:hint="eastAsia" w:ascii="宋体" w:hAnsi="宋体" w:cs="宋体"/>
          <w:highlight w:val="none"/>
        </w:rPr>
        <w:t>2.3.7供应商如采用在线递交质疑的，按以上要求将书面质疑材料扫描后，在政采云系统中在线质疑模块上传附件（在线递交后，并电话告知采购代理机构）。</w:t>
      </w:r>
    </w:p>
    <w:p>
      <w:pPr>
        <w:pStyle w:val="145"/>
        <w:spacing w:line="360" w:lineRule="auto"/>
        <w:ind w:firstLine="409" w:firstLineChars="195"/>
        <w:rPr>
          <w:rFonts w:ascii="宋体" w:hAnsi="宋体" w:cs="宋体"/>
          <w:highlight w:val="none"/>
        </w:rPr>
      </w:pPr>
      <w:r>
        <w:rPr>
          <w:rFonts w:hint="eastAsia" w:ascii="宋体" w:hAnsi="宋体" w:cs="宋体"/>
          <w:highlight w:val="none"/>
        </w:rPr>
        <w:t>2.4、采购文件的澄清</w:t>
      </w:r>
    </w:p>
    <w:p>
      <w:pPr>
        <w:pStyle w:val="145"/>
        <w:spacing w:line="360" w:lineRule="auto"/>
        <w:ind w:firstLine="420"/>
        <w:rPr>
          <w:rFonts w:ascii="宋体" w:hAnsi="宋体" w:cs="宋体"/>
          <w:highlight w:val="none"/>
        </w:rPr>
      </w:pPr>
      <w:r>
        <w:rPr>
          <w:rFonts w:hint="eastAsia" w:ascii="宋体" w:hAnsi="宋体" w:cs="宋体"/>
          <w:highlight w:val="none"/>
        </w:rPr>
        <w:t>2.4.1投标人对采购文件如有疑问要求澄清，或认为有必要与采购代理机构进行技术交流，投标人需将书面资料在“投标人须知前附表”规定提疑截止时间前传真至采购代理机构，同时将电子文件发至“投标人须知前附表”注明的邮箱（电子邮件与书面文件有不一致的，以书面文件为准），并与采购代理机构进行确认。采购代理机构有权对提疑截止时间后的收到疑问将不予受理、答复。</w:t>
      </w:r>
    </w:p>
    <w:p>
      <w:pPr>
        <w:pStyle w:val="145"/>
        <w:spacing w:line="360" w:lineRule="auto"/>
        <w:ind w:firstLine="420"/>
        <w:rPr>
          <w:rFonts w:ascii="宋体" w:hAnsi="宋体" w:cs="宋体"/>
          <w:highlight w:val="none"/>
        </w:rPr>
      </w:pPr>
      <w:r>
        <w:rPr>
          <w:rFonts w:hint="eastAsia" w:ascii="宋体" w:hAnsi="宋体" w:cs="宋体"/>
          <w:highlight w:val="none"/>
        </w:rPr>
        <w:t>2.4.2 投标人要求澄清的资料应加盖单位公章、写明日期。</w:t>
      </w:r>
    </w:p>
    <w:p>
      <w:pPr>
        <w:pStyle w:val="145"/>
        <w:spacing w:line="360" w:lineRule="auto"/>
        <w:ind w:firstLine="420"/>
        <w:rPr>
          <w:rFonts w:ascii="宋体" w:hAnsi="宋体" w:cs="宋体"/>
          <w:highlight w:val="none"/>
        </w:rPr>
      </w:pPr>
      <w:r>
        <w:rPr>
          <w:rFonts w:hint="eastAsia" w:ascii="宋体" w:hAnsi="宋体" w:cs="宋体"/>
          <w:highlight w:val="none"/>
        </w:rPr>
        <w:t>2.4.3 如有必要，采购代理机构和采购人对投标人所有要求澄清的问题都予以解答，澄清答复的文件为补充文件，作为采购文件的组成部分，补充文件将在“投标人须知前附表”规定的时间前以网上更正公告形式告知所有获取采购文件的投标人，补充文件对投标人均有约束力。</w:t>
      </w:r>
    </w:p>
    <w:p>
      <w:pPr>
        <w:pStyle w:val="145"/>
        <w:spacing w:line="360" w:lineRule="auto"/>
        <w:ind w:firstLine="420"/>
        <w:rPr>
          <w:rFonts w:ascii="宋体" w:hAnsi="宋体" w:cs="宋体"/>
          <w:highlight w:val="none"/>
        </w:rPr>
      </w:pPr>
      <w:r>
        <w:rPr>
          <w:rFonts w:hint="eastAsia" w:ascii="宋体" w:hAnsi="宋体" w:cs="宋体"/>
          <w:highlight w:val="none"/>
        </w:rPr>
        <w:t>2.4.4补充文件发出后，采购人原则上不改变采购文件规定的投标截止时间及开标时间。投标人如认为补充文件内容影响投标文件编制，须延长投标截止时间的，必须在更正公告发布补充文件后24小时内将意见和理由以书面形式向采购代理机构提出，否则，采购代理机构视投标人完全接受并有足够的时间编制投标文件且按规定时间进行投标。</w:t>
      </w:r>
    </w:p>
    <w:p>
      <w:pPr>
        <w:pStyle w:val="145"/>
        <w:spacing w:line="360" w:lineRule="auto"/>
        <w:ind w:firstLine="420"/>
        <w:rPr>
          <w:rFonts w:ascii="宋体" w:hAnsi="宋体" w:cs="宋体"/>
          <w:highlight w:val="none"/>
        </w:rPr>
      </w:pPr>
      <w:r>
        <w:rPr>
          <w:rFonts w:hint="eastAsia" w:ascii="宋体" w:hAnsi="宋体" w:cs="宋体"/>
          <w:highlight w:val="none"/>
        </w:rPr>
        <w:t>2.4.5投标人在采购文件规定的提疑截止时间前内未对采购文件提出疑问的，采购代理机构将视其为无异议。</w:t>
      </w:r>
    </w:p>
    <w:p>
      <w:pPr>
        <w:pStyle w:val="145"/>
        <w:spacing w:line="360" w:lineRule="auto"/>
        <w:ind w:firstLine="420"/>
        <w:rPr>
          <w:rFonts w:ascii="宋体" w:hAnsi="宋体" w:cs="宋体"/>
          <w:highlight w:val="none"/>
        </w:rPr>
      </w:pPr>
      <w:r>
        <w:rPr>
          <w:rFonts w:hint="eastAsia" w:ascii="宋体" w:hAnsi="宋体" w:cs="宋体"/>
          <w:highlight w:val="none"/>
        </w:rPr>
        <w:t>2.4.6当采购文件与补充文件就同一内容的表述不一致时，以最后发出的文件为准。</w:t>
      </w:r>
    </w:p>
    <w:p>
      <w:pPr>
        <w:pStyle w:val="145"/>
        <w:spacing w:line="360" w:lineRule="auto"/>
        <w:ind w:firstLine="420"/>
        <w:rPr>
          <w:rFonts w:ascii="宋体" w:hAnsi="宋体" w:cs="宋体"/>
          <w:highlight w:val="none"/>
        </w:rPr>
      </w:pPr>
      <w:r>
        <w:rPr>
          <w:rFonts w:hint="eastAsia" w:ascii="宋体" w:hAnsi="宋体" w:cs="宋体"/>
          <w:highlight w:val="none"/>
        </w:rPr>
        <w:t>2.5、采购文件的修改</w:t>
      </w:r>
    </w:p>
    <w:p>
      <w:pPr>
        <w:pStyle w:val="145"/>
        <w:spacing w:line="360" w:lineRule="auto"/>
        <w:ind w:firstLine="420"/>
        <w:rPr>
          <w:rFonts w:ascii="宋体" w:hAnsi="宋体" w:cs="宋体"/>
          <w:highlight w:val="none"/>
        </w:rPr>
      </w:pPr>
      <w:r>
        <w:rPr>
          <w:rFonts w:hint="eastAsia" w:ascii="宋体" w:hAnsi="宋体" w:cs="宋体"/>
          <w:highlight w:val="none"/>
        </w:rPr>
        <w:t>2.5.1 在投标截止时间前，由于各种原因采购人可能以补充文件的形式修改完善采购文件。</w:t>
      </w:r>
    </w:p>
    <w:p>
      <w:pPr>
        <w:pStyle w:val="145"/>
        <w:spacing w:line="360" w:lineRule="auto"/>
        <w:ind w:firstLine="420"/>
        <w:rPr>
          <w:rFonts w:ascii="宋体" w:hAnsi="宋体" w:cs="宋体"/>
          <w:highlight w:val="none"/>
        </w:rPr>
      </w:pPr>
      <w:r>
        <w:rPr>
          <w:rFonts w:hint="eastAsia" w:ascii="宋体" w:hAnsi="宋体" w:cs="宋体"/>
          <w:highlight w:val="none"/>
        </w:rPr>
        <w:t>2.5.2补充文件作为采购文件组成部分，补充文件将在“投标人须知前附表”规定的时间前以网上更正公告形式告知所有获取采购文件的投标人，补充文件对投标人均有约束力。</w:t>
      </w:r>
    </w:p>
    <w:p>
      <w:pPr>
        <w:pStyle w:val="145"/>
        <w:spacing w:line="360" w:lineRule="auto"/>
        <w:ind w:firstLine="420"/>
        <w:rPr>
          <w:rFonts w:ascii="宋体" w:hAnsi="宋体" w:cs="宋体"/>
          <w:highlight w:val="none"/>
        </w:rPr>
      </w:pPr>
      <w:r>
        <w:rPr>
          <w:rFonts w:hint="eastAsia" w:ascii="宋体" w:hAnsi="宋体" w:cs="宋体"/>
          <w:highlight w:val="none"/>
        </w:rPr>
        <w:t>2.5.3补充文件发出后，采购人原则上不改变本文件规定的投标截止时间及开标时间。投标人如认为补充文件内容影响投标文件编制，须延长投标截止时间的，必须在更正公告发布补充文件后24小时内将意见和理由以书面形式向采购代理机构提出，否则，采购代理机构视投标人完全接受并有足够的时间编制投标文件且按规定时间进行投标。</w:t>
      </w:r>
    </w:p>
    <w:p>
      <w:pPr>
        <w:pStyle w:val="145"/>
        <w:spacing w:line="360" w:lineRule="auto"/>
        <w:ind w:firstLine="420"/>
        <w:rPr>
          <w:rFonts w:ascii="宋体" w:hAnsi="宋体" w:cs="宋体"/>
          <w:highlight w:val="none"/>
        </w:rPr>
      </w:pPr>
      <w:r>
        <w:rPr>
          <w:rFonts w:hint="eastAsia" w:ascii="宋体" w:hAnsi="宋体" w:cs="宋体"/>
          <w:highlight w:val="none"/>
        </w:rPr>
        <w:t>2.5.4更正公告发布后，对补充文件如有疑问要求澄清，应在24小时内将书面资料传真至采购代理机构，同时将电子文件发至“投标人须知前附表”注明的邮箱（电子邮件与传真文件有不一致的，以传真文件为准），并与采购代理机构进行确认。</w:t>
      </w:r>
    </w:p>
    <w:p>
      <w:pPr>
        <w:pStyle w:val="145"/>
        <w:spacing w:line="360" w:lineRule="auto"/>
        <w:ind w:firstLine="420"/>
        <w:rPr>
          <w:rFonts w:ascii="宋体" w:hAnsi="宋体" w:cs="宋体"/>
          <w:highlight w:val="none"/>
        </w:rPr>
      </w:pPr>
      <w:r>
        <w:rPr>
          <w:rFonts w:hint="eastAsia" w:ascii="宋体" w:hAnsi="宋体" w:cs="宋体"/>
          <w:highlight w:val="none"/>
        </w:rPr>
        <w:t>2.5.5投标人要求澄清的资料应加盖单位公章、写明日期。</w:t>
      </w:r>
    </w:p>
    <w:p>
      <w:pPr>
        <w:pStyle w:val="145"/>
        <w:spacing w:line="360" w:lineRule="auto"/>
        <w:ind w:firstLine="420"/>
        <w:rPr>
          <w:rFonts w:ascii="宋体" w:hAnsi="宋体" w:cs="宋体"/>
          <w:highlight w:val="none"/>
        </w:rPr>
      </w:pPr>
      <w:r>
        <w:rPr>
          <w:rFonts w:hint="eastAsia" w:ascii="宋体" w:hAnsi="宋体" w:cs="宋体"/>
          <w:highlight w:val="none"/>
        </w:rPr>
        <w:t>2.5.6对补充文件的澄清答复按2.4款规定。</w:t>
      </w:r>
    </w:p>
    <w:p>
      <w:pPr>
        <w:pStyle w:val="145"/>
        <w:spacing w:line="360" w:lineRule="auto"/>
        <w:ind w:firstLine="420"/>
        <w:rPr>
          <w:rFonts w:ascii="宋体" w:hAnsi="宋体" w:cs="宋体"/>
          <w:highlight w:val="none"/>
        </w:rPr>
      </w:pPr>
      <w:r>
        <w:rPr>
          <w:rFonts w:hint="eastAsia" w:ascii="宋体" w:hAnsi="宋体" w:cs="宋体"/>
          <w:highlight w:val="none"/>
        </w:rPr>
        <w:t>2.5.7当采购文件与补充文件就同一内容的表述不一致时，以最后发出的文件为准。</w:t>
      </w:r>
    </w:p>
    <w:p>
      <w:pPr>
        <w:pStyle w:val="145"/>
        <w:spacing w:line="360" w:lineRule="auto"/>
        <w:ind w:firstLine="420"/>
        <w:rPr>
          <w:rFonts w:ascii="宋体" w:hAnsi="宋体" w:cs="宋体"/>
          <w:highlight w:val="none"/>
        </w:rPr>
      </w:pPr>
      <w:r>
        <w:rPr>
          <w:rFonts w:hint="eastAsia" w:ascii="宋体" w:hAnsi="宋体" w:cs="宋体"/>
          <w:highlight w:val="none"/>
        </w:rPr>
        <w:t>2.5.8任何口头答复均不属于采购文件的组成部分。</w:t>
      </w:r>
    </w:p>
    <w:p>
      <w:pPr>
        <w:pStyle w:val="4"/>
        <w:ind w:firstLine="422"/>
        <w:rPr>
          <w:rFonts w:ascii="宋体" w:hAnsi="宋体" w:cs="宋体"/>
          <w:highlight w:val="none"/>
        </w:rPr>
      </w:pPr>
      <w:bookmarkStart w:id="94" w:name="_Toc29214"/>
      <w:bookmarkStart w:id="95" w:name="_Toc12259"/>
      <w:bookmarkStart w:id="96" w:name="_Toc10398"/>
      <w:bookmarkStart w:id="97" w:name="_Toc35524550"/>
      <w:bookmarkStart w:id="98" w:name="_Toc4312"/>
      <w:bookmarkStart w:id="99" w:name="_Toc21022"/>
      <w:bookmarkStart w:id="100" w:name="_Toc20346"/>
      <w:bookmarkStart w:id="101" w:name="_Toc24031"/>
      <w:bookmarkStart w:id="102" w:name="_Toc526"/>
      <w:bookmarkStart w:id="103" w:name="_Toc27562"/>
      <w:bookmarkStart w:id="104" w:name="_Toc8145"/>
      <w:bookmarkStart w:id="105" w:name="_Toc29601"/>
      <w:bookmarkStart w:id="106" w:name="_Toc3162"/>
      <w:bookmarkStart w:id="107" w:name="_Toc24724"/>
      <w:bookmarkStart w:id="108" w:name="_Toc17903"/>
      <w:r>
        <w:rPr>
          <w:rFonts w:hint="eastAsia" w:ascii="宋体" w:hAnsi="宋体" w:cs="宋体"/>
          <w:highlight w:val="none"/>
        </w:rPr>
        <w:t>三、投标文件</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145"/>
        <w:spacing w:line="360" w:lineRule="auto"/>
        <w:ind w:firstLine="420"/>
        <w:rPr>
          <w:rFonts w:ascii="宋体" w:hAnsi="宋体" w:cs="宋体"/>
          <w:highlight w:val="none"/>
        </w:rPr>
      </w:pPr>
      <w:r>
        <w:rPr>
          <w:rFonts w:hint="eastAsia" w:ascii="宋体" w:hAnsi="宋体" w:cs="宋体"/>
          <w:highlight w:val="none"/>
        </w:rPr>
        <w:t>3.1、投标文件</w:t>
      </w:r>
    </w:p>
    <w:p>
      <w:pPr>
        <w:pStyle w:val="145"/>
        <w:spacing w:line="360" w:lineRule="auto"/>
        <w:ind w:firstLine="420"/>
        <w:rPr>
          <w:rFonts w:ascii="宋体" w:hAnsi="宋体" w:cs="宋体"/>
          <w:highlight w:val="none"/>
        </w:rPr>
      </w:pPr>
      <w:r>
        <w:rPr>
          <w:rFonts w:hint="eastAsia" w:ascii="宋体" w:hAnsi="宋体" w:cs="宋体"/>
          <w:highlight w:val="none"/>
        </w:rPr>
        <w:t>3.1.1投标文件的形式：详见投标须知前附表要求。</w:t>
      </w:r>
    </w:p>
    <w:p>
      <w:pPr>
        <w:pStyle w:val="145"/>
        <w:spacing w:line="360" w:lineRule="auto"/>
        <w:ind w:firstLine="420"/>
        <w:rPr>
          <w:rFonts w:ascii="宋体" w:hAnsi="宋体" w:cs="宋体"/>
          <w:highlight w:val="none"/>
        </w:rPr>
      </w:pPr>
      <w:r>
        <w:rPr>
          <w:rFonts w:hint="eastAsia" w:ascii="宋体" w:hAnsi="宋体" w:cs="宋体"/>
          <w:highlight w:val="none"/>
        </w:rPr>
        <w:t>3.1.2投标人应仔细阅读采购文件规定的所有内容，以保证能全面准确理解采购文件，并按照采购文件要求，详细编制投标文件，投标文件内容必须针对本次招标响应。</w:t>
      </w:r>
    </w:p>
    <w:p>
      <w:pPr>
        <w:pStyle w:val="145"/>
        <w:spacing w:line="360" w:lineRule="auto"/>
        <w:ind w:firstLine="420"/>
        <w:rPr>
          <w:rFonts w:ascii="宋体" w:hAnsi="宋体" w:cs="宋体"/>
          <w:bCs/>
          <w:highlight w:val="none"/>
        </w:rPr>
      </w:pPr>
      <w:r>
        <w:rPr>
          <w:rFonts w:hint="eastAsia" w:ascii="宋体" w:hAnsi="宋体" w:cs="宋体"/>
          <w:highlight w:val="none"/>
        </w:rPr>
        <w:t>3.1.3投标人必须按采购文件的要求提供相关资料，并对采购文件中提出的所有内容要求给予实质性响应，须保证投标文件的准确、真实、明确</w:t>
      </w:r>
      <w:r>
        <w:rPr>
          <w:rFonts w:hint="eastAsia" w:ascii="宋体" w:hAnsi="宋体" w:cs="宋体"/>
          <w:bCs/>
          <w:highlight w:val="none"/>
        </w:rPr>
        <w:t>。投标文件响应内容对采购文件要求如有偏离均应填写偏离表，如不填写，采购人有权视作投标文件完全响应采购文件要求。</w:t>
      </w:r>
    </w:p>
    <w:p>
      <w:pPr>
        <w:pStyle w:val="145"/>
        <w:spacing w:line="360" w:lineRule="auto"/>
        <w:ind w:firstLine="420"/>
        <w:rPr>
          <w:rFonts w:ascii="宋体" w:hAnsi="宋体" w:cs="宋体"/>
          <w:highlight w:val="none"/>
        </w:rPr>
      </w:pPr>
      <w:r>
        <w:rPr>
          <w:rFonts w:hint="eastAsia" w:ascii="宋体" w:hAnsi="宋体" w:cs="宋体"/>
          <w:highlight w:val="none"/>
        </w:rPr>
        <w:t>3.2、投标文件组成</w:t>
      </w:r>
    </w:p>
    <w:p>
      <w:pPr>
        <w:pStyle w:val="145"/>
        <w:spacing w:line="360" w:lineRule="auto"/>
        <w:ind w:firstLine="422"/>
        <w:rPr>
          <w:rFonts w:ascii="宋体" w:hAnsi="宋体" w:cs="宋体"/>
          <w:b/>
          <w:highlight w:val="none"/>
        </w:rPr>
      </w:pPr>
      <w:r>
        <w:rPr>
          <w:rFonts w:hint="eastAsia" w:ascii="宋体" w:hAnsi="宋体" w:cs="宋体"/>
          <w:b/>
          <w:highlight w:val="none"/>
        </w:rPr>
        <w:t>3.2.1投标文件报价文件部分</w:t>
      </w:r>
    </w:p>
    <w:p>
      <w:pPr>
        <w:numPr>
          <w:ilvl w:val="0"/>
          <w:numId w:val="2"/>
        </w:numPr>
        <w:tabs>
          <w:tab w:val="left" w:pos="743"/>
          <w:tab w:val="clear" w:pos="744"/>
        </w:tabs>
        <w:spacing w:line="360" w:lineRule="auto"/>
        <w:rPr>
          <w:rFonts w:ascii="宋体" w:hAnsi="宋体" w:cs="宋体"/>
          <w:highlight w:val="none"/>
        </w:rPr>
      </w:pPr>
      <w:r>
        <w:rPr>
          <w:rFonts w:hint="eastAsia" w:ascii="宋体" w:hAnsi="宋体" w:cs="宋体"/>
          <w:highlight w:val="none"/>
        </w:rPr>
        <w:t>投标函；（附件一）</w:t>
      </w:r>
    </w:p>
    <w:p>
      <w:pPr>
        <w:numPr>
          <w:ilvl w:val="0"/>
          <w:numId w:val="2"/>
        </w:numPr>
        <w:tabs>
          <w:tab w:val="left" w:pos="743"/>
          <w:tab w:val="clear" w:pos="744"/>
        </w:tabs>
        <w:spacing w:line="360" w:lineRule="auto"/>
        <w:rPr>
          <w:rFonts w:ascii="宋体" w:hAnsi="宋体" w:cs="宋体"/>
          <w:highlight w:val="none"/>
        </w:rPr>
      </w:pPr>
      <w:r>
        <w:rPr>
          <w:rFonts w:hint="eastAsia" w:ascii="宋体" w:hAnsi="宋体" w:cs="宋体"/>
          <w:szCs w:val="20"/>
          <w:highlight w:val="none"/>
        </w:rPr>
        <w:t>开标</w:t>
      </w:r>
      <w:r>
        <w:rPr>
          <w:rFonts w:hint="eastAsia" w:ascii="宋体" w:hAnsi="宋体" w:cs="宋体"/>
          <w:highlight w:val="none"/>
        </w:rPr>
        <w:t>一览表；（附件二-1）</w:t>
      </w:r>
    </w:p>
    <w:p>
      <w:pPr>
        <w:numPr>
          <w:ilvl w:val="0"/>
          <w:numId w:val="2"/>
        </w:numPr>
        <w:tabs>
          <w:tab w:val="left" w:pos="743"/>
          <w:tab w:val="clear" w:pos="744"/>
        </w:tabs>
        <w:spacing w:line="360" w:lineRule="auto"/>
        <w:rPr>
          <w:rFonts w:ascii="宋体" w:hAnsi="宋体" w:cs="宋体"/>
          <w:highlight w:val="none"/>
        </w:rPr>
      </w:pPr>
      <w:r>
        <w:rPr>
          <w:rFonts w:hint="eastAsia" w:ascii="宋体" w:hAnsi="宋体" w:cs="宋体"/>
          <w:highlight w:val="none"/>
        </w:rPr>
        <w:t>投标价格组成明细表（附件二-2）</w:t>
      </w:r>
    </w:p>
    <w:p>
      <w:pPr>
        <w:numPr>
          <w:ilvl w:val="0"/>
          <w:numId w:val="2"/>
        </w:numPr>
        <w:tabs>
          <w:tab w:val="left" w:pos="743"/>
          <w:tab w:val="clear" w:pos="744"/>
        </w:tabs>
        <w:spacing w:line="360" w:lineRule="auto"/>
        <w:rPr>
          <w:rFonts w:ascii="宋体" w:hAnsi="宋体" w:cs="宋体"/>
          <w:highlight w:val="none"/>
        </w:rPr>
      </w:pPr>
      <w:r>
        <w:rPr>
          <w:rFonts w:hint="eastAsia" w:ascii="宋体" w:hAnsi="宋体" w:cs="宋体"/>
          <w:highlight w:val="none"/>
        </w:rPr>
        <w:t>缴纳采购代理服务费承诺书；（附件二-3）</w:t>
      </w:r>
    </w:p>
    <w:p>
      <w:pPr>
        <w:pStyle w:val="145"/>
        <w:spacing w:line="360" w:lineRule="auto"/>
        <w:ind w:firstLine="422"/>
        <w:rPr>
          <w:rFonts w:ascii="宋体" w:hAnsi="宋体" w:cs="宋体"/>
          <w:b/>
          <w:highlight w:val="none"/>
        </w:rPr>
      </w:pPr>
      <w:r>
        <w:rPr>
          <w:rFonts w:hint="eastAsia" w:ascii="宋体" w:hAnsi="宋体" w:cs="宋体"/>
          <w:b/>
          <w:highlight w:val="none"/>
        </w:rPr>
        <w:t>3.2.2投标文件资格文件部分</w:t>
      </w:r>
    </w:p>
    <w:p>
      <w:pPr>
        <w:pStyle w:val="145"/>
        <w:spacing w:line="360" w:lineRule="auto"/>
        <w:ind w:firstLine="630" w:firstLineChars="300"/>
        <w:rPr>
          <w:rFonts w:ascii="宋体" w:hAnsi="宋体" w:cs="宋体"/>
          <w:highlight w:val="none"/>
        </w:rPr>
      </w:pPr>
      <w:r>
        <w:rPr>
          <w:rFonts w:hint="eastAsia" w:ascii="宋体" w:hAnsi="宋体" w:cs="宋体"/>
          <w:highlight w:val="none"/>
        </w:rPr>
        <w:t>详见“第七章投标文件格式”要求。</w:t>
      </w:r>
    </w:p>
    <w:p>
      <w:pPr>
        <w:spacing w:line="360" w:lineRule="auto"/>
        <w:ind w:firstLine="422" w:firstLineChars="200"/>
        <w:rPr>
          <w:rFonts w:ascii="宋体" w:hAnsi="宋体" w:cs="宋体"/>
          <w:b/>
          <w:highlight w:val="none"/>
        </w:rPr>
      </w:pPr>
      <w:r>
        <w:rPr>
          <w:rFonts w:hint="eastAsia" w:ascii="宋体" w:hAnsi="宋体" w:cs="宋体"/>
          <w:b/>
          <w:highlight w:val="none"/>
        </w:rPr>
        <w:t>3.2.3投标文件商务、技术文件部分</w:t>
      </w:r>
    </w:p>
    <w:p>
      <w:pPr>
        <w:numPr>
          <w:ilvl w:val="0"/>
          <w:numId w:val="3"/>
        </w:numPr>
        <w:tabs>
          <w:tab w:val="left" w:pos="743"/>
          <w:tab w:val="clear" w:pos="744"/>
        </w:tabs>
        <w:spacing w:line="360" w:lineRule="auto"/>
        <w:rPr>
          <w:rFonts w:ascii="宋体" w:hAnsi="宋体" w:cs="宋体"/>
          <w:highlight w:val="none"/>
        </w:rPr>
      </w:pPr>
      <w:r>
        <w:rPr>
          <w:rFonts w:hint="eastAsia" w:ascii="宋体" w:hAnsi="宋体" w:cs="宋体"/>
          <w:highlight w:val="none"/>
        </w:rPr>
        <w:t>法定代表人资格证明书或附有法定代表人资格证明书的法定代表人授权书；（附件三）</w:t>
      </w:r>
    </w:p>
    <w:p>
      <w:pPr>
        <w:numPr>
          <w:ilvl w:val="0"/>
          <w:numId w:val="3"/>
        </w:numPr>
        <w:tabs>
          <w:tab w:val="left" w:pos="743"/>
          <w:tab w:val="clear" w:pos="744"/>
        </w:tabs>
        <w:spacing w:line="360" w:lineRule="auto"/>
        <w:rPr>
          <w:rFonts w:ascii="宋体" w:hAnsi="宋体" w:cs="宋体"/>
          <w:highlight w:val="none"/>
        </w:rPr>
      </w:pPr>
      <w:r>
        <w:rPr>
          <w:rFonts w:hint="eastAsia" w:ascii="宋体" w:hAnsi="宋体" w:cs="宋体"/>
          <w:highlight w:val="none"/>
        </w:rPr>
        <w:t>廉洁承诺书；（附件四）</w:t>
      </w:r>
    </w:p>
    <w:p>
      <w:pPr>
        <w:numPr>
          <w:ilvl w:val="0"/>
          <w:numId w:val="3"/>
        </w:numPr>
        <w:tabs>
          <w:tab w:val="left" w:pos="743"/>
          <w:tab w:val="clear" w:pos="744"/>
        </w:tabs>
        <w:spacing w:line="360" w:lineRule="auto"/>
        <w:rPr>
          <w:rFonts w:ascii="宋体" w:hAnsi="宋体" w:cs="宋体"/>
          <w:highlight w:val="none"/>
        </w:rPr>
      </w:pPr>
      <w:r>
        <w:rPr>
          <w:rFonts w:hint="eastAsia" w:ascii="宋体" w:hAnsi="宋体" w:cs="宋体"/>
          <w:highlight w:val="none"/>
        </w:rPr>
        <w:t>类似项目业绩表格式；（附件五）</w:t>
      </w:r>
    </w:p>
    <w:p>
      <w:pPr>
        <w:numPr>
          <w:ilvl w:val="0"/>
          <w:numId w:val="3"/>
        </w:numPr>
        <w:tabs>
          <w:tab w:val="left" w:pos="743"/>
          <w:tab w:val="clear" w:pos="744"/>
        </w:tabs>
        <w:spacing w:line="360" w:lineRule="auto"/>
        <w:rPr>
          <w:rFonts w:ascii="宋体" w:hAnsi="宋体" w:cs="宋体"/>
          <w:highlight w:val="none"/>
        </w:rPr>
      </w:pPr>
      <w:r>
        <w:rPr>
          <w:rFonts w:hint="eastAsia" w:ascii="宋体" w:hAnsi="宋体" w:cs="宋体"/>
          <w:highlight w:val="none"/>
        </w:rPr>
        <w:t>投标人声明函；（附件六）</w:t>
      </w:r>
    </w:p>
    <w:p>
      <w:pPr>
        <w:numPr>
          <w:ilvl w:val="0"/>
          <w:numId w:val="3"/>
        </w:numPr>
        <w:tabs>
          <w:tab w:val="left" w:pos="743"/>
          <w:tab w:val="clear" w:pos="744"/>
        </w:tabs>
        <w:spacing w:line="360" w:lineRule="auto"/>
        <w:rPr>
          <w:highlight w:val="none"/>
        </w:rPr>
      </w:pPr>
      <w:r>
        <w:rPr>
          <w:rFonts w:hint="eastAsia" w:ascii="宋体" w:hAnsi="宋体" w:cs="宋体"/>
          <w:highlight w:val="none"/>
        </w:rPr>
        <w:t>偏离表；（附件七）</w:t>
      </w:r>
    </w:p>
    <w:p>
      <w:pPr>
        <w:numPr>
          <w:ilvl w:val="0"/>
          <w:numId w:val="3"/>
        </w:numPr>
        <w:tabs>
          <w:tab w:val="left" w:pos="743"/>
          <w:tab w:val="clear" w:pos="744"/>
        </w:tabs>
        <w:spacing w:line="360" w:lineRule="auto"/>
        <w:rPr>
          <w:rFonts w:ascii="宋体" w:hAnsi="宋体" w:cs="宋体"/>
          <w:highlight w:val="none"/>
        </w:rPr>
      </w:pPr>
      <w:r>
        <w:rPr>
          <w:rFonts w:hint="eastAsia" w:ascii="宋体" w:hAnsi="宋体" w:cs="宋体"/>
          <w:highlight w:val="none"/>
        </w:rPr>
        <w:t>项目机构人员组成表；（附件八）</w:t>
      </w:r>
    </w:p>
    <w:p>
      <w:pPr>
        <w:numPr>
          <w:ilvl w:val="0"/>
          <w:numId w:val="3"/>
        </w:numPr>
        <w:tabs>
          <w:tab w:val="left" w:pos="743"/>
          <w:tab w:val="clear" w:pos="744"/>
        </w:tabs>
        <w:spacing w:line="360" w:lineRule="auto"/>
        <w:rPr>
          <w:rFonts w:ascii="宋体" w:hAnsi="宋体" w:cs="宋体"/>
          <w:highlight w:val="none"/>
        </w:rPr>
      </w:pPr>
      <w:r>
        <w:rPr>
          <w:rFonts w:hint="eastAsia" w:ascii="宋体" w:hAnsi="宋体" w:cs="宋体"/>
          <w:highlight w:val="none"/>
        </w:rPr>
        <w:t>项目负责人简历表；（附件九）</w:t>
      </w:r>
    </w:p>
    <w:p>
      <w:pPr>
        <w:numPr>
          <w:ilvl w:val="0"/>
          <w:numId w:val="3"/>
        </w:numPr>
        <w:spacing w:line="360" w:lineRule="auto"/>
        <w:rPr>
          <w:rFonts w:ascii="宋体" w:hAnsi="宋体" w:cs="宋体"/>
          <w:highlight w:val="none"/>
        </w:rPr>
      </w:pPr>
      <w:bookmarkStart w:id="109" w:name="_Toc370395606"/>
      <w:bookmarkStart w:id="110" w:name="_Toc358992081"/>
      <w:bookmarkStart w:id="111" w:name="_Toc452553249"/>
      <w:r>
        <w:rPr>
          <w:rFonts w:hint="eastAsia" w:ascii="宋体" w:hAnsi="宋体" w:cs="宋体"/>
          <w:highlight w:val="none"/>
        </w:rPr>
        <w:t>设备、器材、工具配备表</w:t>
      </w:r>
      <w:bookmarkEnd w:id="109"/>
      <w:bookmarkEnd w:id="110"/>
      <w:bookmarkEnd w:id="111"/>
      <w:r>
        <w:rPr>
          <w:rFonts w:hint="eastAsia" w:ascii="宋体" w:hAnsi="宋体" w:cs="宋体"/>
          <w:highlight w:val="none"/>
        </w:rPr>
        <w:t>；（附件十）</w:t>
      </w:r>
    </w:p>
    <w:p>
      <w:pPr>
        <w:numPr>
          <w:ilvl w:val="0"/>
          <w:numId w:val="3"/>
        </w:numPr>
        <w:spacing w:line="360" w:lineRule="auto"/>
        <w:rPr>
          <w:rFonts w:ascii="宋体" w:hAnsi="宋体" w:cs="宋体"/>
          <w:highlight w:val="none"/>
        </w:rPr>
      </w:pPr>
      <w:r>
        <w:rPr>
          <w:rFonts w:hint="eastAsia" w:ascii="宋体" w:hAnsi="宋体" w:cs="宋体"/>
          <w:szCs w:val="21"/>
          <w:highlight w:val="none"/>
        </w:rPr>
        <w:t>技术部分组成（</w:t>
      </w:r>
      <w:r>
        <w:rPr>
          <w:rFonts w:hint="eastAsia" w:ascii="宋体" w:hAnsi="宋体" w:cs="宋体"/>
          <w:highlight w:val="none"/>
        </w:rPr>
        <w:t>具体结合“采购内容及技术要求”及“评标办法”中的要求）</w:t>
      </w:r>
    </w:p>
    <w:p>
      <w:pPr>
        <w:tabs>
          <w:tab w:val="left" w:pos="744"/>
        </w:tabs>
        <w:spacing w:line="360" w:lineRule="auto"/>
        <w:ind w:left="710"/>
        <w:rPr>
          <w:rFonts w:ascii="宋体" w:hAnsi="宋体" w:cs="宋体"/>
          <w:highlight w:val="none"/>
        </w:rPr>
      </w:pPr>
      <w:r>
        <w:rPr>
          <w:rFonts w:hint="eastAsia" w:ascii="宋体" w:hAnsi="宋体" w:cs="宋体"/>
          <w:highlight w:val="none"/>
        </w:rPr>
        <w:t>（附件十</w:t>
      </w:r>
      <w:r>
        <w:rPr>
          <w:rFonts w:hint="eastAsia" w:ascii="宋体" w:hAnsi="宋体" w:cs="宋体"/>
          <w:highlight w:val="none"/>
          <w:lang w:val="en-US" w:eastAsia="zh-CN"/>
        </w:rPr>
        <w:t>一</w:t>
      </w:r>
      <w:r>
        <w:rPr>
          <w:rFonts w:hint="eastAsia" w:ascii="宋体" w:hAnsi="宋体" w:cs="宋体"/>
          <w:highlight w:val="none"/>
        </w:rPr>
        <w:t>）</w:t>
      </w:r>
    </w:p>
    <w:p>
      <w:pPr>
        <w:numPr>
          <w:ilvl w:val="0"/>
          <w:numId w:val="3"/>
        </w:numPr>
        <w:tabs>
          <w:tab w:val="left" w:pos="743"/>
          <w:tab w:val="clear" w:pos="744"/>
        </w:tabs>
        <w:spacing w:line="360" w:lineRule="auto"/>
        <w:rPr>
          <w:rFonts w:ascii="宋体" w:hAnsi="宋体" w:cs="宋体"/>
          <w:highlight w:val="none"/>
        </w:rPr>
      </w:pPr>
      <w:r>
        <w:rPr>
          <w:rFonts w:hint="eastAsia" w:ascii="宋体" w:hAnsi="宋体" w:cs="宋体"/>
          <w:highlight w:val="none"/>
        </w:rPr>
        <w:t>投标人认为需要提供的其他资料（如有）。（附件十</w:t>
      </w:r>
      <w:r>
        <w:rPr>
          <w:rFonts w:hint="eastAsia" w:ascii="宋体" w:hAnsi="宋体" w:cs="宋体"/>
          <w:highlight w:val="none"/>
          <w:lang w:val="en-US" w:eastAsia="zh-CN"/>
        </w:rPr>
        <w:t>二</w:t>
      </w:r>
      <w:r>
        <w:rPr>
          <w:rFonts w:hint="eastAsia" w:ascii="宋体" w:hAnsi="宋体" w:cs="宋体"/>
          <w:highlight w:val="none"/>
        </w:rPr>
        <w:t>）</w:t>
      </w:r>
    </w:p>
    <w:p>
      <w:pPr>
        <w:pStyle w:val="145"/>
        <w:spacing w:line="360" w:lineRule="auto"/>
        <w:ind w:firstLine="420"/>
        <w:rPr>
          <w:rFonts w:ascii="宋体" w:hAnsi="宋体" w:cs="宋体"/>
          <w:highlight w:val="none"/>
        </w:rPr>
      </w:pPr>
      <w:r>
        <w:rPr>
          <w:rFonts w:hint="eastAsia" w:ascii="宋体" w:hAnsi="宋体" w:cs="宋体"/>
          <w:highlight w:val="none"/>
        </w:rPr>
        <w:t>3.3、投标文件的编制</w:t>
      </w:r>
    </w:p>
    <w:p>
      <w:pPr>
        <w:pStyle w:val="145"/>
        <w:spacing w:line="360" w:lineRule="auto"/>
        <w:ind w:firstLine="420"/>
        <w:rPr>
          <w:rFonts w:ascii="宋体" w:hAnsi="宋体" w:cs="宋体"/>
          <w:sz w:val="20"/>
          <w:highlight w:val="none"/>
        </w:rPr>
      </w:pPr>
      <w:r>
        <w:rPr>
          <w:rFonts w:hint="eastAsia" w:ascii="宋体" w:hAnsi="宋体" w:cs="宋体"/>
          <w:highlight w:val="none"/>
        </w:rPr>
        <w:t>3.3.1投标人应先安装“政采云电子交易客户端”，并按照采购文件中规定的“投标文件格式”中提供的格式和“政府采购云平台”的要求，通过“政采云电子交易客户端”编制并加密投标文件。</w:t>
      </w:r>
    </w:p>
    <w:p>
      <w:pPr>
        <w:pStyle w:val="145"/>
        <w:spacing w:line="360" w:lineRule="auto"/>
        <w:ind w:firstLine="420"/>
        <w:rPr>
          <w:rFonts w:ascii="宋体" w:hAnsi="宋体" w:cs="宋体"/>
          <w:highlight w:val="none"/>
        </w:rPr>
      </w:pPr>
      <w:r>
        <w:rPr>
          <w:rFonts w:hint="eastAsia" w:ascii="宋体" w:hAnsi="宋体" w:cs="宋体"/>
          <w:highlight w:val="none"/>
        </w:rPr>
        <w:t>3.3.2投标文件应当对采购文件规定的内容进行明确，对采购文件规定的实质性内容应当作出响应。</w:t>
      </w:r>
    </w:p>
    <w:p>
      <w:pPr>
        <w:pStyle w:val="6"/>
        <w:adjustRightInd w:val="0"/>
        <w:snapToGrid w:val="0"/>
        <w:spacing w:line="360" w:lineRule="auto"/>
        <w:ind w:firstLine="420" w:firstLineChars="200"/>
        <w:rPr>
          <w:rFonts w:hAnsi="宋体" w:cs="宋体"/>
          <w:szCs w:val="24"/>
          <w:highlight w:val="none"/>
        </w:rPr>
      </w:pPr>
      <w:r>
        <w:rPr>
          <w:rFonts w:hint="eastAsia" w:hAnsi="宋体" w:cs="宋体"/>
          <w:szCs w:val="24"/>
          <w:highlight w:val="none"/>
        </w:rPr>
        <w:t>3.3.3投标文件由投标人的法定代表人或其委托代理人签字（或盖章）、盖单位公章。投标文件应尽量避免涂改、行间插字或删除，如果出现上述情况，改动之处应加盖单位公章或由投标文件签署人签字（或盖章）确认。签字或盖章的具体要求见“投标人须知前附表”。</w:t>
      </w:r>
    </w:p>
    <w:p>
      <w:pPr>
        <w:pStyle w:val="145"/>
        <w:spacing w:line="360" w:lineRule="auto"/>
        <w:ind w:firstLine="420"/>
        <w:rPr>
          <w:rFonts w:ascii="宋体" w:hAnsi="宋体" w:cs="宋体"/>
          <w:highlight w:val="none"/>
        </w:rPr>
      </w:pPr>
      <w:r>
        <w:rPr>
          <w:rFonts w:hint="eastAsia" w:ascii="宋体" w:hAnsi="宋体" w:cs="宋体"/>
          <w:highlight w:val="none"/>
        </w:rPr>
        <w:t>3.3.4投标文件份数要求详见“投标人须知前附表”。</w:t>
      </w:r>
    </w:p>
    <w:p>
      <w:pPr>
        <w:pStyle w:val="145"/>
        <w:spacing w:line="360" w:lineRule="auto"/>
        <w:ind w:firstLine="420"/>
        <w:rPr>
          <w:rFonts w:ascii="宋体" w:hAnsi="宋体" w:cs="宋体"/>
          <w:highlight w:val="none"/>
        </w:rPr>
      </w:pPr>
      <w:r>
        <w:rPr>
          <w:rFonts w:hint="eastAsia" w:ascii="宋体" w:hAnsi="宋体" w:cs="宋体"/>
          <w:highlight w:val="none"/>
        </w:rPr>
        <w:t>3.3.5投标文件应编制目录，投标人没有按照本章3.2款的要求提供全部资料，或者没有仔细阅读采购文件，或者没有对采购文件在各方面的要求作出实质性响应是投标人的风险，由此造成的一切后果由投标人自行承担。</w:t>
      </w:r>
    </w:p>
    <w:p>
      <w:pPr>
        <w:pStyle w:val="145"/>
        <w:spacing w:line="360" w:lineRule="auto"/>
        <w:ind w:firstLine="420"/>
        <w:rPr>
          <w:rFonts w:ascii="宋体" w:hAnsi="宋体" w:cs="宋体"/>
          <w:highlight w:val="none"/>
        </w:rPr>
      </w:pPr>
      <w:r>
        <w:rPr>
          <w:rFonts w:hint="eastAsia" w:ascii="宋体" w:hAnsi="宋体" w:cs="宋体"/>
          <w:highlight w:val="none"/>
        </w:rPr>
        <w:t>3.3.6由于字迹模糊或表达不清引起的后果由投标人负责。</w:t>
      </w:r>
    </w:p>
    <w:p>
      <w:pPr>
        <w:pStyle w:val="145"/>
        <w:spacing w:line="360" w:lineRule="auto"/>
        <w:ind w:firstLine="420"/>
        <w:rPr>
          <w:rFonts w:ascii="宋体" w:hAnsi="宋体" w:cs="宋体"/>
          <w:highlight w:val="none"/>
        </w:rPr>
      </w:pPr>
      <w:r>
        <w:rPr>
          <w:rFonts w:hint="eastAsia" w:ascii="宋体" w:hAnsi="宋体" w:cs="宋体"/>
          <w:highlight w:val="none"/>
        </w:rPr>
        <w:t>3.4、投标报价</w:t>
      </w:r>
    </w:p>
    <w:p>
      <w:pPr>
        <w:pStyle w:val="145"/>
        <w:spacing w:line="360" w:lineRule="auto"/>
        <w:ind w:firstLine="420"/>
        <w:rPr>
          <w:rFonts w:ascii="宋体" w:hAnsi="宋体" w:cs="宋体"/>
          <w:highlight w:val="none"/>
          <w:u w:val="thick"/>
        </w:rPr>
      </w:pPr>
      <w:r>
        <w:rPr>
          <w:rFonts w:hint="eastAsia" w:ascii="宋体" w:hAnsi="宋体" w:cs="宋体"/>
          <w:highlight w:val="none"/>
        </w:rPr>
        <w:t>3.4.1 ▲</w:t>
      </w:r>
      <w:r>
        <w:rPr>
          <w:rFonts w:hint="eastAsia" w:ascii="宋体" w:hAnsi="宋体" w:cs="宋体"/>
          <w:b/>
          <w:highlight w:val="none"/>
          <w:u w:val="thick"/>
        </w:rPr>
        <w:t>本次投标报价为含税人民币价</w:t>
      </w:r>
      <w:r>
        <w:rPr>
          <w:rFonts w:hint="eastAsia" w:ascii="宋体" w:hAnsi="宋体" w:cs="宋体"/>
          <w:highlight w:val="none"/>
          <w:u w:val="thick"/>
        </w:rPr>
        <w:t>。</w:t>
      </w:r>
    </w:p>
    <w:p>
      <w:pPr>
        <w:pStyle w:val="145"/>
        <w:spacing w:line="360" w:lineRule="auto"/>
        <w:ind w:firstLine="420"/>
        <w:rPr>
          <w:rFonts w:ascii="宋体" w:hAnsi="宋体" w:cs="宋体"/>
          <w:b/>
          <w:bCs/>
          <w:szCs w:val="21"/>
          <w:highlight w:val="none"/>
          <w:u w:val="thick"/>
        </w:rPr>
      </w:pPr>
      <w:r>
        <w:rPr>
          <w:rFonts w:hint="eastAsia" w:ascii="宋体" w:hAnsi="宋体" w:cs="宋体"/>
          <w:highlight w:val="none"/>
        </w:rPr>
        <w:t>3.4.2 投标报价包括完成履行所有规定服务所产生的全部费用及采购代理服务费（包含在投标总价总，不单列。）。服务须达到采购文件规定的质量标准及使用要求</w:t>
      </w:r>
      <w:r>
        <w:rPr>
          <w:rFonts w:hint="eastAsia" w:ascii="宋体" w:hAnsi="宋体" w:cs="宋体"/>
          <w:szCs w:val="21"/>
          <w:highlight w:val="none"/>
        </w:rPr>
        <w:t>。</w:t>
      </w:r>
    </w:p>
    <w:p>
      <w:pPr>
        <w:pStyle w:val="145"/>
        <w:spacing w:line="360" w:lineRule="auto"/>
        <w:ind w:firstLine="420"/>
        <w:rPr>
          <w:rFonts w:ascii="宋体" w:hAnsi="宋体" w:cs="宋体"/>
          <w:highlight w:val="none"/>
        </w:rPr>
      </w:pPr>
      <w:r>
        <w:rPr>
          <w:rFonts w:hint="eastAsia" w:ascii="宋体" w:hAnsi="宋体" w:cs="宋体"/>
          <w:highlight w:val="none"/>
        </w:rPr>
        <w:t>3.4.3 ▲</w:t>
      </w:r>
      <w:r>
        <w:rPr>
          <w:rFonts w:hint="eastAsia" w:ascii="宋体" w:hAnsi="宋体" w:cs="宋体"/>
          <w:b/>
          <w:highlight w:val="none"/>
          <w:u w:val="single"/>
        </w:rPr>
        <w:t>所投标项只允许有一个报价，不接受有选择报价的投标文件。</w:t>
      </w:r>
    </w:p>
    <w:p>
      <w:pPr>
        <w:pStyle w:val="145"/>
        <w:spacing w:line="360" w:lineRule="auto"/>
        <w:ind w:firstLine="420"/>
        <w:rPr>
          <w:rFonts w:ascii="宋体" w:hAnsi="宋体" w:cs="宋体"/>
          <w:highlight w:val="none"/>
        </w:rPr>
      </w:pPr>
      <w:r>
        <w:rPr>
          <w:rFonts w:hint="eastAsia" w:ascii="宋体" w:hAnsi="宋体" w:cs="宋体"/>
          <w:highlight w:val="none"/>
        </w:rPr>
        <w:t>3.5、投标文件有效期</w:t>
      </w:r>
    </w:p>
    <w:p>
      <w:pPr>
        <w:pStyle w:val="145"/>
        <w:spacing w:line="360" w:lineRule="auto"/>
        <w:ind w:firstLine="420"/>
        <w:rPr>
          <w:rFonts w:ascii="宋体" w:hAnsi="宋体" w:cs="宋体"/>
          <w:highlight w:val="none"/>
        </w:rPr>
      </w:pPr>
      <w:r>
        <w:rPr>
          <w:rFonts w:hint="eastAsia" w:ascii="宋体" w:hAnsi="宋体" w:cs="宋体"/>
          <w:highlight w:val="none"/>
        </w:rPr>
        <w:t>3.5.1 投标文件有效期按“投标人须知前附表”规定，投标文件应在该有效期内保持有效。合同签订后，投标文件作为合同附件，投标文件有效期同合同有效期。</w:t>
      </w:r>
    </w:p>
    <w:p>
      <w:pPr>
        <w:pStyle w:val="145"/>
        <w:spacing w:line="360" w:lineRule="auto"/>
        <w:ind w:firstLine="420"/>
        <w:rPr>
          <w:rFonts w:ascii="宋体" w:hAnsi="宋体" w:cs="宋体"/>
          <w:highlight w:val="none"/>
        </w:rPr>
      </w:pPr>
      <w:r>
        <w:rPr>
          <w:rFonts w:hint="eastAsia" w:ascii="宋体" w:hAnsi="宋体" w:cs="宋体"/>
          <w:highlight w:val="none"/>
        </w:rPr>
        <w:t>3.5.2 在特殊情况下，采购人可与投标人协商延长投标文件有效期，这种要求和答复均应以网上公告或书面形式进行。</w:t>
      </w:r>
    </w:p>
    <w:p>
      <w:pPr>
        <w:pStyle w:val="145"/>
        <w:spacing w:line="360" w:lineRule="auto"/>
        <w:ind w:firstLine="420"/>
        <w:rPr>
          <w:rFonts w:ascii="宋体" w:hAnsi="宋体" w:cs="宋体"/>
          <w:highlight w:val="none"/>
        </w:rPr>
      </w:pPr>
      <w:r>
        <w:rPr>
          <w:rFonts w:hint="eastAsia" w:ascii="宋体" w:hAnsi="宋体" w:cs="宋体"/>
          <w:highlight w:val="none"/>
        </w:rPr>
        <w:t>3.5.3 投标人可拒绝接受延期要求。同意延长有效期的投标人不能修改投标文件。</w:t>
      </w:r>
    </w:p>
    <w:p>
      <w:pPr>
        <w:pStyle w:val="4"/>
        <w:ind w:firstLine="422"/>
        <w:rPr>
          <w:rFonts w:ascii="宋体" w:hAnsi="宋体" w:cs="宋体"/>
          <w:highlight w:val="none"/>
        </w:rPr>
      </w:pPr>
      <w:bookmarkStart w:id="112" w:name="_Toc18317"/>
      <w:bookmarkStart w:id="113" w:name="_Toc35524551"/>
      <w:bookmarkStart w:id="114" w:name="_Toc10703"/>
      <w:bookmarkStart w:id="115" w:name="_Toc27415"/>
      <w:bookmarkStart w:id="116" w:name="_Toc11958"/>
      <w:bookmarkStart w:id="117" w:name="_Toc82338242"/>
      <w:bookmarkStart w:id="118" w:name="_Toc82873325"/>
      <w:bookmarkStart w:id="119" w:name="_Toc17341"/>
      <w:bookmarkStart w:id="120" w:name="_Toc6132"/>
      <w:bookmarkStart w:id="121" w:name="_Toc19259"/>
      <w:bookmarkStart w:id="122" w:name="_Toc20841"/>
      <w:bookmarkStart w:id="123" w:name="_Toc3230"/>
      <w:bookmarkStart w:id="124" w:name="_Toc233"/>
      <w:bookmarkStart w:id="125" w:name="_Toc20069"/>
      <w:bookmarkStart w:id="126" w:name="_Toc29887"/>
      <w:bookmarkStart w:id="127" w:name="_Toc32349"/>
      <w:bookmarkStart w:id="128" w:name="_Toc26326"/>
      <w:r>
        <w:rPr>
          <w:rFonts w:hint="eastAsia" w:ascii="宋体" w:hAnsi="宋体" w:cs="宋体"/>
          <w:highlight w:val="none"/>
        </w:rPr>
        <w:t>四、投标</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145"/>
        <w:spacing w:line="360" w:lineRule="auto"/>
        <w:ind w:firstLine="422"/>
        <w:rPr>
          <w:rFonts w:ascii="宋体" w:hAnsi="宋体" w:cs="宋体"/>
          <w:sz w:val="24"/>
          <w:highlight w:val="none"/>
        </w:rPr>
      </w:pPr>
      <w:r>
        <w:rPr>
          <w:rFonts w:hint="eastAsia" w:ascii="宋体" w:hAnsi="宋体" w:cs="宋体"/>
          <w:b/>
          <w:highlight w:val="none"/>
        </w:rPr>
        <w:t>4.1、“电子加密投标文件”的上传、递交时间及地点：</w:t>
      </w:r>
    </w:p>
    <w:p>
      <w:pPr>
        <w:pStyle w:val="145"/>
        <w:spacing w:line="360" w:lineRule="auto"/>
        <w:ind w:firstLine="422"/>
        <w:rPr>
          <w:rFonts w:ascii="宋体" w:hAnsi="宋体" w:cs="宋体"/>
          <w:b/>
          <w:bCs/>
          <w:highlight w:val="none"/>
        </w:rPr>
      </w:pPr>
      <w:r>
        <w:rPr>
          <w:rFonts w:hint="eastAsia" w:ascii="宋体" w:hAnsi="宋体" w:cs="宋体"/>
          <w:b/>
          <w:bCs/>
          <w:highlight w:val="none"/>
        </w:rPr>
        <w:t>4.</w:t>
      </w:r>
      <w:r>
        <w:rPr>
          <w:rFonts w:hint="eastAsia" w:ascii="宋体" w:hAnsi="宋体" w:cs="宋体"/>
          <w:b/>
          <w:bCs/>
          <w:szCs w:val="32"/>
          <w:highlight w:val="none"/>
        </w:rPr>
        <w:t>1</w:t>
      </w:r>
      <w:r>
        <w:rPr>
          <w:rFonts w:hint="eastAsia" w:ascii="宋体" w:hAnsi="宋体" w:cs="宋体"/>
          <w:b/>
          <w:bCs/>
          <w:highlight w:val="none"/>
        </w:rPr>
        <w:t>.1投标供应商应在投标截止时间前将“电子加密投标文件”成功上传递交至“政府采购云平台”，否则投标无效。</w:t>
      </w:r>
    </w:p>
    <w:p>
      <w:pPr>
        <w:pStyle w:val="145"/>
        <w:spacing w:line="360" w:lineRule="auto"/>
        <w:ind w:firstLine="422"/>
        <w:rPr>
          <w:rFonts w:ascii="宋体" w:hAnsi="宋体" w:cs="宋体"/>
          <w:b/>
          <w:highlight w:val="none"/>
        </w:rPr>
      </w:pPr>
      <w:r>
        <w:rPr>
          <w:rFonts w:hint="eastAsia" w:ascii="宋体" w:hAnsi="宋体" w:cs="宋体"/>
          <w:b/>
          <w:bCs/>
          <w:highlight w:val="none"/>
        </w:rPr>
        <w:t>4.</w:t>
      </w:r>
      <w:r>
        <w:rPr>
          <w:rFonts w:hint="eastAsia" w:ascii="宋体" w:hAnsi="宋体" w:cs="宋体"/>
          <w:b/>
          <w:bCs/>
          <w:szCs w:val="32"/>
          <w:highlight w:val="none"/>
        </w:rPr>
        <w:t>1</w:t>
      </w:r>
      <w:r>
        <w:rPr>
          <w:rFonts w:hint="eastAsia" w:ascii="宋体" w:hAnsi="宋体" w:cs="宋体"/>
          <w:b/>
          <w:bCs/>
          <w:highlight w:val="none"/>
        </w:rPr>
        <w:t>.2</w:t>
      </w:r>
      <w:r>
        <w:rPr>
          <w:rFonts w:hint="eastAsia" w:ascii="宋体" w:hAnsi="宋体" w:cs="宋体"/>
          <w:b/>
          <w:highlight w:val="none"/>
        </w:rPr>
        <w:t>“电子加密投标文件”成功上传递交后，供应商可自行打印投标文件接收回执。</w:t>
      </w:r>
    </w:p>
    <w:p>
      <w:pPr>
        <w:pStyle w:val="145"/>
        <w:spacing w:line="360" w:lineRule="auto"/>
        <w:ind w:firstLine="420"/>
        <w:rPr>
          <w:rFonts w:ascii="宋体" w:hAnsi="宋体" w:cs="宋体"/>
          <w:highlight w:val="none"/>
        </w:rPr>
      </w:pPr>
      <w:r>
        <w:rPr>
          <w:rFonts w:hint="eastAsia" w:ascii="宋体" w:hAnsi="宋体" w:cs="宋体"/>
          <w:highlight w:val="none"/>
        </w:rPr>
        <w:t>4.2、“备份投标文件”的密封包装、递交：</w:t>
      </w:r>
    </w:p>
    <w:p>
      <w:pPr>
        <w:pStyle w:val="145"/>
        <w:spacing w:line="360" w:lineRule="auto"/>
        <w:ind w:firstLine="420"/>
        <w:rPr>
          <w:rFonts w:ascii="宋体" w:hAnsi="宋体" w:cs="宋体"/>
          <w:highlight w:val="none"/>
        </w:rPr>
      </w:pPr>
      <w:r>
        <w:rPr>
          <w:rFonts w:hint="eastAsia" w:ascii="宋体" w:hAnsi="宋体" w:cs="宋体"/>
          <w:highlight w:val="none"/>
        </w:rPr>
        <w:t>4.2.1投标供应商在“政府采购云平台”完成“电子加密投标文件”的上传递交后，还可以（邮寄形式）在投标截止时间前递交以介质（U盘）存储的 “备份投标文件”（一份）。</w:t>
      </w:r>
    </w:p>
    <w:p>
      <w:pPr>
        <w:pStyle w:val="145"/>
        <w:spacing w:line="360" w:lineRule="auto"/>
        <w:ind w:firstLine="420"/>
        <w:rPr>
          <w:rFonts w:ascii="宋体" w:hAnsi="宋体" w:cs="宋体"/>
          <w:highlight w:val="none"/>
        </w:rPr>
      </w:pPr>
      <w:r>
        <w:rPr>
          <w:rFonts w:hint="eastAsia" w:ascii="宋体" w:hAnsi="宋体" w:cs="宋体"/>
          <w:highlight w:val="none"/>
        </w:rPr>
        <w:t>4.2.2 “备份投标文件”应当密封包装，并在包装上标注投标项目名称、投标单位名称（联合体投标的，包装物封面需注明联合体投标，并注明联合体成员各方的名称和联合协议中约定的牵头人的名称）并加盖公章。没有密封包装或者逾期邮寄送达至投标地点的“备份投标文件”将不予接收。</w:t>
      </w:r>
    </w:p>
    <w:p>
      <w:pPr>
        <w:pStyle w:val="145"/>
        <w:spacing w:line="360" w:lineRule="auto"/>
        <w:ind w:firstLine="420"/>
        <w:rPr>
          <w:rFonts w:ascii="宋体" w:hAnsi="宋体" w:cs="宋体"/>
          <w:highlight w:val="none"/>
        </w:rPr>
      </w:pPr>
      <w:r>
        <w:rPr>
          <w:rFonts w:hint="eastAsia" w:ascii="宋体" w:hAnsi="宋体" w:cs="宋体"/>
          <w:highlight w:val="none"/>
        </w:rPr>
        <w:t>4.2.3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145"/>
        <w:spacing w:line="360" w:lineRule="auto"/>
        <w:ind w:firstLine="420"/>
        <w:rPr>
          <w:rFonts w:ascii="宋体" w:hAnsi="宋体" w:cs="宋体"/>
          <w:highlight w:val="none"/>
        </w:rPr>
      </w:pPr>
      <w:r>
        <w:rPr>
          <w:rFonts w:hint="eastAsia" w:ascii="宋体" w:hAnsi="宋体" w:cs="宋体"/>
          <w:highlight w:val="none"/>
        </w:rPr>
        <w:t>4.2.4采购人如因故推迟投标截止时间，应以更正公告形式在原公告发布网站通知所有投标人。在这种情况下，采购人和投标人的权利和义务将受到新的投标截止时间的约束。</w:t>
      </w:r>
    </w:p>
    <w:p>
      <w:pPr>
        <w:pStyle w:val="145"/>
        <w:spacing w:line="360" w:lineRule="auto"/>
        <w:ind w:firstLine="420"/>
        <w:rPr>
          <w:rFonts w:ascii="宋体" w:hAnsi="宋体" w:cs="宋体"/>
          <w:highlight w:val="none"/>
        </w:rPr>
      </w:pPr>
      <w:r>
        <w:rPr>
          <w:rFonts w:hint="eastAsia" w:ascii="宋体" w:hAnsi="宋体" w:cs="宋体"/>
          <w:highlight w:val="none"/>
        </w:rPr>
        <w:t>4.3、投标文件的修改和撤回</w:t>
      </w:r>
    </w:p>
    <w:p>
      <w:pPr>
        <w:pStyle w:val="145"/>
        <w:spacing w:line="360" w:lineRule="auto"/>
        <w:ind w:firstLine="420"/>
        <w:rPr>
          <w:rFonts w:ascii="宋体" w:hAnsi="宋体" w:cs="宋体"/>
          <w:szCs w:val="21"/>
          <w:highlight w:val="none"/>
        </w:rPr>
      </w:pPr>
      <w:r>
        <w:rPr>
          <w:rFonts w:hint="eastAsia" w:ascii="宋体" w:hAnsi="宋体" w:cs="宋体"/>
          <w:highlight w:val="none"/>
        </w:rPr>
        <w:t>4.3.1投标人在网上递交投标文件以后如必须修改或撤回投标文件，必须在投标截止时间以前在网上撤回投标文件，修改并重新递交电子投标文件，如已递交备份投标文件的，应同时将撤标通知邮寄到达或送达采购代理机构，并同时重新邮寄备份投标文件。</w:t>
      </w:r>
      <w:r>
        <w:rPr>
          <w:rFonts w:hint="eastAsia" w:ascii="宋体" w:hAnsi="宋体" w:cs="宋体"/>
          <w:b/>
          <w:kern w:val="0"/>
          <w:szCs w:val="21"/>
          <w:highlight w:val="none"/>
        </w:rPr>
        <w:t>投标截止时间后，投标人不得撤回、修改《投标文件》。</w:t>
      </w:r>
    </w:p>
    <w:p>
      <w:pPr>
        <w:pStyle w:val="145"/>
        <w:spacing w:line="360" w:lineRule="auto"/>
        <w:ind w:firstLine="420"/>
        <w:rPr>
          <w:rFonts w:ascii="宋体" w:hAnsi="宋体" w:cs="宋体"/>
          <w:highlight w:val="none"/>
        </w:rPr>
      </w:pPr>
      <w:r>
        <w:rPr>
          <w:rFonts w:hint="eastAsia" w:ascii="宋体" w:hAnsi="宋体" w:cs="宋体"/>
          <w:highlight w:val="none"/>
        </w:rPr>
        <w:t>4.4、备选投标方案</w:t>
      </w:r>
    </w:p>
    <w:p>
      <w:pPr>
        <w:pStyle w:val="145"/>
        <w:spacing w:line="360" w:lineRule="auto"/>
        <w:ind w:firstLine="422"/>
        <w:rPr>
          <w:rFonts w:ascii="宋体" w:hAnsi="宋体" w:cs="宋体"/>
          <w:b/>
          <w:highlight w:val="none"/>
        </w:rPr>
      </w:pPr>
      <w:r>
        <w:rPr>
          <w:rFonts w:hint="eastAsia" w:ascii="宋体" w:hAnsi="宋体" w:cs="宋体"/>
          <w:b/>
          <w:highlight w:val="none"/>
        </w:rPr>
        <w:t>投标人不得提交备选投标方案，否则，投标文件将被判定为无效标。与“电子加密投标文件”同时生成的“备份投标文件”不是投标备选（替代）方案。</w:t>
      </w:r>
    </w:p>
    <w:p>
      <w:pPr>
        <w:pStyle w:val="4"/>
        <w:ind w:firstLine="422"/>
        <w:rPr>
          <w:rFonts w:ascii="宋体" w:hAnsi="宋体" w:cs="宋体"/>
          <w:highlight w:val="none"/>
        </w:rPr>
      </w:pPr>
      <w:bookmarkStart w:id="129" w:name="_Toc82338243"/>
      <w:bookmarkStart w:id="130" w:name="_Toc82873326"/>
      <w:bookmarkStart w:id="131" w:name="_Toc27638"/>
      <w:bookmarkStart w:id="132" w:name="_Toc12238"/>
      <w:bookmarkStart w:id="133" w:name="_Toc17305"/>
      <w:bookmarkStart w:id="134" w:name="_Toc3987"/>
      <w:bookmarkStart w:id="135" w:name="_Toc19258"/>
      <w:bookmarkStart w:id="136" w:name="_Toc5814"/>
      <w:bookmarkStart w:id="137" w:name="_Toc17224"/>
      <w:bookmarkStart w:id="138" w:name="_Toc35524552"/>
      <w:bookmarkStart w:id="139" w:name="_Toc11331"/>
      <w:bookmarkStart w:id="140" w:name="_Toc29504"/>
      <w:bookmarkStart w:id="141" w:name="_Toc24899"/>
      <w:bookmarkStart w:id="142" w:name="_Toc25082"/>
      <w:bookmarkStart w:id="143" w:name="_Toc10707"/>
      <w:bookmarkStart w:id="144" w:name="_Toc22406"/>
      <w:bookmarkStart w:id="145" w:name="_Toc10878"/>
      <w:r>
        <w:rPr>
          <w:rFonts w:hint="eastAsia" w:ascii="宋体" w:hAnsi="宋体" w:cs="宋体"/>
          <w:highlight w:val="none"/>
        </w:rPr>
        <w:t>五、开标、评标</w:t>
      </w:r>
      <w:bookmarkEnd w:id="129"/>
      <w:bookmarkEnd w:id="130"/>
      <w:r>
        <w:rPr>
          <w:rFonts w:hint="eastAsia" w:ascii="宋体" w:hAnsi="宋体" w:cs="宋体"/>
          <w:highlight w:val="none"/>
        </w:rPr>
        <w:t>及合同签订</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145"/>
        <w:spacing w:line="360" w:lineRule="auto"/>
        <w:ind w:firstLine="422"/>
        <w:rPr>
          <w:rFonts w:ascii="宋体" w:hAnsi="宋体" w:cs="宋体"/>
          <w:b/>
          <w:highlight w:val="none"/>
        </w:rPr>
      </w:pPr>
      <w:r>
        <w:rPr>
          <w:rFonts w:hint="eastAsia" w:ascii="宋体" w:hAnsi="宋体" w:cs="宋体"/>
          <w:b/>
          <w:highlight w:val="none"/>
        </w:rPr>
        <w:t>5.1、开标</w:t>
      </w:r>
    </w:p>
    <w:p>
      <w:pPr>
        <w:pStyle w:val="145"/>
        <w:spacing w:line="360" w:lineRule="auto"/>
        <w:ind w:firstLine="422"/>
        <w:rPr>
          <w:rFonts w:ascii="宋体" w:hAnsi="宋体" w:cs="宋体"/>
          <w:b/>
          <w:highlight w:val="none"/>
        </w:rPr>
      </w:pPr>
      <w:r>
        <w:rPr>
          <w:rFonts w:hint="eastAsia" w:ascii="宋体" w:hAnsi="宋体" w:cs="宋体"/>
          <w:b/>
          <w:highlight w:val="none"/>
        </w:rPr>
        <w:t>5.1.1开标形式</w:t>
      </w:r>
    </w:p>
    <w:p>
      <w:pPr>
        <w:pStyle w:val="145"/>
        <w:spacing w:line="360" w:lineRule="auto"/>
        <w:ind w:firstLine="422"/>
        <w:rPr>
          <w:rFonts w:ascii="宋体" w:hAnsi="宋体" w:cs="宋体"/>
          <w:b/>
          <w:highlight w:val="none"/>
        </w:rPr>
      </w:pPr>
      <w:r>
        <w:rPr>
          <w:rFonts w:hint="eastAsia" w:ascii="宋体" w:hAnsi="宋体" w:cs="宋体"/>
          <w:b/>
          <w:highlight w:val="none"/>
        </w:rPr>
        <w:t>采购组织机构将按照采购文件规定的时间通过“政府采购云平台”组织开标、开启投标文件，所有投标人均应当准时在线参加。</w:t>
      </w:r>
    </w:p>
    <w:p>
      <w:pPr>
        <w:pStyle w:val="145"/>
        <w:spacing w:line="360" w:lineRule="auto"/>
        <w:ind w:firstLine="422"/>
        <w:rPr>
          <w:rFonts w:ascii="宋体" w:hAnsi="宋体" w:cs="宋体"/>
          <w:highlight w:val="none"/>
          <w:u w:val="thick"/>
        </w:rPr>
      </w:pPr>
      <w:r>
        <w:rPr>
          <w:rFonts w:hint="eastAsia" w:ascii="宋体" w:hAnsi="宋体" w:cs="宋体"/>
          <w:b/>
          <w:bCs/>
          <w:highlight w:val="none"/>
        </w:rPr>
        <w:t>5.</w:t>
      </w:r>
      <w:r>
        <w:rPr>
          <w:rFonts w:hint="eastAsia" w:ascii="宋体" w:hAnsi="宋体" w:cs="宋体"/>
          <w:b/>
          <w:highlight w:val="none"/>
        </w:rPr>
        <w:t xml:space="preserve">1.2开标准备 </w:t>
      </w:r>
    </w:p>
    <w:p>
      <w:pPr>
        <w:pStyle w:val="145"/>
        <w:spacing w:line="360" w:lineRule="auto"/>
        <w:ind w:firstLine="422"/>
        <w:rPr>
          <w:rFonts w:ascii="宋体" w:hAnsi="宋体" w:cs="宋体"/>
          <w:b/>
          <w:highlight w:val="none"/>
        </w:rPr>
      </w:pPr>
      <w:r>
        <w:rPr>
          <w:rFonts w:hint="eastAsia" w:ascii="宋体" w:hAnsi="宋体" w:cs="宋体"/>
          <w:b/>
          <w:highlight w:val="none"/>
        </w:rPr>
        <w:t>开标的准备工作由采购组织机构负责落实；</w:t>
      </w:r>
    </w:p>
    <w:p>
      <w:pPr>
        <w:pStyle w:val="145"/>
        <w:spacing w:line="360" w:lineRule="auto"/>
        <w:ind w:firstLine="422"/>
        <w:rPr>
          <w:rFonts w:ascii="宋体" w:hAnsi="宋体" w:cs="宋体"/>
          <w:b/>
          <w:highlight w:val="none"/>
        </w:rPr>
      </w:pPr>
      <w:r>
        <w:rPr>
          <w:rFonts w:hint="eastAsia" w:ascii="宋体" w:hAnsi="宋体" w:cs="宋体"/>
          <w:b/>
          <w:highlight w:val="none"/>
        </w:rPr>
        <w:t>采购组织机构将按照采购文件规定的时间通过“政府采购云平台”组织开标、开启投标文件，所有投标人均应当准时在线参加（因投标人需要及时进行标书在线解密）。投标人如不在线参加的，视同认可开标结果，事后不得对开标结果提出异议，同时投标人因未在线参加开标而导致投标文件无法按时解密等一切后果由投标人自己承担。</w:t>
      </w:r>
    </w:p>
    <w:p>
      <w:pPr>
        <w:pStyle w:val="145"/>
        <w:spacing w:line="360" w:lineRule="auto"/>
        <w:ind w:firstLine="422"/>
        <w:rPr>
          <w:rFonts w:ascii="宋体" w:hAnsi="宋体" w:cs="宋体"/>
          <w:b/>
          <w:bCs/>
          <w:highlight w:val="none"/>
        </w:rPr>
      </w:pPr>
      <w:r>
        <w:rPr>
          <w:rFonts w:hint="eastAsia" w:ascii="宋体" w:hAnsi="宋体" w:cs="宋体"/>
          <w:b/>
          <w:bCs/>
          <w:highlight w:val="none"/>
        </w:rPr>
        <w:t>5.1.3开标流程(两阶段)</w:t>
      </w:r>
    </w:p>
    <w:p>
      <w:pPr>
        <w:pStyle w:val="145"/>
        <w:spacing w:line="360" w:lineRule="auto"/>
        <w:ind w:firstLine="420"/>
        <w:rPr>
          <w:rFonts w:ascii="宋体" w:hAnsi="宋体" w:cs="宋体"/>
          <w:highlight w:val="none"/>
        </w:rPr>
      </w:pPr>
      <w:r>
        <w:rPr>
          <w:rFonts w:hint="eastAsia" w:ascii="宋体" w:hAnsi="宋体" w:cs="宋体"/>
          <w:highlight w:val="none"/>
        </w:rPr>
        <w:t>5.1.3.1开标第一阶段</w:t>
      </w:r>
    </w:p>
    <w:p>
      <w:pPr>
        <w:spacing w:line="360" w:lineRule="auto"/>
        <w:ind w:firstLine="371" w:firstLineChars="177"/>
        <w:jc w:val="left"/>
        <w:rPr>
          <w:rFonts w:ascii="宋体" w:hAnsi="宋体" w:cs="宋体"/>
          <w:kern w:val="0"/>
          <w:szCs w:val="21"/>
          <w:highlight w:val="none"/>
        </w:rPr>
      </w:pPr>
      <w:r>
        <w:rPr>
          <w:rFonts w:hint="eastAsia" w:ascii="宋体" w:hAnsi="宋体" w:cs="宋体"/>
          <w:kern w:val="0"/>
          <w:szCs w:val="21"/>
          <w:highlight w:val="none"/>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371" w:firstLineChars="177"/>
        <w:jc w:val="left"/>
        <w:rPr>
          <w:rFonts w:ascii="宋体" w:hAnsi="宋体" w:cs="宋体"/>
          <w:highlight w:val="none"/>
        </w:rPr>
      </w:pPr>
      <w:r>
        <w:rPr>
          <w:rFonts w:hint="eastAsia" w:ascii="宋体" w:hAnsi="宋体" w:cs="宋体"/>
          <w:kern w:val="0"/>
          <w:szCs w:val="21"/>
          <w:highlight w:val="none"/>
        </w:rPr>
        <w:t>（2）投标文件解密结束，通过邮件形式发送各投标人组织签署《政府采购活动现场确认声明书》及《商务技术开标标录》。</w:t>
      </w:r>
    </w:p>
    <w:p>
      <w:pPr>
        <w:spacing w:line="360" w:lineRule="auto"/>
        <w:ind w:firstLine="371" w:firstLineChars="177"/>
        <w:jc w:val="left"/>
        <w:rPr>
          <w:rFonts w:ascii="宋体" w:hAnsi="宋体" w:cs="宋体"/>
          <w:kern w:val="0"/>
          <w:szCs w:val="21"/>
          <w:highlight w:val="none"/>
        </w:rPr>
      </w:pPr>
      <w:r>
        <w:rPr>
          <w:rFonts w:hint="eastAsia" w:ascii="宋体" w:hAnsi="宋体" w:cs="宋体"/>
          <w:kern w:val="0"/>
          <w:szCs w:val="21"/>
          <w:highlight w:val="none"/>
        </w:rPr>
        <w:t xml:space="preserve">（3）开启投标文件，进入资格审查。 </w:t>
      </w:r>
    </w:p>
    <w:p>
      <w:pPr>
        <w:spacing w:line="360" w:lineRule="auto"/>
        <w:ind w:firstLine="371" w:firstLineChars="177"/>
        <w:jc w:val="left"/>
        <w:rPr>
          <w:rFonts w:ascii="宋体" w:hAnsi="宋体" w:cs="宋体"/>
          <w:kern w:val="0"/>
          <w:szCs w:val="21"/>
          <w:highlight w:val="none"/>
        </w:rPr>
      </w:pPr>
      <w:r>
        <w:rPr>
          <w:rFonts w:hint="eastAsia" w:ascii="宋体" w:hAnsi="宋体" w:cs="宋体"/>
          <w:kern w:val="0"/>
          <w:szCs w:val="21"/>
          <w:highlight w:val="none"/>
        </w:rPr>
        <w:t>（4）开启资格审查通过的投标人的商务技术文件进入符合性审查、商务技术评审。</w:t>
      </w:r>
    </w:p>
    <w:p>
      <w:pPr>
        <w:spacing w:line="360" w:lineRule="auto"/>
        <w:ind w:firstLine="371" w:firstLineChars="177"/>
        <w:jc w:val="left"/>
        <w:rPr>
          <w:rFonts w:ascii="宋体" w:hAnsi="宋体" w:cs="宋体"/>
          <w:kern w:val="0"/>
          <w:szCs w:val="21"/>
          <w:highlight w:val="none"/>
        </w:rPr>
      </w:pPr>
      <w:r>
        <w:rPr>
          <w:rFonts w:hint="eastAsia" w:ascii="宋体" w:hAnsi="宋体" w:cs="宋体"/>
          <w:kern w:val="0"/>
          <w:szCs w:val="21"/>
          <w:highlight w:val="none"/>
        </w:rPr>
        <w:t>（5）第一阶段开标结束。</w:t>
      </w:r>
    </w:p>
    <w:p>
      <w:pPr>
        <w:spacing w:line="360" w:lineRule="auto"/>
        <w:ind w:firstLine="373" w:firstLineChars="177"/>
        <w:jc w:val="left"/>
        <w:rPr>
          <w:rFonts w:ascii="宋体" w:hAnsi="宋体" w:cs="宋体"/>
          <w:b/>
          <w:kern w:val="0"/>
          <w:szCs w:val="21"/>
          <w:highlight w:val="none"/>
        </w:rPr>
      </w:pPr>
      <w:r>
        <w:rPr>
          <w:rFonts w:hint="eastAsia" w:ascii="宋体" w:hAnsi="宋体" w:cs="宋体"/>
          <w:b/>
          <w:kern w:val="0"/>
          <w:szCs w:val="21"/>
          <w:highlight w:val="none"/>
        </w:rPr>
        <w:t>备注：开标大会的第一阶段结束后，采购人或采购代理机构将依法对投标人的资格进行审查，资格审查结束后进入符合性审查和商务技术的评审工作，具体见本章节“投标文件资格审查”相关规定。</w:t>
      </w:r>
    </w:p>
    <w:p>
      <w:pPr>
        <w:pStyle w:val="145"/>
        <w:spacing w:line="360" w:lineRule="auto"/>
        <w:ind w:firstLine="422"/>
        <w:rPr>
          <w:rFonts w:ascii="宋体" w:hAnsi="宋体" w:cs="宋体"/>
          <w:b/>
          <w:highlight w:val="none"/>
        </w:rPr>
      </w:pPr>
      <w:r>
        <w:rPr>
          <w:rFonts w:hint="eastAsia" w:ascii="宋体" w:hAnsi="宋体" w:cs="宋体"/>
          <w:b/>
          <w:highlight w:val="none"/>
        </w:rPr>
        <w:t>5.1.3.2开标第二阶段</w:t>
      </w:r>
    </w:p>
    <w:p>
      <w:pPr>
        <w:spacing w:line="360" w:lineRule="auto"/>
        <w:ind w:firstLine="371" w:firstLineChars="177"/>
        <w:jc w:val="left"/>
        <w:rPr>
          <w:rFonts w:ascii="宋体" w:hAnsi="宋体" w:cs="宋体"/>
          <w:kern w:val="0"/>
          <w:szCs w:val="21"/>
          <w:highlight w:val="none"/>
        </w:rPr>
      </w:pPr>
      <w:r>
        <w:rPr>
          <w:rFonts w:hint="eastAsia" w:ascii="宋体" w:hAnsi="宋体" w:cs="宋体"/>
          <w:kern w:val="0"/>
          <w:szCs w:val="21"/>
          <w:highlight w:val="none"/>
        </w:rPr>
        <w:t>（1）符合性审查、商务技术评审结束后，举行开标第二阶段会议。首先公布符合性审查、商务技术评审无效投标人名称及理由。</w:t>
      </w:r>
    </w:p>
    <w:p>
      <w:pPr>
        <w:spacing w:line="360" w:lineRule="auto"/>
        <w:ind w:firstLine="371" w:firstLineChars="177"/>
        <w:jc w:val="left"/>
        <w:rPr>
          <w:rFonts w:ascii="宋体" w:hAnsi="宋体" w:cs="宋体"/>
          <w:kern w:val="0"/>
          <w:szCs w:val="21"/>
          <w:highlight w:val="none"/>
        </w:rPr>
      </w:pPr>
      <w:r>
        <w:rPr>
          <w:rFonts w:hint="eastAsia" w:ascii="宋体" w:hAnsi="宋体" w:cs="宋体"/>
          <w:kern w:val="0"/>
          <w:szCs w:val="21"/>
          <w:highlight w:val="none"/>
        </w:rPr>
        <w:t>（2）在线公布商务技术部分得分情况。</w:t>
      </w:r>
    </w:p>
    <w:p>
      <w:pPr>
        <w:spacing w:line="360" w:lineRule="auto"/>
        <w:ind w:firstLine="371" w:firstLineChars="177"/>
        <w:jc w:val="left"/>
        <w:rPr>
          <w:rFonts w:ascii="宋体" w:hAnsi="宋体" w:cs="宋体"/>
          <w:kern w:val="0"/>
          <w:szCs w:val="21"/>
          <w:highlight w:val="none"/>
        </w:rPr>
      </w:pPr>
      <w:r>
        <w:rPr>
          <w:rFonts w:hint="eastAsia" w:ascii="宋体" w:hAnsi="宋体" w:cs="宋体"/>
          <w:kern w:val="0"/>
          <w:szCs w:val="21"/>
          <w:highlight w:val="none"/>
        </w:rPr>
        <w:t>（3）开启符合性审查、商务技术评审有效投标人的《报价文件》（投标人在线确认）。结束后，由评标委员会对报价的合理性、准确性等进行审查核实，并进行报价评审。</w:t>
      </w:r>
    </w:p>
    <w:p>
      <w:pPr>
        <w:spacing w:line="360" w:lineRule="auto"/>
        <w:ind w:firstLine="371" w:firstLineChars="177"/>
        <w:jc w:val="left"/>
        <w:rPr>
          <w:rFonts w:ascii="宋体" w:hAnsi="宋体" w:cs="宋体"/>
          <w:kern w:val="0"/>
          <w:szCs w:val="21"/>
          <w:highlight w:val="none"/>
        </w:rPr>
      </w:pPr>
      <w:r>
        <w:rPr>
          <w:rFonts w:hint="eastAsia" w:ascii="宋体" w:hAnsi="宋体" w:cs="宋体"/>
          <w:kern w:val="0"/>
          <w:szCs w:val="21"/>
          <w:highlight w:val="none"/>
        </w:rPr>
        <w:t>（4）评审结束后，</w:t>
      </w:r>
      <w:r>
        <w:rPr>
          <w:rFonts w:hint="eastAsia" w:ascii="宋体" w:hAnsi="宋体" w:cs="宋体"/>
          <w:highlight w:val="none"/>
        </w:rPr>
        <w:t>投标人可自行</w:t>
      </w:r>
      <w:r>
        <w:rPr>
          <w:rFonts w:hint="eastAsia" w:ascii="宋体" w:hAnsi="宋体" w:cs="宋体"/>
          <w:kern w:val="0"/>
          <w:szCs w:val="21"/>
          <w:highlight w:val="none"/>
        </w:rPr>
        <w:t>在线查看报价、得分、排序等信息。</w:t>
      </w:r>
    </w:p>
    <w:p>
      <w:pPr>
        <w:spacing w:line="360" w:lineRule="auto"/>
        <w:ind w:firstLine="373" w:firstLineChars="177"/>
        <w:jc w:val="left"/>
        <w:rPr>
          <w:rFonts w:ascii="宋体" w:hAnsi="宋体" w:cs="宋体"/>
          <w:b/>
          <w:kern w:val="0"/>
          <w:szCs w:val="21"/>
          <w:highlight w:val="none"/>
        </w:rPr>
      </w:pPr>
      <w:r>
        <w:rPr>
          <w:rFonts w:hint="eastAsia" w:ascii="宋体" w:hAnsi="宋体" w:cs="宋体"/>
          <w:b/>
          <w:kern w:val="0"/>
          <w:szCs w:val="21"/>
          <w:highlight w:val="none"/>
        </w:rPr>
        <w:t>特别说明：如遇“政府采购云平台”电子化开标或评审程序调整的，按调整后程序执行。</w:t>
      </w:r>
    </w:p>
    <w:p>
      <w:pPr>
        <w:pStyle w:val="145"/>
        <w:spacing w:line="360" w:lineRule="auto"/>
        <w:ind w:firstLine="420"/>
        <w:rPr>
          <w:rFonts w:ascii="宋体" w:hAnsi="宋体" w:cs="宋体"/>
          <w:highlight w:val="none"/>
        </w:rPr>
      </w:pPr>
      <w:r>
        <w:rPr>
          <w:rFonts w:hint="eastAsia" w:ascii="宋体" w:hAnsi="宋体" w:cs="宋体"/>
          <w:highlight w:val="none"/>
        </w:rPr>
        <w:t>5.2投标文件的资格审查</w:t>
      </w:r>
    </w:p>
    <w:p>
      <w:pPr>
        <w:pStyle w:val="145"/>
        <w:spacing w:line="360" w:lineRule="auto"/>
        <w:ind w:firstLine="420"/>
        <w:rPr>
          <w:rFonts w:ascii="宋体" w:hAnsi="宋体" w:cs="宋体"/>
          <w:highlight w:val="none"/>
        </w:rPr>
      </w:pPr>
      <w:r>
        <w:rPr>
          <w:rFonts w:hint="eastAsia" w:ascii="宋体" w:hAnsi="宋体" w:cs="宋体"/>
          <w:szCs w:val="21"/>
          <w:highlight w:val="none"/>
        </w:rPr>
        <w:t>5.2.1</w:t>
      </w:r>
      <w:r>
        <w:rPr>
          <w:rFonts w:hint="eastAsia" w:ascii="宋体" w:hAnsi="宋体" w:cs="宋体"/>
          <w:bCs/>
          <w:szCs w:val="21"/>
          <w:highlight w:val="none"/>
        </w:rPr>
        <w:t>开标大会第一阶段结束后，</w:t>
      </w:r>
      <w:r>
        <w:rPr>
          <w:rFonts w:hint="eastAsia" w:ascii="宋体" w:hAnsi="宋体" w:cs="宋体"/>
          <w:highlight w:val="none"/>
        </w:rPr>
        <w:t>采购人或采购代理机构依据法律法规及采购文件的规定，对投标文件中的提供的资格证明材料进行审查，以确定投标人的资格是否满足采购文件的要求，采购人或采购代理机构对投标人所提供的资格证明材料仅负审核的责任。中标后如发现投标人所提供的资格证明材料不合法或不真实，采购人可取消中标资格并追究投标人的法律责任。</w:t>
      </w:r>
    </w:p>
    <w:p>
      <w:pPr>
        <w:pStyle w:val="145"/>
        <w:spacing w:line="360" w:lineRule="auto"/>
        <w:ind w:firstLine="420"/>
        <w:rPr>
          <w:rFonts w:ascii="宋体" w:hAnsi="宋体" w:cs="宋体"/>
          <w:bCs/>
          <w:highlight w:val="none"/>
        </w:rPr>
      </w:pPr>
      <w:r>
        <w:rPr>
          <w:rFonts w:hint="eastAsia" w:ascii="宋体" w:hAnsi="宋体" w:cs="宋体"/>
          <w:bCs/>
          <w:highlight w:val="none"/>
        </w:rPr>
        <w:t>5.2.2投标人提交的资格证明材料无法证明其符合采购文件规定的“投标人资格要求”的，采购人或采购代理机构将对其作资格审查不通过处理（无效投标），并不再将其投标提交评标委员会进行后续评审。</w:t>
      </w:r>
    </w:p>
    <w:p>
      <w:pPr>
        <w:pStyle w:val="145"/>
        <w:spacing w:line="360" w:lineRule="auto"/>
        <w:ind w:firstLine="420"/>
        <w:rPr>
          <w:rFonts w:ascii="宋体" w:hAnsi="宋体" w:cs="宋体"/>
          <w:bCs/>
          <w:highlight w:val="none"/>
        </w:rPr>
      </w:pPr>
      <w:r>
        <w:rPr>
          <w:rFonts w:hint="eastAsia" w:ascii="宋体" w:hAnsi="宋体" w:cs="宋体"/>
          <w:bCs/>
          <w:highlight w:val="none"/>
        </w:rPr>
        <w:t>5.2.3单位负责人为同一人或者存在直接控股、管理关系的不同投标人参加同一合同项下的政府采购活动的，相关投标人均作资格无效处理。</w:t>
      </w:r>
    </w:p>
    <w:p>
      <w:pPr>
        <w:pStyle w:val="145"/>
        <w:spacing w:line="360" w:lineRule="auto"/>
        <w:ind w:firstLine="420"/>
        <w:rPr>
          <w:rFonts w:ascii="宋体" w:hAnsi="宋体" w:cs="宋体"/>
          <w:highlight w:val="none"/>
        </w:rPr>
      </w:pPr>
      <w:r>
        <w:rPr>
          <w:rFonts w:hint="eastAsia" w:ascii="宋体" w:hAnsi="宋体" w:cs="宋体"/>
          <w:highlight w:val="none"/>
        </w:rPr>
        <w:t>5.3投标文件符合性评审</w:t>
      </w:r>
    </w:p>
    <w:p>
      <w:pPr>
        <w:pStyle w:val="145"/>
        <w:spacing w:line="360" w:lineRule="auto"/>
        <w:ind w:firstLine="420"/>
        <w:rPr>
          <w:rFonts w:ascii="宋体" w:hAnsi="宋体" w:cs="宋体"/>
          <w:highlight w:val="none"/>
        </w:rPr>
      </w:pPr>
      <w:r>
        <w:rPr>
          <w:rFonts w:hint="eastAsia" w:ascii="宋体" w:hAnsi="宋体" w:cs="宋体"/>
          <w:highlight w:val="none"/>
        </w:rPr>
        <w:t>5.3.1评标委员会将首先审查每份投标文件是否实质上响应了采购文件的要求，实质性响应的投标文件是指投标文件符合采购文件规定的实质性内容、条件和规定。</w:t>
      </w:r>
    </w:p>
    <w:p>
      <w:pPr>
        <w:pStyle w:val="145"/>
        <w:spacing w:line="360" w:lineRule="auto"/>
        <w:ind w:firstLine="420"/>
        <w:rPr>
          <w:rFonts w:ascii="宋体" w:hAnsi="宋体" w:cs="宋体"/>
          <w:highlight w:val="none"/>
        </w:rPr>
      </w:pPr>
      <w:r>
        <w:rPr>
          <w:rFonts w:hint="eastAsia" w:ascii="宋体" w:hAnsi="宋体" w:cs="宋体"/>
          <w:highlight w:val="none"/>
        </w:rPr>
        <w:t>5.3.2重大偏离或保留是指将会影响到采购文件规定的服务范围、质量标准，或会给合同中规定的采购人的权利和投标人的责任造成实质性限制，而纠正这些偏离或保留将对其他提交了实质性响应的投标文件的投标人产生不公平影响的。</w:t>
      </w:r>
    </w:p>
    <w:p>
      <w:pPr>
        <w:pStyle w:val="145"/>
        <w:spacing w:line="360" w:lineRule="auto"/>
        <w:ind w:firstLine="420"/>
        <w:rPr>
          <w:rFonts w:ascii="宋体" w:hAnsi="宋体" w:cs="宋体"/>
          <w:highlight w:val="none"/>
        </w:rPr>
      </w:pPr>
      <w:r>
        <w:rPr>
          <w:rFonts w:hint="eastAsia" w:ascii="宋体" w:hAnsi="宋体" w:cs="宋体"/>
          <w:highlight w:val="none"/>
        </w:rPr>
        <w:t>5.3.3细微偏离是指投标文件对采购文件的非实质性内容存在不完全响应或不响应。</w:t>
      </w:r>
    </w:p>
    <w:p>
      <w:pPr>
        <w:pStyle w:val="145"/>
        <w:spacing w:line="360" w:lineRule="auto"/>
        <w:ind w:firstLine="420"/>
        <w:rPr>
          <w:rFonts w:ascii="宋体" w:hAnsi="宋体" w:cs="宋体"/>
          <w:highlight w:val="none"/>
        </w:rPr>
      </w:pPr>
      <w:r>
        <w:rPr>
          <w:rFonts w:hint="eastAsia" w:ascii="宋体" w:hAnsi="宋体" w:cs="宋体"/>
          <w:highlight w:val="none"/>
        </w:rPr>
        <w:t>5.3.4重大偏离和保留、细微偏离由评标委员会界定。符合性评审时如发现投标文件与采购文件要求有重大偏离和保留，其投标文件将被作无效标处理。投标人不得通过修正或撤销不符合采购文件要求的重大偏离和保留从而使其投标文件实质性响应采购文件要求。但允许投标文件在实质性满足采购文件要求的前提下出现的细微偏差，在详细评审时可按评标办法对细微偏差做出不利于该投标人的评审。</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5.3.5 符合性审查内容：详见“第三章评标办法”。</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 xml:space="preserve">5.3.6除符合5.5款规定外，评标委员会对投标文件的判定，只依据投标文件内容本身，不依靠开标后的任何外来证明。如投标人提交的资质证明或其他内容不齐全，由此造成的后果由投标人自己负责。  </w:t>
      </w:r>
    </w:p>
    <w:p>
      <w:pPr>
        <w:pStyle w:val="145"/>
        <w:spacing w:line="360" w:lineRule="auto"/>
        <w:ind w:firstLine="420"/>
        <w:rPr>
          <w:rFonts w:ascii="宋体" w:hAnsi="宋体" w:cs="宋体"/>
          <w:highlight w:val="none"/>
        </w:rPr>
      </w:pPr>
      <w:r>
        <w:rPr>
          <w:rFonts w:hint="eastAsia" w:ascii="宋体" w:hAnsi="宋体" w:cs="宋体"/>
          <w:highlight w:val="none"/>
        </w:rPr>
        <w:t>5.4、投标文件的澄清</w:t>
      </w:r>
    </w:p>
    <w:p>
      <w:pPr>
        <w:pStyle w:val="145"/>
        <w:spacing w:line="360" w:lineRule="auto"/>
        <w:ind w:firstLine="420"/>
        <w:rPr>
          <w:rFonts w:ascii="宋体" w:hAnsi="宋体" w:cs="宋体"/>
          <w:highlight w:val="none"/>
        </w:rPr>
      </w:pPr>
      <w:r>
        <w:rPr>
          <w:rFonts w:hint="eastAsia" w:ascii="宋体" w:hAnsi="宋体" w:cs="宋体"/>
          <w:highlight w:val="none"/>
        </w:rPr>
        <w:t>5.4.1评标委员会可要求投标人对投标文件中含义不明确、同类问题表述不一致、有明显的文字和计算错误的内容等进行澄清并做出答复。答复须由投标人签章并作为投标文件的一部分。澄清以通过“政府采购云平台”在线询标的形式进行。要求投标人在规定的时间内作出必要的澄清、说明或者补正，投标人澄清、说明或补正时间为30分钟以内。</w:t>
      </w:r>
    </w:p>
    <w:p>
      <w:pPr>
        <w:pStyle w:val="145"/>
        <w:spacing w:line="360" w:lineRule="auto"/>
        <w:ind w:firstLine="420"/>
        <w:rPr>
          <w:rFonts w:ascii="宋体" w:hAnsi="宋体" w:cs="宋体"/>
          <w:highlight w:val="none"/>
        </w:rPr>
      </w:pPr>
      <w:r>
        <w:rPr>
          <w:rFonts w:hint="eastAsia" w:ascii="宋体" w:hAnsi="宋体" w:cs="宋体"/>
          <w:highlight w:val="none"/>
        </w:rPr>
        <w:t>5.4.2 投标人对投标文件的澄清不得超出投标文件的范围或者改变投标文件的实质性内容。</w:t>
      </w:r>
    </w:p>
    <w:p>
      <w:pPr>
        <w:pStyle w:val="145"/>
        <w:spacing w:line="360" w:lineRule="auto"/>
        <w:ind w:firstLine="420"/>
        <w:rPr>
          <w:rFonts w:ascii="宋体" w:hAnsi="宋体" w:cs="宋体"/>
          <w:highlight w:val="none"/>
        </w:rPr>
      </w:pPr>
      <w:r>
        <w:rPr>
          <w:rFonts w:hint="eastAsia" w:ascii="宋体" w:hAnsi="宋体" w:cs="宋体"/>
          <w:highlight w:val="none"/>
        </w:rPr>
        <w:t>5.5 错误修正</w:t>
      </w:r>
    </w:p>
    <w:p>
      <w:pPr>
        <w:pStyle w:val="145"/>
        <w:spacing w:line="360" w:lineRule="auto"/>
        <w:ind w:firstLine="420"/>
        <w:rPr>
          <w:rFonts w:ascii="宋体" w:hAnsi="宋体" w:cs="宋体"/>
          <w:highlight w:val="none"/>
        </w:rPr>
      </w:pPr>
      <w:r>
        <w:rPr>
          <w:rFonts w:hint="eastAsia" w:ascii="宋体" w:hAnsi="宋体" w:cs="宋体"/>
          <w:highlight w:val="none"/>
        </w:rPr>
        <w:t>详见“第三章评标办法”</w:t>
      </w:r>
    </w:p>
    <w:p>
      <w:pPr>
        <w:pStyle w:val="145"/>
        <w:spacing w:line="360" w:lineRule="auto"/>
        <w:ind w:firstLine="420"/>
        <w:rPr>
          <w:rFonts w:ascii="宋体" w:hAnsi="宋体" w:cs="宋体"/>
          <w:highlight w:val="none"/>
        </w:rPr>
      </w:pPr>
      <w:r>
        <w:rPr>
          <w:rFonts w:hint="eastAsia" w:ascii="宋体" w:hAnsi="宋体" w:cs="宋体"/>
          <w:highlight w:val="none"/>
        </w:rPr>
        <w:t>5.6、评标</w:t>
      </w:r>
    </w:p>
    <w:p>
      <w:pPr>
        <w:pStyle w:val="145"/>
        <w:spacing w:line="360" w:lineRule="auto"/>
        <w:ind w:firstLine="420"/>
        <w:rPr>
          <w:rFonts w:ascii="宋体" w:hAnsi="宋体" w:cs="宋体"/>
          <w:highlight w:val="none"/>
        </w:rPr>
      </w:pPr>
      <w:r>
        <w:rPr>
          <w:rFonts w:hint="eastAsia" w:ascii="宋体" w:hAnsi="宋体" w:cs="宋体"/>
          <w:highlight w:val="none"/>
        </w:rPr>
        <w:t>5.6.1 采购人将按相关规定组织评标委员会，对投标文件进行审查、比较和评价。</w:t>
      </w:r>
    </w:p>
    <w:p>
      <w:pPr>
        <w:pStyle w:val="145"/>
        <w:spacing w:line="360" w:lineRule="auto"/>
        <w:ind w:firstLine="420"/>
        <w:rPr>
          <w:rFonts w:ascii="宋体" w:hAnsi="宋体" w:cs="宋体"/>
          <w:highlight w:val="none"/>
        </w:rPr>
      </w:pPr>
      <w:r>
        <w:rPr>
          <w:rFonts w:hint="eastAsia" w:ascii="宋体" w:hAnsi="宋体" w:cs="宋体"/>
          <w:highlight w:val="none"/>
        </w:rPr>
        <w:t>5.6.2 评标原则</w:t>
      </w:r>
    </w:p>
    <w:p>
      <w:pPr>
        <w:pStyle w:val="145"/>
        <w:spacing w:line="360" w:lineRule="auto"/>
        <w:ind w:firstLine="420"/>
        <w:rPr>
          <w:rFonts w:ascii="宋体" w:hAnsi="宋体" w:cs="宋体"/>
          <w:highlight w:val="none"/>
        </w:rPr>
      </w:pPr>
      <w:r>
        <w:rPr>
          <w:rFonts w:hint="eastAsia" w:ascii="宋体" w:hAnsi="宋体" w:cs="宋体"/>
          <w:highlight w:val="none"/>
        </w:rPr>
        <w:t>本次评标采用综合评分法，在最大限度的满足采购文件实质性要求的前提下，按采购文件中规定各项评标因素进行综合评审后，以评标总得分最高的投标人作为中标候选人或中标人。采购人将把中标通知书授予最佳投标人，但最低报价不是中标的保证。</w:t>
      </w:r>
    </w:p>
    <w:p>
      <w:pPr>
        <w:pStyle w:val="145"/>
        <w:spacing w:line="360" w:lineRule="auto"/>
        <w:ind w:firstLine="420"/>
        <w:rPr>
          <w:rFonts w:ascii="宋体" w:hAnsi="宋体" w:cs="宋体"/>
          <w:highlight w:val="none"/>
        </w:rPr>
      </w:pPr>
      <w:r>
        <w:rPr>
          <w:rFonts w:hint="eastAsia" w:ascii="宋体" w:hAnsi="宋体" w:cs="宋体"/>
          <w:highlight w:val="none"/>
        </w:rPr>
        <w:t>5.6.3评标办法</w:t>
      </w:r>
    </w:p>
    <w:p>
      <w:pPr>
        <w:pStyle w:val="145"/>
        <w:spacing w:line="360" w:lineRule="auto"/>
        <w:ind w:firstLine="420"/>
        <w:rPr>
          <w:rFonts w:ascii="宋体" w:hAnsi="宋体" w:cs="宋体"/>
          <w:highlight w:val="none"/>
        </w:rPr>
      </w:pPr>
      <w:r>
        <w:rPr>
          <w:rFonts w:hint="eastAsia" w:ascii="宋体" w:hAnsi="宋体" w:cs="宋体"/>
          <w:highlight w:val="none"/>
        </w:rPr>
        <w:t>详见“第三章评标办法”。</w:t>
      </w:r>
    </w:p>
    <w:p>
      <w:pPr>
        <w:pStyle w:val="145"/>
        <w:spacing w:line="360" w:lineRule="auto"/>
        <w:ind w:firstLine="420"/>
        <w:rPr>
          <w:rFonts w:ascii="宋体" w:hAnsi="宋体" w:cs="宋体"/>
          <w:highlight w:val="none"/>
        </w:rPr>
      </w:pPr>
      <w:r>
        <w:rPr>
          <w:rFonts w:hint="eastAsia" w:ascii="宋体" w:hAnsi="宋体" w:cs="宋体"/>
          <w:highlight w:val="none"/>
        </w:rPr>
        <w:t>5.6.4 有效投标人少于三家的情况处理</w:t>
      </w:r>
    </w:p>
    <w:p>
      <w:pPr>
        <w:pStyle w:val="145"/>
        <w:spacing w:line="360" w:lineRule="auto"/>
        <w:ind w:firstLine="420"/>
        <w:rPr>
          <w:rFonts w:ascii="宋体" w:hAnsi="宋体" w:cs="宋体"/>
          <w:highlight w:val="none"/>
        </w:rPr>
      </w:pPr>
      <w:r>
        <w:rPr>
          <w:rFonts w:hint="eastAsia" w:ascii="宋体" w:hAnsi="宋体" w:cs="宋体"/>
          <w:highlight w:val="none"/>
        </w:rPr>
        <w:t>详见“第三章评标办法”</w:t>
      </w:r>
    </w:p>
    <w:p>
      <w:pPr>
        <w:pStyle w:val="145"/>
        <w:spacing w:line="360" w:lineRule="auto"/>
        <w:ind w:firstLine="420"/>
        <w:rPr>
          <w:rFonts w:ascii="宋体" w:hAnsi="宋体" w:cs="宋体"/>
          <w:highlight w:val="none"/>
        </w:rPr>
      </w:pPr>
      <w:r>
        <w:rPr>
          <w:rFonts w:hint="eastAsia" w:ascii="宋体" w:hAnsi="宋体" w:cs="宋体"/>
          <w:highlight w:val="none"/>
        </w:rPr>
        <w:t>5.7、废标</w:t>
      </w:r>
    </w:p>
    <w:p>
      <w:pPr>
        <w:pStyle w:val="145"/>
        <w:spacing w:line="360" w:lineRule="auto"/>
        <w:ind w:firstLine="420"/>
        <w:rPr>
          <w:rFonts w:ascii="宋体" w:hAnsi="宋体" w:cs="宋体"/>
          <w:highlight w:val="none"/>
        </w:rPr>
      </w:pPr>
      <w:r>
        <w:rPr>
          <w:rFonts w:hint="eastAsia" w:ascii="宋体" w:hAnsi="宋体" w:cs="宋体"/>
          <w:highlight w:val="none"/>
        </w:rPr>
        <w:t>详见“第三章评标办法”</w:t>
      </w:r>
    </w:p>
    <w:p>
      <w:pPr>
        <w:pStyle w:val="145"/>
        <w:spacing w:line="360" w:lineRule="auto"/>
        <w:ind w:firstLine="420"/>
        <w:rPr>
          <w:rFonts w:ascii="宋体" w:hAnsi="宋体" w:cs="宋体"/>
          <w:highlight w:val="none"/>
        </w:rPr>
      </w:pPr>
      <w:r>
        <w:rPr>
          <w:rFonts w:hint="eastAsia" w:ascii="宋体" w:hAnsi="宋体" w:cs="宋体"/>
          <w:highlight w:val="none"/>
        </w:rPr>
        <w:t>5.8、确认采购结果</w:t>
      </w:r>
    </w:p>
    <w:p>
      <w:pPr>
        <w:pStyle w:val="145"/>
        <w:spacing w:line="360" w:lineRule="auto"/>
        <w:ind w:firstLine="420"/>
        <w:rPr>
          <w:rFonts w:ascii="宋体" w:hAnsi="宋体" w:cs="宋体"/>
          <w:highlight w:val="none"/>
        </w:rPr>
      </w:pPr>
      <w:r>
        <w:rPr>
          <w:rFonts w:hint="eastAsia" w:ascii="宋体" w:hAnsi="宋体" w:cs="宋体"/>
          <w:highlight w:val="none"/>
        </w:rPr>
        <w:t>评标结束后，根据评标委员会推荐，采购人按政府采购有关规定确定中标人。</w:t>
      </w:r>
    </w:p>
    <w:p>
      <w:pPr>
        <w:pStyle w:val="145"/>
        <w:spacing w:line="360" w:lineRule="auto"/>
        <w:ind w:firstLine="420"/>
        <w:rPr>
          <w:rFonts w:ascii="宋体" w:hAnsi="宋体" w:cs="宋体"/>
          <w:highlight w:val="none"/>
        </w:rPr>
      </w:pPr>
      <w:r>
        <w:rPr>
          <w:rFonts w:hint="eastAsia" w:ascii="宋体" w:hAnsi="宋体" w:cs="宋体"/>
          <w:highlight w:val="none"/>
        </w:rPr>
        <w:t>5.9、结果公告</w:t>
      </w:r>
    </w:p>
    <w:p>
      <w:pPr>
        <w:pStyle w:val="145"/>
        <w:spacing w:line="360" w:lineRule="auto"/>
        <w:ind w:firstLine="420"/>
        <w:rPr>
          <w:rFonts w:ascii="宋体" w:hAnsi="宋体" w:cs="宋体"/>
          <w:highlight w:val="none"/>
        </w:rPr>
      </w:pPr>
      <w:r>
        <w:rPr>
          <w:rFonts w:hint="eastAsia" w:ascii="宋体" w:hAnsi="宋体" w:cs="宋体"/>
          <w:highlight w:val="none"/>
        </w:rPr>
        <w:t>在采购人确认采购结果后，采购代理机构按相关政府采购规定将中标结果发布在政府采购网上进行公告，公告期为1个工作日。采购人、采购代理机构及评标委员会对未中标的投标人不作落标原因解释。</w:t>
      </w:r>
    </w:p>
    <w:p>
      <w:pPr>
        <w:pStyle w:val="145"/>
        <w:spacing w:line="360" w:lineRule="auto"/>
        <w:ind w:firstLine="420"/>
        <w:rPr>
          <w:rFonts w:ascii="宋体" w:hAnsi="宋体" w:cs="宋体"/>
          <w:highlight w:val="none"/>
        </w:rPr>
      </w:pPr>
      <w:r>
        <w:rPr>
          <w:rFonts w:hint="eastAsia" w:ascii="宋体" w:hAnsi="宋体" w:cs="宋体"/>
          <w:highlight w:val="none"/>
        </w:rPr>
        <w:t>5.</w:t>
      </w:r>
      <w:r>
        <w:rPr>
          <w:rFonts w:hint="eastAsia" w:ascii="宋体" w:hAnsi="宋体" w:cs="宋体"/>
          <w:bCs/>
          <w:highlight w:val="none"/>
        </w:rPr>
        <w:t>10、</w:t>
      </w:r>
      <w:r>
        <w:rPr>
          <w:rFonts w:hint="eastAsia" w:ascii="宋体" w:hAnsi="宋体" w:cs="宋体"/>
          <w:highlight w:val="none"/>
        </w:rPr>
        <w:t>采购过程、采购结果质疑</w:t>
      </w:r>
    </w:p>
    <w:p>
      <w:pPr>
        <w:widowControl/>
        <w:adjustRightInd w:val="0"/>
        <w:snapToGrid w:val="0"/>
        <w:spacing w:line="300" w:lineRule="auto"/>
        <w:ind w:firstLine="420" w:firstLineChars="200"/>
        <w:rPr>
          <w:rFonts w:ascii="宋体" w:hAnsi="宋体" w:cs="宋体"/>
          <w:highlight w:val="none"/>
        </w:rPr>
      </w:pPr>
      <w:r>
        <w:rPr>
          <w:rFonts w:hint="eastAsia" w:ascii="宋体" w:hAnsi="宋体" w:cs="宋体"/>
          <w:highlight w:val="none"/>
        </w:rPr>
        <w:t>5.10.1投标人认为采购过程、采购结果使自己的合法权益受到损害的，投标人可以提出书面质疑。</w:t>
      </w:r>
    </w:p>
    <w:p>
      <w:pPr>
        <w:pStyle w:val="145"/>
        <w:spacing w:line="360" w:lineRule="auto"/>
        <w:ind w:firstLine="420"/>
        <w:rPr>
          <w:rFonts w:ascii="宋体" w:hAnsi="宋体" w:cs="宋体"/>
          <w:highlight w:val="none"/>
        </w:rPr>
      </w:pPr>
      <w:r>
        <w:rPr>
          <w:rFonts w:hint="eastAsia" w:ascii="宋体" w:hAnsi="宋体" w:cs="宋体"/>
          <w:highlight w:val="none"/>
        </w:rPr>
        <w:t>5.10.2供应商提出质疑应当提交质疑函和必要的证明材料。质疑函应当包括下列内容：</w:t>
      </w:r>
    </w:p>
    <w:p>
      <w:pPr>
        <w:pStyle w:val="145"/>
        <w:spacing w:line="360" w:lineRule="auto"/>
        <w:ind w:firstLine="420"/>
        <w:rPr>
          <w:rFonts w:ascii="宋体" w:hAnsi="宋体" w:cs="宋体"/>
          <w:highlight w:val="none"/>
        </w:rPr>
      </w:pPr>
      <w:r>
        <w:rPr>
          <w:rFonts w:hint="eastAsia" w:ascii="宋体" w:hAnsi="宋体" w:cs="宋体"/>
          <w:highlight w:val="none"/>
        </w:rPr>
        <w:t>（1）供应商的姓名或者名称、地址、邮编、联系人及联系电话；</w:t>
      </w:r>
    </w:p>
    <w:p>
      <w:pPr>
        <w:pStyle w:val="145"/>
        <w:spacing w:line="360" w:lineRule="auto"/>
        <w:ind w:firstLine="420"/>
        <w:rPr>
          <w:rFonts w:ascii="宋体" w:hAnsi="宋体" w:cs="宋体"/>
          <w:highlight w:val="none"/>
        </w:rPr>
      </w:pPr>
      <w:r>
        <w:rPr>
          <w:rFonts w:hint="eastAsia" w:ascii="宋体" w:hAnsi="宋体" w:cs="宋体"/>
          <w:highlight w:val="none"/>
        </w:rPr>
        <w:t>（2）质疑项目的名称、编号；</w:t>
      </w:r>
    </w:p>
    <w:p>
      <w:pPr>
        <w:pStyle w:val="145"/>
        <w:spacing w:line="360" w:lineRule="auto"/>
        <w:ind w:firstLine="420"/>
        <w:rPr>
          <w:rFonts w:ascii="宋体" w:hAnsi="宋体" w:cs="宋体"/>
          <w:highlight w:val="none"/>
        </w:rPr>
      </w:pPr>
      <w:r>
        <w:rPr>
          <w:rFonts w:hint="eastAsia" w:ascii="宋体" w:hAnsi="宋体" w:cs="宋体"/>
          <w:highlight w:val="none"/>
        </w:rPr>
        <w:t>（3）具体、明确的质疑事项和与质疑事项相关的请求；</w:t>
      </w:r>
    </w:p>
    <w:p>
      <w:pPr>
        <w:pStyle w:val="145"/>
        <w:spacing w:line="360" w:lineRule="auto"/>
        <w:ind w:firstLine="420"/>
        <w:rPr>
          <w:rFonts w:ascii="宋体" w:hAnsi="宋体" w:cs="宋体"/>
          <w:highlight w:val="none"/>
        </w:rPr>
      </w:pPr>
      <w:r>
        <w:rPr>
          <w:rFonts w:hint="eastAsia" w:ascii="宋体" w:hAnsi="宋体" w:cs="宋体"/>
          <w:highlight w:val="none"/>
        </w:rPr>
        <w:t>（4）事实依据；</w:t>
      </w:r>
    </w:p>
    <w:p>
      <w:pPr>
        <w:pStyle w:val="145"/>
        <w:spacing w:line="360" w:lineRule="auto"/>
        <w:ind w:firstLine="420"/>
        <w:rPr>
          <w:rFonts w:ascii="宋体" w:hAnsi="宋体" w:cs="宋体"/>
          <w:highlight w:val="none"/>
        </w:rPr>
      </w:pPr>
      <w:r>
        <w:rPr>
          <w:rFonts w:hint="eastAsia" w:ascii="宋体" w:hAnsi="宋体" w:cs="宋体"/>
          <w:highlight w:val="none"/>
        </w:rPr>
        <w:t>（5）必要的法律依据；</w:t>
      </w:r>
    </w:p>
    <w:p>
      <w:pPr>
        <w:pStyle w:val="145"/>
        <w:spacing w:line="360" w:lineRule="auto"/>
        <w:ind w:firstLine="420"/>
        <w:rPr>
          <w:rFonts w:ascii="宋体" w:hAnsi="宋体" w:cs="宋体"/>
          <w:highlight w:val="none"/>
        </w:rPr>
      </w:pPr>
      <w:r>
        <w:rPr>
          <w:rFonts w:hint="eastAsia" w:ascii="宋体" w:hAnsi="宋体" w:cs="宋体"/>
          <w:highlight w:val="none"/>
        </w:rPr>
        <w:t>（6）提出质疑的日期。</w:t>
      </w:r>
    </w:p>
    <w:p>
      <w:pPr>
        <w:pStyle w:val="145"/>
        <w:spacing w:line="360" w:lineRule="auto"/>
        <w:ind w:firstLine="420"/>
        <w:rPr>
          <w:rFonts w:ascii="宋体" w:hAnsi="宋体" w:cs="宋体"/>
          <w:highlight w:val="none"/>
        </w:rPr>
      </w:pPr>
      <w:r>
        <w:rPr>
          <w:rFonts w:hint="eastAsia" w:ascii="宋体" w:hAnsi="宋体" w:cs="宋体"/>
          <w:highlight w:val="none"/>
        </w:rPr>
        <w:t>供应商为自然人的，应当由本人签字；供应商为法人或者其他组织的，应当由法定代表人、主要负责人，或者其授权代表签字或者盖章，并加盖公章。</w:t>
      </w:r>
    </w:p>
    <w:p>
      <w:pPr>
        <w:pStyle w:val="145"/>
        <w:spacing w:line="360" w:lineRule="auto"/>
        <w:ind w:firstLine="420"/>
        <w:rPr>
          <w:rFonts w:ascii="宋体" w:hAnsi="宋体" w:cs="宋体"/>
          <w:highlight w:val="none"/>
        </w:rPr>
      </w:pPr>
      <w:r>
        <w:rPr>
          <w:rFonts w:hint="eastAsia" w:ascii="宋体" w:hAnsi="宋体" w:cs="宋体"/>
          <w:highlight w:val="none"/>
        </w:rPr>
        <w:t>5.10.3采购过程的质疑期限自各采购程序环节结束之日起计算，7个工作日内向采购代理机构提出，逾期提出不予受理。供应商须在法定质疑期内一次性提出针对采购过程的质疑。</w:t>
      </w:r>
    </w:p>
    <w:p>
      <w:pPr>
        <w:pStyle w:val="145"/>
        <w:spacing w:line="360" w:lineRule="auto"/>
        <w:ind w:firstLine="420"/>
        <w:rPr>
          <w:rFonts w:ascii="宋体" w:hAnsi="宋体" w:cs="宋体"/>
          <w:highlight w:val="none"/>
        </w:rPr>
      </w:pPr>
      <w:r>
        <w:rPr>
          <w:rFonts w:hint="eastAsia" w:ascii="宋体" w:hAnsi="宋体" w:cs="宋体"/>
          <w:highlight w:val="none"/>
        </w:rPr>
        <w:t>采购结果的质疑期限自采购结果公告（包括结果公告、结果变更公告等）之日起计算，7个工作日内向采购代理机构提出，逾期提出不予受理。供应商须在法定质疑期内一次性提出针对采购结果的质疑。</w:t>
      </w:r>
    </w:p>
    <w:p>
      <w:pPr>
        <w:pStyle w:val="145"/>
        <w:spacing w:line="360" w:lineRule="auto"/>
        <w:ind w:firstLine="420"/>
        <w:rPr>
          <w:rFonts w:ascii="宋体" w:hAnsi="宋体" w:cs="宋体"/>
          <w:highlight w:val="none"/>
        </w:rPr>
      </w:pPr>
      <w:r>
        <w:rPr>
          <w:rFonts w:hint="eastAsia" w:ascii="宋体" w:hAnsi="宋体" w:cs="宋体"/>
          <w:highlight w:val="none"/>
        </w:rPr>
        <w:t>5.10.4质疑书中涉及的相关材料中有外文资料的，应当将与质疑相关的外文资料完整、客观、真实地翻译为中文，并注明翻译人员姓名、工作单位、联系方式等信息。</w:t>
      </w:r>
    </w:p>
    <w:p>
      <w:pPr>
        <w:pStyle w:val="145"/>
        <w:spacing w:line="360" w:lineRule="auto"/>
        <w:ind w:firstLine="420"/>
        <w:rPr>
          <w:rFonts w:ascii="宋体" w:hAnsi="宋体" w:cs="宋体"/>
          <w:highlight w:val="none"/>
        </w:rPr>
      </w:pPr>
      <w:r>
        <w:rPr>
          <w:rFonts w:hint="eastAsia" w:ascii="宋体" w:hAnsi="宋体" w:cs="宋体"/>
          <w:highlight w:val="none"/>
        </w:rPr>
        <w:t>5.10.5质疑书以直接提交、传真或邮寄方式提交（一式三份）。</w:t>
      </w:r>
    </w:p>
    <w:p>
      <w:pPr>
        <w:pStyle w:val="145"/>
        <w:spacing w:line="360" w:lineRule="auto"/>
        <w:ind w:firstLine="420"/>
        <w:rPr>
          <w:rFonts w:ascii="宋体" w:hAnsi="宋体" w:cs="宋体"/>
          <w:highlight w:val="none"/>
        </w:rPr>
      </w:pPr>
      <w:r>
        <w:rPr>
          <w:rFonts w:hint="eastAsia" w:ascii="宋体" w:hAnsi="宋体" w:cs="宋体"/>
          <w:highlight w:val="none"/>
        </w:rPr>
        <w:t>5.10.6质疑书以传真形式提交后，同时须向采购代理机构提交质疑书原件，采购代理机构以收到原件之日作为收到质疑日。</w:t>
      </w:r>
    </w:p>
    <w:p>
      <w:pPr>
        <w:pStyle w:val="145"/>
        <w:spacing w:line="360" w:lineRule="auto"/>
        <w:ind w:firstLine="420"/>
        <w:rPr>
          <w:rFonts w:ascii="宋体" w:hAnsi="宋体" w:cs="宋体"/>
          <w:highlight w:val="none"/>
        </w:rPr>
      </w:pPr>
      <w:r>
        <w:rPr>
          <w:rFonts w:hint="eastAsia" w:ascii="宋体" w:hAnsi="宋体" w:cs="宋体"/>
          <w:highlight w:val="none"/>
        </w:rPr>
        <w:t>5.10.7供应商如采用在线递交质疑的，按以上要求将书面质疑材料扫描后，在政采云系统中在线质疑模块上传附件（在线递交后，并电话告知采购代理机构）。</w:t>
      </w:r>
    </w:p>
    <w:p>
      <w:pPr>
        <w:pStyle w:val="145"/>
        <w:spacing w:line="360" w:lineRule="auto"/>
        <w:ind w:firstLine="420"/>
        <w:rPr>
          <w:rFonts w:hint="default" w:ascii="宋体" w:hAnsi="宋体" w:eastAsia="宋体" w:cs="宋体"/>
          <w:highlight w:val="none"/>
          <w:lang w:val="en-US" w:eastAsia="zh-CN"/>
        </w:rPr>
      </w:pPr>
      <w:r>
        <w:rPr>
          <w:rFonts w:hint="eastAsia" w:ascii="宋体" w:hAnsi="宋体" w:cs="宋体"/>
          <w:highlight w:val="none"/>
        </w:rPr>
        <w:t>如对质疑答复不满意的，</w:t>
      </w:r>
      <w:r>
        <w:rPr>
          <w:rFonts w:hint="eastAsia" w:ascii="宋体" w:hAnsi="宋体" w:cs="宋体"/>
          <w:highlight w:val="none"/>
          <w:lang w:val="en-US" w:eastAsia="zh-CN"/>
        </w:rPr>
        <w:t>按招标公告上监管信息投诉。</w:t>
      </w:r>
    </w:p>
    <w:p>
      <w:pPr>
        <w:pStyle w:val="145"/>
        <w:spacing w:line="360" w:lineRule="auto"/>
        <w:ind w:firstLine="420"/>
        <w:rPr>
          <w:rFonts w:ascii="宋体" w:hAnsi="宋体" w:cs="宋体"/>
          <w:highlight w:val="none"/>
        </w:rPr>
      </w:pPr>
      <w:r>
        <w:rPr>
          <w:rFonts w:hint="eastAsia" w:ascii="宋体" w:hAnsi="宋体" w:cs="宋体"/>
          <w:highlight w:val="none"/>
        </w:rPr>
        <w:t>5.11、发出中标通知书</w:t>
      </w:r>
    </w:p>
    <w:p>
      <w:pPr>
        <w:pStyle w:val="145"/>
        <w:spacing w:line="360" w:lineRule="auto"/>
        <w:ind w:firstLine="420"/>
        <w:rPr>
          <w:rFonts w:ascii="宋体" w:hAnsi="宋体" w:cs="宋体"/>
          <w:highlight w:val="none"/>
        </w:rPr>
      </w:pPr>
      <w:r>
        <w:rPr>
          <w:rFonts w:hint="eastAsia" w:ascii="宋体" w:hAnsi="宋体" w:cs="宋体"/>
          <w:highlight w:val="none"/>
        </w:rPr>
        <w:t>5.11.1采购人及采购代理机构将以书面形式向中标人发出中标通知书。</w:t>
      </w:r>
    </w:p>
    <w:p>
      <w:pPr>
        <w:pStyle w:val="145"/>
        <w:spacing w:line="360" w:lineRule="auto"/>
        <w:ind w:firstLine="420"/>
        <w:rPr>
          <w:rFonts w:ascii="宋体" w:hAnsi="宋体" w:cs="宋体"/>
          <w:highlight w:val="none"/>
        </w:rPr>
      </w:pPr>
      <w:r>
        <w:rPr>
          <w:rFonts w:hint="eastAsia" w:ascii="宋体" w:hAnsi="宋体" w:cs="宋体"/>
          <w:highlight w:val="none"/>
        </w:rPr>
        <w:t>5.12、签订合同</w:t>
      </w:r>
    </w:p>
    <w:p>
      <w:pPr>
        <w:pStyle w:val="145"/>
        <w:spacing w:line="360" w:lineRule="auto"/>
        <w:ind w:firstLine="420"/>
        <w:rPr>
          <w:rFonts w:ascii="宋体" w:hAnsi="宋体" w:cs="宋体"/>
          <w:highlight w:val="none"/>
        </w:rPr>
      </w:pPr>
      <w:r>
        <w:rPr>
          <w:rFonts w:hint="eastAsia" w:ascii="宋体" w:hAnsi="宋体" w:cs="宋体"/>
          <w:highlight w:val="none"/>
        </w:rPr>
        <w:t>5.12.1 中标人应在接到中标通知书后按中标通知书规定的时间、地点与采购人签订合同。如中标人为联合体的，由联合体成员各方法定代表人或其授权代表与采购人代表签订合同。</w:t>
      </w:r>
    </w:p>
    <w:p>
      <w:pPr>
        <w:pStyle w:val="145"/>
        <w:spacing w:line="360" w:lineRule="auto"/>
        <w:ind w:firstLine="420"/>
        <w:rPr>
          <w:rFonts w:ascii="宋体" w:hAnsi="宋体" w:cs="宋体"/>
          <w:highlight w:val="none"/>
        </w:rPr>
      </w:pPr>
      <w:r>
        <w:rPr>
          <w:rFonts w:hint="eastAsia" w:ascii="宋体" w:hAnsi="宋体" w:cs="宋体"/>
          <w:highlight w:val="none"/>
        </w:rPr>
        <w:t>5.12.2采购文件及补充文件、中标人的投标文件及投标修改文件、评标过程中有关澄清文件和中标通知书均作为合同附件。</w:t>
      </w:r>
    </w:p>
    <w:p>
      <w:pPr>
        <w:pStyle w:val="145"/>
        <w:spacing w:line="360" w:lineRule="auto"/>
        <w:ind w:firstLine="420"/>
        <w:rPr>
          <w:rFonts w:ascii="宋体" w:hAnsi="宋体" w:cs="宋体"/>
          <w:highlight w:val="none"/>
        </w:rPr>
      </w:pPr>
      <w:r>
        <w:rPr>
          <w:rFonts w:hint="eastAsia" w:ascii="宋体" w:hAnsi="宋体" w:cs="宋体"/>
          <w:highlight w:val="none"/>
        </w:rPr>
        <w:t>5.12.3拒签合同的责任</w:t>
      </w:r>
    </w:p>
    <w:p>
      <w:pPr>
        <w:pStyle w:val="145"/>
        <w:spacing w:line="360" w:lineRule="auto"/>
        <w:ind w:firstLine="420"/>
        <w:rPr>
          <w:rFonts w:ascii="宋体" w:hAnsi="宋体" w:cs="宋体"/>
          <w:highlight w:val="none"/>
        </w:rPr>
      </w:pPr>
      <w:r>
        <w:rPr>
          <w:rFonts w:hint="eastAsia" w:ascii="宋体" w:hAnsi="宋体" w:cs="宋体"/>
          <w:highlight w:val="none"/>
        </w:rPr>
        <w:t>中标人接到中标通知书后，在规定时间内无正当理由拒不与采购人签订政府采购合同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5"/>
        <w:spacing w:line="360" w:lineRule="auto"/>
        <w:ind w:firstLine="420"/>
        <w:rPr>
          <w:rFonts w:ascii="宋体" w:hAnsi="宋体" w:cs="宋体"/>
          <w:highlight w:val="none"/>
        </w:rPr>
      </w:pPr>
      <w:r>
        <w:rPr>
          <w:rFonts w:hint="eastAsia" w:ascii="宋体" w:hAnsi="宋体" w:cs="宋体"/>
          <w:highlight w:val="none"/>
        </w:rPr>
        <w:t>5.13、履约保证金</w:t>
      </w:r>
    </w:p>
    <w:p>
      <w:pPr>
        <w:pStyle w:val="145"/>
        <w:spacing w:line="360" w:lineRule="auto"/>
        <w:ind w:firstLine="420"/>
        <w:rPr>
          <w:rFonts w:ascii="宋体" w:hAnsi="宋体" w:cs="宋体"/>
          <w:highlight w:val="none"/>
        </w:rPr>
      </w:pPr>
      <w:r>
        <w:rPr>
          <w:rFonts w:hint="eastAsia" w:ascii="宋体" w:hAnsi="宋体" w:cs="宋体"/>
          <w:highlight w:val="none"/>
        </w:rPr>
        <w:t>5.13.1中标人在签订合同前按“投标人须知前附表”规定的缴纳履约保证金。</w:t>
      </w:r>
    </w:p>
    <w:p>
      <w:pPr>
        <w:pStyle w:val="145"/>
        <w:spacing w:line="360" w:lineRule="auto"/>
        <w:ind w:firstLine="420"/>
        <w:rPr>
          <w:rFonts w:ascii="宋体" w:hAnsi="宋体" w:cs="宋体"/>
          <w:highlight w:val="none"/>
        </w:rPr>
      </w:pPr>
      <w:r>
        <w:rPr>
          <w:rFonts w:hint="eastAsia" w:ascii="宋体" w:hAnsi="宋体" w:cs="宋体"/>
          <w:highlight w:val="none"/>
        </w:rPr>
        <w:t>5.13.2履约保证金有效期按“投标人须知前附表”规定。</w:t>
      </w:r>
    </w:p>
    <w:p>
      <w:pPr>
        <w:pStyle w:val="145"/>
        <w:spacing w:line="360" w:lineRule="auto"/>
        <w:ind w:firstLine="420"/>
        <w:rPr>
          <w:rFonts w:ascii="宋体" w:hAnsi="宋体" w:cs="宋体"/>
          <w:highlight w:val="none"/>
        </w:rPr>
      </w:pPr>
      <w:r>
        <w:rPr>
          <w:rFonts w:hint="eastAsia" w:ascii="宋体" w:hAnsi="宋体" w:cs="宋体"/>
          <w:highlight w:val="none"/>
        </w:rPr>
        <w:t>5.14、采购代理服务费</w:t>
      </w:r>
    </w:p>
    <w:p>
      <w:pPr>
        <w:pStyle w:val="145"/>
        <w:spacing w:line="360" w:lineRule="auto"/>
        <w:ind w:firstLine="420"/>
        <w:rPr>
          <w:rFonts w:ascii="宋体" w:hAnsi="宋体" w:cs="宋体"/>
          <w:highlight w:val="none"/>
        </w:rPr>
      </w:pPr>
      <w:r>
        <w:rPr>
          <w:rFonts w:hint="eastAsia" w:ascii="宋体" w:hAnsi="宋体" w:cs="宋体"/>
          <w:highlight w:val="none"/>
        </w:rPr>
        <w:t>本次采购代理服务费按“投标人须知前附表”规定收取。</w:t>
      </w:r>
    </w:p>
    <w:p>
      <w:pPr>
        <w:widowControl/>
        <w:jc w:val="left"/>
        <w:rPr>
          <w:rFonts w:ascii="宋体" w:hAnsi="宋体" w:cs="宋体"/>
          <w:b/>
          <w:sz w:val="32"/>
          <w:highlight w:val="none"/>
        </w:rPr>
      </w:pPr>
      <w:bookmarkStart w:id="146" w:name="_Toc211745570"/>
      <w:bookmarkStart w:id="147" w:name="_Toc82873329"/>
      <w:bookmarkStart w:id="148" w:name="_Toc82338246"/>
      <w:r>
        <w:rPr>
          <w:rFonts w:hint="eastAsia" w:ascii="宋体" w:hAnsi="宋体" w:cs="宋体"/>
          <w:highlight w:val="none"/>
        </w:rPr>
        <w:br w:type="page"/>
      </w:r>
    </w:p>
    <w:p>
      <w:pPr>
        <w:pStyle w:val="3"/>
        <w:rPr>
          <w:rFonts w:ascii="宋体" w:hAnsi="宋体" w:cs="宋体"/>
          <w:color w:val="auto"/>
          <w:highlight w:val="none"/>
        </w:rPr>
      </w:pPr>
      <w:bookmarkStart w:id="149" w:name="_Toc7278"/>
      <w:r>
        <w:rPr>
          <w:rFonts w:hint="eastAsia" w:ascii="宋体" w:hAnsi="宋体" w:cs="宋体"/>
          <w:color w:val="auto"/>
          <w:highlight w:val="none"/>
        </w:rPr>
        <w:t>第七章 投标文件格式</w:t>
      </w:r>
      <w:bookmarkEnd w:id="146"/>
      <w:bookmarkEnd w:id="147"/>
      <w:bookmarkEnd w:id="148"/>
      <w:bookmarkEnd w:id="149"/>
    </w:p>
    <w:p>
      <w:pPr>
        <w:spacing w:line="360" w:lineRule="auto"/>
        <w:jc w:val="center"/>
        <w:rPr>
          <w:rFonts w:ascii="宋体" w:hAnsi="宋体" w:cs="宋体"/>
          <w:highlight w:val="none"/>
        </w:rPr>
      </w:pPr>
      <w:r>
        <w:rPr>
          <w:rFonts w:hint="eastAsia" w:ascii="宋体" w:hAnsi="宋体" w:cs="宋体"/>
          <w:highlight w:val="none"/>
        </w:rPr>
        <w:t>（未提供格式的由投标人自拟）</w:t>
      </w:r>
    </w:p>
    <w:p>
      <w:pPr>
        <w:tabs>
          <w:tab w:val="left" w:pos="2580"/>
          <w:tab w:val="left" w:pos="5940"/>
        </w:tabs>
        <w:autoSpaceDE w:val="0"/>
        <w:autoSpaceDN w:val="0"/>
        <w:adjustRightInd w:val="0"/>
        <w:snapToGrid w:val="0"/>
        <w:spacing w:line="360" w:lineRule="auto"/>
        <w:ind w:right="-20"/>
        <w:rPr>
          <w:rFonts w:ascii="宋体" w:hAnsi="宋体" w:cs="宋体"/>
          <w:kern w:val="0"/>
          <w:sz w:val="28"/>
          <w:highlight w:val="none"/>
        </w:rPr>
      </w:pPr>
      <w:bookmarkStart w:id="150" w:name="_Toc345575534"/>
      <w:bookmarkStart w:id="151" w:name="_Toc422431990"/>
      <w:r>
        <w:rPr>
          <w:rFonts w:hint="eastAsia" w:ascii="宋体" w:hAnsi="宋体" w:cs="宋体"/>
          <w:kern w:val="0"/>
          <w:sz w:val="28"/>
          <w:highlight w:val="none"/>
        </w:rPr>
        <w:t>报价文件封面</w:t>
      </w:r>
      <w:bookmarkEnd w:id="150"/>
      <w:bookmarkEnd w:id="151"/>
    </w:p>
    <w:p>
      <w:pPr>
        <w:tabs>
          <w:tab w:val="left" w:pos="2580"/>
          <w:tab w:val="left" w:pos="5940"/>
        </w:tabs>
        <w:autoSpaceDE w:val="0"/>
        <w:autoSpaceDN w:val="0"/>
        <w:adjustRightInd w:val="0"/>
        <w:spacing w:line="360" w:lineRule="auto"/>
        <w:ind w:right="-20"/>
        <w:rPr>
          <w:rFonts w:ascii="宋体" w:hAnsi="宋体" w:cs="宋体"/>
          <w:kern w:val="0"/>
          <w:sz w:val="28"/>
          <w:highlight w:val="none"/>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kern w:val="0"/>
          <w:sz w:val="28"/>
          <w:highlight w:val="none"/>
          <w:u w:val="single"/>
          <w:lang w:eastAsia="zh-CN"/>
        </w:rPr>
      </w:pPr>
      <w:r>
        <w:rPr>
          <w:rFonts w:hint="eastAsia" w:ascii="宋体" w:hAnsi="宋体" w:cs="宋体"/>
          <w:kern w:val="0"/>
          <w:sz w:val="28"/>
          <w:highlight w:val="none"/>
        </w:rPr>
        <w:t>项目名称：</w:t>
      </w:r>
      <w:r>
        <w:rPr>
          <w:rFonts w:hint="eastAsia" w:ascii="宋体" w:hAnsi="宋体" w:cs="宋体"/>
          <w:kern w:val="0"/>
          <w:sz w:val="28"/>
          <w:highlight w:val="none"/>
          <w:u w:val="single"/>
          <w:lang w:eastAsia="zh-CN"/>
        </w:rPr>
        <w:t>浙江理工大学消防管网改造及安全防护设施、电梯更新项目监理服务</w:t>
      </w:r>
    </w:p>
    <w:p>
      <w:pPr>
        <w:tabs>
          <w:tab w:val="left" w:pos="2580"/>
          <w:tab w:val="left" w:pos="5940"/>
        </w:tabs>
        <w:autoSpaceDE w:val="0"/>
        <w:autoSpaceDN w:val="0"/>
        <w:adjustRightInd w:val="0"/>
        <w:snapToGrid w:val="0"/>
        <w:spacing w:line="360" w:lineRule="auto"/>
        <w:ind w:right="-20" w:firstLine="980" w:firstLineChars="350"/>
        <w:rPr>
          <w:rFonts w:ascii="宋体" w:hAnsi="宋体" w:cs="宋体"/>
          <w:kern w:val="0"/>
          <w:sz w:val="28"/>
          <w:highlight w:val="none"/>
          <w:u w:val="single"/>
        </w:rPr>
      </w:pPr>
      <w:r>
        <w:rPr>
          <w:rFonts w:hint="eastAsia" w:ascii="宋体" w:hAnsi="宋体" w:cs="宋体"/>
          <w:kern w:val="0"/>
          <w:sz w:val="28"/>
          <w:highlight w:val="none"/>
        </w:rPr>
        <w:t>项目编号：</w:t>
      </w:r>
      <w:r>
        <w:rPr>
          <w:rFonts w:hint="eastAsia" w:ascii="宋体" w:hAnsi="宋体" w:cs="宋体"/>
          <w:kern w:val="0"/>
          <w:sz w:val="28"/>
          <w:highlight w:val="none"/>
          <w:u w:val="single"/>
          <w:lang w:eastAsia="zh-CN"/>
        </w:rPr>
        <w:t>CTZB-2024040071</w:t>
      </w:r>
      <w:r>
        <w:rPr>
          <w:rFonts w:hint="eastAsia" w:ascii="宋体" w:hAnsi="宋体" w:cs="宋体"/>
          <w:kern w:val="0"/>
          <w:sz w:val="28"/>
          <w:highlight w:val="none"/>
          <w:u w:val="single"/>
        </w:rPr>
        <w:t xml:space="preserve"> </w:t>
      </w:r>
    </w:p>
    <w:p>
      <w:pPr>
        <w:autoSpaceDE w:val="0"/>
        <w:autoSpaceDN w:val="0"/>
        <w:adjustRightInd w:val="0"/>
        <w:snapToGrid w:val="0"/>
        <w:spacing w:line="360" w:lineRule="auto"/>
        <w:jc w:val="left"/>
        <w:rPr>
          <w:rFonts w:ascii="宋体" w:hAnsi="宋体" w:cs="宋体"/>
          <w:kern w:val="0"/>
          <w:sz w:val="24"/>
          <w:highlight w:val="none"/>
        </w:rPr>
      </w:pPr>
    </w:p>
    <w:p>
      <w:pPr>
        <w:autoSpaceDE w:val="0"/>
        <w:autoSpaceDN w:val="0"/>
        <w:adjustRightInd w:val="0"/>
        <w:snapToGrid w:val="0"/>
        <w:spacing w:line="360" w:lineRule="auto"/>
        <w:jc w:val="left"/>
        <w:rPr>
          <w:rFonts w:ascii="宋体" w:hAnsi="宋体" w:cs="宋体"/>
          <w:kern w:val="0"/>
          <w:sz w:val="24"/>
          <w:highlight w:val="none"/>
        </w:rPr>
      </w:pPr>
    </w:p>
    <w:p>
      <w:pPr>
        <w:autoSpaceDE w:val="0"/>
        <w:autoSpaceDN w:val="0"/>
        <w:adjustRightInd w:val="0"/>
        <w:snapToGrid w:val="0"/>
        <w:spacing w:line="360" w:lineRule="auto"/>
        <w:jc w:val="left"/>
        <w:rPr>
          <w:rFonts w:ascii="宋体" w:hAnsi="宋体" w:cs="宋体"/>
          <w:kern w:val="0"/>
          <w:sz w:val="24"/>
          <w:highlight w:val="none"/>
        </w:rPr>
      </w:pPr>
    </w:p>
    <w:p>
      <w:pPr>
        <w:autoSpaceDE w:val="0"/>
        <w:autoSpaceDN w:val="0"/>
        <w:adjustRightInd w:val="0"/>
        <w:snapToGrid w:val="0"/>
        <w:spacing w:line="360" w:lineRule="auto"/>
        <w:jc w:val="left"/>
        <w:rPr>
          <w:rFonts w:ascii="宋体" w:hAnsi="宋体" w:cs="宋体"/>
          <w:kern w:val="0"/>
          <w:sz w:val="24"/>
          <w:highlight w:val="none"/>
        </w:rPr>
      </w:pPr>
    </w:p>
    <w:p>
      <w:pPr>
        <w:tabs>
          <w:tab w:val="left" w:pos="1805"/>
          <w:tab w:val="left" w:pos="5360"/>
        </w:tabs>
        <w:autoSpaceDE w:val="0"/>
        <w:autoSpaceDN w:val="0"/>
        <w:adjustRightInd w:val="0"/>
        <w:snapToGrid w:val="0"/>
        <w:spacing w:line="360" w:lineRule="auto"/>
        <w:ind w:right="-20"/>
        <w:jc w:val="center"/>
        <w:rPr>
          <w:rFonts w:ascii="宋体" w:hAnsi="宋体" w:cs="宋体"/>
          <w:kern w:val="0"/>
          <w:sz w:val="72"/>
          <w:highlight w:val="none"/>
        </w:rPr>
      </w:pPr>
      <w:r>
        <w:rPr>
          <w:rFonts w:hint="eastAsia" w:ascii="宋体" w:hAnsi="宋体" w:cs="宋体"/>
          <w:kern w:val="0"/>
          <w:sz w:val="72"/>
          <w:highlight w:val="none"/>
        </w:rPr>
        <w:t>投标文件</w:t>
      </w:r>
    </w:p>
    <w:p>
      <w:pPr>
        <w:tabs>
          <w:tab w:val="left" w:pos="1805"/>
          <w:tab w:val="left" w:pos="5360"/>
        </w:tabs>
        <w:autoSpaceDE w:val="0"/>
        <w:autoSpaceDN w:val="0"/>
        <w:adjustRightInd w:val="0"/>
        <w:snapToGrid w:val="0"/>
        <w:spacing w:line="360" w:lineRule="auto"/>
        <w:ind w:right="-20"/>
        <w:jc w:val="center"/>
        <w:rPr>
          <w:rFonts w:ascii="宋体" w:hAnsi="宋体" w:cs="宋体"/>
          <w:kern w:val="0"/>
          <w:sz w:val="72"/>
          <w:highlight w:val="none"/>
        </w:rPr>
      </w:pPr>
      <w:r>
        <w:rPr>
          <w:rFonts w:hint="eastAsia" w:ascii="宋体" w:hAnsi="宋体" w:cs="宋体"/>
          <w:kern w:val="0"/>
          <w:sz w:val="72"/>
          <w:highlight w:val="none"/>
        </w:rPr>
        <w:t>（报价文件）</w:t>
      </w:r>
    </w:p>
    <w:p>
      <w:pPr>
        <w:autoSpaceDE w:val="0"/>
        <w:autoSpaceDN w:val="0"/>
        <w:adjustRightInd w:val="0"/>
        <w:snapToGrid w:val="0"/>
        <w:spacing w:line="360" w:lineRule="auto"/>
        <w:jc w:val="left"/>
        <w:rPr>
          <w:rFonts w:ascii="宋体" w:hAnsi="宋体" w:cs="宋体"/>
          <w:kern w:val="0"/>
          <w:sz w:val="16"/>
          <w:highlight w:val="none"/>
        </w:rPr>
      </w:pPr>
    </w:p>
    <w:p>
      <w:pPr>
        <w:autoSpaceDE w:val="0"/>
        <w:autoSpaceDN w:val="0"/>
        <w:adjustRightInd w:val="0"/>
        <w:snapToGrid w:val="0"/>
        <w:spacing w:line="360" w:lineRule="auto"/>
        <w:jc w:val="left"/>
        <w:rPr>
          <w:rFonts w:ascii="宋体" w:hAnsi="宋体" w:cs="宋体"/>
          <w:kern w:val="0"/>
          <w:sz w:val="20"/>
          <w:highlight w:val="none"/>
        </w:rPr>
      </w:pPr>
    </w:p>
    <w:p>
      <w:pPr>
        <w:autoSpaceDE w:val="0"/>
        <w:autoSpaceDN w:val="0"/>
        <w:adjustRightInd w:val="0"/>
        <w:snapToGrid w:val="0"/>
        <w:spacing w:line="360" w:lineRule="auto"/>
        <w:jc w:val="left"/>
        <w:rPr>
          <w:rFonts w:ascii="宋体" w:hAnsi="宋体" w:cs="宋体"/>
          <w:kern w:val="0"/>
          <w:sz w:val="20"/>
          <w:highlight w:val="none"/>
        </w:rPr>
      </w:pPr>
    </w:p>
    <w:p>
      <w:pPr>
        <w:autoSpaceDE w:val="0"/>
        <w:autoSpaceDN w:val="0"/>
        <w:adjustRightInd w:val="0"/>
        <w:snapToGrid w:val="0"/>
        <w:spacing w:line="360" w:lineRule="auto"/>
        <w:jc w:val="left"/>
        <w:rPr>
          <w:rFonts w:ascii="宋体" w:hAnsi="宋体" w:cs="宋体"/>
          <w:kern w:val="0"/>
          <w:sz w:val="20"/>
          <w:highlight w:val="none"/>
        </w:rPr>
      </w:pPr>
    </w:p>
    <w:p>
      <w:pPr>
        <w:autoSpaceDE w:val="0"/>
        <w:autoSpaceDN w:val="0"/>
        <w:adjustRightInd w:val="0"/>
        <w:snapToGrid w:val="0"/>
        <w:spacing w:line="360" w:lineRule="auto"/>
        <w:jc w:val="left"/>
        <w:rPr>
          <w:rFonts w:ascii="宋体" w:hAnsi="宋体" w:cs="宋体"/>
          <w:kern w:val="0"/>
          <w:sz w:val="20"/>
          <w:highlight w:val="none"/>
        </w:rPr>
      </w:pPr>
    </w:p>
    <w:p>
      <w:pPr>
        <w:tabs>
          <w:tab w:val="left" w:pos="6080"/>
          <w:tab w:val="left" w:pos="6640"/>
        </w:tabs>
        <w:autoSpaceDE w:val="0"/>
        <w:autoSpaceDN w:val="0"/>
        <w:adjustRightInd w:val="0"/>
        <w:snapToGrid w:val="0"/>
        <w:spacing w:line="360" w:lineRule="auto"/>
        <w:ind w:left="774" w:right="403"/>
        <w:jc w:val="left"/>
        <w:rPr>
          <w:rFonts w:ascii="宋体" w:hAnsi="宋体" w:cs="宋体"/>
          <w:kern w:val="0"/>
          <w:sz w:val="28"/>
          <w:highlight w:val="none"/>
        </w:rPr>
      </w:pPr>
      <w:r>
        <w:rPr>
          <w:rFonts w:hint="eastAsia" w:ascii="宋体" w:hAnsi="宋体" w:cs="宋体"/>
          <w:kern w:val="0"/>
          <w:sz w:val="28"/>
          <w:highlight w:val="none"/>
        </w:rPr>
        <w:t>供应商名称：（盖单位公章）</w:t>
      </w:r>
    </w:p>
    <w:p>
      <w:pPr>
        <w:tabs>
          <w:tab w:val="left" w:pos="6080"/>
          <w:tab w:val="left" w:pos="6640"/>
        </w:tabs>
        <w:autoSpaceDE w:val="0"/>
        <w:autoSpaceDN w:val="0"/>
        <w:adjustRightInd w:val="0"/>
        <w:snapToGrid w:val="0"/>
        <w:spacing w:line="360" w:lineRule="auto"/>
        <w:ind w:left="774" w:right="403"/>
        <w:jc w:val="left"/>
        <w:rPr>
          <w:rFonts w:ascii="宋体" w:hAnsi="宋体" w:cs="宋体"/>
          <w:kern w:val="0"/>
          <w:sz w:val="28"/>
          <w:highlight w:val="none"/>
        </w:rPr>
      </w:pPr>
    </w:p>
    <w:p>
      <w:pPr>
        <w:spacing w:line="360" w:lineRule="auto"/>
        <w:ind w:firstLine="2800" w:firstLineChars="1000"/>
        <w:rPr>
          <w:rFonts w:ascii="宋体" w:hAnsi="宋体" w:cs="宋体"/>
          <w:spacing w:val="4"/>
          <w:szCs w:val="20"/>
          <w:highlight w:val="none"/>
        </w:rPr>
      </w:pPr>
      <w:r>
        <w:rPr>
          <w:rFonts w:hint="eastAsia" w:ascii="宋体" w:hAnsi="宋体" w:cs="宋体"/>
          <w:kern w:val="0"/>
          <w:sz w:val="28"/>
          <w:highlight w:val="none"/>
        </w:rPr>
        <w:t>年月日</w:t>
      </w:r>
      <w:bookmarkStart w:id="152" w:name="_Toc345575538"/>
      <w:bookmarkStart w:id="153" w:name="_Toc336683578"/>
    </w:p>
    <w:p>
      <w:pPr>
        <w:pStyle w:val="4"/>
        <w:ind w:firstLine="0" w:firstLineChars="0"/>
        <w:rPr>
          <w:rFonts w:ascii="宋体" w:hAnsi="宋体" w:cs="宋体"/>
          <w:szCs w:val="20"/>
          <w:highlight w:val="none"/>
        </w:rPr>
      </w:pPr>
      <w:r>
        <w:rPr>
          <w:rFonts w:hint="eastAsia" w:ascii="宋体" w:hAnsi="宋体" w:cs="宋体"/>
          <w:szCs w:val="20"/>
          <w:highlight w:val="none"/>
        </w:rPr>
        <w:br w:type="page"/>
      </w:r>
      <w:bookmarkStart w:id="154" w:name="_Toc847"/>
      <w:bookmarkStart w:id="155" w:name="_Toc29256"/>
      <w:bookmarkStart w:id="156" w:name="_Toc10675"/>
      <w:bookmarkStart w:id="157" w:name="_Toc27189"/>
      <w:bookmarkStart w:id="158" w:name="_Toc31359"/>
      <w:bookmarkStart w:id="159" w:name="_Toc19268"/>
      <w:bookmarkStart w:id="160" w:name="_Toc28535"/>
      <w:bookmarkStart w:id="161" w:name="_Toc8336"/>
      <w:bookmarkStart w:id="162" w:name="_Toc31499"/>
      <w:bookmarkStart w:id="163" w:name="_Toc12598"/>
      <w:r>
        <w:rPr>
          <w:rFonts w:hint="eastAsia" w:ascii="宋体" w:hAnsi="宋体" w:cs="宋体"/>
          <w:szCs w:val="20"/>
          <w:highlight w:val="none"/>
        </w:rPr>
        <w:t>附件一、投标函格式</w:t>
      </w:r>
      <w:bookmarkEnd w:id="154"/>
      <w:bookmarkEnd w:id="155"/>
      <w:bookmarkEnd w:id="156"/>
      <w:bookmarkEnd w:id="157"/>
      <w:bookmarkEnd w:id="158"/>
      <w:bookmarkEnd w:id="159"/>
      <w:bookmarkEnd w:id="160"/>
      <w:bookmarkEnd w:id="161"/>
      <w:bookmarkEnd w:id="162"/>
      <w:bookmarkEnd w:id="163"/>
    </w:p>
    <w:p>
      <w:pPr>
        <w:spacing w:line="360" w:lineRule="auto"/>
        <w:jc w:val="center"/>
        <w:rPr>
          <w:rFonts w:ascii="宋体" w:hAnsi="宋体" w:cs="宋体"/>
          <w:b/>
          <w:bCs/>
          <w:sz w:val="32"/>
          <w:szCs w:val="32"/>
          <w:highlight w:val="none"/>
        </w:rPr>
      </w:pPr>
      <w:r>
        <w:rPr>
          <w:rFonts w:hint="eastAsia" w:ascii="宋体" w:hAnsi="宋体" w:cs="宋体"/>
          <w:b/>
          <w:bCs/>
          <w:sz w:val="32"/>
          <w:szCs w:val="32"/>
          <w:highlight w:val="none"/>
        </w:rPr>
        <w:t>投标函</w:t>
      </w:r>
    </w:p>
    <w:p>
      <w:pPr>
        <w:adjustRightInd w:val="0"/>
        <w:snapToGrid w:val="0"/>
        <w:spacing w:line="360" w:lineRule="auto"/>
        <w:rPr>
          <w:rFonts w:ascii="宋体" w:hAnsi="宋体" w:cs="宋体"/>
          <w:szCs w:val="20"/>
          <w:highlight w:val="none"/>
        </w:rPr>
      </w:pPr>
      <w:r>
        <w:rPr>
          <w:rFonts w:hint="eastAsia" w:ascii="宋体" w:hAnsi="宋体" w:cs="宋体"/>
          <w:szCs w:val="20"/>
          <w:highlight w:val="none"/>
          <w:u w:val="single"/>
          <w:lang w:eastAsia="zh-CN"/>
        </w:rPr>
        <w:t>浙江理工大学</w:t>
      </w:r>
      <w:r>
        <w:rPr>
          <w:rFonts w:hint="eastAsia" w:ascii="宋体" w:hAnsi="宋体" w:cs="宋体"/>
          <w:szCs w:val="20"/>
          <w:highlight w:val="none"/>
        </w:rPr>
        <w:t>：</w:t>
      </w:r>
    </w:p>
    <w:p>
      <w:pPr>
        <w:adjustRightInd w:val="0"/>
        <w:snapToGrid w:val="0"/>
        <w:spacing w:line="360" w:lineRule="auto"/>
        <w:rPr>
          <w:rFonts w:ascii="宋体" w:hAnsi="宋体" w:cs="宋体"/>
          <w:szCs w:val="20"/>
          <w:highlight w:val="none"/>
        </w:rPr>
      </w:pPr>
      <w:r>
        <w:rPr>
          <w:rFonts w:hint="eastAsia" w:ascii="宋体" w:hAnsi="宋体" w:cs="宋体"/>
          <w:szCs w:val="20"/>
          <w:highlight w:val="none"/>
          <w:u w:val="single"/>
        </w:rPr>
        <w:t>浙江省成套招标代理有限公司</w:t>
      </w:r>
      <w:r>
        <w:rPr>
          <w:rFonts w:hint="eastAsia" w:ascii="宋体" w:hAnsi="宋体" w:cs="宋体"/>
          <w:szCs w:val="20"/>
          <w:highlight w:val="none"/>
        </w:rPr>
        <w:t>：</w:t>
      </w:r>
    </w:p>
    <w:p>
      <w:pPr>
        <w:adjustRightInd w:val="0"/>
        <w:snapToGrid w:val="0"/>
        <w:spacing w:line="360" w:lineRule="auto"/>
        <w:ind w:firstLine="411" w:firstLineChars="196"/>
        <w:rPr>
          <w:rFonts w:ascii="宋体" w:hAnsi="宋体" w:cs="宋体"/>
          <w:szCs w:val="20"/>
          <w:highlight w:val="none"/>
        </w:rPr>
      </w:pPr>
      <w:r>
        <w:rPr>
          <w:rFonts w:hint="eastAsia" w:ascii="宋体" w:hAnsi="宋体" w:cs="宋体"/>
          <w:szCs w:val="20"/>
          <w:highlight w:val="none"/>
        </w:rPr>
        <w:t>（供应商全称）参加贵方组织的（</w:t>
      </w:r>
      <w:r>
        <w:rPr>
          <w:rFonts w:hint="eastAsia" w:ascii="宋体" w:hAnsi="宋体" w:cs="宋体"/>
          <w:szCs w:val="20"/>
          <w:highlight w:val="none"/>
          <w:lang w:eastAsia="zh-CN"/>
        </w:rPr>
        <w:t>浙江理工大学消防管网改造及安全防护设施、电梯更新项目监理服务</w:t>
      </w:r>
      <w:r>
        <w:rPr>
          <w:rFonts w:hint="eastAsia" w:ascii="宋体" w:hAnsi="宋体" w:cs="宋体"/>
          <w:szCs w:val="20"/>
          <w:highlight w:val="none"/>
        </w:rPr>
        <w:t>）（项目编号：</w:t>
      </w:r>
      <w:r>
        <w:rPr>
          <w:rFonts w:hint="eastAsia" w:ascii="宋体" w:hAnsi="宋体" w:cs="宋体"/>
          <w:szCs w:val="20"/>
          <w:highlight w:val="none"/>
          <w:u w:val="single"/>
          <w:lang w:eastAsia="zh-CN"/>
        </w:rPr>
        <w:t>CTZB-2024040071</w:t>
      </w:r>
      <w:r>
        <w:rPr>
          <w:rFonts w:hint="eastAsia" w:ascii="宋体" w:hAnsi="宋体" w:cs="宋体"/>
          <w:szCs w:val="20"/>
          <w:highlight w:val="none"/>
          <w:u w:val="single"/>
        </w:rPr>
        <w:t xml:space="preserve"> </w:t>
      </w:r>
      <w:r>
        <w:rPr>
          <w:rFonts w:hint="eastAsia" w:ascii="宋体" w:hAnsi="宋体" w:cs="宋体"/>
          <w:szCs w:val="20"/>
          <w:highlight w:val="none"/>
        </w:rPr>
        <w:t>）采购的有关活动，并对此进行投标。为此我方：</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1、承诺在投标人</w:t>
      </w:r>
      <w:r>
        <w:rPr>
          <w:rFonts w:hint="eastAsia" w:ascii="宋体" w:hAnsi="宋体" w:cs="宋体"/>
          <w:kern w:val="44"/>
          <w:szCs w:val="21"/>
          <w:highlight w:val="none"/>
        </w:rPr>
        <w:t>须知</w:t>
      </w:r>
      <w:r>
        <w:rPr>
          <w:rFonts w:hint="eastAsia" w:ascii="宋体" w:hAnsi="宋体" w:cs="宋体"/>
          <w:szCs w:val="21"/>
          <w:highlight w:val="none"/>
        </w:rPr>
        <w:t>规定的投标截止日起遵守本投标文件中的承诺，且在投标有效期满之前均具有约束力。</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2、承诺已经具备《中华人民共和国政府采购法》中规定的参加政府采购活动的投标人应当具备的条件及采购人规定的特定条件。</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3、已详细审核全部采购文件，包括采购文件补充（如果有）、参考资料及有关附件，确认无误。</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4、提供</w:t>
      </w:r>
      <w:r>
        <w:rPr>
          <w:rFonts w:hint="eastAsia" w:ascii="宋体" w:hAnsi="宋体" w:cs="宋体"/>
          <w:kern w:val="44"/>
          <w:szCs w:val="21"/>
          <w:highlight w:val="none"/>
        </w:rPr>
        <w:t>投标人须知</w:t>
      </w:r>
      <w:r>
        <w:rPr>
          <w:rFonts w:hint="eastAsia" w:ascii="宋体" w:hAnsi="宋体" w:cs="宋体"/>
          <w:szCs w:val="21"/>
          <w:highlight w:val="none"/>
        </w:rPr>
        <w:t>规定的全部投标文件，详见投标人须知前附表。</w:t>
      </w:r>
    </w:p>
    <w:p>
      <w:pPr>
        <w:adjustRightInd w:val="0"/>
        <w:snapToGrid w:val="0"/>
        <w:spacing w:line="360" w:lineRule="auto"/>
        <w:ind w:firstLine="420" w:firstLineChars="200"/>
        <w:rPr>
          <w:rFonts w:ascii="宋体" w:hAnsi="宋体" w:cs="宋体"/>
          <w:highlight w:val="none"/>
        </w:rPr>
      </w:pPr>
      <w:r>
        <w:rPr>
          <w:rFonts w:hint="eastAsia" w:ascii="宋体" w:hAnsi="宋体" w:cs="宋体"/>
          <w:szCs w:val="21"/>
          <w:highlight w:val="none"/>
        </w:rPr>
        <w:t>5、投标</w:t>
      </w:r>
      <w:r>
        <w:rPr>
          <w:rFonts w:hint="eastAsia" w:ascii="宋体" w:hAnsi="宋体" w:cs="宋体"/>
          <w:highlight w:val="none"/>
        </w:rPr>
        <w:t>报价详见《开标一览表》。</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6、保证遵守采购文件中的其他有关规定。</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7、完全理解不一定接受最低价中标。</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8、愿意向贵方提供任何与该项目投标有关的数据、情况和技术资料。若贵方需要，愿意提供我方做出的一切承诺的证明材料。</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9、保证忠实地执行双方所签订的合同，并承担合同规定的责任和义务。</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10、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a）提供虚假材料谋取中标、成交的；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b）采取不正当手段诋毁、排挤其他供应商的；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c）与采购人、其它供应商或者采购代理机构恶意串通的；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d）向采购人、采购代理机构行贿或者提供其他不正当利益的；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e）在招标采购过程中与采购人进行协商谈判的；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f）拒绝有关部门监督检查或提供虚假情况的。</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投标人有前款第a）至f）项情形之一的，中标、成交无效。</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11、本投标文件的有效期为</w:t>
      </w:r>
      <w:r>
        <w:rPr>
          <w:rFonts w:hint="eastAsia" w:ascii="宋体" w:hAnsi="宋体" w:cs="宋体"/>
          <w:highlight w:val="none"/>
        </w:rPr>
        <w:t>自投标截止时间起120天。</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12、其他承诺：</w:t>
      </w:r>
    </w:p>
    <w:p>
      <w:pPr>
        <w:adjustRightInd w:val="0"/>
        <w:snapToGrid w:val="0"/>
        <w:spacing w:line="360" w:lineRule="auto"/>
        <w:ind w:firstLine="422" w:firstLineChars="200"/>
        <w:rPr>
          <w:rFonts w:ascii="宋体" w:hAnsi="宋体" w:cs="宋体"/>
          <w:b/>
          <w:szCs w:val="21"/>
          <w:highlight w:val="none"/>
        </w:rPr>
      </w:pPr>
      <w:r>
        <w:rPr>
          <w:rFonts w:hint="eastAsia" w:ascii="宋体" w:hAnsi="宋体" w:cs="宋体"/>
          <w:b/>
          <w:szCs w:val="21"/>
          <w:highlight w:val="none"/>
        </w:rPr>
        <w:t>a）投标有效期内不撤回投标文件；</w:t>
      </w:r>
    </w:p>
    <w:p>
      <w:pPr>
        <w:adjustRightInd w:val="0"/>
        <w:snapToGrid w:val="0"/>
        <w:spacing w:line="360" w:lineRule="auto"/>
        <w:ind w:firstLine="422" w:firstLineChars="200"/>
        <w:rPr>
          <w:rFonts w:ascii="宋体" w:hAnsi="宋体" w:cs="宋体"/>
          <w:szCs w:val="21"/>
          <w:highlight w:val="none"/>
        </w:rPr>
      </w:pPr>
      <w:r>
        <w:rPr>
          <w:rFonts w:hint="eastAsia" w:ascii="宋体" w:hAnsi="宋体" w:cs="宋体"/>
          <w:b/>
          <w:szCs w:val="21"/>
          <w:highlight w:val="none"/>
        </w:rPr>
        <w:t>b）中标或者成交后，按采购文件规定的采购代理服务费标准，承诺在签订合同前向采购代理机构支付采购代理服务费。</w:t>
      </w:r>
    </w:p>
    <w:p>
      <w:pPr>
        <w:adjustRightInd w:val="0"/>
        <w:snapToGrid w:val="0"/>
        <w:spacing w:line="360" w:lineRule="auto"/>
        <w:ind w:firstLine="480"/>
        <w:rPr>
          <w:rFonts w:ascii="宋体" w:hAnsi="宋体" w:cs="宋体"/>
          <w:b/>
          <w:szCs w:val="20"/>
          <w:highlight w:val="none"/>
        </w:rPr>
      </w:pPr>
    </w:p>
    <w:p>
      <w:pPr>
        <w:adjustRightInd w:val="0"/>
        <w:snapToGrid w:val="0"/>
        <w:spacing w:line="360" w:lineRule="auto"/>
        <w:ind w:firstLine="480"/>
        <w:rPr>
          <w:rFonts w:ascii="宋体" w:hAnsi="宋体" w:cs="宋体"/>
          <w:b/>
          <w:szCs w:val="20"/>
          <w:highlight w:val="none"/>
        </w:rPr>
      </w:pPr>
      <w:r>
        <w:rPr>
          <w:rFonts w:hint="eastAsia" w:ascii="宋体" w:hAnsi="宋体" w:cs="宋体"/>
          <w:b/>
          <w:szCs w:val="20"/>
          <w:highlight w:val="none"/>
        </w:rPr>
        <w:t>供应商全称（盖单位公章）：</w:t>
      </w:r>
    </w:p>
    <w:p>
      <w:pPr>
        <w:adjustRightInd w:val="0"/>
        <w:snapToGrid w:val="0"/>
        <w:spacing w:line="360" w:lineRule="auto"/>
        <w:ind w:firstLine="480"/>
        <w:rPr>
          <w:rFonts w:ascii="宋体" w:hAnsi="宋体" w:cs="宋体"/>
          <w:b/>
          <w:szCs w:val="20"/>
          <w:highlight w:val="none"/>
        </w:rPr>
      </w:pPr>
      <w:r>
        <w:rPr>
          <w:rFonts w:hint="eastAsia" w:ascii="宋体" w:hAnsi="宋体" w:cs="宋体"/>
          <w:b/>
          <w:szCs w:val="20"/>
          <w:highlight w:val="none"/>
        </w:rPr>
        <w:t>日期：</w:t>
      </w:r>
    </w:p>
    <w:p>
      <w:pPr>
        <w:adjustRightInd w:val="0"/>
        <w:snapToGrid w:val="0"/>
        <w:spacing w:line="360" w:lineRule="auto"/>
        <w:ind w:firstLine="480"/>
        <w:rPr>
          <w:rFonts w:ascii="宋体" w:hAnsi="宋体" w:cs="宋体"/>
          <w:szCs w:val="20"/>
          <w:highlight w:val="none"/>
        </w:rPr>
      </w:pPr>
      <w:r>
        <w:rPr>
          <w:rFonts w:hint="eastAsia" w:ascii="宋体" w:hAnsi="宋体" w:cs="宋体"/>
          <w:szCs w:val="20"/>
          <w:highlight w:val="none"/>
        </w:rPr>
        <w:t>单位地址：</w:t>
      </w:r>
    </w:p>
    <w:p>
      <w:pPr>
        <w:adjustRightInd w:val="0"/>
        <w:snapToGrid w:val="0"/>
        <w:spacing w:line="360" w:lineRule="auto"/>
        <w:ind w:firstLine="480"/>
        <w:rPr>
          <w:rFonts w:ascii="宋体" w:hAnsi="宋体" w:cs="宋体"/>
          <w:szCs w:val="20"/>
          <w:highlight w:val="none"/>
          <w:u w:val="single"/>
        </w:rPr>
      </w:pPr>
      <w:r>
        <w:rPr>
          <w:rFonts w:hint="eastAsia" w:ascii="宋体" w:hAnsi="宋体" w:cs="宋体"/>
          <w:szCs w:val="20"/>
          <w:highlight w:val="none"/>
        </w:rPr>
        <w:t>邮编：电话：传真：</w:t>
      </w:r>
      <w:bookmarkStart w:id="164" w:name="_Toc6928"/>
      <w:bookmarkStart w:id="165" w:name="_Toc24147"/>
      <w:bookmarkStart w:id="166" w:name="_Toc16568"/>
      <w:bookmarkStart w:id="167" w:name="_Toc18424"/>
      <w:bookmarkStart w:id="168" w:name="_Toc11032"/>
      <w:bookmarkStart w:id="169" w:name="_Toc324232659"/>
      <w:bookmarkStart w:id="170" w:name="_Toc20955"/>
      <w:bookmarkStart w:id="171" w:name="_Toc27400"/>
      <w:bookmarkStart w:id="172" w:name="_Toc6330"/>
      <w:bookmarkStart w:id="173" w:name="_Toc32225"/>
      <w:bookmarkStart w:id="174" w:name="_Toc704"/>
      <w:bookmarkStart w:id="175" w:name="_Toc11028"/>
      <w:bookmarkStart w:id="176" w:name="_Toc345575539"/>
      <w:bookmarkStart w:id="177" w:name="_Toc336683579"/>
    </w:p>
    <w:p>
      <w:pPr>
        <w:pStyle w:val="4"/>
        <w:ind w:firstLine="0" w:firstLineChars="0"/>
        <w:rPr>
          <w:rFonts w:ascii="宋体" w:hAnsi="宋体" w:cs="宋体"/>
          <w:highlight w:val="none"/>
        </w:rPr>
      </w:pPr>
      <w:r>
        <w:rPr>
          <w:rFonts w:hint="eastAsia" w:ascii="宋体" w:hAnsi="宋体" w:cs="宋体"/>
          <w:szCs w:val="20"/>
          <w:highlight w:val="none"/>
          <w:u w:val="single"/>
        </w:rPr>
        <w:br w:type="page"/>
      </w:r>
      <w:bookmarkStart w:id="178" w:name="_Toc8701"/>
      <w:bookmarkStart w:id="179" w:name="_Toc14910"/>
      <w:bookmarkStart w:id="180" w:name="_Toc5283"/>
      <w:bookmarkStart w:id="181" w:name="_Toc20590"/>
      <w:bookmarkStart w:id="182" w:name="_Toc3364"/>
      <w:bookmarkStart w:id="183" w:name="_Toc18984"/>
      <w:r>
        <w:rPr>
          <w:rFonts w:hint="eastAsia" w:ascii="宋体" w:hAnsi="宋体" w:cs="宋体"/>
          <w:highlight w:val="none"/>
        </w:rPr>
        <w:t>附件二-1、</w:t>
      </w:r>
      <w:bookmarkEnd w:id="164"/>
      <w:bookmarkEnd w:id="165"/>
      <w:bookmarkEnd w:id="166"/>
      <w:bookmarkEnd w:id="167"/>
      <w:bookmarkEnd w:id="168"/>
      <w:bookmarkEnd w:id="169"/>
      <w:r>
        <w:rPr>
          <w:rFonts w:hint="eastAsia" w:ascii="宋体" w:hAnsi="宋体" w:cs="宋体"/>
          <w:szCs w:val="20"/>
          <w:highlight w:val="none"/>
        </w:rPr>
        <w:t>开标</w:t>
      </w:r>
      <w:r>
        <w:rPr>
          <w:rFonts w:hint="eastAsia" w:ascii="宋体" w:hAnsi="宋体" w:cs="宋体"/>
          <w:highlight w:val="none"/>
        </w:rPr>
        <w:t>一览表</w:t>
      </w:r>
      <w:bookmarkEnd w:id="170"/>
      <w:bookmarkEnd w:id="171"/>
      <w:bookmarkEnd w:id="172"/>
      <w:bookmarkEnd w:id="173"/>
      <w:bookmarkEnd w:id="174"/>
      <w:bookmarkEnd w:id="175"/>
      <w:bookmarkEnd w:id="178"/>
      <w:bookmarkEnd w:id="179"/>
      <w:bookmarkEnd w:id="180"/>
      <w:bookmarkEnd w:id="181"/>
      <w:bookmarkEnd w:id="182"/>
      <w:bookmarkEnd w:id="183"/>
    </w:p>
    <w:p>
      <w:pPr>
        <w:spacing w:line="360" w:lineRule="auto"/>
        <w:rPr>
          <w:rFonts w:ascii="宋体" w:hAnsi="宋体" w:cs="宋体"/>
          <w:b/>
          <w:bCs/>
          <w:szCs w:val="32"/>
          <w:highlight w:val="none"/>
        </w:rPr>
      </w:pPr>
    </w:p>
    <w:p>
      <w:pPr>
        <w:spacing w:line="360" w:lineRule="auto"/>
        <w:ind w:left="321" w:hanging="321" w:hangingChars="100"/>
        <w:jc w:val="center"/>
        <w:rPr>
          <w:rFonts w:ascii="宋体" w:hAnsi="宋体" w:cs="宋体"/>
          <w:b/>
          <w:bCs/>
          <w:sz w:val="32"/>
          <w:szCs w:val="32"/>
          <w:highlight w:val="none"/>
        </w:rPr>
      </w:pPr>
      <w:r>
        <w:rPr>
          <w:rFonts w:hint="eastAsia" w:ascii="宋体" w:hAnsi="宋体" w:cs="宋体"/>
          <w:b/>
          <w:bCs/>
          <w:sz w:val="32"/>
          <w:szCs w:val="32"/>
          <w:highlight w:val="none"/>
        </w:rPr>
        <w:t>开标一览表</w:t>
      </w:r>
    </w:p>
    <w:p>
      <w:pPr>
        <w:pStyle w:val="6"/>
        <w:adjustRightInd w:val="0"/>
        <w:snapToGrid w:val="0"/>
        <w:spacing w:line="360" w:lineRule="auto"/>
        <w:rPr>
          <w:rFonts w:hint="eastAsia" w:hAnsi="宋体" w:eastAsia="宋体" w:cs="宋体"/>
          <w:highlight w:val="none"/>
          <w:lang w:eastAsia="zh-CN"/>
        </w:rPr>
      </w:pPr>
      <w:r>
        <w:rPr>
          <w:rFonts w:hint="eastAsia" w:hAnsi="宋体" w:cs="宋体"/>
          <w:highlight w:val="none"/>
        </w:rPr>
        <w:t>项目名称：</w:t>
      </w:r>
      <w:r>
        <w:rPr>
          <w:rFonts w:hint="eastAsia" w:hAnsi="宋体" w:cs="宋体"/>
          <w:highlight w:val="none"/>
          <w:lang w:eastAsia="zh-CN"/>
        </w:rPr>
        <w:t>浙江理工大学消防管网改造及安全防护设施、电梯更新项目监理服务</w:t>
      </w:r>
    </w:p>
    <w:p>
      <w:pPr>
        <w:pStyle w:val="6"/>
        <w:adjustRightInd w:val="0"/>
        <w:snapToGrid w:val="0"/>
        <w:spacing w:line="360" w:lineRule="auto"/>
        <w:rPr>
          <w:rFonts w:hAnsi="宋体" w:cs="宋体"/>
          <w:highlight w:val="none"/>
          <w:u w:val="single"/>
        </w:rPr>
      </w:pPr>
      <w:r>
        <w:rPr>
          <w:rFonts w:hint="eastAsia" w:hAnsi="宋体" w:cs="宋体"/>
          <w:highlight w:val="none"/>
        </w:rPr>
        <w:t>项目编号：</w:t>
      </w:r>
      <w:r>
        <w:rPr>
          <w:rFonts w:hint="eastAsia" w:hAnsi="宋体" w:cs="宋体"/>
          <w:highlight w:val="none"/>
          <w:u w:val="single"/>
          <w:lang w:eastAsia="zh-CN"/>
        </w:rPr>
        <w:t>CTZB-2024040071</w:t>
      </w:r>
      <w:r>
        <w:rPr>
          <w:rFonts w:hint="eastAsia" w:hAnsi="宋体" w:cs="宋体"/>
          <w:highlight w:val="none"/>
          <w:u w:val="single"/>
        </w:rPr>
        <w:t xml:space="preserve"> </w:t>
      </w:r>
      <w:r>
        <w:rPr>
          <w:rFonts w:hint="eastAsia" w:hAnsi="宋体" w:cs="宋体"/>
          <w:highlight w:val="none"/>
        </w:rPr>
        <w:t xml:space="preserve">                             （价格单位：元人民币）</w:t>
      </w:r>
    </w:p>
    <w:tbl>
      <w:tblPr>
        <w:tblStyle w:val="5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3111"/>
        <w:gridCol w:w="25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2101"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cs="宋体"/>
                <w:szCs w:val="21"/>
                <w:highlight w:val="none"/>
              </w:rPr>
            </w:pPr>
            <w:r>
              <w:rPr>
                <w:rFonts w:hint="eastAsia" w:ascii="宋体" w:hAnsi="宋体" w:cs="宋体"/>
                <w:szCs w:val="21"/>
                <w:highlight w:val="none"/>
              </w:rPr>
              <w:t>标项名称</w:t>
            </w:r>
          </w:p>
        </w:tc>
        <w:tc>
          <w:tcPr>
            <w:tcW w:w="3111"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cs="宋体"/>
                <w:szCs w:val="21"/>
                <w:highlight w:val="none"/>
              </w:rPr>
            </w:pPr>
            <w:r>
              <w:rPr>
                <w:rFonts w:hint="eastAsia" w:ascii="宋体" w:hAnsi="宋体" w:cs="宋体"/>
                <w:szCs w:val="21"/>
                <w:highlight w:val="none"/>
              </w:rPr>
              <w:t>投标报价（元）</w:t>
            </w:r>
          </w:p>
        </w:tc>
        <w:tc>
          <w:tcPr>
            <w:tcW w:w="2551"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cs="宋体"/>
                <w:szCs w:val="21"/>
                <w:highlight w:val="none"/>
              </w:rPr>
            </w:pPr>
            <w:r>
              <w:rPr>
                <w:rFonts w:hint="eastAsia" w:ascii="宋体" w:hAnsi="宋体" w:cs="宋体"/>
                <w:szCs w:val="21"/>
                <w:highlight w:val="none"/>
              </w:rPr>
              <w:t>服务期</w:t>
            </w:r>
          </w:p>
        </w:tc>
        <w:tc>
          <w:tcPr>
            <w:tcW w:w="992"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4" w:hRule="atLeast"/>
        </w:trPr>
        <w:tc>
          <w:tcPr>
            <w:tcW w:w="2101" w:type="dxa"/>
            <w:vAlign w:val="center"/>
          </w:tcPr>
          <w:p>
            <w:pPr>
              <w:keepNext w:val="0"/>
              <w:keepLines w:val="0"/>
              <w:suppressLineNumbers w:val="0"/>
              <w:spacing w:before="0" w:beforeAutospacing="0" w:after="0" w:afterAutospacing="0" w:line="360" w:lineRule="auto"/>
              <w:ind w:left="0" w:right="0"/>
              <w:jc w:val="center"/>
              <w:outlineLvl w:val="0"/>
              <w:rPr>
                <w:rFonts w:hint="eastAsia" w:ascii="宋体" w:hAnsi="宋体" w:eastAsia="宋体" w:cs="宋体"/>
                <w:szCs w:val="21"/>
                <w:highlight w:val="none"/>
                <w:lang w:eastAsia="zh-CN"/>
              </w:rPr>
            </w:pPr>
            <w:r>
              <w:rPr>
                <w:rFonts w:hint="eastAsia" w:ascii="宋体" w:hAnsi="宋体" w:cs="宋体"/>
                <w:szCs w:val="21"/>
                <w:highlight w:val="none"/>
                <w:lang w:eastAsia="zh-CN"/>
              </w:rPr>
              <w:t>浙江理工大学消防管网改造及安全防护设施、电梯更新项目监理服务</w:t>
            </w:r>
          </w:p>
        </w:tc>
        <w:tc>
          <w:tcPr>
            <w:tcW w:w="3111" w:type="dxa"/>
            <w:vAlign w:val="center"/>
          </w:tcPr>
          <w:p>
            <w:pPr>
              <w:keepNext w:val="0"/>
              <w:keepLines w:val="0"/>
              <w:suppressLineNumbers w:val="0"/>
              <w:tabs>
                <w:tab w:val="left" w:pos="360"/>
                <w:tab w:val="left" w:pos="540"/>
                <w:tab w:val="left" w:pos="840"/>
                <w:tab w:val="left" w:pos="892"/>
              </w:tabs>
              <w:spacing w:before="0" w:beforeAutospacing="0" w:after="0" w:afterAutospacing="0" w:line="360" w:lineRule="auto"/>
              <w:ind w:left="0" w:right="0"/>
              <w:jc w:val="left"/>
              <w:rPr>
                <w:rFonts w:hint="default" w:ascii="宋体" w:hAnsi="宋体" w:cs="宋体"/>
                <w:szCs w:val="21"/>
                <w:highlight w:val="none"/>
              </w:rPr>
            </w:pPr>
            <w:r>
              <w:rPr>
                <w:rFonts w:hint="eastAsia" w:ascii="宋体" w:hAnsi="宋体" w:cs="宋体"/>
                <w:szCs w:val="21"/>
                <w:highlight w:val="none"/>
              </w:rPr>
              <w:t>小写：¥</w:t>
            </w:r>
          </w:p>
          <w:p>
            <w:pPr>
              <w:keepNext w:val="0"/>
              <w:keepLines w:val="0"/>
              <w:suppressLineNumbers w:val="0"/>
              <w:tabs>
                <w:tab w:val="left" w:pos="360"/>
                <w:tab w:val="left" w:pos="540"/>
                <w:tab w:val="left" w:pos="840"/>
                <w:tab w:val="left" w:pos="892"/>
              </w:tabs>
              <w:spacing w:before="0" w:beforeAutospacing="0" w:after="0" w:afterAutospacing="0" w:line="360" w:lineRule="auto"/>
              <w:ind w:left="0" w:right="0"/>
              <w:jc w:val="left"/>
              <w:rPr>
                <w:rFonts w:hint="default" w:ascii="宋体" w:hAnsi="宋体" w:cs="宋体"/>
                <w:szCs w:val="21"/>
                <w:highlight w:val="none"/>
              </w:rPr>
            </w:pPr>
            <w:r>
              <w:rPr>
                <w:rFonts w:hint="eastAsia" w:ascii="宋体" w:hAnsi="宋体" w:cs="宋体"/>
                <w:szCs w:val="21"/>
                <w:highlight w:val="none"/>
              </w:rPr>
              <w:t>大写：人民币</w:t>
            </w:r>
          </w:p>
        </w:tc>
        <w:tc>
          <w:tcPr>
            <w:tcW w:w="2551" w:type="dxa"/>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Cs w:val="21"/>
                <w:highlight w:val="none"/>
                <w:lang w:eastAsia="zh-CN"/>
              </w:rPr>
            </w:pPr>
            <w:r>
              <w:rPr>
                <w:rFonts w:hint="eastAsia" w:ascii="宋体" w:hAnsi="宋体" w:cs="宋体"/>
                <w:szCs w:val="21"/>
                <w:highlight w:val="none"/>
                <w:lang w:eastAsia="zh-CN"/>
              </w:rPr>
              <w:t>监理服务期自监理合同签订生效之日起，包含施工准备期、施工期和缺陷责任期三个阶段至缺陷责任期满结束。</w:t>
            </w:r>
          </w:p>
        </w:tc>
        <w:tc>
          <w:tcPr>
            <w:tcW w:w="992" w:type="dxa"/>
            <w:vAlign w:val="center"/>
          </w:tcPr>
          <w:p>
            <w:pPr>
              <w:keepNext w:val="0"/>
              <w:keepLines w:val="0"/>
              <w:suppressLineNumbers w:val="0"/>
              <w:tabs>
                <w:tab w:val="left" w:pos="360"/>
                <w:tab w:val="left" w:pos="540"/>
                <w:tab w:val="left" w:pos="840"/>
                <w:tab w:val="left" w:pos="892"/>
              </w:tabs>
              <w:spacing w:before="0" w:beforeAutospacing="0" w:after="0" w:afterAutospacing="0" w:line="360" w:lineRule="auto"/>
              <w:ind w:left="0" w:right="0"/>
              <w:jc w:val="center"/>
              <w:rPr>
                <w:rFonts w:hint="default" w:ascii="宋体" w:hAnsi="宋体" w:cs="宋体"/>
                <w:szCs w:val="21"/>
                <w:highlight w:val="none"/>
              </w:rPr>
            </w:pPr>
          </w:p>
        </w:tc>
      </w:tr>
    </w:tbl>
    <w:p>
      <w:pPr>
        <w:adjustRightInd w:val="0"/>
        <w:snapToGrid w:val="0"/>
        <w:spacing w:line="360" w:lineRule="auto"/>
        <w:rPr>
          <w:rFonts w:ascii="宋体" w:hAnsi="宋体" w:cs="宋体"/>
          <w:highlight w:val="none"/>
        </w:rPr>
      </w:pPr>
      <w:r>
        <w:rPr>
          <w:rFonts w:hint="eastAsia" w:ascii="宋体" w:hAnsi="宋体" w:cs="宋体"/>
          <w:highlight w:val="none"/>
        </w:rPr>
        <w:t>注：1、具体价格明细详见《投标价格组成明细表》。</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2、大写金额与小写金额不一致时，以大写金额为准。</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3、</w:t>
      </w:r>
      <w:r>
        <w:rPr>
          <w:rFonts w:hint="eastAsia" w:ascii="宋体" w:hAnsi="宋体" w:cs="宋体"/>
          <w:szCs w:val="21"/>
          <w:highlight w:val="none"/>
        </w:rPr>
        <w:t>投标报价应与“投标价格组成明细表”中的“合计”金额相一致</w:t>
      </w:r>
      <w:r>
        <w:rPr>
          <w:rFonts w:hint="eastAsia" w:ascii="宋体" w:hAnsi="宋体" w:cs="宋体"/>
          <w:highlight w:val="none"/>
        </w:rPr>
        <w:t>。</w:t>
      </w:r>
    </w:p>
    <w:p>
      <w:pPr>
        <w:adjustRightInd w:val="0"/>
        <w:snapToGrid w:val="0"/>
        <w:spacing w:line="360" w:lineRule="auto"/>
        <w:ind w:firstLine="420" w:firstLineChars="200"/>
        <w:rPr>
          <w:rFonts w:ascii="宋体" w:hAnsi="宋体" w:cs="宋体"/>
          <w:bCs/>
          <w:kern w:val="0"/>
          <w:szCs w:val="21"/>
          <w:highlight w:val="none"/>
        </w:rPr>
      </w:pPr>
      <w:r>
        <w:rPr>
          <w:rFonts w:hint="eastAsia" w:ascii="宋体" w:hAnsi="宋体" w:cs="宋体"/>
          <w:bCs/>
          <w:kern w:val="0"/>
          <w:szCs w:val="21"/>
          <w:highlight w:val="none"/>
        </w:rPr>
        <w:t>4、</w:t>
      </w:r>
      <w:r>
        <w:rPr>
          <w:rFonts w:hint="eastAsia" w:ascii="宋体" w:hAnsi="宋体" w:cs="宋体"/>
          <w:bCs/>
          <w:highlight w:val="none"/>
        </w:rPr>
        <w:t>投标报价</w:t>
      </w:r>
      <w:r>
        <w:rPr>
          <w:rFonts w:hint="eastAsia" w:ascii="宋体" w:hAnsi="宋体" w:cs="宋体"/>
          <w:bCs/>
          <w:kern w:val="0"/>
          <w:szCs w:val="21"/>
          <w:highlight w:val="none"/>
        </w:rPr>
        <w:t>包含人工、服务、材料费、管理费、利润、规费、保险、税金及完成本项目所涉及的所有费用</w:t>
      </w:r>
      <w:r>
        <w:rPr>
          <w:rFonts w:hint="eastAsia" w:ascii="宋体" w:hAnsi="宋体" w:cs="宋体"/>
          <w:highlight w:val="none"/>
        </w:rPr>
        <w:t>及采购代理服务费（包含在投标总价总，不单列）</w:t>
      </w:r>
      <w:r>
        <w:rPr>
          <w:rFonts w:hint="eastAsia" w:ascii="宋体" w:hAnsi="宋体" w:cs="宋体"/>
          <w:bCs/>
          <w:kern w:val="0"/>
          <w:szCs w:val="21"/>
          <w:highlight w:val="none"/>
        </w:rPr>
        <w:t>。</w:t>
      </w:r>
    </w:p>
    <w:p>
      <w:pPr>
        <w:adjustRightInd w:val="0"/>
        <w:snapToGrid w:val="0"/>
        <w:spacing w:line="360" w:lineRule="auto"/>
        <w:rPr>
          <w:rFonts w:ascii="宋体" w:hAnsi="宋体" w:cs="宋体"/>
          <w:highlight w:val="none"/>
        </w:rPr>
      </w:pPr>
    </w:p>
    <w:p>
      <w:pPr>
        <w:adjustRightInd w:val="0"/>
        <w:snapToGrid w:val="0"/>
        <w:spacing w:line="360" w:lineRule="auto"/>
        <w:ind w:firstLine="422" w:firstLineChars="200"/>
        <w:rPr>
          <w:rFonts w:ascii="宋体" w:hAnsi="宋体" w:cs="宋体"/>
          <w:b/>
          <w:highlight w:val="none"/>
        </w:rPr>
      </w:pPr>
      <w:r>
        <w:rPr>
          <w:rFonts w:hint="eastAsia" w:ascii="宋体" w:hAnsi="宋体" w:cs="宋体"/>
          <w:b/>
          <w:highlight w:val="none"/>
        </w:rPr>
        <w:t>供应商全称（盖单位公章）：</w:t>
      </w:r>
    </w:p>
    <w:p>
      <w:pPr>
        <w:adjustRightInd w:val="0"/>
        <w:snapToGrid w:val="0"/>
        <w:spacing w:line="360" w:lineRule="auto"/>
        <w:ind w:firstLine="422" w:firstLineChars="200"/>
        <w:rPr>
          <w:rFonts w:ascii="宋体" w:hAnsi="宋体" w:cs="宋体"/>
          <w:b/>
          <w:highlight w:val="none"/>
        </w:rPr>
      </w:pPr>
      <w:r>
        <w:rPr>
          <w:rFonts w:hint="eastAsia" w:ascii="宋体" w:hAnsi="宋体" w:cs="宋体"/>
          <w:b/>
          <w:highlight w:val="none"/>
        </w:rPr>
        <w:t>日期：</w:t>
      </w:r>
    </w:p>
    <w:p>
      <w:pPr>
        <w:pStyle w:val="4"/>
        <w:ind w:firstLine="0" w:firstLineChars="0"/>
        <w:rPr>
          <w:rFonts w:ascii="宋体" w:hAnsi="宋体" w:cs="宋体"/>
          <w:sz w:val="30"/>
          <w:szCs w:val="30"/>
          <w:highlight w:val="none"/>
        </w:rPr>
      </w:pPr>
      <w:r>
        <w:rPr>
          <w:rFonts w:hint="eastAsia" w:ascii="宋体" w:hAnsi="宋体" w:cs="宋体"/>
          <w:szCs w:val="20"/>
          <w:highlight w:val="none"/>
        </w:rPr>
        <w:br w:type="page"/>
      </w:r>
      <w:bookmarkStart w:id="184" w:name="_Toc8347"/>
      <w:bookmarkStart w:id="185" w:name="_Toc25777"/>
      <w:bookmarkStart w:id="186" w:name="_Toc18512"/>
      <w:bookmarkStart w:id="187" w:name="_Toc1133"/>
      <w:bookmarkStart w:id="188" w:name="_Toc2639"/>
      <w:bookmarkStart w:id="189" w:name="_Toc12664"/>
      <w:bookmarkStart w:id="190" w:name="_Toc5141"/>
      <w:bookmarkStart w:id="191" w:name="_Toc4414"/>
      <w:bookmarkStart w:id="192" w:name="_Toc21123"/>
      <w:bookmarkStart w:id="193" w:name="_Toc1764"/>
      <w:r>
        <w:rPr>
          <w:rFonts w:hint="eastAsia" w:ascii="宋体" w:hAnsi="宋体" w:cs="宋体"/>
          <w:szCs w:val="20"/>
          <w:highlight w:val="none"/>
        </w:rPr>
        <w:t>附件二-2、</w:t>
      </w:r>
      <w:bookmarkEnd w:id="184"/>
      <w:bookmarkEnd w:id="185"/>
      <w:bookmarkEnd w:id="186"/>
      <w:r>
        <w:rPr>
          <w:rFonts w:hint="eastAsia" w:ascii="宋体" w:hAnsi="宋体" w:cs="宋体"/>
          <w:highlight w:val="none"/>
        </w:rPr>
        <w:t>投标价格组成明细表</w:t>
      </w:r>
      <w:bookmarkEnd w:id="187"/>
      <w:bookmarkEnd w:id="188"/>
      <w:bookmarkEnd w:id="189"/>
      <w:bookmarkEnd w:id="190"/>
      <w:bookmarkEnd w:id="191"/>
      <w:bookmarkEnd w:id="192"/>
      <w:bookmarkEnd w:id="193"/>
    </w:p>
    <w:p>
      <w:pPr>
        <w:snapToGrid w:val="0"/>
        <w:spacing w:line="360" w:lineRule="auto"/>
        <w:jc w:val="center"/>
        <w:rPr>
          <w:rFonts w:hint="eastAsia" w:ascii="宋体" w:hAnsi="宋体" w:cs="宋体"/>
          <w:b/>
          <w:sz w:val="32"/>
          <w:szCs w:val="32"/>
          <w:highlight w:val="none"/>
        </w:rPr>
      </w:pPr>
      <w:r>
        <w:rPr>
          <w:rFonts w:hint="eastAsia" w:ascii="宋体" w:hAnsi="宋体" w:cs="宋体"/>
          <w:b/>
          <w:sz w:val="32"/>
          <w:szCs w:val="32"/>
          <w:highlight w:val="none"/>
        </w:rPr>
        <w:t>投标价格组成明细表</w:t>
      </w:r>
    </w:p>
    <w:p>
      <w:pPr>
        <w:snapToGrid w:val="0"/>
        <w:spacing w:line="360" w:lineRule="auto"/>
        <w:jc w:val="center"/>
        <w:rPr>
          <w:rFonts w:hint="eastAsia" w:ascii="宋体" w:hAnsi="宋体" w:eastAsia="宋体" w:cs="宋体"/>
          <w:szCs w:val="21"/>
          <w:highlight w:val="none"/>
          <w:lang w:eastAsia="zh-CN"/>
        </w:rPr>
      </w:pPr>
      <w:r>
        <w:rPr>
          <w:rFonts w:hint="eastAsia" w:ascii="宋体" w:hAnsi="宋体" w:cs="宋体"/>
          <w:b/>
          <w:sz w:val="32"/>
          <w:szCs w:val="32"/>
          <w:highlight w:val="none"/>
          <w:lang w:eastAsia="zh-CN"/>
        </w:rPr>
        <w:t>（</w:t>
      </w:r>
      <w:r>
        <w:rPr>
          <w:rFonts w:hint="eastAsia" w:ascii="宋体" w:hAnsi="宋体" w:cs="宋体"/>
          <w:b/>
          <w:sz w:val="32"/>
          <w:szCs w:val="32"/>
          <w:highlight w:val="none"/>
          <w:lang w:val="en-US" w:eastAsia="zh-CN"/>
        </w:rPr>
        <w:t>格式供参考，供应商可根据实际情况修改</w:t>
      </w:r>
      <w:r>
        <w:rPr>
          <w:rFonts w:hint="eastAsia" w:ascii="宋体" w:hAnsi="宋体" w:cs="宋体"/>
          <w:b/>
          <w:sz w:val="32"/>
          <w:szCs w:val="32"/>
          <w:highlight w:val="none"/>
          <w:lang w:eastAsia="zh-CN"/>
        </w:rPr>
        <w:t>）</w:t>
      </w:r>
    </w:p>
    <w:p>
      <w:pPr>
        <w:pStyle w:val="6"/>
        <w:adjustRightInd w:val="0"/>
        <w:snapToGrid w:val="0"/>
        <w:spacing w:line="360" w:lineRule="auto"/>
        <w:rPr>
          <w:rFonts w:hint="eastAsia" w:hAnsi="宋体" w:eastAsia="宋体" w:cs="宋体"/>
          <w:highlight w:val="none"/>
          <w:lang w:eastAsia="zh-CN"/>
        </w:rPr>
      </w:pPr>
      <w:r>
        <w:rPr>
          <w:rFonts w:hint="eastAsia" w:hAnsi="宋体" w:cs="宋体"/>
          <w:highlight w:val="none"/>
        </w:rPr>
        <w:t>标项名称：</w:t>
      </w:r>
      <w:r>
        <w:rPr>
          <w:rFonts w:hint="eastAsia" w:hAnsi="宋体" w:cs="宋体"/>
          <w:highlight w:val="none"/>
          <w:lang w:eastAsia="zh-CN"/>
        </w:rPr>
        <w:t>浙江理工大学消防管网改造及安全防护设施、电梯更新项目监理服务</w:t>
      </w:r>
    </w:p>
    <w:p>
      <w:pPr>
        <w:pStyle w:val="6"/>
        <w:adjustRightInd w:val="0"/>
        <w:snapToGrid w:val="0"/>
        <w:spacing w:line="360" w:lineRule="auto"/>
        <w:jc w:val="left"/>
        <w:rPr>
          <w:rFonts w:hAnsi="宋体" w:cs="宋体"/>
          <w:highlight w:val="none"/>
        </w:rPr>
      </w:pPr>
      <w:r>
        <w:rPr>
          <w:rFonts w:hint="eastAsia" w:hAnsi="宋体" w:cs="宋体"/>
          <w:highlight w:val="none"/>
        </w:rPr>
        <w:t>项目编号：</w:t>
      </w:r>
      <w:r>
        <w:rPr>
          <w:rFonts w:hint="eastAsia" w:hAnsi="宋体" w:cs="宋体"/>
          <w:highlight w:val="none"/>
          <w:u w:val="single"/>
          <w:lang w:eastAsia="zh-CN"/>
        </w:rPr>
        <w:t>CTZB-2024040071</w:t>
      </w:r>
      <w:r>
        <w:rPr>
          <w:rFonts w:hint="eastAsia" w:hAnsi="宋体" w:cs="宋体"/>
          <w:highlight w:val="none"/>
          <w:u w:val="single"/>
        </w:rPr>
        <w:t xml:space="preserve"> </w:t>
      </w:r>
      <w:r>
        <w:rPr>
          <w:rFonts w:hint="eastAsia" w:hAnsi="宋体" w:cs="宋体"/>
          <w:highlight w:val="none"/>
        </w:rPr>
        <w:t xml:space="preserve">                               （价格单位：元人民币）</w:t>
      </w:r>
    </w:p>
    <w:tbl>
      <w:tblPr>
        <w:tblStyle w:val="56"/>
        <w:tblW w:w="9039" w:type="dxa"/>
        <w:jc w:val="center"/>
        <w:tblLayout w:type="fixed"/>
        <w:tblCellMar>
          <w:top w:w="0" w:type="dxa"/>
          <w:left w:w="108" w:type="dxa"/>
          <w:bottom w:w="0" w:type="dxa"/>
          <w:right w:w="108" w:type="dxa"/>
        </w:tblCellMar>
      </w:tblPr>
      <w:tblGrid>
        <w:gridCol w:w="754"/>
        <w:gridCol w:w="2308"/>
        <w:gridCol w:w="1320"/>
        <w:gridCol w:w="1171"/>
        <w:gridCol w:w="1174"/>
        <w:gridCol w:w="1111"/>
        <w:gridCol w:w="1201"/>
      </w:tblGrid>
      <w:tr>
        <w:tblPrEx>
          <w:tblCellMar>
            <w:top w:w="0" w:type="dxa"/>
            <w:left w:w="108" w:type="dxa"/>
            <w:bottom w:w="0" w:type="dxa"/>
            <w:right w:w="108" w:type="dxa"/>
          </w:tblCellMar>
        </w:tblPrEx>
        <w:trPr>
          <w:trHeight w:val="69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r>
              <w:rPr>
                <w:rFonts w:hint="eastAsia" w:ascii="宋体" w:hAnsi="宋体" w:cs="宋体"/>
                <w:kern w:val="0"/>
                <w:szCs w:val="21"/>
                <w:highlight w:val="none"/>
              </w:rPr>
              <w:t>序号</w:t>
            </w:r>
          </w:p>
        </w:tc>
        <w:tc>
          <w:tcPr>
            <w:tcW w:w="230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r>
              <w:rPr>
                <w:rFonts w:hint="eastAsia" w:ascii="宋体" w:hAnsi="宋体" w:cs="宋体"/>
                <w:szCs w:val="21"/>
                <w:highlight w:val="none"/>
                <w:lang w:val="en-US" w:eastAsia="zh-CN"/>
              </w:rPr>
              <w:t>名称</w:t>
            </w: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r>
              <w:rPr>
                <w:rFonts w:hint="eastAsia" w:ascii="宋体" w:hAnsi="宋体" w:cs="宋体"/>
                <w:kern w:val="0"/>
                <w:szCs w:val="21"/>
                <w:highlight w:val="none"/>
              </w:rPr>
              <w:t>数量</w:t>
            </w:r>
          </w:p>
        </w:tc>
        <w:tc>
          <w:tcPr>
            <w:tcW w:w="117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r>
              <w:rPr>
                <w:rFonts w:hint="eastAsia" w:ascii="宋体" w:hAnsi="宋体" w:cs="宋体"/>
                <w:kern w:val="0"/>
                <w:szCs w:val="21"/>
                <w:highlight w:val="none"/>
              </w:rPr>
              <w:t>单位</w:t>
            </w:r>
          </w:p>
        </w:tc>
        <w:tc>
          <w:tcPr>
            <w:tcW w:w="117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r>
              <w:rPr>
                <w:rFonts w:hint="eastAsia" w:ascii="宋体" w:hAnsi="宋体" w:cs="宋体"/>
                <w:szCs w:val="21"/>
                <w:highlight w:val="none"/>
              </w:rPr>
              <w:t>单价</w:t>
            </w:r>
          </w:p>
        </w:tc>
        <w:tc>
          <w:tcPr>
            <w:tcW w:w="111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r>
              <w:rPr>
                <w:rFonts w:hint="eastAsia" w:ascii="宋体" w:hAnsi="宋体" w:cs="宋体"/>
                <w:szCs w:val="21"/>
                <w:highlight w:val="none"/>
              </w:rPr>
              <w:t>小计（元）</w:t>
            </w:r>
          </w:p>
        </w:tc>
        <w:tc>
          <w:tcPr>
            <w:tcW w:w="120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备注</w:t>
            </w:r>
          </w:p>
        </w:tc>
      </w:tr>
      <w:tr>
        <w:tblPrEx>
          <w:tblCellMar>
            <w:top w:w="0" w:type="dxa"/>
            <w:left w:w="108" w:type="dxa"/>
            <w:bottom w:w="0" w:type="dxa"/>
            <w:right w:w="108" w:type="dxa"/>
          </w:tblCellMar>
        </w:tblPrEx>
        <w:trPr>
          <w:trHeight w:val="69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kern w:val="0"/>
                <w:szCs w:val="21"/>
                <w:highlight w:val="none"/>
              </w:rPr>
            </w:pPr>
          </w:p>
        </w:tc>
        <w:tc>
          <w:tcPr>
            <w:tcW w:w="230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kern w:val="0"/>
                <w:szCs w:val="21"/>
                <w:highlight w:val="none"/>
              </w:rPr>
            </w:pPr>
          </w:p>
        </w:tc>
        <w:tc>
          <w:tcPr>
            <w:tcW w:w="117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kern w:val="0"/>
                <w:szCs w:val="21"/>
                <w:highlight w:val="none"/>
              </w:rPr>
            </w:pPr>
          </w:p>
        </w:tc>
        <w:tc>
          <w:tcPr>
            <w:tcW w:w="117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11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20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r>
      <w:tr>
        <w:tblPrEx>
          <w:tblCellMar>
            <w:top w:w="0" w:type="dxa"/>
            <w:left w:w="108" w:type="dxa"/>
            <w:bottom w:w="0" w:type="dxa"/>
            <w:right w:w="108" w:type="dxa"/>
          </w:tblCellMar>
        </w:tblPrEx>
        <w:trPr>
          <w:trHeight w:val="69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cs="宋体"/>
                <w:kern w:val="0"/>
                <w:szCs w:val="21"/>
                <w:highlight w:val="none"/>
              </w:rPr>
            </w:pPr>
          </w:p>
        </w:tc>
        <w:tc>
          <w:tcPr>
            <w:tcW w:w="230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cs="宋体"/>
                <w:szCs w:val="21"/>
                <w:highlight w:val="none"/>
              </w:rPr>
            </w:pP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cs="宋体"/>
                <w:kern w:val="0"/>
                <w:szCs w:val="21"/>
                <w:highlight w:val="none"/>
              </w:rPr>
            </w:pPr>
          </w:p>
        </w:tc>
        <w:tc>
          <w:tcPr>
            <w:tcW w:w="117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cs="宋体"/>
                <w:kern w:val="0"/>
                <w:szCs w:val="21"/>
                <w:highlight w:val="none"/>
              </w:rPr>
            </w:pPr>
          </w:p>
        </w:tc>
        <w:tc>
          <w:tcPr>
            <w:tcW w:w="117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11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20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r>
      <w:tr>
        <w:tblPrEx>
          <w:tblCellMar>
            <w:top w:w="0" w:type="dxa"/>
            <w:left w:w="108" w:type="dxa"/>
            <w:bottom w:w="0" w:type="dxa"/>
            <w:right w:w="108" w:type="dxa"/>
          </w:tblCellMar>
        </w:tblPrEx>
        <w:trPr>
          <w:trHeight w:val="69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cs="宋体"/>
                <w:kern w:val="0"/>
                <w:szCs w:val="21"/>
                <w:highlight w:val="none"/>
              </w:rPr>
            </w:pPr>
          </w:p>
        </w:tc>
        <w:tc>
          <w:tcPr>
            <w:tcW w:w="230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cs="宋体"/>
                <w:szCs w:val="21"/>
                <w:highlight w:val="none"/>
              </w:rPr>
            </w:pP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cs="宋体"/>
                <w:kern w:val="0"/>
                <w:szCs w:val="21"/>
                <w:highlight w:val="none"/>
              </w:rPr>
            </w:pPr>
          </w:p>
        </w:tc>
        <w:tc>
          <w:tcPr>
            <w:tcW w:w="117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cs="宋体"/>
                <w:kern w:val="0"/>
                <w:szCs w:val="21"/>
                <w:highlight w:val="none"/>
              </w:rPr>
            </w:pPr>
          </w:p>
        </w:tc>
        <w:tc>
          <w:tcPr>
            <w:tcW w:w="117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11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20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r>
      <w:tr>
        <w:tblPrEx>
          <w:tblCellMar>
            <w:top w:w="0" w:type="dxa"/>
            <w:left w:w="108" w:type="dxa"/>
            <w:bottom w:w="0" w:type="dxa"/>
            <w:right w:w="108" w:type="dxa"/>
          </w:tblCellMar>
        </w:tblPrEx>
        <w:trPr>
          <w:trHeight w:val="694"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cs="宋体"/>
                <w:kern w:val="0"/>
                <w:szCs w:val="21"/>
                <w:highlight w:val="none"/>
              </w:rPr>
            </w:pPr>
          </w:p>
        </w:tc>
        <w:tc>
          <w:tcPr>
            <w:tcW w:w="230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cs="宋体"/>
                <w:szCs w:val="21"/>
                <w:highlight w:val="none"/>
              </w:rPr>
            </w:pPr>
          </w:p>
        </w:tc>
        <w:tc>
          <w:tcPr>
            <w:tcW w:w="132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cs="宋体"/>
                <w:kern w:val="0"/>
                <w:szCs w:val="21"/>
                <w:highlight w:val="none"/>
              </w:rPr>
            </w:pPr>
          </w:p>
        </w:tc>
        <w:tc>
          <w:tcPr>
            <w:tcW w:w="117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cs="宋体"/>
                <w:kern w:val="0"/>
                <w:szCs w:val="21"/>
                <w:highlight w:val="none"/>
              </w:rPr>
            </w:pPr>
          </w:p>
        </w:tc>
        <w:tc>
          <w:tcPr>
            <w:tcW w:w="117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11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20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r>
      <w:tr>
        <w:tblPrEx>
          <w:tblCellMar>
            <w:top w:w="0" w:type="dxa"/>
            <w:left w:w="108" w:type="dxa"/>
            <w:bottom w:w="0" w:type="dxa"/>
            <w:right w:w="108" w:type="dxa"/>
          </w:tblCellMar>
        </w:tblPrEx>
        <w:trPr>
          <w:trHeight w:val="882" w:hRule="atLeast"/>
          <w:jc w:val="center"/>
        </w:trPr>
        <w:tc>
          <w:tcPr>
            <w:tcW w:w="754"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Cs w:val="21"/>
                <w:highlight w:val="none"/>
              </w:rPr>
            </w:pPr>
            <w:r>
              <w:rPr>
                <w:rFonts w:hint="eastAsia" w:ascii="宋体" w:hAnsi="宋体" w:cs="宋体"/>
                <w:b/>
                <w:bCs/>
                <w:szCs w:val="21"/>
                <w:highlight w:val="none"/>
              </w:rPr>
              <w:t>合计</w:t>
            </w:r>
          </w:p>
        </w:tc>
        <w:tc>
          <w:tcPr>
            <w:tcW w:w="8285"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Cs w:val="21"/>
                <w:highlight w:val="none"/>
              </w:rPr>
            </w:pPr>
            <w:r>
              <w:rPr>
                <w:rFonts w:hint="eastAsia" w:ascii="宋体" w:hAnsi="宋体" w:cs="宋体"/>
                <w:b/>
                <w:bCs/>
                <w:szCs w:val="21"/>
                <w:highlight w:val="none"/>
              </w:rPr>
              <w:t>报价合计为          元 。</w:t>
            </w:r>
          </w:p>
        </w:tc>
      </w:tr>
    </w:tbl>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注：1、本表格式可根据实际情况填写。</w:t>
      </w:r>
    </w:p>
    <w:p>
      <w:pPr>
        <w:adjustRightInd w:val="0"/>
        <w:snapToGrid w:val="0"/>
        <w:spacing w:line="360" w:lineRule="auto"/>
        <w:ind w:firstLine="420" w:firstLineChars="200"/>
        <w:rPr>
          <w:rFonts w:ascii="宋体" w:hAnsi="宋体" w:cs="宋体"/>
          <w:bCs/>
          <w:kern w:val="0"/>
          <w:szCs w:val="21"/>
          <w:highlight w:val="none"/>
        </w:rPr>
      </w:pPr>
      <w:r>
        <w:rPr>
          <w:rFonts w:hint="eastAsia" w:ascii="宋体" w:hAnsi="宋体" w:cs="宋体"/>
          <w:szCs w:val="21"/>
          <w:highlight w:val="none"/>
        </w:rPr>
        <w:t>1、</w:t>
      </w:r>
      <w:r>
        <w:rPr>
          <w:rFonts w:hint="eastAsia" w:ascii="宋体" w:hAnsi="宋体" w:cs="宋体"/>
          <w:bCs/>
          <w:highlight w:val="none"/>
        </w:rPr>
        <w:t>投标报价</w:t>
      </w:r>
      <w:r>
        <w:rPr>
          <w:rFonts w:hint="eastAsia" w:ascii="宋体" w:hAnsi="宋体" w:cs="宋体"/>
          <w:bCs/>
          <w:kern w:val="0"/>
          <w:szCs w:val="21"/>
          <w:highlight w:val="none"/>
        </w:rPr>
        <w:t>包含人工、服务、材料费、管理费、利润、规费、保险、税金及完成本项目所涉及的所有费用</w:t>
      </w:r>
      <w:r>
        <w:rPr>
          <w:rFonts w:hint="eastAsia" w:ascii="宋体" w:hAnsi="宋体" w:cs="宋体"/>
          <w:highlight w:val="none"/>
        </w:rPr>
        <w:t>及采购代理服务费（包含在投标总价总，不单列）</w:t>
      </w:r>
      <w:r>
        <w:rPr>
          <w:rFonts w:hint="eastAsia" w:ascii="宋体" w:hAnsi="宋体" w:cs="宋体"/>
          <w:bCs/>
          <w:kern w:val="0"/>
          <w:szCs w:val="21"/>
          <w:highlight w:val="none"/>
        </w:rPr>
        <w:t>。</w:t>
      </w:r>
    </w:p>
    <w:p>
      <w:pPr>
        <w:numPr>
          <w:ilvl w:val="0"/>
          <w:numId w:val="4"/>
        </w:numPr>
        <w:adjustRightInd w:val="0"/>
        <w:snapToGrid w:val="0"/>
        <w:spacing w:line="360" w:lineRule="auto"/>
        <w:ind w:firstLine="420" w:firstLineChars="200"/>
        <w:rPr>
          <w:rFonts w:ascii="宋体" w:hAnsi="宋体" w:cs="宋体"/>
          <w:bCs/>
          <w:kern w:val="0"/>
          <w:szCs w:val="21"/>
          <w:highlight w:val="none"/>
        </w:rPr>
      </w:pPr>
      <w:r>
        <w:rPr>
          <w:rFonts w:hint="eastAsia" w:ascii="宋体" w:hAnsi="宋体" w:cs="宋体"/>
          <w:bCs/>
          <w:kern w:val="0"/>
          <w:szCs w:val="21"/>
          <w:highlight w:val="none"/>
        </w:rPr>
        <w:t>此表“合计”金额应与《开标一览表》中“投标报价”相一致。</w:t>
      </w:r>
    </w:p>
    <w:p>
      <w:pPr>
        <w:adjustRightInd w:val="0"/>
        <w:snapToGrid w:val="0"/>
        <w:spacing w:line="360" w:lineRule="auto"/>
        <w:ind w:firstLine="422" w:firstLineChars="200"/>
        <w:rPr>
          <w:rFonts w:hint="eastAsia" w:ascii="宋体" w:hAnsi="宋体" w:eastAsia="宋体" w:cs="宋体"/>
          <w:b/>
          <w:bCs/>
          <w:szCs w:val="20"/>
          <w:highlight w:val="none"/>
          <w:lang w:val="en-US" w:eastAsia="zh-CN"/>
        </w:rPr>
      </w:pPr>
      <w:r>
        <w:rPr>
          <w:rFonts w:hint="eastAsia" w:ascii="宋体" w:hAnsi="宋体" w:cs="宋体"/>
          <w:b/>
          <w:bCs/>
          <w:szCs w:val="20"/>
          <w:highlight w:val="none"/>
          <w:lang w:val="en-US" w:eastAsia="zh-CN"/>
        </w:rPr>
        <w:t>3、供应商报价低于项目预算50%的，应当在报价文件中详细阐述不影响产品质量或者诚信履约的具体原因，否则投标无效。</w:t>
      </w:r>
    </w:p>
    <w:p>
      <w:pPr>
        <w:adjustRightInd w:val="0"/>
        <w:snapToGrid w:val="0"/>
        <w:spacing w:line="360" w:lineRule="auto"/>
        <w:rPr>
          <w:rFonts w:ascii="宋体" w:hAnsi="宋体" w:cs="宋体"/>
          <w:b/>
          <w:highlight w:val="none"/>
        </w:rPr>
      </w:pPr>
    </w:p>
    <w:p>
      <w:pPr>
        <w:adjustRightInd w:val="0"/>
        <w:snapToGrid w:val="0"/>
        <w:spacing w:line="360" w:lineRule="auto"/>
        <w:rPr>
          <w:rFonts w:ascii="宋体" w:hAnsi="宋体" w:cs="宋体"/>
          <w:b/>
          <w:highlight w:val="none"/>
        </w:rPr>
      </w:pPr>
      <w:r>
        <w:rPr>
          <w:rFonts w:hint="eastAsia" w:ascii="宋体" w:hAnsi="宋体" w:cs="宋体"/>
          <w:b/>
          <w:highlight w:val="none"/>
        </w:rPr>
        <w:t>供应商全称（盖单位公章）：</w:t>
      </w:r>
    </w:p>
    <w:p>
      <w:pPr>
        <w:adjustRightInd w:val="0"/>
        <w:snapToGrid w:val="0"/>
        <w:spacing w:line="360" w:lineRule="auto"/>
        <w:rPr>
          <w:rFonts w:ascii="宋体" w:hAnsi="宋体" w:cs="宋体"/>
          <w:b/>
          <w:highlight w:val="none"/>
        </w:rPr>
      </w:pPr>
      <w:r>
        <w:rPr>
          <w:rFonts w:hint="eastAsia" w:ascii="宋体" w:hAnsi="宋体" w:cs="宋体"/>
          <w:b/>
          <w:highlight w:val="none"/>
        </w:rPr>
        <w:t>日期：</w:t>
      </w:r>
    </w:p>
    <w:p>
      <w:pPr>
        <w:rPr>
          <w:rFonts w:ascii="宋体" w:hAnsi="宋体" w:cs="宋体"/>
          <w:highlight w:val="none"/>
        </w:rPr>
      </w:pPr>
      <w:r>
        <w:rPr>
          <w:rFonts w:hint="eastAsia" w:ascii="宋体" w:hAnsi="宋体" w:cs="宋体"/>
          <w:highlight w:val="none"/>
        </w:rPr>
        <w:br w:type="page"/>
      </w:r>
    </w:p>
    <w:p>
      <w:pPr>
        <w:pStyle w:val="4"/>
        <w:ind w:firstLine="0" w:firstLineChars="0"/>
        <w:rPr>
          <w:rFonts w:ascii="宋体" w:hAnsi="宋体" w:cs="宋体"/>
          <w:highlight w:val="none"/>
        </w:rPr>
      </w:pPr>
      <w:bookmarkStart w:id="194" w:name="_Toc3552"/>
      <w:bookmarkStart w:id="195" w:name="_Toc28113"/>
      <w:bookmarkStart w:id="196" w:name="_Toc22063"/>
      <w:bookmarkStart w:id="197" w:name="_Toc14797"/>
      <w:bookmarkStart w:id="198" w:name="_Toc8626"/>
      <w:bookmarkStart w:id="199" w:name="_Toc11170"/>
      <w:r>
        <w:rPr>
          <w:rFonts w:hint="eastAsia" w:ascii="宋体" w:hAnsi="宋体" w:cs="宋体"/>
          <w:highlight w:val="none"/>
        </w:rPr>
        <w:t>附件二-3、缴纳采购代理服务费承诺书</w:t>
      </w:r>
      <w:bookmarkEnd w:id="194"/>
      <w:bookmarkEnd w:id="195"/>
      <w:bookmarkEnd w:id="196"/>
      <w:bookmarkEnd w:id="197"/>
      <w:bookmarkEnd w:id="198"/>
      <w:bookmarkEnd w:id="199"/>
    </w:p>
    <w:p>
      <w:pPr>
        <w:adjustRightInd w:val="0"/>
        <w:snapToGrid w:val="0"/>
        <w:spacing w:line="300" w:lineRule="auto"/>
        <w:ind w:firstLine="422"/>
        <w:jc w:val="center"/>
        <w:rPr>
          <w:rFonts w:ascii="宋体" w:hAnsi="宋体" w:cs="宋体"/>
          <w:b/>
          <w:bCs/>
          <w:sz w:val="24"/>
          <w:highlight w:val="none"/>
        </w:rPr>
      </w:pPr>
    </w:p>
    <w:p>
      <w:pPr>
        <w:widowControl/>
        <w:spacing w:line="360" w:lineRule="auto"/>
        <w:jc w:val="center"/>
        <w:rPr>
          <w:rFonts w:ascii="宋体" w:hAnsi="宋体" w:cs="宋体"/>
          <w:b/>
          <w:bCs/>
          <w:sz w:val="32"/>
          <w:highlight w:val="none"/>
        </w:rPr>
      </w:pPr>
      <w:r>
        <w:rPr>
          <w:rFonts w:hint="eastAsia" w:ascii="宋体" w:hAnsi="宋体" w:cs="宋体"/>
          <w:b/>
          <w:bCs/>
          <w:sz w:val="32"/>
          <w:highlight w:val="none"/>
        </w:rPr>
        <w:t>缴纳采购代理服务费承诺书</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浙江省成套招标代理有限公司：</w:t>
      </w:r>
    </w:p>
    <w:p>
      <w:pPr>
        <w:adjustRightInd w:val="0"/>
        <w:snapToGrid w:val="0"/>
        <w:spacing w:line="360" w:lineRule="auto"/>
        <w:ind w:firstLine="420" w:firstLineChars="200"/>
        <w:rPr>
          <w:rFonts w:ascii="宋体" w:hAnsi="宋体" w:cs="宋体"/>
          <w:szCs w:val="21"/>
          <w:highlight w:val="none"/>
        </w:rPr>
      </w:pP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我公司在贵公司组织的</w:t>
      </w:r>
      <w:r>
        <w:rPr>
          <w:rFonts w:hint="eastAsia" w:ascii="宋体" w:hAnsi="宋体" w:cs="宋体"/>
          <w:kern w:val="0"/>
          <w:szCs w:val="21"/>
          <w:highlight w:val="none"/>
          <w:u w:val="single"/>
          <w:lang w:eastAsia="zh-CN"/>
        </w:rPr>
        <w:t>浙江理工大学消防管网改造及安全防护设施、电梯更新项目监理服务</w:t>
      </w:r>
      <w:r>
        <w:rPr>
          <w:rFonts w:hint="eastAsia" w:ascii="宋体" w:hAnsi="宋体" w:cs="宋体"/>
          <w:szCs w:val="21"/>
          <w:highlight w:val="none"/>
          <w:u w:val="single"/>
        </w:rPr>
        <w:t>（</w:t>
      </w:r>
      <w:r>
        <w:rPr>
          <w:rFonts w:hint="eastAsia" w:ascii="宋体" w:hAnsi="宋体" w:cs="宋体"/>
          <w:szCs w:val="21"/>
          <w:highlight w:val="none"/>
        </w:rPr>
        <w:t>项目名称）的采购标项中若获中标，我公司保证在</w:t>
      </w:r>
      <w:r>
        <w:rPr>
          <w:rFonts w:hint="eastAsia" w:ascii="宋体" w:hAnsi="宋体" w:cs="宋体"/>
          <w:b/>
          <w:szCs w:val="21"/>
          <w:highlight w:val="none"/>
        </w:rPr>
        <w:t>收到贵公司通知后</w:t>
      </w:r>
      <w:r>
        <w:rPr>
          <w:rFonts w:hint="eastAsia" w:ascii="宋体" w:hAnsi="宋体" w:cs="宋体"/>
          <w:szCs w:val="21"/>
          <w:highlight w:val="none"/>
        </w:rPr>
        <w:t>按</w:t>
      </w:r>
      <w:r>
        <w:rPr>
          <w:rFonts w:hint="eastAsia" w:ascii="宋体" w:hAnsi="宋体" w:cs="宋体"/>
          <w:b/>
          <w:szCs w:val="21"/>
          <w:highlight w:val="none"/>
        </w:rPr>
        <w:t>投标人须知前附表</w:t>
      </w:r>
      <w:r>
        <w:rPr>
          <w:rFonts w:hint="eastAsia" w:ascii="宋体" w:hAnsi="宋体" w:cs="宋体"/>
          <w:szCs w:val="21"/>
          <w:highlight w:val="none"/>
        </w:rPr>
        <w:t>的规定，向贵公司即浙江省成套招标代理有限公司支付采购代理费。如我公司未按上述承诺支付采购代理费，由此产生的一切法律后果和责任由我公司承担。我公司声明放弃对此提出任何异议和追索的权利。</w:t>
      </w:r>
    </w:p>
    <w:p>
      <w:pPr>
        <w:pStyle w:val="6"/>
        <w:adjustRightInd w:val="0"/>
        <w:snapToGrid w:val="0"/>
        <w:spacing w:line="360" w:lineRule="auto"/>
        <w:ind w:firstLine="420" w:firstLineChars="200"/>
        <w:rPr>
          <w:rFonts w:hAnsi="宋体" w:cs="宋体"/>
          <w:szCs w:val="21"/>
          <w:highlight w:val="none"/>
        </w:rPr>
      </w:pPr>
      <w:r>
        <w:rPr>
          <w:rFonts w:hint="eastAsia" w:hAnsi="宋体" w:cs="宋体"/>
          <w:szCs w:val="21"/>
          <w:highlight w:val="none"/>
        </w:rPr>
        <w:t>特此承诺。</w:t>
      </w:r>
    </w:p>
    <w:p>
      <w:pPr>
        <w:spacing w:line="360" w:lineRule="auto"/>
        <w:rPr>
          <w:rFonts w:ascii="宋体" w:hAnsi="宋体" w:cs="宋体"/>
          <w:highlight w:val="none"/>
        </w:rPr>
      </w:pPr>
    </w:p>
    <w:p>
      <w:pPr>
        <w:spacing w:line="360" w:lineRule="auto"/>
        <w:rPr>
          <w:rFonts w:ascii="宋体" w:hAnsi="宋体" w:cs="宋体"/>
          <w:b/>
          <w:spacing w:val="20"/>
          <w:highlight w:val="none"/>
          <w:u w:val="single"/>
        </w:rPr>
      </w:pPr>
      <w:r>
        <w:rPr>
          <w:rFonts w:hint="eastAsia" w:ascii="宋体" w:hAnsi="宋体" w:cs="宋体"/>
          <w:b/>
          <w:highlight w:val="none"/>
        </w:rPr>
        <w:t>供应商全称（盖单位公章）：</w:t>
      </w:r>
    </w:p>
    <w:p>
      <w:pPr>
        <w:spacing w:line="360" w:lineRule="auto"/>
        <w:rPr>
          <w:rFonts w:ascii="宋体" w:hAnsi="宋体" w:cs="宋体"/>
          <w:b/>
          <w:spacing w:val="20"/>
          <w:highlight w:val="none"/>
          <w:u w:val="single"/>
        </w:rPr>
      </w:pPr>
    </w:p>
    <w:p>
      <w:pPr>
        <w:spacing w:line="360" w:lineRule="auto"/>
        <w:rPr>
          <w:rFonts w:ascii="宋体" w:hAnsi="宋体" w:cs="宋体"/>
          <w:b/>
          <w:spacing w:val="20"/>
          <w:highlight w:val="none"/>
        </w:rPr>
      </w:pPr>
      <w:r>
        <w:rPr>
          <w:rFonts w:hint="eastAsia" w:ascii="宋体" w:hAnsi="宋体" w:cs="宋体"/>
          <w:b/>
          <w:spacing w:val="20"/>
          <w:highlight w:val="none"/>
        </w:rPr>
        <w:t>日期：</w:t>
      </w:r>
      <w:r>
        <w:rPr>
          <w:rFonts w:hint="eastAsia" w:ascii="宋体" w:hAnsi="宋体" w:cs="宋体"/>
          <w:b/>
          <w:highlight w:val="none"/>
        </w:rPr>
        <w:t xml:space="preserve">   年  月  日</w:t>
      </w:r>
    </w:p>
    <w:p>
      <w:pPr>
        <w:rPr>
          <w:highlight w:val="none"/>
        </w:rPr>
        <w:sectPr>
          <w:headerReference r:id="rId5" w:type="default"/>
          <w:footerReference r:id="rId6" w:type="default"/>
          <w:pgSz w:w="11906" w:h="16838"/>
          <w:pgMar w:top="1440" w:right="1797" w:bottom="1440" w:left="1797" w:header="720" w:footer="720" w:gutter="0"/>
          <w:pgNumType w:fmt="decimal"/>
          <w:cols w:space="720" w:num="1"/>
          <w:docGrid w:linePitch="272" w:charSpace="-3831"/>
        </w:sectPr>
      </w:pPr>
      <w:r>
        <w:rPr>
          <w:rFonts w:hint="eastAsia" w:ascii="宋体" w:hAnsi="宋体" w:cs="宋体"/>
          <w:kern w:val="0"/>
          <w:sz w:val="28"/>
          <w:highlight w:val="none"/>
        </w:rPr>
        <w:br w:type="page"/>
      </w:r>
    </w:p>
    <w:bookmarkEnd w:id="176"/>
    <w:bookmarkEnd w:id="177"/>
    <w:p>
      <w:pPr>
        <w:tabs>
          <w:tab w:val="left" w:pos="2580"/>
          <w:tab w:val="left" w:pos="5940"/>
        </w:tabs>
        <w:autoSpaceDE w:val="0"/>
        <w:autoSpaceDN w:val="0"/>
        <w:adjustRightInd w:val="0"/>
        <w:snapToGrid w:val="0"/>
        <w:spacing w:line="360" w:lineRule="auto"/>
        <w:ind w:right="-20"/>
        <w:rPr>
          <w:rFonts w:ascii="宋体" w:hAnsi="宋体" w:cs="宋体"/>
          <w:kern w:val="0"/>
          <w:sz w:val="28"/>
          <w:highlight w:val="none"/>
        </w:rPr>
      </w:pPr>
      <w:bookmarkStart w:id="200" w:name="_Toc336683576"/>
      <w:bookmarkStart w:id="201" w:name="_Toc345575535"/>
      <w:r>
        <w:rPr>
          <w:rFonts w:hint="eastAsia" w:ascii="宋体" w:hAnsi="宋体" w:cs="宋体"/>
          <w:kern w:val="0"/>
          <w:sz w:val="28"/>
          <w:highlight w:val="none"/>
        </w:rPr>
        <w:t>资格文件封面</w:t>
      </w:r>
    </w:p>
    <w:p>
      <w:pPr>
        <w:tabs>
          <w:tab w:val="left" w:pos="2580"/>
          <w:tab w:val="left" w:pos="5940"/>
        </w:tabs>
        <w:autoSpaceDE w:val="0"/>
        <w:autoSpaceDN w:val="0"/>
        <w:adjustRightInd w:val="0"/>
        <w:spacing w:line="360" w:lineRule="auto"/>
        <w:ind w:right="-20"/>
        <w:rPr>
          <w:rFonts w:ascii="宋体" w:hAnsi="宋体" w:cs="宋体"/>
          <w:kern w:val="0"/>
          <w:sz w:val="28"/>
          <w:highlight w:val="none"/>
        </w:rPr>
      </w:pPr>
    </w:p>
    <w:p>
      <w:pPr>
        <w:tabs>
          <w:tab w:val="left" w:pos="2580"/>
          <w:tab w:val="left" w:pos="5940"/>
        </w:tabs>
        <w:autoSpaceDE w:val="0"/>
        <w:autoSpaceDN w:val="0"/>
        <w:adjustRightInd w:val="0"/>
        <w:snapToGrid w:val="0"/>
        <w:spacing w:line="360" w:lineRule="auto"/>
        <w:ind w:right="-20" w:firstLine="980" w:firstLineChars="350"/>
        <w:rPr>
          <w:rFonts w:hint="eastAsia" w:ascii="宋体" w:hAnsi="宋体" w:eastAsia="宋体" w:cs="宋体"/>
          <w:kern w:val="0"/>
          <w:sz w:val="28"/>
          <w:highlight w:val="none"/>
          <w:u w:val="single"/>
          <w:lang w:eastAsia="zh-CN"/>
        </w:rPr>
      </w:pPr>
      <w:r>
        <w:rPr>
          <w:rFonts w:hint="eastAsia" w:ascii="宋体" w:hAnsi="宋体" w:cs="宋体"/>
          <w:kern w:val="0"/>
          <w:sz w:val="28"/>
          <w:highlight w:val="none"/>
        </w:rPr>
        <w:t>项目名称：</w:t>
      </w:r>
      <w:r>
        <w:rPr>
          <w:rFonts w:hint="eastAsia" w:ascii="宋体" w:hAnsi="宋体" w:cs="宋体"/>
          <w:kern w:val="0"/>
          <w:sz w:val="28"/>
          <w:highlight w:val="none"/>
          <w:u w:val="single"/>
          <w:lang w:eastAsia="zh-CN"/>
        </w:rPr>
        <w:t>浙江理工大学消防管网改造及安全防护设施、电梯更新项目监理服务</w:t>
      </w:r>
    </w:p>
    <w:p>
      <w:pPr>
        <w:tabs>
          <w:tab w:val="left" w:pos="2580"/>
          <w:tab w:val="left" w:pos="5940"/>
        </w:tabs>
        <w:autoSpaceDE w:val="0"/>
        <w:autoSpaceDN w:val="0"/>
        <w:adjustRightInd w:val="0"/>
        <w:snapToGrid w:val="0"/>
        <w:spacing w:line="360" w:lineRule="auto"/>
        <w:ind w:right="-20" w:firstLine="980" w:firstLineChars="350"/>
        <w:rPr>
          <w:rFonts w:ascii="宋体" w:hAnsi="宋体" w:cs="宋体"/>
          <w:b/>
          <w:bCs/>
          <w:kern w:val="0"/>
          <w:sz w:val="32"/>
          <w:szCs w:val="32"/>
          <w:highlight w:val="none"/>
          <w:u w:val="single"/>
        </w:rPr>
      </w:pPr>
      <w:r>
        <w:rPr>
          <w:rFonts w:hint="eastAsia" w:ascii="宋体" w:hAnsi="宋体" w:cs="宋体"/>
          <w:kern w:val="0"/>
          <w:sz w:val="28"/>
          <w:highlight w:val="none"/>
        </w:rPr>
        <w:t>项目编号：</w:t>
      </w:r>
      <w:r>
        <w:rPr>
          <w:rFonts w:hint="eastAsia" w:ascii="宋体" w:hAnsi="宋体" w:cs="宋体"/>
          <w:kern w:val="0"/>
          <w:sz w:val="28"/>
          <w:highlight w:val="none"/>
          <w:u w:val="single"/>
          <w:lang w:eastAsia="zh-CN"/>
        </w:rPr>
        <w:t>CTZB-2024040071</w:t>
      </w:r>
      <w:r>
        <w:rPr>
          <w:rFonts w:hint="eastAsia" w:ascii="宋体" w:hAnsi="宋体" w:cs="宋体"/>
          <w:kern w:val="0"/>
          <w:sz w:val="28"/>
          <w:highlight w:val="none"/>
          <w:u w:val="single"/>
        </w:rPr>
        <w:t xml:space="preserve"> </w:t>
      </w:r>
    </w:p>
    <w:p>
      <w:pPr>
        <w:tabs>
          <w:tab w:val="left" w:pos="2580"/>
          <w:tab w:val="left" w:pos="5940"/>
        </w:tabs>
        <w:autoSpaceDE w:val="0"/>
        <w:autoSpaceDN w:val="0"/>
        <w:adjustRightInd w:val="0"/>
        <w:snapToGrid w:val="0"/>
        <w:spacing w:line="360" w:lineRule="auto"/>
        <w:ind w:right="-20" w:firstLine="980" w:firstLineChars="350"/>
        <w:rPr>
          <w:rFonts w:ascii="宋体" w:hAnsi="宋体" w:cs="宋体"/>
          <w:kern w:val="0"/>
          <w:sz w:val="28"/>
          <w:highlight w:val="none"/>
        </w:rPr>
      </w:pPr>
    </w:p>
    <w:p>
      <w:pPr>
        <w:autoSpaceDE w:val="0"/>
        <w:autoSpaceDN w:val="0"/>
        <w:adjustRightInd w:val="0"/>
        <w:snapToGrid w:val="0"/>
        <w:spacing w:line="360" w:lineRule="auto"/>
        <w:jc w:val="left"/>
        <w:rPr>
          <w:rFonts w:ascii="宋体" w:hAnsi="宋体" w:cs="宋体"/>
          <w:kern w:val="0"/>
          <w:sz w:val="24"/>
          <w:highlight w:val="none"/>
        </w:rPr>
      </w:pPr>
    </w:p>
    <w:p>
      <w:pPr>
        <w:autoSpaceDE w:val="0"/>
        <w:autoSpaceDN w:val="0"/>
        <w:adjustRightInd w:val="0"/>
        <w:snapToGrid w:val="0"/>
        <w:spacing w:line="360" w:lineRule="auto"/>
        <w:jc w:val="left"/>
        <w:rPr>
          <w:rFonts w:ascii="宋体" w:hAnsi="宋体" w:cs="宋体"/>
          <w:kern w:val="0"/>
          <w:sz w:val="24"/>
          <w:highlight w:val="none"/>
        </w:rPr>
      </w:pPr>
    </w:p>
    <w:p>
      <w:pPr>
        <w:autoSpaceDE w:val="0"/>
        <w:autoSpaceDN w:val="0"/>
        <w:adjustRightInd w:val="0"/>
        <w:snapToGrid w:val="0"/>
        <w:spacing w:line="360" w:lineRule="auto"/>
        <w:jc w:val="left"/>
        <w:rPr>
          <w:rFonts w:ascii="宋体" w:hAnsi="宋体" w:cs="宋体"/>
          <w:kern w:val="0"/>
          <w:sz w:val="24"/>
          <w:highlight w:val="none"/>
        </w:rPr>
      </w:pPr>
    </w:p>
    <w:p>
      <w:pPr>
        <w:tabs>
          <w:tab w:val="left" w:pos="1805"/>
          <w:tab w:val="left" w:pos="5360"/>
        </w:tabs>
        <w:autoSpaceDE w:val="0"/>
        <w:autoSpaceDN w:val="0"/>
        <w:adjustRightInd w:val="0"/>
        <w:snapToGrid w:val="0"/>
        <w:spacing w:line="360" w:lineRule="auto"/>
        <w:ind w:right="-20"/>
        <w:jc w:val="center"/>
        <w:rPr>
          <w:rFonts w:ascii="宋体" w:hAnsi="宋体" w:cs="宋体"/>
          <w:kern w:val="0"/>
          <w:sz w:val="72"/>
          <w:highlight w:val="none"/>
        </w:rPr>
      </w:pPr>
      <w:r>
        <w:rPr>
          <w:rFonts w:hint="eastAsia" w:ascii="宋体" w:hAnsi="宋体" w:cs="宋体"/>
          <w:kern w:val="0"/>
          <w:sz w:val="72"/>
          <w:highlight w:val="none"/>
        </w:rPr>
        <w:t>投标文件</w:t>
      </w:r>
    </w:p>
    <w:p>
      <w:pPr>
        <w:tabs>
          <w:tab w:val="left" w:pos="1805"/>
          <w:tab w:val="left" w:pos="5360"/>
        </w:tabs>
        <w:autoSpaceDE w:val="0"/>
        <w:autoSpaceDN w:val="0"/>
        <w:adjustRightInd w:val="0"/>
        <w:snapToGrid w:val="0"/>
        <w:spacing w:line="360" w:lineRule="auto"/>
        <w:ind w:right="-20"/>
        <w:jc w:val="center"/>
        <w:rPr>
          <w:rFonts w:ascii="宋体" w:hAnsi="宋体" w:cs="宋体"/>
          <w:kern w:val="0"/>
          <w:sz w:val="72"/>
          <w:highlight w:val="none"/>
        </w:rPr>
      </w:pPr>
      <w:r>
        <w:rPr>
          <w:rFonts w:hint="eastAsia" w:ascii="宋体" w:hAnsi="宋体" w:cs="宋体"/>
          <w:kern w:val="0"/>
          <w:sz w:val="72"/>
          <w:highlight w:val="none"/>
        </w:rPr>
        <w:t>（资格文件）</w:t>
      </w:r>
    </w:p>
    <w:p>
      <w:pPr>
        <w:autoSpaceDE w:val="0"/>
        <w:autoSpaceDN w:val="0"/>
        <w:adjustRightInd w:val="0"/>
        <w:snapToGrid w:val="0"/>
        <w:spacing w:line="360" w:lineRule="auto"/>
        <w:jc w:val="left"/>
        <w:rPr>
          <w:rFonts w:ascii="宋体" w:hAnsi="宋体" w:cs="宋体"/>
          <w:kern w:val="0"/>
          <w:sz w:val="16"/>
          <w:highlight w:val="none"/>
        </w:rPr>
      </w:pPr>
    </w:p>
    <w:p>
      <w:pPr>
        <w:autoSpaceDE w:val="0"/>
        <w:autoSpaceDN w:val="0"/>
        <w:adjustRightInd w:val="0"/>
        <w:snapToGrid w:val="0"/>
        <w:spacing w:line="360" w:lineRule="auto"/>
        <w:jc w:val="left"/>
        <w:rPr>
          <w:rFonts w:ascii="宋体" w:hAnsi="宋体" w:cs="宋体"/>
          <w:kern w:val="0"/>
          <w:sz w:val="20"/>
          <w:highlight w:val="none"/>
        </w:rPr>
      </w:pPr>
    </w:p>
    <w:p>
      <w:pPr>
        <w:autoSpaceDE w:val="0"/>
        <w:autoSpaceDN w:val="0"/>
        <w:adjustRightInd w:val="0"/>
        <w:snapToGrid w:val="0"/>
        <w:spacing w:line="360" w:lineRule="auto"/>
        <w:jc w:val="left"/>
        <w:rPr>
          <w:rFonts w:ascii="宋体" w:hAnsi="宋体" w:cs="宋体"/>
          <w:kern w:val="0"/>
          <w:sz w:val="20"/>
          <w:highlight w:val="none"/>
        </w:rPr>
      </w:pPr>
    </w:p>
    <w:p>
      <w:pPr>
        <w:autoSpaceDE w:val="0"/>
        <w:autoSpaceDN w:val="0"/>
        <w:adjustRightInd w:val="0"/>
        <w:snapToGrid w:val="0"/>
        <w:spacing w:line="360" w:lineRule="auto"/>
        <w:jc w:val="left"/>
        <w:rPr>
          <w:rFonts w:ascii="宋体" w:hAnsi="宋体" w:cs="宋体"/>
          <w:kern w:val="0"/>
          <w:sz w:val="20"/>
          <w:highlight w:val="none"/>
        </w:rPr>
      </w:pPr>
    </w:p>
    <w:p>
      <w:pPr>
        <w:autoSpaceDE w:val="0"/>
        <w:autoSpaceDN w:val="0"/>
        <w:adjustRightInd w:val="0"/>
        <w:snapToGrid w:val="0"/>
        <w:spacing w:line="360" w:lineRule="auto"/>
        <w:jc w:val="left"/>
        <w:rPr>
          <w:rFonts w:ascii="宋体" w:hAnsi="宋体" w:cs="宋体"/>
          <w:kern w:val="0"/>
          <w:sz w:val="20"/>
          <w:highlight w:val="none"/>
        </w:rPr>
      </w:pPr>
    </w:p>
    <w:p>
      <w:pPr>
        <w:autoSpaceDE w:val="0"/>
        <w:autoSpaceDN w:val="0"/>
        <w:adjustRightInd w:val="0"/>
        <w:snapToGrid w:val="0"/>
        <w:spacing w:line="360" w:lineRule="auto"/>
        <w:jc w:val="left"/>
        <w:rPr>
          <w:rFonts w:ascii="宋体" w:hAnsi="宋体" w:cs="宋体"/>
          <w:kern w:val="0"/>
          <w:sz w:val="20"/>
          <w:highlight w:val="none"/>
        </w:rPr>
      </w:pPr>
    </w:p>
    <w:p>
      <w:pPr>
        <w:autoSpaceDE w:val="0"/>
        <w:autoSpaceDN w:val="0"/>
        <w:adjustRightInd w:val="0"/>
        <w:snapToGrid w:val="0"/>
        <w:spacing w:line="360" w:lineRule="auto"/>
        <w:jc w:val="left"/>
        <w:rPr>
          <w:rFonts w:ascii="宋体" w:hAnsi="宋体" w:cs="宋体"/>
          <w:kern w:val="0"/>
          <w:sz w:val="20"/>
          <w:highlight w:val="none"/>
        </w:rPr>
      </w:pPr>
    </w:p>
    <w:p>
      <w:pPr>
        <w:autoSpaceDE w:val="0"/>
        <w:autoSpaceDN w:val="0"/>
        <w:adjustRightInd w:val="0"/>
        <w:snapToGrid w:val="0"/>
        <w:spacing w:line="360" w:lineRule="auto"/>
        <w:jc w:val="left"/>
        <w:rPr>
          <w:rFonts w:ascii="宋体" w:hAnsi="宋体" w:cs="宋体"/>
          <w:kern w:val="0"/>
          <w:sz w:val="20"/>
          <w:highlight w:val="none"/>
        </w:rPr>
      </w:pPr>
    </w:p>
    <w:p>
      <w:pPr>
        <w:tabs>
          <w:tab w:val="left" w:pos="6080"/>
          <w:tab w:val="left" w:pos="6640"/>
        </w:tabs>
        <w:autoSpaceDE w:val="0"/>
        <w:autoSpaceDN w:val="0"/>
        <w:adjustRightInd w:val="0"/>
        <w:snapToGrid w:val="0"/>
        <w:spacing w:line="360" w:lineRule="auto"/>
        <w:ind w:left="774" w:right="403"/>
        <w:jc w:val="left"/>
        <w:rPr>
          <w:rFonts w:ascii="宋体" w:hAnsi="宋体" w:cs="宋体"/>
          <w:kern w:val="0"/>
          <w:sz w:val="28"/>
          <w:highlight w:val="none"/>
        </w:rPr>
      </w:pPr>
      <w:r>
        <w:rPr>
          <w:rFonts w:hint="eastAsia" w:ascii="宋体" w:hAnsi="宋体" w:cs="宋体"/>
          <w:kern w:val="0"/>
          <w:sz w:val="28"/>
          <w:highlight w:val="none"/>
        </w:rPr>
        <w:t>供应商：（盖单位公章）</w:t>
      </w:r>
    </w:p>
    <w:p>
      <w:pPr>
        <w:tabs>
          <w:tab w:val="left" w:pos="6080"/>
          <w:tab w:val="left" w:pos="6640"/>
        </w:tabs>
        <w:autoSpaceDE w:val="0"/>
        <w:autoSpaceDN w:val="0"/>
        <w:adjustRightInd w:val="0"/>
        <w:snapToGrid w:val="0"/>
        <w:spacing w:line="360" w:lineRule="auto"/>
        <w:ind w:left="774" w:right="403"/>
        <w:jc w:val="left"/>
        <w:rPr>
          <w:rFonts w:ascii="宋体" w:hAnsi="宋体" w:cs="宋体"/>
          <w:kern w:val="0"/>
          <w:sz w:val="28"/>
          <w:highlight w:val="none"/>
        </w:rPr>
      </w:pPr>
    </w:p>
    <w:p>
      <w:pPr>
        <w:tabs>
          <w:tab w:val="left" w:pos="2580"/>
          <w:tab w:val="left" w:pos="5940"/>
        </w:tabs>
        <w:autoSpaceDE w:val="0"/>
        <w:autoSpaceDN w:val="0"/>
        <w:adjustRightInd w:val="0"/>
        <w:snapToGrid w:val="0"/>
        <w:spacing w:line="360" w:lineRule="auto"/>
        <w:ind w:right="-20" w:firstLine="2520" w:firstLineChars="900"/>
        <w:rPr>
          <w:rFonts w:ascii="宋体" w:hAnsi="宋体" w:cs="宋体"/>
          <w:kern w:val="0"/>
          <w:sz w:val="28"/>
          <w:highlight w:val="none"/>
        </w:rPr>
      </w:pPr>
      <w:r>
        <w:rPr>
          <w:rFonts w:hint="eastAsia" w:ascii="宋体" w:hAnsi="宋体" w:cs="宋体"/>
          <w:kern w:val="0"/>
          <w:sz w:val="28"/>
          <w:highlight w:val="none"/>
        </w:rPr>
        <w:t>年月日</w:t>
      </w:r>
    </w:p>
    <w:p>
      <w:pPr>
        <w:spacing w:line="360" w:lineRule="auto"/>
        <w:ind w:left="280" w:hanging="280" w:hangingChars="100"/>
        <w:jc w:val="center"/>
        <w:rPr>
          <w:rFonts w:ascii="宋体" w:hAnsi="宋体" w:cs="宋体"/>
          <w:b/>
          <w:bCs/>
          <w:sz w:val="32"/>
          <w:szCs w:val="32"/>
          <w:highlight w:val="none"/>
        </w:rPr>
      </w:pPr>
      <w:r>
        <w:rPr>
          <w:rFonts w:hint="eastAsia" w:ascii="宋体" w:hAnsi="宋体" w:cs="宋体"/>
          <w:kern w:val="0"/>
          <w:sz w:val="28"/>
          <w:highlight w:val="none"/>
        </w:rPr>
        <w:br w:type="page"/>
      </w:r>
      <w:r>
        <w:rPr>
          <w:rFonts w:hint="eastAsia" w:ascii="宋体" w:hAnsi="宋体" w:cs="宋体"/>
          <w:b/>
          <w:bCs/>
          <w:sz w:val="32"/>
          <w:szCs w:val="32"/>
          <w:highlight w:val="none"/>
        </w:rPr>
        <w:t>资格审查资料</w:t>
      </w:r>
    </w:p>
    <w:p>
      <w:pPr>
        <w:autoSpaceDE w:val="0"/>
        <w:autoSpaceDN w:val="0"/>
        <w:adjustRightInd w:val="0"/>
        <w:spacing w:line="360" w:lineRule="auto"/>
        <w:ind w:firstLine="420" w:firstLineChars="200"/>
        <w:jc w:val="left"/>
        <w:rPr>
          <w:rFonts w:ascii="宋体" w:hAnsi="宋体" w:cs="宋体"/>
          <w:kern w:val="0"/>
          <w:highlight w:val="none"/>
        </w:rPr>
      </w:pPr>
      <w:r>
        <w:rPr>
          <w:rFonts w:hint="eastAsia" w:ascii="宋体" w:hAnsi="宋体" w:cs="宋体"/>
          <w:kern w:val="0"/>
          <w:highlight w:val="none"/>
        </w:rPr>
        <w:t>资格审查须知</w:t>
      </w:r>
    </w:p>
    <w:p>
      <w:pPr>
        <w:autoSpaceDE w:val="0"/>
        <w:autoSpaceDN w:val="0"/>
        <w:adjustRightInd w:val="0"/>
        <w:spacing w:line="360" w:lineRule="auto"/>
        <w:ind w:firstLine="420" w:firstLineChars="200"/>
        <w:jc w:val="left"/>
        <w:rPr>
          <w:rFonts w:ascii="宋体" w:hAnsi="宋体" w:cs="宋体"/>
          <w:kern w:val="0"/>
          <w:highlight w:val="none"/>
        </w:rPr>
      </w:pPr>
      <w:r>
        <w:rPr>
          <w:rFonts w:hint="eastAsia" w:ascii="宋体" w:hAnsi="宋体" w:cs="宋体"/>
          <w:kern w:val="0"/>
          <w:highlight w:val="none"/>
        </w:rPr>
        <w:t>1、投标人必须认真填写采购文件规定的所有表格，并对其真实性负责，采购人有权对其进行调查核实和要求澄清。</w:t>
      </w:r>
    </w:p>
    <w:p>
      <w:pPr>
        <w:autoSpaceDE w:val="0"/>
        <w:autoSpaceDN w:val="0"/>
        <w:adjustRightInd w:val="0"/>
        <w:spacing w:line="360" w:lineRule="auto"/>
        <w:ind w:firstLine="420" w:firstLineChars="200"/>
        <w:jc w:val="left"/>
        <w:rPr>
          <w:rFonts w:ascii="宋体" w:hAnsi="宋体" w:cs="宋体"/>
          <w:kern w:val="0"/>
          <w:highlight w:val="none"/>
        </w:rPr>
      </w:pPr>
      <w:r>
        <w:rPr>
          <w:rFonts w:hint="eastAsia" w:ascii="宋体" w:hAnsi="宋体" w:cs="宋体"/>
          <w:kern w:val="0"/>
          <w:highlight w:val="none"/>
        </w:rPr>
        <w:t>2、资格审查按通过和不通过两种方式进行评定，投标人的资格等方面的要求作为资格审查通过的强制性资格条件，经核实有一项不符合要求，则投标人的资格为不通过，不通过的投标人对其投标文件不进行后续评审。</w:t>
      </w:r>
    </w:p>
    <w:p>
      <w:pPr>
        <w:widowControl/>
        <w:spacing w:line="360" w:lineRule="auto"/>
        <w:jc w:val="center"/>
        <w:rPr>
          <w:rFonts w:ascii="宋体" w:hAnsi="宋体" w:cs="宋体"/>
          <w:b/>
          <w:bCs/>
          <w:sz w:val="32"/>
          <w:highlight w:val="none"/>
        </w:rPr>
      </w:pPr>
      <w:r>
        <w:rPr>
          <w:rFonts w:hint="eastAsia" w:ascii="宋体" w:hAnsi="宋体" w:cs="宋体"/>
          <w:b/>
          <w:bCs/>
          <w:sz w:val="32"/>
          <w:highlight w:val="none"/>
        </w:rPr>
        <w:t>强制性资格条件</w:t>
      </w:r>
    </w:p>
    <w:tbl>
      <w:tblPr>
        <w:tblStyle w:val="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4532"/>
        <w:gridCol w:w="3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689"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r>
              <w:rPr>
                <w:rFonts w:hint="eastAsia" w:ascii="宋体" w:hAnsi="宋体" w:cs="宋体"/>
                <w:szCs w:val="21"/>
                <w:highlight w:val="none"/>
              </w:rPr>
              <w:t>序号</w:t>
            </w:r>
          </w:p>
        </w:tc>
        <w:tc>
          <w:tcPr>
            <w:tcW w:w="4532"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r>
              <w:rPr>
                <w:rFonts w:hint="eastAsia" w:ascii="宋体" w:hAnsi="宋体" w:cs="宋体"/>
                <w:szCs w:val="21"/>
                <w:highlight w:val="none"/>
              </w:rPr>
              <w:t>强制性资格条件</w:t>
            </w:r>
          </w:p>
        </w:tc>
        <w:tc>
          <w:tcPr>
            <w:tcW w:w="3304"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r>
              <w:rPr>
                <w:rFonts w:hint="eastAsia" w:ascii="宋体" w:hAnsi="宋体" w:cs="宋体"/>
                <w:szCs w:val="21"/>
                <w:highlight w:val="none"/>
              </w:rPr>
              <w:t>证明资料附后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89"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r>
              <w:rPr>
                <w:rFonts w:hint="eastAsia" w:ascii="宋体" w:hAnsi="宋体" w:cs="宋体"/>
                <w:szCs w:val="21"/>
                <w:highlight w:val="none"/>
              </w:rPr>
              <w:t>1</w:t>
            </w:r>
          </w:p>
        </w:tc>
        <w:tc>
          <w:tcPr>
            <w:tcW w:w="4532" w:type="dxa"/>
            <w:vAlign w:val="center"/>
          </w:tcPr>
          <w:p>
            <w:pPr>
              <w:keepNext w:val="0"/>
              <w:keepLines w:val="0"/>
              <w:suppressLineNumbers w:val="0"/>
              <w:spacing w:before="0" w:beforeAutospacing="0" w:after="0" w:afterAutospacing="0"/>
              <w:ind w:left="0" w:right="0"/>
              <w:rPr>
                <w:rFonts w:hint="default" w:ascii="宋体" w:hAnsi="宋体" w:cs="宋体"/>
                <w:kern w:val="0"/>
                <w:szCs w:val="21"/>
                <w:highlight w:val="none"/>
              </w:rPr>
            </w:pPr>
            <w:r>
              <w:rPr>
                <w:rFonts w:hint="eastAsia" w:ascii="宋体" w:hAnsi="宋体" w:cs="宋体"/>
                <w:highlight w:val="none"/>
              </w:rPr>
              <w:t>具有独立承担民事责任的能力</w:t>
            </w:r>
          </w:p>
        </w:tc>
        <w:tc>
          <w:tcPr>
            <w:tcW w:w="3304" w:type="dxa"/>
            <w:vAlign w:val="center"/>
          </w:tcPr>
          <w:p>
            <w:pPr>
              <w:keepNext w:val="0"/>
              <w:keepLines w:val="0"/>
              <w:suppressLineNumbers w:val="0"/>
              <w:spacing w:before="0" w:beforeAutospacing="0" w:after="0" w:afterAutospacing="0"/>
              <w:ind w:left="0" w:right="0"/>
              <w:jc w:val="left"/>
              <w:rPr>
                <w:rFonts w:hint="default" w:ascii="宋体" w:hAnsi="宋体" w:cs="宋体"/>
                <w:szCs w:val="21"/>
                <w:highlight w:val="none"/>
              </w:rPr>
            </w:pPr>
            <w:r>
              <w:rPr>
                <w:rFonts w:hint="eastAsia" w:ascii="宋体" w:hAnsi="宋体" w:cs="宋体"/>
                <w:szCs w:val="21"/>
                <w:highlight w:val="none"/>
              </w:rPr>
              <w:t>营业执照(或事业法人登记证书或其它工商等登记证明材料；自然人参与政府采购，提供身份证)复印件、实施“五证合一、一照一码”登记制度改革的，只需提供改革后取得的营业执照复印件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9"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r>
              <w:rPr>
                <w:rFonts w:hint="eastAsia" w:ascii="宋体" w:hAnsi="宋体" w:cs="宋体"/>
                <w:szCs w:val="21"/>
                <w:highlight w:val="none"/>
              </w:rPr>
              <w:t>2</w:t>
            </w:r>
          </w:p>
        </w:tc>
        <w:tc>
          <w:tcPr>
            <w:tcW w:w="4532" w:type="dxa"/>
            <w:vAlign w:val="center"/>
          </w:tcPr>
          <w:p>
            <w:pPr>
              <w:keepNext w:val="0"/>
              <w:keepLines w:val="0"/>
              <w:suppressLineNumbers w:val="0"/>
              <w:spacing w:before="0" w:beforeAutospacing="0" w:after="0" w:afterAutospacing="0"/>
              <w:ind w:left="0" w:right="0"/>
              <w:rPr>
                <w:rFonts w:hint="default" w:ascii="宋体" w:hAnsi="宋体" w:cs="宋体"/>
                <w:highlight w:val="none"/>
              </w:rPr>
            </w:pPr>
            <w:r>
              <w:rPr>
                <w:rFonts w:hint="eastAsia" w:ascii="宋体" w:hAnsi="宋体" w:cs="宋体"/>
                <w:highlight w:val="none"/>
              </w:rPr>
              <w:t>1、具有良好的商业信誉和健全的财务会计制度</w:t>
            </w:r>
          </w:p>
          <w:p>
            <w:pPr>
              <w:keepNext w:val="0"/>
              <w:keepLines w:val="0"/>
              <w:suppressLineNumbers w:val="0"/>
              <w:spacing w:before="0" w:beforeAutospacing="0" w:after="0" w:afterAutospacing="0"/>
              <w:ind w:left="0" w:right="0"/>
              <w:rPr>
                <w:rFonts w:hint="default" w:ascii="宋体" w:hAnsi="宋体" w:cs="宋体"/>
                <w:highlight w:val="none"/>
              </w:rPr>
            </w:pPr>
            <w:r>
              <w:rPr>
                <w:rFonts w:hint="eastAsia" w:ascii="宋体" w:hAnsi="宋体" w:cs="宋体"/>
                <w:highlight w:val="none"/>
              </w:rPr>
              <w:t>2、具有履行合同所必需的设备和专业技术能力</w:t>
            </w:r>
          </w:p>
          <w:p>
            <w:pPr>
              <w:keepNext w:val="0"/>
              <w:keepLines w:val="0"/>
              <w:suppressLineNumbers w:val="0"/>
              <w:spacing w:before="0" w:beforeAutospacing="0" w:after="0" w:afterAutospacing="0"/>
              <w:ind w:left="0" w:right="0"/>
              <w:rPr>
                <w:rFonts w:hint="default" w:ascii="宋体" w:hAnsi="宋体" w:cs="宋体"/>
                <w:highlight w:val="none"/>
              </w:rPr>
            </w:pPr>
            <w:r>
              <w:rPr>
                <w:rFonts w:hint="eastAsia" w:ascii="宋体" w:hAnsi="宋体" w:cs="宋体"/>
                <w:highlight w:val="none"/>
              </w:rPr>
              <w:t>3、有依法缴纳税收和社会保障资金的良好记录</w:t>
            </w:r>
          </w:p>
          <w:p>
            <w:pPr>
              <w:keepNext w:val="0"/>
              <w:keepLines w:val="0"/>
              <w:suppressLineNumbers w:val="0"/>
              <w:spacing w:before="0" w:beforeAutospacing="0" w:after="0" w:afterAutospacing="0"/>
              <w:ind w:left="0" w:right="0"/>
              <w:rPr>
                <w:rFonts w:hint="default" w:ascii="宋体" w:hAnsi="宋体" w:cs="宋体"/>
                <w:highlight w:val="none"/>
              </w:rPr>
            </w:pPr>
            <w:r>
              <w:rPr>
                <w:rFonts w:hint="eastAsia" w:ascii="宋体" w:hAnsi="宋体" w:cs="宋体"/>
                <w:highlight w:val="none"/>
              </w:rPr>
              <w:t>4、参加政府采购活动前三年内，在经营活动中没有重大违法记录</w:t>
            </w:r>
          </w:p>
          <w:p>
            <w:pPr>
              <w:keepNext w:val="0"/>
              <w:keepLines w:val="0"/>
              <w:suppressLineNumbers w:val="0"/>
              <w:spacing w:before="0" w:beforeAutospacing="0" w:after="0" w:afterAutospacing="0"/>
              <w:ind w:left="0" w:right="0"/>
              <w:rPr>
                <w:rFonts w:hint="default" w:ascii="宋体" w:hAnsi="宋体" w:cs="宋体"/>
                <w:highlight w:val="none"/>
              </w:rPr>
            </w:pPr>
            <w:r>
              <w:rPr>
                <w:rFonts w:hint="eastAsia" w:ascii="宋体" w:hAnsi="宋体" w:cs="宋体"/>
                <w:highlight w:val="none"/>
              </w:rPr>
              <w:t>5、未被“信用中国”（www.creditchina.gov.cn）、中国政府采购网（www.ccgp.gov.cn）列入失信被执行人、重大税收违法案件当事人名单、政府采购严重违法失信行为记录名单</w:t>
            </w:r>
          </w:p>
        </w:tc>
        <w:tc>
          <w:tcPr>
            <w:tcW w:w="3304" w:type="dxa"/>
            <w:vAlign w:val="center"/>
          </w:tcPr>
          <w:p>
            <w:pPr>
              <w:keepNext w:val="0"/>
              <w:keepLines w:val="0"/>
              <w:suppressLineNumbers w:val="0"/>
              <w:spacing w:before="0" w:beforeAutospacing="0" w:after="0" w:afterAutospacing="0"/>
              <w:ind w:left="0" w:right="0"/>
              <w:jc w:val="left"/>
              <w:rPr>
                <w:rFonts w:hint="default" w:ascii="宋体" w:hAnsi="宋体" w:cs="宋体"/>
                <w:highlight w:val="none"/>
              </w:rPr>
            </w:pPr>
            <w:r>
              <w:rPr>
                <w:rFonts w:hint="eastAsia" w:ascii="宋体" w:hAnsi="宋体" w:cs="宋体"/>
                <w:highlight w:val="none"/>
              </w:rPr>
              <w:t>详见承诺函格式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9"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r>
              <w:rPr>
                <w:rFonts w:hint="eastAsia" w:ascii="宋体" w:hAnsi="宋体" w:cs="宋体"/>
                <w:szCs w:val="21"/>
                <w:highlight w:val="none"/>
              </w:rPr>
              <w:t>3</w:t>
            </w:r>
          </w:p>
        </w:tc>
        <w:tc>
          <w:tcPr>
            <w:tcW w:w="4532" w:type="dxa"/>
            <w:vAlign w:val="center"/>
          </w:tcPr>
          <w:p>
            <w:pPr>
              <w:keepNext w:val="0"/>
              <w:keepLines w:val="0"/>
              <w:suppressLineNumbers w:val="0"/>
              <w:spacing w:before="0" w:beforeAutospacing="0" w:after="0" w:afterAutospacing="0"/>
              <w:ind w:left="0" w:right="0"/>
              <w:rPr>
                <w:rFonts w:hint="default" w:ascii="宋体" w:hAnsi="宋体" w:cs="宋体"/>
                <w:highlight w:val="none"/>
              </w:rPr>
            </w:pPr>
            <w:r>
              <w:rPr>
                <w:rFonts w:hint="eastAsia" w:ascii="宋体" w:hAnsi="宋体" w:cs="宋体"/>
                <w:kern w:val="0"/>
                <w:szCs w:val="21"/>
                <w:highlight w:val="none"/>
              </w:rPr>
              <w:t>落实政府采购政策需满足的资格要求：供应商为中小企业/小微企业（</w:t>
            </w:r>
            <w:r>
              <w:rPr>
                <w:rFonts w:hint="eastAsia" w:ascii="宋体" w:hAnsi="宋体" w:cs="宋体"/>
                <w:bCs/>
                <w:highlight w:val="none"/>
              </w:rPr>
              <w:t>监狱企业、残疾人福利性单位</w:t>
            </w:r>
            <w:r>
              <w:rPr>
                <w:rFonts w:hint="eastAsia" w:ascii="宋体" w:hAnsi="宋体" w:cs="宋体"/>
                <w:kern w:val="0"/>
                <w:szCs w:val="21"/>
                <w:highlight w:val="none"/>
              </w:rPr>
              <w:t>）</w:t>
            </w:r>
          </w:p>
        </w:tc>
        <w:tc>
          <w:tcPr>
            <w:tcW w:w="3304" w:type="dxa"/>
            <w:vAlign w:val="center"/>
          </w:tcPr>
          <w:p>
            <w:pPr>
              <w:keepNext w:val="0"/>
              <w:keepLines w:val="0"/>
              <w:suppressLineNumbers w:val="0"/>
              <w:spacing w:before="0" w:beforeAutospacing="0" w:after="0" w:afterAutospacing="0"/>
              <w:ind w:left="0" w:right="0"/>
              <w:jc w:val="left"/>
              <w:rPr>
                <w:rFonts w:hint="default" w:ascii="宋体" w:hAnsi="宋体" w:cs="宋体"/>
                <w:highlight w:val="none"/>
              </w:rPr>
            </w:pPr>
            <w:r>
              <w:rPr>
                <w:rFonts w:hint="eastAsia" w:ascii="宋体" w:hAnsi="宋体" w:cs="宋体"/>
                <w:highlight w:val="none"/>
              </w:rPr>
              <w:t>请根据要求单独上传《中小企业声明函》</w:t>
            </w:r>
            <w:r>
              <w:rPr>
                <w:rFonts w:hint="eastAsia" w:ascii="宋体" w:hAnsi="宋体" w:cs="宋体"/>
                <w:kern w:val="0"/>
                <w:szCs w:val="21"/>
                <w:highlight w:val="none"/>
              </w:rPr>
              <w:t>（</w:t>
            </w:r>
            <w:r>
              <w:rPr>
                <w:rFonts w:hint="eastAsia" w:ascii="宋体" w:hAnsi="宋体" w:cs="宋体"/>
                <w:bCs/>
                <w:highlight w:val="none"/>
              </w:rPr>
              <w:t>监狱企业、残疾人福利性单位申明函</w:t>
            </w:r>
            <w:r>
              <w:rPr>
                <w:rFonts w:hint="eastAsia" w:ascii="宋体" w:hAnsi="宋体" w:cs="宋体"/>
                <w:kern w:val="0"/>
                <w:szCs w:val="21"/>
                <w:highlight w:val="none"/>
              </w:rPr>
              <w:t>）</w:t>
            </w:r>
            <w:r>
              <w:rPr>
                <w:rFonts w:hint="eastAsia" w:ascii="宋体" w:hAnsi="宋体" w:cs="宋体"/>
                <w:highlight w:val="none"/>
              </w:rPr>
              <w:t>，格式以采购文件要求为准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6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rPr>
              <w:t>4</w:t>
            </w:r>
          </w:p>
        </w:tc>
        <w:tc>
          <w:tcPr>
            <w:tcW w:w="4532" w:type="dxa"/>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eastAsia="宋体" w:cs="宋体"/>
                <w:szCs w:val="21"/>
                <w:highlight w:val="none"/>
                <w:lang w:eastAsia="zh-CN"/>
              </w:rPr>
            </w:pPr>
            <w:r>
              <w:rPr>
                <w:rFonts w:hint="eastAsia" w:ascii="宋体" w:hAnsi="宋体" w:cs="宋体"/>
                <w:kern w:val="0"/>
                <w:szCs w:val="21"/>
                <w:highlight w:val="none"/>
                <w:lang w:val="en-US" w:eastAsia="zh-CN"/>
              </w:rPr>
              <w:t>供应商具有</w:t>
            </w:r>
            <w:r>
              <w:rPr>
                <w:rFonts w:hint="eastAsia" w:ascii="宋体" w:hAnsi="宋体" w:cs="宋体"/>
                <w:kern w:val="0"/>
                <w:szCs w:val="21"/>
                <w:highlight w:val="none"/>
              </w:rPr>
              <w:t>工程监理综合资质</w:t>
            </w:r>
            <w:r>
              <w:rPr>
                <w:rFonts w:hint="eastAsia" w:ascii="宋体" w:hAnsi="宋体" w:cs="宋体"/>
                <w:kern w:val="0"/>
                <w:szCs w:val="21"/>
                <w:highlight w:val="none"/>
                <w:lang w:eastAsia="zh-CN"/>
              </w:rPr>
              <w:t>或房屋建筑工程监理乙级及以上资质</w:t>
            </w:r>
          </w:p>
        </w:tc>
        <w:tc>
          <w:tcPr>
            <w:tcW w:w="3304" w:type="dxa"/>
            <w:vAlign w:val="center"/>
          </w:tcPr>
          <w:p>
            <w:pPr>
              <w:keepNext w:val="0"/>
              <w:keepLines w:val="0"/>
              <w:suppressLineNumbers w:val="0"/>
              <w:spacing w:before="0" w:beforeAutospacing="0" w:after="0" w:afterAutospacing="0"/>
              <w:ind w:left="0" w:right="0"/>
              <w:jc w:val="left"/>
              <w:rPr>
                <w:rFonts w:hint="default" w:ascii="宋体" w:hAnsi="宋体" w:eastAsia="宋体" w:cs="宋体"/>
                <w:highlight w:val="none"/>
                <w:lang w:val="en-US" w:eastAsia="zh-CN"/>
              </w:rPr>
            </w:pPr>
            <w:r>
              <w:rPr>
                <w:rFonts w:hint="eastAsia" w:ascii="宋体" w:hAnsi="宋体" w:cs="宋体"/>
                <w:highlight w:val="none"/>
                <w:lang w:val="en-US" w:eastAsia="zh-CN"/>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89"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2"/>
                <w:sz w:val="21"/>
                <w:szCs w:val="21"/>
                <w:highlight w:val="none"/>
                <w:lang w:val="en-US" w:eastAsia="zh-CN" w:bidi="ar-SA"/>
              </w:rPr>
            </w:pPr>
            <w:r>
              <w:rPr>
                <w:rFonts w:hint="eastAsia" w:ascii="宋体" w:hAnsi="宋体" w:cs="宋体"/>
                <w:szCs w:val="21"/>
                <w:highlight w:val="none"/>
              </w:rPr>
              <w:t>5</w:t>
            </w:r>
          </w:p>
        </w:tc>
        <w:tc>
          <w:tcPr>
            <w:tcW w:w="4532" w:type="dxa"/>
            <w:vAlign w:val="center"/>
          </w:tcPr>
          <w:p>
            <w:pPr>
              <w:keepNext w:val="0"/>
              <w:keepLines w:val="0"/>
              <w:widowControl/>
              <w:suppressLineNumbers w:val="0"/>
              <w:adjustRightInd w:val="0"/>
              <w:snapToGrid w:val="0"/>
              <w:spacing w:before="0" w:beforeAutospacing="0" w:after="0" w:afterAutospacing="0"/>
              <w:ind w:left="0" w:right="0"/>
              <w:jc w:val="left"/>
              <w:rPr>
                <w:rFonts w:hint="default" w:ascii="宋体" w:hAnsi="宋体" w:cs="宋体"/>
                <w:kern w:val="0"/>
                <w:szCs w:val="21"/>
                <w:highlight w:val="none"/>
              </w:rPr>
            </w:pPr>
            <w:r>
              <w:rPr>
                <w:rFonts w:hint="eastAsia" w:ascii="宋体" w:hAnsi="宋体" w:cs="宋体"/>
                <w:szCs w:val="21"/>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tc>
        <w:tc>
          <w:tcPr>
            <w:tcW w:w="3304" w:type="dxa"/>
            <w:vAlign w:val="center"/>
          </w:tcPr>
          <w:p>
            <w:pPr>
              <w:keepNext w:val="0"/>
              <w:keepLines w:val="0"/>
              <w:suppressLineNumbers w:val="0"/>
              <w:spacing w:before="0" w:beforeAutospacing="0" w:after="0" w:afterAutospacing="0"/>
              <w:ind w:left="0" w:right="0"/>
              <w:jc w:val="left"/>
              <w:rPr>
                <w:rFonts w:hint="default" w:ascii="宋体" w:hAnsi="宋体" w:cs="宋体"/>
                <w:highlight w:val="none"/>
              </w:rPr>
            </w:pPr>
            <w:r>
              <w:rPr>
                <w:rFonts w:hint="eastAsia" w:ascii="宋体" w:hAnsi="宋体" w:cs="宋体"/>
                <w:highlight w:val="none"/>
              </w:rPr>
              <w:t>详见承诺函格式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6</w:t>
            </w:r>
          </w:p>
        </w:tc>
        <w:tc>
          <w:tcPr>
            <w:tcW w:w="4532" w:type="dxa"/>
            <w:vAlign w:val="center"/>
          </w:tcPr>
          <w:p>
            <w:pPr>
              <w:keepNext w:val="0"/>
              <w:keepLines w:val="0"/>
              <w:suppressLineNumbers w:val="0"/>
              <w:spacing w:before="0" w:beforeAutospacing="0" w:after="0" w:afterAutospacing="0"/>
              <w:ind w:left="0" w:right="0"/>
              <w:rPr>
                <w:rFonts w:hint="default" w:ascii="宋体" w:hAnsi="宋体" w:cs="宋体"/>
                <w:szCs w:val="21"/>
                <w:highlight w:val="none"/>
              </w:rPr>
            </w:pPr>
            <w:r>
              <w:rPr>
                <w:rFonts w:hint="eastAsia" w:ascii="宋体" w:hAnsi="宋体" w:cs="宋体"/>
                <w:szCs w:val="21"/>
                <w:highlight w:val="none"/>
              </w:rPr>
              <w:t>本项目</w:t>
            </w:r>
            <w:r>
              <w:rPr>
                <w:rFonts w:hint="eastAsia" w:ascii="宋体" w:hAnsi="宋体" w:cs="宋体"/>
                <w:kern w:val="0"/>
                <w:szCs w:val="21"/>
                <w:highlight w:val="none"/>
              </w:rPr>
              <w:t>接受</w:t>
            </w:r>
            <w:r>
              <w:rPr>
                <w:rFonts w:hint="eastAsia" w:ascii="宋体" w:hAnsi="宋体" w:cs="宋体"/>
                <w:szCs w:val="21"/>
                <w:highlight w:val="none"/>
              </w:rPr>
              <w:t>联合体投标</w:t>
            </w:r>
          </w:p>
        </w:tc>
        <w:tc>
          <w:tcPr>
            <w:tcW w:w="3304" w:type="dxa"/>
            <w:vAlign w:val="center"/>
          </w:tcPr>
          <w:p>
            <w:pPr>
              <w:keepNext w:val="0"/>
              <w:keepLines w:val="0"/>
              <w:suppressLineNumbers w:val="0"/>
              <w:spacing w:before="0" w:beforeAutospacing="0" w:after="0" w:afterAutospacing="0"/>
              <w:ind w:left="0" w:right="0"/>
              <w:jc w:val="left"/>
              <w:rPr>
                <w:rFonts w:hint="default" w:ascii="宋体" w:hAnsi="宋体" w:cs="宋体"/>
                <w:highlight w:val="none"/>
              </w:rPr>
            </w:pPr>
            <w:r>
              <w:rPr>
                <w:rFonts w:hint="eastAsia" w:ascii="宋体" w:hAnsi="宋体" w:cs="宋体"/>
                <w:highlight w:val="none"/>
              </w:rPr>
              <w:t>如以联合体形式参与政府采购的，提供联合协议。详见联合协议格式。</w:t>
            </w:r>
          </w:p>
        </w:tc>
      </w:tr>
    </w:tbl>
    <w:p>
      <w:pPr>
        <w:snapToGrid w:val="0"/>
        <w:spacing w:line="360" w:lineRule="auto"/>
        <w:rPr>
          <w:rFonts w:ascii="宋体" w:hAnsi="宋体" w:cs="宋体"/>
          <w:b/>
          <w:kern w:val="0"/>
          <w:szCs w:val="21"/>
          <w:highlight w:val="none"/>
        </w:rPr>
      </w:pPr>
      <w:r>
        <w:rPr>
          <w:rFonts w:hint="eastAsia" w:ascii="宋体" w:hAnsi="宋体" w:cs="宋体"/>
          <w:b/>
          <w:kern w:val="0"/>
          <w:szCs w:val="21"/>
          <w:highlight w:val="none"/>
        </w:rPr>
        <w:t>注：1、证明材料复印件需齐全，不得缺页，否则证明无效。</w:t>
      </w:r>
    </w:p>
    <w:p>
      <w:pPr>
        <w:snapToGrid w:val="0"/>
        <w:spacing w:line="360" w:lineRule="auto"/>
        <w:ind w:firstLine="422" w:firstLineChars="200"/>
        <w:rPr>
          <w:rFonts w:ascii="宋体" w:hAnsi="宋体" w:cs="宋体"/>
          <w:b/>
          <w:kern w:val="0"/>
          <w:szCs w:val="21"/>
          <w:highlight w:val="none"/>
        </w:rPr>
      </w:pPr>
      <w:r>
        <w:rPr>
          <w:rFonts w:hint="eastAsia" w:ascii="宋体" w:hAnsi="宋体" w:cs="宋体"/>
          <w:b/>
          <w:kern w:val="0"/>
          <w:szCs w:val="21"/>
          <w:highlight w:val="none"/>
        </w:rPr>
        <w:t>2、证明材料应具备充分性，在电子标中与要求相对应部分进行关联，否则由此产生的责任和风险投标人承担。</w:t>
      </w:r>
    </w:p>
    <w:p>
      <w:pPr>
        <w:snapToGrid w:val="0"/>
        <w:spacing w:line="360" w:lineRule="auto"/>
        <w:rPr>
          <w:rFonts w:ascii="宋体" w:hAnsi="宋体" w:cs="宋体"/>
          <w:szCs w:val="21"/>
          <w:highlight w:val="none"/>
        </w:rPr>
      </w:pPr>
    </w:p>
    <w:p>
      <w:pPr>
        <w:adjustRightInd w:val="0"/>
        <w:snapToGrid w:val="0"/>
        <w:spacing w:line="360" w:lineRule="auto"/>
        <w:ind w:left="105" w:leftChars="50" w:firstLine="560" w:firstLineChars="200"/>
        <w:rPr>
          <w:rFonts w:ascii="宋体" w:hAnsi="宋体" w:cs="宋体"/>
          <w:b/>
          <w:sz w:val="22"/>
          <w:highlight w:val="none"/>
        </w:rPr>
      </w:pPr>
      <w:r>
        <w:rPr>
          <w:rFonts w:hint="eastAsia" w:ascii="宋体" w:hAnsi="宋体" w:cs="宋体"/>
          <w:kern w:val="0"/>
          <w:sz w:val="28"/>
          <w:highlight w:val="none"/>
        </w:rPr>
        <w:br w:type="page"/>
      </w:r>
      <w:r>
        <w:rPr>
          <w:rFonts w:hint="eastAsia" w:ascii="宋体" w:hAnsi="宋体" w:cs="宋体"/>
          <w:b/>
          <w:sz w:val="28"/>
          <w:highlight w:val="none"/>
        </w:rPr>
        <w:t>资格要求审查材料：</w:t>
      </w:r>
    </w:p>
    <w:p>
      <w:pPr>
        <w:adjustRightInd w:val="0"/>
        <w:snapToGrid w:val="0"/>
        <w:spacing w:line="360" w:lineRule="auto"/>
        <w:ind w:left="105" w:leftChars="50" w:firstLine="420" w:firstLineChars="200"/>
        <w:rPr>
          <w:rFonts w:ascii="宋体" w:hAnsi="宋体" w:cs="宋体"/>
          <w:szCs w:val="21"/>
          <w:highlight w:val="none"/>
        </w:rPr>
      </w:pPr>
      <w:r>
        <w:rPr>
          <w:rFonts w:hint="eastAsia" w:ascii="宋体" w:hAnsi="宋体" w:cs="宋体"/>
          <w:szCs w:val="21"/>
          <w:highlight w:val="none"/>
        </w:rPr>
        <w:t>【即证明其符合《中华人民共和国政府采购法》规定的供应商基本条件的有关资格证明文件。以联合体形式参加政府采购的，联合体成员各方均应提供如下资格证明文件。】</w:t>
      </w:r>
    </w:p>
    <w:p>
      <w:pPr>
        <w:adjustRightInd w:val="0"/>
        <w:snapToGrid w:val="0"/>
        <w:spacing w:line="360" w:lineRule="auto"/>
        <w:ind w:left="105" w:leftChars="50" w:firstLine="420" w:firstLineChars="200"/>
        <w:rPr>
          <w:rFonts w:ascii="宋体" w:hAnsi="宋体" w:cs="宋体"/>
          <w:szCs w:val="21"/>
          <w:highlight w:val="none"/>
        </w:rPr>
      </w:pPr>
      <w:r>
        <w:rPr>
          <w:rFonts w:hint="eastAsia" w:ascii="宋体" w:hAnsi="宋体" w:cs="宋体"/>
          <w:szCs w:val="21"/>
          <w:highlight w:val="none"/>
        </w:rPr>
        <w:t>包括：</w:t>
      </w:r>
    </w:p>
    <w:p>
      <w:pPr>
        <w:adjustRightInd w:val="0"/>
        <w:snapToGrid w:val="0"/>
        <w:spacing w:line="360" w:lineRule="auto"/>
        <w:ind w:left="105" w:leftChars="50" w:firstLine="420" w:firstLineChars="200"/>
        <w:rPr>
          <w:rFonts w:ascii="宋体" w:hAnsi="宋体" w:cs="宋体"/>
          <w:szCs w:val="21"/>
          <w:highlight w:val="none"/>
        </w:rPr>
      </w:pPr>
      <w:r>
        <w:rPr>
          <w:rFonts w:hint="eastAsia" w:ascii="宋体" w:hAnsi="宋体" w:cs="宋体"/>
          <w:szCs w:val="21"/>
          <w:highlight w:val="none"/>
        </w:rPr>
        <w:t xml:space="preserve">（1）营业执照(或事业法人登记证书或其它工商等登记证明材料；自然人参与政府采购，提供身份证)复印件、税务登记证(或其它缴纳证明材料)复印件、社保登记证（或其它缴纳证明材料）复印件；实施“五证合一、一照一码”登记制度改革的，只需提供改革后取得的营业执照复印件； </w:t>
      </w:r>
    </w:p>
    <w:p>
      <w:pPr>
        <w:adjustRightInd w:val="0"/>
        <w:snapToGrid w:val="0"/>
        <w:spacing w:line="360" w:lineRule="auto"/>
        <w:ind w:left="105" w:leftChars="50" w:firstLine="420" w:firstLineChars="200"/>
        <w:rPr>
          <w:rFonts w:ascii="宋体" w:hAnsi="宋体" w:cs="宋体"/>
          <w:szCs w:val="21"/>
          <w:highlight w:val="none"/>
        </w:rPr>
      </w:pPr>
      <w:r>
        <w:rPr>
          <w:rFonts w:hint="eastAsia" w:ascii="宋体" w:hAnsi="宋体" w:cs="宋体"/>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采购活动，由单位负责人签署相关文件材料（如有）。</w:t>
      </w:r>
    </w:p>
    <w:p>
      <w:pPr>
        <w:adjustRightInd w:val="0"/>
        <w:snapToGrid w:val="0"/>
        <w:spacing w:line="360" w:lineRule="auto"/>
        <w:ind w:left="105" w:leftChars="50" w:firstLine="420" w:firstLineChars="200"/>
        <w:rPr>
          <w:rFonts w:ascii="宋体" w:hAnsi="宋体" w:cs="宋体"/>
          <w:szCs w:val="21"/>
          <w:highlight w:val="none"/>
        </w:rPr>
      </w:pPr>
    </w:p>
    <w:p>
      <w:pPr>
        <w:adjustRightInd w:val="0"/>
        <w:snapToGrid w:val="0"/>
        <w:spacing w:line="360" w:lineRule="auto"/>
        <w:ind w:left="105" w:leftChars="50" w:firstLine="420" w:firstLineChars="200"/>
        <w:rPr>
          <w:rFonts w:ascii="宋体" w:hAnsi="宋体" w:cs="宋体"/>
          <w:szCs w:val="21"/>
          <w:highlight w:val="none"/>
        </w:rPr>
      </w:pPr>
      <w:r>
        <w:rPr>
          <w:rFonts w:hint="eastAsia" w:ascii="宋体" w:hAnsi="宋体" w:cs="宋体"/>
          <w:szCs w:val="21"/>
          <w:highlight w:val="none"/>
        </w:rPr>
        <w:br w:type="page"/>
      </w:r>
      <w:r>
        <w:rPr>
          <w:rFonts w:hint="eastAsia" w:ascii="宋体" w:hAnsi="宋体" w:cs="宋体"/>
          <w:szCs w:val="21"/>
          <w:highlight w:val="none"/>
        </w:rPr>
        <w:t>（2）承诺函</w:t>
      </w:r>
    </w:p>
    <w:p>
      <w:pPr>
        <w:adjustRightInd w:val="0"/>
        <w:snapToGrid w:val="0"/>
        <w:spacing w:line="360" w:lineRule="auto"/>
        <w:ind w:left="105" w:leftChars="50" w:firstLine="420" w:firstLineChars="200"/>
        <w:rPr>
          <w:rFonts w:ascii="宋体" w:hAnsi="宋体" w:cs="宋体"/>
          <w:szCs w:val="21"/>
          <w:highlight w:val="none"/>
        </w:rPr>
      </w:pPr>
    </w:p>
    <w:p>
      <w:pPr>
        <w:widowControl/>
        <w:adjustRightInd w:val="0"/>
        <w:snapToGrid w:val="0"/>
        <w:spacing w:line="360" w:lineRule="auto"/>
        <w:jc w:val="center"/>
        <w:rPr>
          <w:rFonts w:ascii="宋体" w:hAnsi="宋体" w:cs="宋体"/>
          <w:b/>
          <w:kern w:val="0"/>
          <w:szCs w:val="21"/>
          <w:highlight w:val="none"/>
        </w:rPr>
      </w:pPr>
      <w:r>
        <w:rPr>
          <w:rFonts w:hint="eastAsia" w:ascii="宋体" w:hAnsi="宋体" w:cs="宋体"/>
          <w:b/>
          <w:kern w:val="0"/>
          <w:szCs w:val="21"/>
          <w:highlight w:val="none"/>
        </w:rPr>
        <w:t>承诺函</w:t>
      </w:r>
    </w:p>
    <w:p>
      <w:pPr>
        <w:widowControl/>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u w:val="single"/>
          <w:lang w:eastAsia="zh-CN"/>
        </w:rPr>
        <w:t>浙江理工大学</w:t>
      </w:r>
      <w:r>
        <w:rPr>
          <w:rFonts w:hint="eastAsia" w:ascii="宋体" w:hAnsi="宋体" w:cs="宋体"/>
          <w:kern w:val="0"/>
          <w:szCs w:val="21"/>
          <w:highlight w:val="none"/>
          <w:u w:val="single"/>
        </w:rPr>
        <w:t>：</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我方</w:t>
      </w:r>
      <w:r>
        <w:rPr>
          <w:rFonts w:hint="eastAsia" w:ascii="宋体" w:hAnsi="宋体" w:cs="宋体"/>
          <w:kern w:val="0"/>
          <w:szCs w:val="21"/>
          <w:highlight w:val="none"/>
          <w:u w:val="single"/>
        </w:rPr>
        <w:t>（供应商）</w:t>
      </w:r>
      <w:r>
        <w:rPr>
          <w:rFonts w:hint="eastAsia" w:ascii="宋体" w:hAnsi="宋体" w:cs="宋体"/>
          <w:kern w:val="0"/>
          <w:szCs w:val="21"/>
          <w:highlight w:val="none"/>
        </w:rPr>
        <w:t>承诺：</w:t>
      </w:r>
    </w:p>
    <w:p>
      <w:pPr>
        <w:widowControl/>
        <w:adjustRightInd w:val="0"/>
        <w:snapToGrid w:val="0"/>
        <w:spacing w:line="360" w:lineRule="auto"/>
        <w:ind w:firstLine="440" w:firstLineChars="200"/>
        <w:jc w:val="left"/>
        <w:rPr>
          <w:rFonts w:ascii="宋体" w:hAnsi="宋体" w:cs="宋体"/>
          <w:kern w:val="0"/>
          <w:sz w:val="22"/>
          <w:szCs w:val="21"/>
          <w:highlight w:val="none"/>
        </w:rPr>
      </w:pPr>
      <w:r>
        <w:rPr>
          <w:rFonts w:hint="eastAsia" w:ascii="宋体" w:hAnsi="宋体" w:cs="宋体"/>
          <w:kern w:val="0"/>
          <w:sz w:val="22"/>
          <w:szCs w:val="21"/>
          <w:highlight w:val="none"/>
        </w:rPr>
        <w:t>1、我方承诺</w:t>
      </w:r>
      <w:r>
        <w:rPr>
          <w:rFonts w:hint="eastAsia" w:ascii="宋体" w:hAnsi="宋体" w:cs="宋体"/>
          <w:highlight w:val="none"/>
        </w:rPr>
        <w:t>具有良好的商业信誉和健全的财务会计制度</w:t>
      </w:r>
      <w:r>
        <w:rPr>
          <w:rFonts w:hint="eastAsia" w:ascii="宋体" w:hAnsi="宋体" w:cs="宋体"/>
          <w:kern w:val="0"/>
          <w:sz w:val="22"/>
          <w:szCs w:val="21"/>
          <w:highlight w:val="none"/>
        </w:rPr>
        <w:t>。</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2、我方承诺具有履行合同所必需的设备和专业技术能力。</w:t>
      </w:r>
    </w:p>
    <w:p>
      <w:pPr>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3、我方郑重声明，我司严格依法缴纳税收和社会保障资金。</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4、我方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5、我方郑重承诺：到本项目投标截止时间为止，我公司未被“信用中国”（www.creditchina.gov.cn）、中国政府采购网（www.ccgp.gov.cn）列入失信被执行人名单、重大税收违法案件当事人名单、政府采购严重违法失信行为记录名单。</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6、我方承诺不存在以下情况：</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（1）单位负责人为同一人或者存在直接控股、管理关系的不同供应商参加同一合同项下的政府采购活动的；</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（2）为采购项目提供整体设计、规范编制或者项目管理、监理、检测等服务后再参加该采购项目的其他采购活动的。</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以上如有虚假，采购人可取消我方任何资格（中标/成交/签订合同），我方对此无任何异议。</w:t>
      </w:r>
    </w:p>
    <w:p>
      <w:pPr>
        <w:widowControl/>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特此承诺！</w:t>
      </w:r>
    </w:p>
    <w:p>
      <w:pPr>
        <w:adjustRightInd w:val="0"/>
        <w:snapToGrid w:val="0"/>
        <w:spacing w:line="360" w:lineRule="auto"/>
        <w:ind w:left="525" w:leftChars="250"/>
        <w:rPr>
          <w:rFonts w:ascii="宋体" w:hAnsi="宋体" w:cs="宋体"/>
          <w:szCs w:val="21"/>
          <w:highlight w:val="none"/>
        </w:rPr>
      </w:pP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供应商全称（盖章）：</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日期：  年  月  日</w:t>
      </w:r>
    </w:p>
    <w:p>
      <w:pPr>
        <w:widowControl/>
        <w:adjustRightInd w:val="0"/>
        <w:snapToGrid w:val="0"/>
        <w:spacing w:line="360" w:lineRule="auto"/>
        <w:ind w:firstLine="420" w:firstLineChars="200"/>
        <w:jc w:val="left"/>
        <w:rPr>
          <w:rFonts w:ascii="宋体" w:hAnsi="宋体" w:cs="宋体"/>
          <w:kern w:val="0"/>
          <w:szCs w:val="21"/>
          <w:highlight w:val="none"/>
        </w:rPr>
      </w:pPr>
    </w:p>
    <w:p>
      <w:pPr>
        <w:rPr>
          <w:rFonts w:ascii="宋体" w:hAnsi="宋体" w:cs="宋体"/>
          <w:kern w:val="0"/>
          <w:szCs w:val="21"/>
          <w:highlight w:val="none"/>
        </w:rPr>
      </w:pPr>
      <w:bookmarkStart w:id="202" w:name="_Toc3771"/>
      <w:bookmarkStart w:id="203" w:name="_Toc17180"/>
      <w:bookmarkStart w:id="204" w:name="_Toc15588"/>
      <w:bookmarkStart w:id="205" w:name="_Toc4859"/>
      <w:r>
        <w:rPr>
          <w:rFonts w:hint="eastAsia" w:ascii="宋体" w:hAnsi="宋体" w:cs="宋体"/>
          <w:kern w:val="0"/>
          <w:szCs w:val="21"/>
          <w:highlight w:val="none"/>
        </w:rPr>
        <w:br w:type="page"/>
      </w:r>
    </w:p>
    <w:bookmarkEnd w:id="202"/>
    <w:bookmarkEnd w:id="203"/>
    <w:bookmarkEnd w:id="204"/>
    <w:bookmarkEnd w:id="205"/>
    <w:p>
      <w:pPr>
        <w:spacing w:line="360" w:lineRule="auto"/>
        <w:rPr>
          <w:rFonts w:ascii="宋体" w:hAnsi="宋体" w:cs="宋体"/>
          <w:b/>
          <w:highlight w:val="none"/>
        </w:rPr>
      </w:pPr>
      <w:r>
        <w:rPr>
          <w:rFonts w:hint="eastAsia" w:ascii="宋体" w:hAnsi="宋体" w:cs="宋体"/>
          <w:b/>
          <w:bCs/>
          <w:szCs w:val="32"/>
          <w:highlight w:val="none"/>
        </w:rPr>
        <w:t>（3）中小企业（</w:t>
      </w:r>
      <w:r>
        <w:rPr>
          <w:rFonts w:hint="eastAsia" w:ascii="宋体" w:hAnsi="宋体" w:cs="宋体"/>
          <w:b/>
          <w:highlight w:val="none"/>
        </w:rPr>
        <w:t>监狱企业、残疾人福利性单位</w:t>
      </w:r>
      <w:r>
        <w:rPr>
          <w:rFonts w:hint="eastAsia" w:ascii="宋体" w:hAnsi="宋体" w:cs="宋体"/>
          <w:b/>
          <w:kern w:val="0"/>
          <w:szCs w:val="21"/>
          <w:highlight w:val="none"/>
        </w:rPr>
        <w:t>）</w:t>
      </w:r>
      <w:r>
        <w:rPr>
          <w:rFonts w:hint="eastAsia" w:ascii="宋体" w:hAnsi="宋体" w:cs="宋体"/>
          <w:b/>
          <w:highlight w:val="none"/>
        </w:rPr>
        <w:t>声明函</w:t>
      </w:r>
    </w:p>
    <w:p>
      <w:pPr>
        <w:spacing w:line="360" w:lineRule="auto"/>
        <w:jc w:val="center"/>
        <w:rPr>
          <w:rFonts w:ascii="宋体" w:hAnsi="宋体" w:cs="宋体"/>
          <w:b/>
          <w:bCs/>
          <w:sz w:val="30"/>
          <w:szCs w:val="30"/>
          <w:highlight w:val="none"/>
        </w:rPr>
      </w:pPr>
      <w:r>
        <w:rPr>
          <w:rFonts w:hint="eastAsia" w:ascii="宋体" w:hAnsi="宋体" w:cs="宋体"/>
          <w:b/>
          <w:bCs/>
          <w:sz w:val="30"/>
          <w:szCs w:val="30"/>
          <w:highlight w:val="none"/>
        </w:rPr>
        <w:t>中小企业声明函（服务）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本公司（联合体）郑重声明，根据《政府采购促进中小企业发展管理办法》（财库﹝2020﹞46 号）的规定，本公司（联合体）参加（</w:t>
      </w:r>
      <w:r>
        <w:rPr>
          <w:rFonts w:hint="eastAsia" w:ascii="宋体" w:hAnsi="宋体" w:cs="宋体"/>
          <w:b/>
          <w:kern w:val="0"/>
          <w:sz w:val="24"/>
          <w:highlight w:val="none"/>
          <w:u w:val="single"/>
          <w:lang w:eastAsia="zh-CN"/>
        </w:rPr>
        <w:t>浙江理工大学</w:t>
      </w:r>
      <w:r>
        <w:rPr>
          <w:rFonts w:hint="eastAsia" w:ascii="宋体" w:hAnsi="宋体" w:cs="宋体"/>
          <w:sz w:val="24"/>
          <w:highlight w:val="none"/>
        </w:rPr>
        <w:t>）的</w:t>
      </w:r>
      <w:r>
        <w:rPr>
          <w:rFonts w:hint="eastAsia" w:ascii="宋体" w:hAnsi="宋体" w:cs="宋体"/>
          <w:b/>
          <w:kern w:val="0"/>
          <w:sz w:val="24"/>
          <w:highlight w:val="none"/>
          <w:u w:val="single"/>
          <w:lang w:eastAsia="zh-CN"/>
        </w:rPr>
        <w:t>浙江理工大学消防管网改造及安全防护设施、电梯更新项目监理服务</w:t>
      </w:r>
      <w:r>
        <w:rPr>
          <w:rFonts w:hint="eastAsia" w:ascii="宋体" w:hAnsi="宋体" w:cs="宋体"/>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cs="宋体"/>
          <w:b/>
          <w:sz w:val="24"/>
          <w:highlight w:val="none"/>
          <w:u w:val="single"/>
        </w:rPr>
      </w:pPr>
      <w:r>
        <w:rPr>
          <w:rFonts w:hint="eastAsia" w:ascii="宋体" w:hAnsi="宋体" w:cs="宋体"/>
          <w:sz w:val="24"/>
          <w:highlight w:val="none"/>
        </w:rPr>
        <w:t>1</w:t>
      </w:r>
      <w:r>
        <w:rPr>
          <w:rFonts w:hint="eastAsia" w:ascii="宋体" w:hAnsi="宋体" w:cs="宋体"/>
          <w:b/>
          <w:sz w:val="24"/>
          <w:highlight w:val="none"/>
        </w:rPr>
        <w:t>.</w:t>
      </w:r>
      <w:r>
        <w:rPr>
          <w:rFonts w:hint="eastAsia" w:ascii="宋体" w:hAnsi="宋体" w:cs="宋体"/>
          <w:b/>
          <w:kern w:val="0"/>
          <w:sz w:val="24"/>
          <w:highlight w:val="none"/>
          <w:u w:val="single"/>
          <w:lang w:eastAsia="zh-CN"/>
        </w:rPr>
        <w:t>浙江理工大学消防管网改造及安全防护设施、电梯更新项目监理服务</w:t>
      </w:r>
      <w:r>
        <w:rPr>
          <w:rFonts w:hint="eastAsia" w:ascii="宋体" w:hAnsi="宋体" w:cs="宋体"/>
          <w:b/>
          <w:sz w:val="24"/>
          <w:highlight w:val="none"/>
        </w:rPr>
        <w:t>，</w:t>
      </w:r>
      <w:r>
        <w:rPr>
          <w:rFonts w:hint="eastAsia" w:ascii="宋体" w:hAnsi="宋体" w:cs="宋体"/>
          <w:sz w:val="24"/>
          <w:highlight w:val="none"/>
        </w:rPr>
        <w:t>属于</w:t>
      </w:r>
      <w:r>
        <w:rPr>
          <w:rFonts w:hint="eastAsia" w:ascii="宋体" w:hAnsi="宋体" w:cs="宋体"/>
          <w:sz w:val="24"/>
          <w:highlight w:val="none"/>
          <w:u w:val="single"/>
        </w:rPr>
        <w:t>其他未列明行业</w:t>
      </w:r>
      <w:r>
        <w:rPr>
          <w:rFonts w:hint="eastAsia" w:ascii="宋体" w:hAnsi="宋体" w:cs="宋体"/>
          <w:sz w:val="24"/>
          <w:highlight w:val="none"/>
        </w:rPr>
        <w:t>；承建（承接）企业为</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b/>
          <w:sz w:val="24"/>
          <w:highlight w:val="none"/>
          <w:u w:val="single"/>
        </w:rPr>
        <w:t>企业名称</w:t>
      </w:r>
      <w:r>
        <w:rPr>
          <w:rFonts w:hint="eastAsia" w:ascii="宋体" w:hAnsi="宋体" w:cs="宋体"/>
          <w:sz w:val="24"/>
          <w:highlight w:val="none"/>
        </w:rPr>
        <w:t>），</w:t>
      </w:r>
      <w:r>
        <w:rPr>
          <w:rFonts w:hint="eastAsia" w:ascii="宋体" w:hAnsi="宋体" w:cs="宋体"/>
          <w:b/>
          <w:sz w:val="24"/>
          <w:highlight w:val="none"/>
        </w:rPr>
        <w:t>从业人员</w:t>
      </w:r>
      <w:r>
        <w:rPr>
          <w:rFonts w:hint="eastAsia" w:ascii="宋体" w:hAnsi="宋体" w:cs="宋体"/>
          <w:b/>
          <w:kern w:val="0"/>
          <w:sz w:val="24"/>
          <w:highlight w:val="none"/>
          <w:u w:val="single"/>
        </w:rPr>
        <w:t xml:space="preserve">     </w:t>
      </w:r>
      <w:r>
        <w:rPr>
          <w:rFonts w:hint="eastAsia" w:ascii="宋体" w:hAnsi="宋体" w:cs="宋体"/>
          <w:b/>
          <w:sz w:val="24"/>
          <w:highlight w:val="none"/>
        </w:rPr>
        <w:t>人，营业收入为</w:t>
      </w:r>
      <w:r>
        <w:rPr>
          <w:rFonts w:hint="eastAsia" w:ascii="宋体" w:hAnsi="宋体" w:cs="宋体"/>
          <w:b/>
          <w:kern w:val="0"/>
          <w:sz w:val="24"/>
          <w:highlight w:val="none"/>
          <w:u w:val="single"/>
        </w:rPr>
        <w:t xml:space="preserve">     </w:t>
      </w:r>
      <w:r>
        <w:rPr>
          <w:rFonts w:hint="eastAsia" w:ascii="宋体" w:hAnsi="宋体" w:cs="宋体"/>
          <w:b/>
          <w:sz w:val="24"/>
          <w:highlight w:val="none"/>
        </w:rPr>
        <w:t>万元，资产总额为</w:t>
      </w:r>
      <w:r>
        <w:rPr>
          <w:rFonts w:hint="eastAsia" w:ascii="宋体" w:hAnsi="宋体" w:cs="宋体"/>
          <w:b/>
          <w:kern w:val="0"/>
          <w:sz w:val="24"/>
          <w:highlight w:val="none"/>
          <w:u w:val="single"/>
        </w:rPr>
        <w:t xml:space="preserve">     </w:t>
      </w:r>
      <w:r>
        <w:rPr>
          <w:rFonts w:hint="eastAsia" w:ascii="宋体" w:hAnsi="宋体" w:cs="宋体"/>
          <w:b/>
          <w:sz w:val="24"/>
          <w:highlight w:val="none"/>
        </w:rPr>
        <w:t>万元，属于</w:t>
      </w:r>
      <w:r>
        <w:rPr>
          <w:rFonts w:hint="eastAsia" w:ascii="宋体" w:hAnsi="宋体" w:cs="宋体"/>
          <w:b/>
          <w:kern w:val="0"/>
          <w:sz w:val="24"/>
          <w:highlight w:val="none"/>
          <w:u w:val="single"/>
        </w:rPr>
        <w:t xml:space="preserve">          </w:t>
      </w:r>
      <w:r>
        <w:rPr>
          <w:rFonts w:hint="eastAsia" w:ascii="宋体" w:hAnsi="宋体" w:cs="宋体"/>
          <w:b/>
          <w:sz w:val="24"/>
          <w:highlight w:val="none"/>
        </w:rPr>
        <w:t>（中型企业、小型企业、微型企业）</w:t>
      </w:r>
      <w:r>
        <w:rPr>
          <w:rFonts w:hint="eastAsia" w:ascii="宋体" w:hAnsi="宋体" w:cs="宋体"/>
          <w:sz w:val="24"/>
          <w:highlight w:val="none"/>
        </w:rPr>
        <w:t>；</w:t>
      </w:r>
    </w:p>
    <w:p>
      <w:pPr>
        <w:widowControl/>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w:t>
      </w:r>
    </w:p>
    <w:p>
      <w:pPr>
        <w:widowControl/>
        <w:spacing w:line="360" w:lineRule="auto"/>
        <w:ind w:firstLine="420" w:firstLineChars="200"/>
        <w:jc w:val="left"/>
        <w:rPr>
          <w:rFonts w:ascii="宋体" w:hAnsi="宋体" w:cs="宋体"/>
          <w:szCs w:val="21"/>
          <w:highlight w:val="none"/>
        </w:rPr>
      </w:pPr>
      <w:r>
        <w:rPr>
          <w:rFonts w:hint="eastAsia" w:ascii="宋体" w:hAnsi="宋体" w:cs="宋体"/>
          <w:kern w:val="0"/>
          <w:szCs w:val="21"/>
          <w:highlight w:val="none"/>
        </w:rPr>
        <w:t>以上企业，不属于大企业的分支机构，不存在控股股东为大企业的情形，也不存在与大企业的负责人为同一人的情形。</w:t>
      </w:r>
    </w:p>
    <w:p>
      <w:pPr>
        <w:widowControl/>
        <w:spacing w:line="360" w:lineRule="auto"/>
        <w:ind w:firstLine="420" w:firstLineChars="200"/>
        <w:jc w:val="left"/>
        <w:rPr>
          <w:rFonts w:ascii="宋体" w:hAnsi="宋体" w:cs="宋体"/>
          <w:szCs w:val="21"/>
          <w:highlight w:val="none"/>
        </w:rPr>
      </w:pPr>
      <w:r>
        <w:rPr>
          <w:rFonts w:hint="eastAsia" w:ascii="宋体" w:hAnsi="宋体" w:cs="宋体"/>
          <w:kern w:val="0"/>
          <w:szCs w:val="21"/>
          <w:highlight w:val="none"/>
        </w:rPr>
        <w:t>本企业对上述声明内容的真实性负责。如有虚假，将依法承担相应责任。</w:t>
      </w:r>
    </w:p>
    <w:p>
      <w:pPr>
        <w:widowControl/>
        <w:spacing w:line="360" w:lineRule="auto"/>
        <w:jc w:val="left"/>
        <w:rPr>
          <w:rFonts w:ascii="宋体" w:hAnsi="宋体" w:cs="宋体"/>
          <w:kern w:val="0"/>
          <w:szCs w:val="21"/>
          <w:highlight w:val="none"/>
        </w:rPr>
      </w:pPr>
    </w:p>
    <w:p>
      <w:pPr>
        <w:widowControl/>
        <w:spacing w:line="360" w:lineRule="auto"/>
        <w:ind w:firstLine="5250" w:firstLineChars="2500"/>
        <w:jc w:val="left"/>
        <w:rPr>
          <w:rFonts w:ascii="宋体" w:hAnsi="宋体" w:cs="宋体"/>
          <w:kern w:val="0"/>
          <w:szCs w:val="21"/>
          <w:highlight w:val="none"/>
        </w:rPr>
      </w:pPr>
    </w:p>
    <w:p>
      <w:pPr>
        <w:widowControl/>
        <w:spacing w:line="360" w:lineRule="auto"/>
        <w:ind w:firstLine="5250" w:firstLineChars="2500"/>
        <w:jc w:val="left"/>
        <w:rPr>
          <w:rFonts w:ascii="宋体" w:hAnsi="宋体" w:cs="宋体"/>
          <w:szCs w:val="21"/>
          <w:highlight w:val="none"/>
        </w:rPr>
      </w:pPr>
      <w:r>
        <w:rPr>
          <w:rFonts w:hint="eastAsia" w:ascii="宋体" w:hAnsi="宋体" w:cs="宋体"/>
          <w:kern w:val="0"/>
          <w:szCs w:val="21"/>
          <w:highlight w:val="none"/>
        </w:rPr>
        <w:t>企业名称（盖章）：</w:t>
      </w:r>
    </w:p>
    <w:p>
      <w:pPr>
        <w:widowControl/>
        <w:spacing w:line="360" w:lineRule="auto"/>
        <w:ind w:firstLine="5250" w:firstLineChars="2500"/>
        <w:jc w:val="left"/>
        <w:rPr>
          <w:rFonts w:ascii="宋体" w:hAnsi="宋体" w:cs="宋体"/>
          <w:szCs w:val="21"/>
          <w:highlight w:val="none"/>
        </w:rPr>
      </w:pPr>
      <w:r>
        <w:rPr>
          <w:rFonts w:hint="eastAsia" w:ascii="宋体" w:hAnsi="宋体" w:cs="宋体"/>
          <w:kern w:val="0"/>
          <w:szCs w:val="21"/>
          <w:highlight w:val="none"/>
        </w:rPr>
        <w:t>日期：</w:t>
      </w:r>
    </w:p>
    <w:p>
      <w:pPr>
        <w:snapToGrid w:val="0"/>
        <w:spacing w:line="360" w:lineRule="auto"/>
        <w:rPr>
          <w:rFonts w:ascii="宋体" w:hAnsi="宋体" w:cs="宋体"/>
          <w:b/>
          <w:szCs w:val="21"/>
          <w:highlight w:val="none"/>
        </w:rPr>
      </w:pPr>
    </w:p>
    <w:p>
      <w:pPr>
        <w:snapToGrid w:val="0"/>
        <w:spacing w:line="360" w:lineRule="auto"/>
        <w:rPr>
          <w:rFonts w:ascii="宋体" w:hAnsi="宋体" w:cs="宋体"/>
          <w:b/>
          <w:szCs w:val="21"/>
          <w:highlight w:val="none"/>
        </w:rPr>
      </w:pPr>
    </w:p>
    <w:p>
      <w:pPr>
        <w:snapToGrid w:val="0"/>
        <w:spacing w:line="360" w:lineRule="auto"/>
        <w:rPr>
          <w:rFonts w:ascii="宋体" w:hAnsi="宋体" w:cs="宋体"/>
          <w:b/>
          <w:szCs w:val="21"/>
          <w:highlight w:val="none"/>
        </w:rPr>
      </w:pPr>
      <w:r>
        <w:rPr>
          <w:rFonts w:hint="eastAsia" w:ascii="宋体" w:hAnsi="宋体" w:cs="宋体"/>
          <w:b/>
          <w:szCs w:val="21"/>
          <w:highlight w:val="none"/>
        </w:rPr>
        <w:t>说明：</w:t>
      </w:r>
    </w:p>
    <w:p>
      <w:pPr>
        <w:snapToGrid w:val="0"/>
        <w:spacing w:line="360" w:lineRule="auto"/>
        <w:rPr>
          <w:rFonts w:ascii="宋体" w:hAnsi="宋体" w:cs="宋体"/>
          <w:bCs/>
          <w:szCs w:val="21"/>
          <w:highlight w:val="none"/>
        </w:rPr>
      </w:pPr>
      <w:r>
        <w:rPr>
          <w:rFonts w:hint="eastAsia" w:ascii="宋体" w:hAnsi="宋体" w:cs="宋体"/>
          <w:bCs/>
          <w:szCs w:val="21"/>
          <w:highlight w:val="none"/>
        </w:rPr>
        <w:t>1.从业人员、营业收入、资产总额填报上一年度数据，无上一年度数据的新成立企业可不填报。</w:t>
      </w:r>
    </w:p>
    <w:p>
      <w:pPr>
        <w:tabs>
          <w:tab w:val="left" w:pos="2580"/>
          <w:tab w:val="left" w:pos="5940"/>
        </w:tabs>
        <w:autoSpaceDE w:val="0"/>
        <w:autoSpaceDN w:val="0"/>
        <w:adjustRightInd w:val="0"/>
        <w:snapToGrid w:val="0"/>
        <w:spacing w:line="360" w:lineRule="auto"/>
        <w:ind w:right="-20"/>
        <w:rPr>
          <w:rFonts w:ascii="宋体" w:hAnsi="宋体" w:cs="宋体"/>
          <w:bCs/>
          <w:szCs w:val="21"/>
          <w:highlight w:val="none"/>
        </w:rPr>
      </w:pPr>
      <w:r>
        <w:rPr>
          <w:rFonts w:hint="eastAsia" w:ascii="宋体" w:hAnsi="宋体" w:cs="宋体"/>
          <w:bCs/>
          <w:szCs w:val="21"/>
          <w:highlight w:val="none"/>
        </w:rPr>
        <w:t>2.本项目所属行业见前附表。</w:t>
      </w:r>
    </w:p>
    <w:p>
      <w:pPr>
        <w:widowControl/>
        <w:spacing w:line="360" w:lineRule="auto"/>
        <w:jc w:val="center"/>
        <w:rPr>
          <w:rFonts w:ascii="宋体" w:hAnsi="宋体" w:cs="宋体"/>
          <w:b/>
          <w:bCs/>
          <w:sz w:val="32"/>
          <w:highlight w:val="none"/>
        </w:rPr>
      </w:pPr>
      <w:r>
        <w:rPr>
          <w:rFonts w:hint="eastAsia" w:ascii="宋体" w:hAnsi="宋体" w:cs="宋体"/>
          <w:bCs/>
          <w:szCs w:val="21"/>
          <w:highlight w:val="none"/>
        </w:rPr>
        <w:br w:type="page"/>
      </w:r>
      <w:r>
        <w:rPr>
          <w:rFonts w:hint="eastAsia" w:ascii="宋体" w:hAnsi="宋体" w:cs="宋体"/>
          <w:b/>
          <w:bCs/>
          <w:sz w:val="32"/>
          <w:highlight w:val="none"/>
        </w:rPr>
        <w:t>监狱企业声明函</w:t>
      </w:r>
    </w:p>
    <w:p>
      <w:pPr>
        <w:adjustRightInd w:val="0"/>
        <w:snapToGrid w:val="0"/>
        <w:spacing w:line="360" w:lineRule="auto"/>
        <w:jc w:val="center"/>
        <w:rPr>
          <w:rFonts w:ascii="宋体" w:hAnsi="宋体" w:cs="宋体"/>
          <w:b/>
          <w:szCs w:val="21"/>
          <w:highlight w:val="none"/>
        </w:rPr>
      </w:pPr>
      <w:r>
        <w:rPr>
          <w:rFonts w:hint="eastAsia" w:ascii="宋体" w:hAnsi="宋体" w:cs="宋体"/>
          <w:b/>
          <w:szCs w:val="21"/>
          <w:highlight w:val="none"/>
        </w:rPr>
        <w:t>【不属于监狱企业的无需填写、递交】</w:t>
      </w:r>
    </w:p>
    <w:p>
      <w:pPr>
        <w:widowControl/>
        <w:adjustRightInd w:val="0"/>
        <w:snapToGrid w:val="0"/>
        <w:spacing w:line="360" w:lineRule="auto"/>
        <w:ind w:firstLine="420" w:firstLineChars="200"/>
        <w:rPr>
          <w:rFonts w:ascii="宋体" w:hAnsi="宋体" w:cs="宋体"/>
          <w:szCs w:val="21"/>
          <w:highlight w:val="none"/>
        </w:rPr>
      </w:pPr>
    </w:p>
    <w:p>
      <w:pPr>
        <w:widowControl/>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本企业郑重声明，根据《关于政府采购支持监狱企业发展有关问题的通知》（财库[2014]68号）的规定，本企业为</w:t>
      </w:r>
      <w:r>
        <w:rPr>
          <w:rFonts w:hint="eastAsia" w:ascii="宋体" w:hAnsi="宋体" w:cs="宋体"/>
          <w:szCs w:val="21"/>
          <w:highlight w:val="none"/>
          <w:u w:val="single"/>
        </w:rPr>
        <w:t>监狱企业</w:t>
      </w:r>
      <w:r>
        <w:rPr>
          <w:rFonts w:hint="eastAsia" w:ascii="宋体" w:hAnsi="宋体" w:cs="宋体"/>
          <w:szCs w:val="21"/>
          <w:highlight w:val="none"/>
        </w:rPr>
        <w:t>。</w:t>
      </w:r>
    </w:p>
    <w:p>
      <w:pPr>
        <w:widowControl/>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根据上述标准，我企业属于</w:t>
      </w:r>
      <w:r>
        <w:rPr>
          <w:rFonts w:hint="eastAsia" w:ascii="宋体" w:hAnsi="宋体" w:cs="宋体"/>
          <w:szCs w:val="21"/>
          <w:highlight w:val="none"/>
          <w:u w:val="single"/>
        </w:rPr>
        <w:t>监狱企业</w:t>
      </w:r>
      <w:r>
        <w:rPr>
          <w:rFonts w:hint="eastAsia" w:ascii="宋体" w:hAnsi="宋体" w:cs="宋体"/>
          <w:szCs w:val="21"/>
          <w:highlight w:val="none"/>
        </w:rPr>
        <w:t>的理由为：。</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本企业为参加（项目名称：）（项目编号：）采购活动提供本企业的产品。</w:t>
      </w:r>
    </w:p>
    <w:p>
      <w:pPr>
        <w:widowControl/>
        <w:adjustRightInd w:val="0"/>
        <w:snapToGrid w:val="0"/>
        <w:spacing w:line="360" w:lineRule="auto"/>
        <w:ind w:firstLine="482" w:firstLineChars="200"/>
        <w:rPr>
          <w:rFonts w:ascii="宋体" w:hAnsi="宋体" w:cs="宋体"/>
          <w:b/>
          <w:bCs/>
          <w:sz w:val="24"/>
          <w:highlight w:val="none"/>
        </w:rPr>
      </w:pPr>
    </w:p>
    <w:p>
      <w:pPr>
        <w:widowControl/>
        <w:adjustRightInd w:val="0"/>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本企业对上述声明的真实性负责。如有虚假，将依法承担相应责任。</w:t>
      </w:r>
    </w:p>
    <w:p>
      <w:pPr>
        <w:adjustRightInd w:val="0"/>
        <w:snapToGrid w:val="0"/>
        <w:spacing w:line="360" w:lineRule="auto"/>
        <w:ind w:firstLine="420" w:firstLineChars="200"/>
        <w:jc w:val="center"/>
        <w:rPr>
          <w:rFonts w:ascii="宋体" w:hAnsi="宋体" w:cs="宋体"/>
          <w:szCs w:val="21"/>
          <w:highlight w:val="none"/>
        </w:rPr>
      </w:pPr>
    </w:p>
    <w:p>
      <w:pPr>
        <w:adjustRightInd w:val="0"/>
        <w:snapToGrid w:val="0"/>
        <w:spacing w:line="360" w:lineRule="auto"/>
        <w:ind w:firstLine="420" w:firstLineChars="200"/>
        <w:rPr>
          <w:rFonts w:ascii="宋体" w:hAnsi="宋体" w:cs="宋体"/>
          <w:kern w:val="0"/>
          <w:szCs w:val="21"/>
          <w:highlight w:val="none"/>
          <w:u w:val="single"/>
        </w:rPr>
      </w:pPr>
      <w:r>
        <w:rPr>
          <w:rFonts w:hint="eastAsia" w:ascii="宋体" w:hAnsi="宋体" w:cs="宋体"/>
          <w:kern w:val="0"/>
          <w:szCs w:val="21"/>
          <w:highlight w:val="none"/>
        </w:rPr>
        <w:t>供应商（盖章）：</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日期：年月日</w:t>
      </w:r>
    </w:p>
    <w:p>
      <w:pPr>
        <w:widowControl/>
        <w:snapToGrid w:val="0"/>
        <w:spacing w:line="360" w:lineRule="auto"/>
        <w:ind w:firstLine="420" w:firstLineChars="200"/>
        <w:rPr>
          <w:rFonts w:ascii="宋体" w:hAnsi="宋体" w:cs="宋体"/>
          <w:kern w:val="0"/>
          <w:szCs w:val="21"/>
          <w:highlight w:val="none"/>
        </w:rPr>
      </w:pPr>
    </w:p>
    <w:p>
      <w:pPr>
        <w:widowControl/>
        <w:snapToGrid w:val="0"/>
        <w:spacing w:line="360" w:lineRule="auto"/>
        <w:ind w:firstLine="420" w:firstLineChars="200"/>
        <w:rPr>
          <w:rFonts w:ascii="宋体" w:hAnsi="宋体" w:cs="宋体"/>
          <w:kern w:val="0"/>
          <w:szCs w:val="21"/>
          <w:highlight w:val="none"/>
        </w:rPr>
      </w:pPr>
    </w:p>
    <w:p>
      <w:pPr>
        <w:widowControl/>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监狱企业参加政府采购活动时，应当提供由省级以上监狱管理局、戒毒管理局（含新疆生产建设兵团）出具的属于监狱企业的证明文件。</w:t>
      </w:r>
    </w:p>
    <w:p>
      <w:pPr>
        <w:pStyle w:val="6"/>
        <w:adjustRightInd w:val="0"/>
        <w:snapToGrid w:val="0"/>
        <w:spacing w:line="360" w:lineRule="auto"/>
        <w:ind w:firstLine="420" w:firstLineChars="200"/>
        <w:rPr>
          <w:rFonts w:hAnsi="宋体" w:cs="宋体"/>
          <w:highlight w:val="none"/>
        </w:rPr>
      </w:pPr>
      <w:r>
        <w:rPr>
          <w:rFonts w:hint="eastAsia" w:hAnsi="宋体" w:cs="宋体"/>
          <w:kern w:val="0"/>
          <w:szCs w:val="21"/>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adjustRightInd w:val="0"/>
        <w:snapToGrid w:val="0"/>
        <w:spacing w:line="360" w:lineRule="auto"/>
        <w:jc w:val="center"/>
        <w:rPr>
          <w:rFonts w:ascii="宋体" w:hAnsi="宋体" w:cs="宋体"/>
          <w:b/>
          <w:kern w:val="0"/>
          <w:sz w:val="32"/>
          <w:szCs w:val="21"/>
          <w:highlight w:val="none"/>
        </w:rPr>
      </w:pPr>
      <w:r>
        <w:rPr>
          <w:rFonts w:hint="eastAsia" w:ascii="宋体" w:hAnsi="宋体" w:cs="宋体"/>
          <w:kern w:val="0"/>
          <w:sz w:val="28"/>
          <w:highlight w:val="none"/>
        </w:rPr>
        <w:br w:type="page"/>
      </w:r>
      <w:r>
        <w:rPr>
          <w:rFonts w:hint="eastAsia" w:ascii="宋体" w:hAnsi="宋体" w:cs="宋体"/>
          <w:b/>
          <w:kern w:val="0"/>
          <w:sz w:val="32"/>
          <w:szCs w:val="21"/>
          <w:highlight w:val="none"/>
        </w:rPr>
        <w:t>残疾人福利性单位声明函</w:t>
      </w:r>
    </w:p>
    <w:p>
      <w:pPr>
        <w:widowControl/>
        <w:adjustRightInd w:val="0"/>
        <w:snapToGrid w:val="0"/>
        <w:spacing w:line="360" w:lineRule="auto"/>
        <w:ind w:firstLine="422" w:firstLineChars="200"/>
        <w:jc w:val="center"/>
        <w:rPr>
          <w:rFonts w:ascii="宋体" w:hAnsi="宋体" w:cs="宋体"/>
          <w:b/>
          <w:bCs/>
          <w:kern w:val="0"/>
          <w:szCs w:val="21"/>
          <w:highlight w:val="none"/>
        </w:rPr>
      </w:pPr>
      <w:r>
        <w:rPr>
          <w:rFonts w:hint="eastAsia" w:ascii="宋体" w:hAnsi="宋体" w:cs="宋体"/>
          <w:b/>
          <w:bCs/>
          <w:kern w:val="0"/>
          <w:szCs w:val="21"/>
          <w:highlight w:val="none"/>
        </w:rPr>
        <w:t>【不属于残疾人福利性单位的无需填写、递交】</w:t>
      </w:r>
    </w:p>
    <w:p>
      <w:pPr>
        <w:snapToGrid w:val="0"/>
        <w:spacing w:line="360" w:lineRule="auto"/>
        <w:jc w:val="center"/>
        <w:rPr>
          <w:rFonts w:ascii="宋体" w:hAnsi="宋体" w:cs="宋体"/>
          <w:b/>
          <w:bCs/>
          <w:sz w:val="32"/>
          <w:szCs w:val="32"/>
          <w:highlight w:val="none"/>
        </w:rPr>
      </w:pPr>
    </w:p>
    <w:p>
      <w:pPr>
        <w:snapToGrid w:val="0"/>
        <w:spacing w:line="360" w:lineRule="auto"/>
        <w:ind w:firstLine="444" w:firstLineChars="200"/>
        <w:rPr>
          <w:rFonts w:ascii="宋体" w:hAnsi="宋体" w:cs="宋体"/>
          <w:spacing w:val="6"/>
          <w:szCs w:val="21"/>
          <w:highlight w:val="none"/>
        </w:rPr>
      </w:pPr>
      <w:r>
        <w:rPr>
          <w:rFonts w:hint="eastAsia" w:ascii="宋体" w:hAnsi="宋体" w:cs="宋体"/>
          <w:spacing w:val="6"/>
          <w:szCs w:val="21"/>
          <w:highlight w:val="none"/>
        </w:rPr>
        <w:t>本单位郑重声明，根据《财政部民政部中国残疾人联合会关于促进残疾人就业政府采购政策的通知》（财库</w:t>
      </w:r>
      <w:r>
        <w:rPr>
          <w:rFonts w:hint="eastAsia" w:ascii="宋体" w:hAnsi="宋体" w:cs="宋体"/>
          <w:szCs w:val="21"/>
          <w:highlight w:val="none"/>
        </w:rPr>
        <w:t>〔2017〕141</w:t>
      </w:r>
      <w:r>
        <w:rPr>
          <w:rFonts w:hint="eastAsia" w:ascii="宋体" w:hAnsi="宋体" w:cs="宋体"/>
          <w:spacing w:val="6"/>
          <w:szCs w:val="21"/>
          <w:highlight w:val="none"/>
        </w:rPr>
        <w:t>号）的规定，本单位为符合条件的残疾人福利性单位，且本单位参加</w:t>
      </w:r>
      <w:r>
        <w:rPr>
          <w:rFonts w:hint="eastAsia" w:ascii="宋体" w:hAnsi="宋体" w:cs="宋体"/>
          <w:spacing w:val="6"/>
          <w:szCs w:val="21"/>
          <w:highlight w:val="none"/>
          <w:u w:val="single"/>
        </w:rPr>
        <w:t>（采购人名称）</w:t>
      </w:r>
      <w:r>
        <w:rPr>
          <w:rFonts w:hint="eastAsia" w:ascii="宋体" w:hAnsi="宋体" w:cs="宋体"/>
          <w:spacing w:val="6"/>
          <w:szCs w:val="21"/>
          <w:highlight w:val="none"/>
        </w:rPr>
        <w:t>单位的</w:t>
      </w:r>
      <w:r>
        <w:rPr>
          <w:rFonts w:hint="eastAsia" w:ascii="宋体" w:hAnsi="宋体" w:cs="宋体"/>
          <w:spacing w:val="6"/>
          <w:szCs w:val="21"/>
          <w:highlight w:val="none"/>
          <w:u w:val="single"/>
        </w:rPr>
        <w:t>（项目名称）</w:t>
      </w:r>
      <w:r>
        <w:rPr>
          <w:rFonts w:hint="eastAsia" w:ascii="宋体" w:hAnsi="宋体" w:cs="宋体"/>
          <w:spacing w:val="6"/>
          <w:szCs w:val="21"/>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06" w:firstLineChars="200"/>
        <w:rPr>
          <w:rFonts w:ascii="宋体" w:hAnsi="宋体" w:cs="宋体"/>
          <w:b/>
          <w:bCs/>
          <w:spacing w:val="6"/>
          <w:sz w:val="24"/>
          <w:highlight w:val="none"/>
        </w:rPr>
      </w:pPr>
    </w:p>
    <w:p>
      <w:pPr>
        <w:snapToGrid w:val="0"/>
        <w:spacing w:line="360" w:lineRule="auto"/>
        <w:ind w:firstLine="506" w:firstLineChars="200"/>
        <w:rPr>
          <w:rFonts w:ascii="宋体" w:hAnsi="宋体" w:cs="宋体"/>
          <w:b/>
          <w:bCs/>
          <w:spacing w:val="6"/>
          <w:sz w:val="24"/>
          <w:highlight w:val="none"/>
        </w:rPr>
      </w:pPr>
      <w:r>
        <w:rPr>
          <w:rFonts w:hint="eastAsia" w:ascii="宋体" w:hAnsi="宋体" w:cs="宋体"/>
          <w:b/>
          <w:bCs/>
          <w:spacing w:val="6"/>
          <w:sz w:val="24"/>
          <w:highlight w:val="none"/>
        </w:rPr>
        <w:t>本单位对上述声明的真实性负责。如有虚假，将依法承担相应责任。</w:t>
      </w:r>
    </w:p>
    <w:p>
      <w:pPr>
        <w:snapToGrid w:val="0"/>
        <w:spacing w:line="360" w:lineRule="auto"/>
        <w:rPr>
          <w:rFonts w:ascii="宋体" w:hAnsi="宋体" w:cs="宋体"/>
          <w:spacing w:val="6"/>
          <w:szCs w:val="21"/>
          <w:highlight w:val="none"/>
        </w:rPr>
      </w:pPr>
    </w:p>
    <w:p>
      <w:pPr>
        <w:snapToGrid w:val="0"/>
        <w:spacing w:line="360" w:lineRule="auto"/>
        <w:rPr>
          <w:rFonts w:ascii="宋体" w:hAnsi="宋体" w:cs="宋体"/>
          <w:spacing w:val="6"/>
          <w:szCs w:val="21"/>
          <w:highlight w:val="none"/>
        </w:rPr>
      </w:pPr>
    </w:p>
    <w:p>
      <w:pPr>
        <w:adjustRightInd w:val="0"/>
        <w:snapToGrid w:val="0"/>
        <w:spacing w:line="360" w:lineRule="auto"/>
        <w:ind w:firstLine="420" w:firstLineChars="200"/>
        <w:rPr>
          <w:rFonts w:ascii="宋体" w:hAnsi="宋体" w:cs="宋体"/>
          <w:kern w:val="0"/>
          <w:szCs w:val="21"/>
          <w:highlight w:val="none"/>
          <w:u w:val="single"/>
        </w:rPr>
      </w:pPr>
      <w:r>
        <w:rPr>
          <w:rFonts w:hint="eastAsia" w:ascii="宋体" w:hAnsi="宋体" w:cs="宋体"/>
          <w:kern w:val="0"/>
          <w:szCs w:val="21"/>
          <w:highlight w:val="none"/>
        </w:rPr>
        <w:t>供应商（盖章）：</w:t>
      </w:r>
    </w:p>
    <w:p>
      <w:pPr>
        <w:adjustRightInd w:val="0"/>
        <w:snapToGrid w:val="0"/>
        <w:spacing w:line="276" w:lineRule="auto"/>
        <w:ind w:left="105" w:leftChars="50" w:firstLine="420" w:firstLineChars="200"/>
        <w:rPr>
          <w:rFonts w:ascii="宋体" w:hAnsi="宋体" w:cs="宋体"/>
          <w:sz w:val="22"/>
          <w:highlight w:val="none"/>
        </w:rPr>
      </w:pPr>
      <w:r>
        <w:rPr>
          <w:rFonts w:hint="eastAsia" w:ascii="宋体" w:hAnsi="宋体" w:cs="宋体"/>
          <w:kern w:val="0"/>
          <w:szCs w:val="21"/>
          <w:highlight w:val="none"/>
        </w:rPr>
        <w:t>日期：年</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月</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日</w:t>
      </w:r>
    </w:p>
    <w:p>
      <w:pPr>
        <w:rPr>
          <w:rFonts w:hint="eastAsia" w:ascii="宋体" w:hAnsi="宋体" w:cs="宋体"/>
          <w:kern w:val="0"/>
          <w:szCs w:val="21"/>
          <w:highlight w:val="none"/>
        </w:rPr>
      </w:pPr>
      <w:r>
        <w:rPr>
          <w:rFonts w:hint="eastAsia" w:ascii="宋体" w:hAnsi="宋体" w:cs="宋体"/>
          <w:kern w:val="0"/>
          <w:szCs w:val="21"/>
          <w:highlight w:val="none"/>
        </w:rPr>
        <w:br w:type="page"/>
      </w:r>
    </w:p>
    <w:p>
      <w:pPr>
        <w:rPr>
          <w:rFonts w:ascii="宋体" w:hAnsi="宋体" w:cs="宋体"/>
          <w:highlight w:val="none"/>
        </w:rPr>
      </w:pPr>
      <w:r>
        <w:rPr>
          <w:rFonts w:hint="eastAsia" w:ascii="宋体" w:hAnsi="宋体" w:cs="宋体"/>
          <w:kern w:val="0"/>
          <w:szCs w:val="21"/>
          <w:highlight w:val="none"/>
        </w:rPr>
        <w:t>（</w:t>
      </w:r>
      <w:r>
        <w:rPr>
          <w:rFonts w:hint="eastAsia" w:ascii="宋体" w:hAnsi="宋体" w:cs="宋体"/>
          <w:kern w:val="0"/>
          <w:szCs w:val="21"/>
          <w:highlight w:val="none"/>
          <w:lang w:val="en-US" w:eastAsia="zh-CN"/>
        </w:rPr>
        <w:t>4</w:t>
      </w:r>
      <w:r>
        <w:rPr>
          <w:rFonts w:hint="eastAsia" w:ascii="宋体" w:hAnsi="宋体" w:cs="宋体"/>
          <w:kern w:val="0"/>
          <w:szCs w:val="21"/>
          <w:highlight w:val="none"/>
        </w:rPr>
        <w:t>）</w:t>
      </w:r>
      <w:r>
        <w:rPr>
          <w:rFonts w:hint="eastAsia" w:ascii="宋体" w:hAnsi="宋体" w:cs="宋体"/>
          <w:b/>
          <w:bCs/>
          <w:highlight w:val="none"/>
          <w:lang w:val="zh-CN"/>
        </w:rPr>
        <w:t>联合</w:t>
      </w:r>
      <w:r>
        <w:rPr>
          <w:rFonts w:hint="eastAsia" w:ascii="宋体" w:hAnsi="宋体" w:cs="宋体"/>
          <w:b/>
          <w:bCs/>
          <w:kern w:val="0"/>
          <w:szCs w:val="21"/>
          <w:highlight w:val="none"/>
          <w:lang w:val="zh-CN"/>
        </w:rPr>
        <w:t>协议</w:t>
      </w:r>
      <w:r>
        <w:rPr>
          <w:rFonts w:hint="eastAsia" w:ascii="宋体" w:hAnsi="宋体" w:cs="宋体"/>
          <w:b/>
          <w:bCs/>
          <w:highlight w:val="none"/>
        </w:rPr>
        <w:t>格式</w:t>
      </w:r>
    </w:p>
    <w:p>
      <w:pPr>
        <w:adjustRightInd w:val="0"/>
        <w:snapToGrid w:val="0"/>
        <w:spacing w:line="360" w:lineRule="auto"/>
        <w:ind w:firstLine="643"/>
        <w:jc w:val="center"/>
        <w:rPr>
          <w:rFonts w:ascii="宋体" w:hAnsi="宋体" w:cs="宋体"/>
          <w:b/>
          <w:bCs/>
          <w:sz w:val="32"/>
          <w:szCs w:val="20"/>
          <w:highlight w:val="none"/>
        </w:rPr>
      </w:pPr>
      <w:r>
        <w:rPr>
          <w:rFonts w:hint="eastAsia" w:ascii="宋体" w:hAnsi="宋体" w:cs="宋体"/>
          <w:b/>
          <w:bCs/>
          <w:sz w:val="32"/>
          <w:szCs w:val="20"/>
          <w:highlight w:val="none"/>
        </w:rPr>
        <w:t>联合协议</w:t>
      </w:r>
    </w:p>
    <w:p>
      <w:pPr>
        <w:widowControl/>
        <w:spacing w:line="360" w:lineRule="auto"/>
        <w:ind w:firstLine="422" w:firstLineChars="200"/>
        <w:jc w:val="center"/>
        <w:rPr>
          <w:rFonts w:ascii="宋体" w:hAnsi="宋体" w:cs="宋体"/>
          <w:b/>
          <w:szCs w:val="21"/>
          <w:highlight w:val="none"/>
        </w:rPr>
      </w:pPr>
      <w:r>
        <w:rPr>
          <w:rFonts w:hint="eastAsia" w:ascii="宋体" w:hAnsi="宋体" w:cs="宋体"/>
          <w:b/>
          <w:szCs w:val="21"/>
          <w:highlight w:val="none"/>
        </w:rPr>
        <w:t>（如以联合体形式参与投标的，提供联合协议，否则不需要提供。）</w:t>
      </w:r>
    </w:p>
    <w:p>
      <w:pPr>
        <w:snapToGrid w:val="0"/>
        <w:spacing w:line="360" w:lineRule="auto"/>
        <w:ind w:firstLine="420" w:firstLineChars="200"/>
        <w:rPr>
          <w:rFonts w:ascii="宋体" w:hAnsi="宋体" w:cs="宋体"/>
          <w:kern w:val="0"/>
          <w:szCs w:val="21"/>
          <w:highlight w:val="none"/>
          <w:lang w:val="zh-CN"/>
        </w:rPr>
      </w:pPr>
      <w:r>
        <w:rPr>
          <w:rFonts w:hint="eastAsia" w:ascii="宋体" w:hAnsi="宋体" w:cs="宋体"/>
          <w:kern w:val="0"/>
          <w:szCs w:val="21"/>
          <w:highlight w:val="none"/>
          <w:u w:val="single"/>
        </w:rPr>
        <w:t>（联合体所有成员名称）</w:t>
      </w:r>
      <w:r>
        <w:rPr>
          <w:rFonts w:hint="eastAsia" w:ascii="宋体" w:hAnsi="宋体" w:cs="宋体"/>
          <w:kern w:val="0"/>
          <w:szCs w:val="21"/>
          <w:highlight w:val="none"/>
        </w:rPr>
        <w:t>自愿</w:t>
      </w:r>
      <w:r>
        <w:rPr>
          <w:rFonts w:hint="eastAsia" w:ascii="宋体" w:hAnsi="宋体" w:cs="宋体"/>
          <w:kern w:val="0"/>
          <w:szCs w:val="21"/>
          <w:highlight w:val="none"/>
          <w:lang w:val="zh-CN"/>
        </w:rPr>
        <w:t>组成一个联合体，以一个投标人的身份</w:t>
      </w:r>
      <w:r>
        <w:rPr>
          <w:rFonts w:hint="eastAsia" w:ascii="宋体" w:hAnsi="宋体" w:cs="宋体"/>
          <w:kern w:val="0"/>
          <w:szCs w:val="21"/>
          <w:highlight w:val="none"/>
        </w:rPr>
        <w:t>参加</w:t>
      </w:r>
      <w:r>
        <w:rPr>
          <w:rFonts w:hint="eastAsia" w:ascii="宋体" w:hAnsi="宋体" w:cs="宋体"/>
          <w:color w:val="0000FF"/>
          <w:szCs w:val="21"/>
          <w:highlight w:val="none"/>
        </w:rPr>
        <w:t>（项目名称）</w:t>
      </w:r>
      <w:r>
        <w:rPr>
          <w:rFonts w:hint="eastAsia" w:ascii="宋体" w:hAnsi="宋体" w:cs="宋体"/>
          <w:szCs w:val="21"/>
          <w:highlight w:val="none"/>
        </w:rPr>
        <w:t>【项目编号】</w:t>
      </w:r>
      <w:r>
        <w:rPr>
          <w:rFonts w:hint="eastAsia" w:ascii="宋体" w:hAnsi="宋体" w:cs="宋体"/>
          <w:kern w:val="0"/>
          <w:szCs w:val="21"/>
          <w:highlight w:val="none"/>
          <w:lang w:val="zh-CN"/>
        </w:rPr>
        <w:t xml:space="preserve">投标。 </w:t>
      </w:r>
    </w:p>
    <w:p>
      <w:pPr>
        <w:snapToGrid w:val="0"/>
        <w:spacing w:line="360" w:lineRule="auto"/>
        <w:ind w:firstLine="420" w:firstLineChars="200"/>
        <w:rPr>
          <w:rFonts w:ascii="宋体" w:hAnsi="宋体" w:cs="宋体"/>
          <w:kern w:val="0"/>
          <w:szCs w:val="21"/>
          <w:highlight w:val="none"/>
          <w:lang w:val="zh-CN"/>
        </w:rPr>
      </w:pPr>
      <w:r>
        <w:rPr>
          <w:rFonts w:hint="eastAsia" w:ascii="宋体" w:hAnsi="宋体" w:cs="宋体"/>
          <w:kern w:val="0"/>
          <w:szCs w:val="21"/>
          <w:highlight w:val="none"/>
          <w:lang w:val="zh-CN"/>
        </w:rPr>
        <w:t>一、各方一致决定，</w:t>
      </w:r>
      <w:r>
        <w:rPr>
          <w:rFonts w:hint="eastAsia" w:ascii="宋体" w:hAnsi="宋体" w:cs="宋体"/>
          <w:kern w:val="0"/>
          <w:szCs w:val="21"/>
          <w:highlight w:val="none"/>
          <w:u w:val="single"/>
        </w:rPr>
        <w:t>（某联合体成员名称）</w:t>
      </w:r>
      <w:r>
        <w:rPr>
          <w:rFonts w:hint="eastAsia" w:ascii="宋体" w:hAnsi="宋体" w:cs="宋体"/>
          <w:kern w:val="0"/>
          <w:szCs w:val="21"/>
          <w:highlight w:val="none"/>
        </w:rPr>
        <w:t>为联合体</w:t>
      </w:r>
      <w:r>
        <w:rPr>
          <w:rFonts w:hint="eastAsia" w:ascii="宋体" w:hAnsi="宋体" w:cs="宋体"/>
          <w:kern w:val="0"/>
          <w:szCs w:val="21"/>
          <w:highlight w:val="none"/>
          <w:lang w:val="zh-CN"/>
        </w:rPr>
        <w:t>牵头人</w:t>
      </w:r>
      <w:r>
        <w:rPr>
          <w:rFonts w:hint="eastAsia" w:ascii="宋体" w:hAnsi="宋体" w:cs="宋体"/>
          <w:szCs w:val="21"/>
          <w:highlight w:val="none"/>
        </w:rPr>
        <w:t>，代表所有联合体成员负责投标和合同实施阶段的主办、协调工作</w:t>
      </w:r>
      <w:r>
        <w:rPr>
          <w:rFonts w:hint="eastAsia" w:ascii="宋体" w:hAnsi="宋体" w:cs="宋体"/>
          <w:kern w:val="0"/>
          <w:szCs w:val="21"/>
          <w:highlight w:val="none"/>
          <w:lang w:val="zh-CN"/>
        </w:rPr>
        <w:t>。</w:t>
      </w:r>
    </w:p>
    <w:p>
      <w:pPr>
        <w:snapToGrid w:val="0"/>
        <w:spacing w:line="360" w:lineRule="auto"/>
        <w:ind w:firstLine="420" w:firstLineChars="200"/>
        <w:rPr>
          <w:rFonts w:ascii="宋体" w:hAnsi="宋体" w:cs="宋体"/>
          <w:kern w:val="0"/>
          <w:szCs w:val="21"/>
          <w:highlight w:val="none"/>
          <w:lang w:val="zh-CN"/>
        </w:rPr>
      </w:pPr>
      <w:r>
        <w:rPr>
          <w:rFonts w:hint="eastAsia" w:ascii="宋体" w:hAnsi="宋体" w:cs="宋体"/>
          <w:kern w:val="0"/>
          <w:szCs w:val="21"/>
          <w:highlight w:val="none"/>
          <w:lang w:val="zh-CN"/>
        </w:rPr>
        <w:t>二、</w:t>
      </w:r>
      <w:r>
        <w:rPr>
          <w:rFonts w:hint="eastAsia" w:ascii="宋体" w:hAnsi="宋体" w:cs="宋体"/>
          <w:szCs w:val="21"/>
          <w:highlight w:val="none"/>
        </w:rPr>
        <w:t>所有联合体成员各方签署授权书，授权书载明的</w:t>
      </w:r>
      <w:r>
        <w:rPr>
          <w:rFonts w:hint="eastAsia" w:ascii="宋体" w:hAnsi="宋体" w:cs="宋体"/>
          <w:kern w:val="0"/>
          <w:szCs w:val="21"/>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420" w:firstLineChars="200"/>
        <w:rPr>
          <w:rFonts w:ascii="宋体" w:hAnsi="宋体" w:cs="宋体"/>
          <w:kern w:val="0"/>
          <w:szCs w:val="21"/>
          <w:highlight w:val="none"/>
          <w:lang w:val="zh-CN"/>
        </w:rPr>
      </w:pPr>
      <w:r>
        <w:rPr>
          <w:rFonts w:hint="eastAsia" w:ascii="宋体" w:hAnsi="宋体" w:cs="宋体"/>
          <w:kern w:val="0"/>
          <w:szCs w:val="21"/>
          <w:highlight w:val="none"/>
          <w:lang w:val="zh-CN"/>
        </w:rPr>
        <w:t>三、本次联合投标中，分工如下：</w:t>
      </w:r>
    </w:p>
    <w:p>
      <w:pPr>
        <w:snapToGrid w:val="0"/>
        <w:spacing w:line="360" w:lineRule="auto"/>
        <w:ind w:firstLine="420" w:firstLineChars="200"/>
        <w:rPr>
          <w:rFonts w:ascii="宋体" w:hAnsi="宋体" w:cs="宋体"/>
          <w:kern w:val="0"/>
          <w:szCs w:val="21"/>
          <w:highlight w:val="none"/>
          <w:lang w:val="zh-CN"/>
        </w:rPr>
      </w:pPr>
      <w:bookmarkStart w:id="206" w:name="_Hlk101134295"/>
      <w:r>
        <w:rPr>
          <w:rFonts w:hint="eastAsia" w:ascii="宋体" w:hAnsi="宋体" w:cs="宋体"/>
          <w:kern w:val="0"/>
          <w:szCs w:val="21"/>
          <w:highlight w:val="none"/>
          <w:u w:val="single"/>
        </w:rPr>
        <w:t>（联合体成员1）</w:t>
      </w:r>
      <w:r>
        <w:rPr>
          <w:rFonts w:hint="eastAsia" w:ascii="宋体" w:hAnsi="宋体" w:cs="宋体"/>
          <w:kern w:val="0"/>
          <w:szCs w:val="21"/>
          <w:highlight w:val="none"/>
          <w:lang w:val="zh-CN"/>
        </w:rPr>
        <w:t>承担的工作和义务为：；</w:t>
      </w:r>
    </w:p>
    <w:p>
      <w:pPr>
        <w:snapToGrid w:val="0"/>
        <w:spacing w:line="360" w:lineRule="auto"/>
        <w:ind w:firstLine="420" w:firstLineChars="200"/>
        <w:rPr>
          <w:rFonts w:ascii="宋体" w:hAnsi="宋体" w:cs="宋体"/>
          <w:kern w:val="0"/>
          <w:szCs w:val="21"/>
          <w:highlight w:val="none"/>
          <w:lang w:val="zh-CN"/>
        </w:rPr>
      </w:pPr>
      <w:r>
        <w:rPr>
          <w:rFonts w:hint="eastAsia" w:ascii="宋体" w:hAnsi="宋体" w:cs="宋体"/>
          <w:kern w:val="0"/>
          <w:szCs w:val="21"/>
          <w:highlight w:val="none"/>
          <w:u w:val="single"/>
        </w:rPr>
        <w:t>（联合体成员2）</w:t>
      </w:r>
      <w:r>
        <w:rPr>
          <w:rFonts w:hint="eastAsia" w:ascii="宋体" w:hAnsi="宋体" w:cs="宋体"/>
          <w:kern w:val="0"/>
          <w:szCs w:val="21"/>
          <w:highlight w:val="none"/>
          <w:lang w:val="zh-CN"/>
        </w:rPr>
        <w:t>承担的工作和义务为：；</w:t>
      </w:r>
    </w:p>
    <w:p>
      <w:pPr>
        <w:snapToGrid w:val="0"/>
        <w:spacing w:line="360" w:lineRule="auto"/>
        <w:ind w:firstLine="420" w:firstLineChars="200"/>
        <w:rPr>
          <w:rFonts w:ascii="宋体" w:hAnsi="宋体" w:cs="宋体"/>
          <w:kern w:val="0"/>
          <w:szCs w:val="21"/>
          <w:highlight w:val="none"/>
          <w:lang w:val="zh-CN"/>
        </w:rPr>
      </w:pPr>
      <w:r>
        <w:rPr>
          <w:rFonts w:hint="eastAsia" w:ascii="宋体" w:hAnsi="宋体" w:cs="宋体"/>
          <w:kern w:val="0"/>
          <w:szCs w:val="21"/>
          <w:highlight w:val="none"/>
          <w:lang w:val="zh-CN"/>
        </w:rPr>
        <w:t>……</w:t>
      </w:r>
    </w:p>
    <w:bookmarkEnd w:id="206"/>
    <w:p>
      <w:pPr>
        <w:snapToGrid w:val="0"/>
        <w:spacing w:line="360" w:lineRule="auto"/>
        <w:ind w:firstLine="420" w:firstLineChars="200"/>
        <w:rPr>
          <w:rFonts w:ascii="宋体" w:hAnsi="宋体" w:cs="宋体"/>
          <w:kern w:val="0"/>
          <w:szCs w:val="21"/>
          <w:highlight w:val="none"/>
          <w:lang w:val="zh-CN"/>
        </w:rPr>
      </w:pPr>
      <w:r>
        <w:rPr>
          <w:rFonts w:hint="eastAsia" w:ascii="宋体" w:hAnsi="宋体" w:cs="宋体"/>
          <w:kern w:val="0"/>
          <w:szCs w:val="21"/>
          <w:highlight w:val="none"/>
          <w:lang w:val="zh-CN"/>
        </w:rPr>
        <w:t>四、联合体成员中小企业合同份额。</w:t>
      </w:r>
    </w:p>
    <w:p>
      <w:pPr>
        <w:snapToGrid w:val="0"/>
        <w:ind w:firstLine="420" w:firstLineChars="200"/>
        <w:rPr>
          <w:rFonts w:ascii="宋体" w:hAnsi="宋体" w:cs="宋体"/>
          <w:b/>
          <w:kern w:val="0"/>
          <w:szCs w:val="21"/>
          <w:highlight w:val="none"/>
          <w:lang w:val="zh-CN"/>
        </w:rPr>
      </w:pPr>
      <w:r>
        <w:rPr>
          <w:rFonts w:hint="eastAsia" w:ascii="宋体" w:hAnsi="宋体" w:cs="宋体"/>
          <w:kern w:val="0"/>
          <w:szCs w:val="21"/>
          <w:highlight w:val="none"/>
          <w:lang w:val="zh-CN"/>
        </w:rPr>
        <w:t>1、</w:t>
      </w:r>
      <w:r>
        <w:rPr>
          <w:rFonts w:hint="eastAsia" w:ascii="宋体" w:hAnsi="宋体" w:cs="宋体"/>
          <w:kern w:val="0"/>
          <w:szCs w:val="21"/>
          <w:highlight w:val="none"/>
          <w:u w:val="single"/>
        </w:rPr>
        <w:t>（联合体成员X,……）</w:t>
      </w:r>
      <w:r>
        <w:rPr>
          <w:rFonts w:hint="eastAsia" w:ascii="宋体" w:hAnsi="宋体" w:cs="宋体"/>
          <w:kern w:val="0"/>
          <w:szCs w:val="21"/>
          <w:highlight w:val="none"/>
        </w:rPr>
        <w:t>提供的全部货物由小微企业制造，其合同份额占到合同总金额%以上；</w:t>
      </w:r>
      <w:r>
        <w:rPr>
          <w:rFonts w:hint="eastAsia" w:ascii="宋体" w:hAnsi="宋体" w:cs="宋体"/>
          <w:kern w:val="0"/>
          <w:szCs w:val="21"/>
          <w:highlight w:val="none"/>
          <w:lang w:val="zh-CN"/>
        </w:rPr>
        <w:t>……。</w:t>
      </w:r>
      <w:r>
        <w:rPr>
          <w:rFonts w:hint="eastAsia" w:ascii="宋体" w:hAnsi="宋体" w:cs="宋体"/>
          <w:b/>
          <w:kern w:val="0"/>
          <w:szCs w:val="21"/>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Cs w:val="21"/>
          <w:highlight w:val="none"/>
        </w:rPr>
        <w:t>拟享受以上价格扣除政策的，填写有关内容。</w:t>
      </w:r>
      <w:r>
        <w:rPr>
          <w:rFonts w:hint="eastAsia" w:ascii="宋体" w:hAnsi="宋体" w:cs="宋体"/>
          <w:b/>
          <w:kern w:val="0"/>
          <w:szCs w:val="21"/>
          <w:highlight w:val="none"/>
          <w:lang w:val="zh-CN"/>
        </w:rPr>
        <w:t>）</w:t>
      </w:r>
    </w:p>
    <w:p>
      <w:pPr>
        <w:snapToGrid w:val="0"/>
        <w:ind w:firstLine="420" w:firstLineChars="200"/>
        <w:rPr>
          <w:rFonts w:ascii="宋体" w:hAnsi="宋体" w:cs="宋体"/>
          <w:kern w:val="0"/>
          <w:szCs w:val="21"/>
          <w:highlight w:val="none"/>
          <w:lang w:val="zh-CN"/>
        </w:rPr>
      </w:pPr>
      <w:r>
        <w:rPr>
          <w:rFonts w:hint="eastAsia" w:ascii="宋体" w:hAnsi="宋体" w:cs="宋体"/>
          <w:szCs w:val="21"/>
          <w:highlight w:val="none"/>
        </w:rPr>
        <w:t>2、中小企业合同金额达到%，其中小微企业合同金额达到%</w:t>
      </w:r>
      <w:r>
        <w:rPr>
          <w:rFonts w:hint="eastAsia" w:ascii="宋体" w:hAnsi="宋体" w:cs="宋体"/>
          <w:kern w:val="0"/>
          <w:szCs w:val="21"/>
          <w:highlight w:val="none"/>
          <w:lang w:val="zh-CN"/>
        </w:rPr>
        <w:t>。</w:t>
      </w:r>
    </w:p>
    <w:p>
      <w:pPr>
        <w:snapToGrid w:val="0"/>
        <w:ind w:firstLine="420" w:firstLineChars="200"/>
        <w:rPr>
          <w:rFonts w:ascii="宋体" w:hAnsi="宋体" w:cs="宋体"/>
          <w:kern w:val="0"/>
          <w:szCs w:val="21"/>
          <w:highlight w:val="none"/>
          <w:lang w:val="zh-CN"/>
        </w:rPr>
      </w:pPr>
      <w:r>
        <w:rPr>
          <w:rFonts w:hint="eastAsia" w:ascii="宋体" w:hAnsi="宋体" w:cs="宋体"/>
          <w:kern w:val="0"/>
          <w:szCs w:val="21"/>
          <w:highlight w:val="none"/>
          <w:lang w:val="zh-CN"/>
        </w:rPr>
        <w:t>五、如果中标，</w:t>
      </w:r>
      <w:r>
        <w:rPr>
          <w:rFonts w:hint="eastAsia" w:ascii="宋体" w:hAnsi="宋体" w:cs="宋体"/>
          <w:szCs w:val="21"/>
          <w:highlight w:val="none"/>
        </w:rPr>
        <w:t>联合体各成员方共同与采购人签订合同，并就采购合同约定的事项对采购人承担连带责任。</w:t>
      </w:r>
    </w:p>
    <w:p>
      <w:pPr>
        <w:snapToGrid w:val="0"/>
        <w:ind w:firstLine="420" w:firstLineChars="200"/>
        <w:rPr>
          <w:rFonts w:ascii="宋体" w:hAnsi="宋体" w:cs="宋体"/>
          <w:kern w:val="0"/>
          <w:szCs w:val="21"/>
          <w:highlight w:val="none"/>
          <w:lang w:val="zh-CN"/>
        </w:rPr>
      </w:pPr>
      <w:r>
        <w:rPr>
          <w:rFonts w:hint="eastAsia" w:ascii="宋体" w:hAnsi="宋体" w:cs="宋体"/>
          <w:kern w:val="0"/>
          <w:szCs w:val="21"/>
          <w:highlight w:val="none"/>
          <w:lang w:val="zh-CN"/>
        </w:rPr>
        <w:t>六、有关本次联合投标的其他事宜：</w:t>
      </w:r>
    </w:p>
    <w:p>
      <w:pPr>
        <w:snapToGrid w:val="0"/>
        <w:ind w:firstLine="420" w:firstLineChars="200"/>
        <w:rPr>
          <w:rFonts w:ascii="宋体" w:hAnsi="宋体" w:cs="宋体"/>
          <w:kern w:val="0"/>
          <w:szCs w:val="21"/>
          <w:highlight w:val="none"/>
          <w:lang w:val="zh-CN"/>
        </w:rPr>
      </w:pPr>
      <w:r>
        <w:rPr>
          <w:rFonts w:hint="eastAsia" w:ascii="宋体" w:hAnsi="宋体" w:cs="宋体"/>
          <w:kern w:val="0"/>
          <w:szCs w:val="21"/>
          <w:highlight w:val="none"/>
          <w:lang w:val="zh-CN"/>
        </w:rPr>
        <w:t>1、联合体各方不再单独参加或者与其他供应商另外组成联合体参加同一合同项下的政府采购活动。</w:t>
      </w:r>
    </w:p>
    <w:p>
      <w:pPr>
        <w:snapToGrid w:val="0"/>
        <w:ind w:firstLine="420" w:firstLineChars="200"/>
        <w:rPr>
          <w:rFonts w:ascii="宋体" w:hAnsi="宋体" w:cs="宋体"/>
          <w:kern w:val="0"/>
          <w:szCs w:val="21"/>
          <w:highlight w:val="none"/>
          <w:lang w:val="zh-CN"/>
        </w:rPr>
      </w:pPr>
      <w:r>
        <w:rPr>
          <w:rFonts w:hint="eastAsia" w:ascii="宋体" w:hAnsi="宋体" w:cs="宋体"/>
          <w:kern w:val="0"/>
          <w:szCs w:val="21"/>
          <w:highlight w:val="none"/>
          <w:lang w:val="zh-CN"/>
        </w:rPr>
        <w:t>2、联合体中有同类资质的各方按照联合体分工承担相同工作的，按照资质等级较低的供应商确定资质等级。</w:t>
      </w:r>
    </w:p>
    <w:p>
      <w:pPr>
        <w:snapToGrid w:val="0"/>
        <w:ind w:firstLine="420" w:firstLineChars="200"/>
        <w:rPr>
          <w:rFonts w:ascii="宋体" w:hAnsi="宋体" w:cs="宋体"/>
          <w:kern w:val="0"/>
          <w:szCs w:val="21"/>
          <w:highlight w:val="none"/>
          <w:lang w:val="zh-CN"/>
        </w:rPr>
      </w:pPr>
      <w:r>
        <w:rPr>
          <w:rFonts w:hint="eastAsia" w:ascii="宋体" w:hAnsi="宋体" w:cs="宋体"/>
          <w:kern w:val="0"/>
          <w:szCs w:val="21"/>
          <w:highlight w:val="none"/>
          <w:lang w:val="zh-CN"/>
        </w:rPr>
        <w:t>3、本协议提交采购人、采购代理机构后，联合体各方不得以任何形式对上述内容进行修改或撤销。</w:t>
      </w:r>
    </w:p>
    <w:p>
      <w:pPr>
        <w:pStyle w:val="17"/>
        <w:rPr>
          <w:rFonts w:ascii="宋体" w:hAnsi="宋体" w:cs="宋体"/>
          <w:szCs w:val="21"/>
          <w:highlight w:val="none"/>
          <w:lang w:val="zh-CN"/>
        </w:rPr>
      </w:pPr>
      <w:r>
        <w:rPr>
          <w:rFonts w:hint="eastAsia" w:ascii="宋体" w:hAnsi="宋体" w:cs="宋体"/>
          <w:kern w:val="0"/>
          <w:szCs w:val="21"/>
          <w:highlight w:val="none"/>
        </w:rPr>
        <w:t>4、除采购文件要求联合体双方盖章的部分外，</w:t>
      </w:r>
      <w:r>
        <w:rPr>
          <w:rFonts w:hint="eastAsia" w:ascii="宋体" w:hAnsi="宋体" w:cs="宋体"/>
          <w:szCs w:val="21"/>
          <w:highlight w:val="none"/>
        </w:rPr>
        <w:t>其余部分由牵头人盖章即可。</w:t>
      </w:r>
    </w:p>
    <w:p>
      <w:pPr>
        <w:snapToGrid w:val="0"/>
        <w:ind w:firstLine="4410" w:firstLineChars="2100"/>
        <w:rPr>
          <w:rFonts w:ascii="宋体" w:hAnsi="宋体" w:cs="宋体"/>
          <w:kern w:val="0"/>
          <w:szCs w:val="21"/>
          <w:highlight w:val="none"/>
          <w:lang w:val="zh-CN"/>
        </w:rPr>
      </w:pPr>
      <w:r>
        <w:rPr>
          <w:rFonts w:hint="eastAsia" w:ascii="宋体" w:hAnsi="宋体" w:cs="宋体"/>
          <w:kern w:val="0"/>
          <w:szCs w:val="21"/>
          <w:highlight w:val="none"/>
          <w:lang w:val="zh-CN"/>
        </w:rPr>
        <w:t>联合体成员名称（盖单位公章）：</w:t>
      </w:r>
    </w:p>
    <w:p>
      <w:pPr>
        <w:snapToGrid w:val="0"/>
        <w:ind w:firstLine="4410" w:firstLineChars="2100"/>
        <w:rPr>
          <w:rFonts w:ascii="宋体" w:hAnsi="宋体" w:cs="宋体"/>
          <w:kern w:val="0"/>
          <w:szCs w:val="21"/>
          <w:highlight w:val="none"/>
          <w:lang w:val="zh-CN"/>
        </w:rPr>
      </w:pPr>
      <w:r>
        <w:rPr>
          <w:rFonts w:hint="eastAsia" w:ascii="宋体" w:hAnsi="宋体" w:cs="宋体"/>
          <w:kern w:val="0"/>
          <w:szCs w:val="21"/>
          <w:highlight w:val="none"/>
          <w:lang w:val="zh-CN"/>
        </w:rPr>
        <w:t>联合体成员名称（盖单位公章）：</w:t>
      </w:r>
    </w:p>
    <w:p>
      <w:pPr>
        <w:snapToGrid w:val="0"/>
        <w:spacing w:line="360" w:lineRule="auto"/>
        <w:ind w:firstLine="5670" w:firstLineChars="2700"/>
        <w:rPr>
          <w:rFonts w:ascii="宋体" w:hAnsi="宋体" w:cs="宋体"/>
          <w:szCs w:val="21"/>
          <w:highlight w:val="none"/>
        </w:rPr>
      </w:pPr>
      <w:r>
        <w:rPr>
          <w:rFonts w:hint="eastAsia" w:ascii="宋体" w:hAnsi="宋体" w:cs="宋体"/>
          <w:kern w:val="0"/>
          <w:szCs w:val="21"/>
          <w:highlight w:val="none"/>
          <w:lang w:val="zh-CN"/>
        </w:rPr>
        <w:t>……</w:t>
      </w:r>
    </w:p>
    <w:p>
      <w:pPr>
        <w:adjustRightInd w:val="0"/>
        <w:snapToGrid w:val="0"/>
        <w:spacing w:line="400" w:lineRule="exact"/>
        <w:ind w:left="105" w:leftChars="50" w:firstLine="4620" w:firstLineChars="2200"/>
        <w:rPr>
          <w:rFonts w:ascii="宋体" w:hAnsi="宋体" w:cs="宋体"/>
          <w:szCs w:val="21"/>
          <w:highlight w:val="none"/>
        </w:rPr>
      </w:pPr>
      <w:r>
        <w:rPr>
          <w:rFonts w:hint="eastAsia" w:ascii="宋体" w:hAnsi="宋体" w:cs="宋体"/>
          <w:kern w:val="0"/>
          <w:szCs w:val="21"/>
          <w:highlight w:val="none"/>
          <w:lang w:val="zh-CN"/>
        </w:rPr>
        <w:t xml:space="preserve">   日期：  年  月   日</w:t>
      </w:r>
    </w:p>
    <w:p>
      <w:pPr>
        <w:widowControl/>
        <w:jc w:val="left"/>
        <w:rPr>
          <w:rFonts w:ascii="宋体" w:hAnsi="宋体" w:cs="宋体"/>
          <w:kern w:val="0"/>
          <w:sz w:val="28"/>
          <w:highlight w:val="none"/>
        </w:rPr>
      </w:pPr>
      <w:r>
        <w:rPr>
          <w:rFonts w:hint="eastAsia" w:ascii="宋体" w:hAnsi="宋体" w:cs="宋体"/>
          <w:kern w:val="0"/>
          <w:sz w:val="28"/>
          <w:highlight w:val="none"/>
        </w:rPr>
        <w:br w:type="page"/>
      </w:r>
    </w:p>
    <w:p>
      <w:pPr>
        <w:tabs>
          <w:tab w:val="left" w:pos="2580"/>
          <w:tab w:val="left" w:pos="5940"/>
        </w:tabs>
        <w:autoSpaceDE w:val="0"/>
        <w:autoSpaceDN w:val="0"/>
        <w:adjustRightInd w:val="0"/>
        <w:snapToGrid w:val="0"/>
        <w:spacing w:line="360" w:lineRule="auto"/>
        <w:ind w:right="-20"/>
        <w:rPr>
          <w:rFonts w:ascii="宋体" w:hAnsi="宋体" w:cs="宋体"/>
          <w:kern w:val="0"/>
          <w:sz w:val="28"/>
          <w:highlight w:val="none"/>
        </w:rPr>
      </w:pPr>
      <w:r>
        <w:rPr>
          <w:rFonts w:hint="eastAsia" w:ascii="宋体" w:hAnsi="宋体" w:cs="宋体"/>
          <w:kern w:val="0"/>
          <w:sz w:val="28"/>
          <w:highlight w:val="none"/>
        </w:rPr>
        <w:t>商务技术文件封面</w:t>
      </w:r>
    </w:p>
    <w:p>
      <w:pPr>
        <w:tabs>
          <w:tab w:val="left" w:pos="2580"/>
          <w:tab w:val="left" w:pos="5940"/>
        </w:tabs>
        <w:autoSpaceDE w:val="0"/>
        <w:autoSpaceDN w:val="0"/>
        <w:adjustRightInd w:val="0"/>
        <w:spacing w:line="360" w:lineRule="auto"/>
        <w:ind w:right="-20"/>
        <w:rPr>
          <w:rFonts w:ascii="宋体" w:hAnsi="宋体" w:cs="宋体"/>
          <w:kern w:val="0"/>
          <w:sz w:val="28"/>
          <w:highlight w:val="none"/>
        </w:rPr>
      </w:pPr>
    </w:p>
    <w:p>
      <w:pPr>
        <w:tabs>
          <w:tab w:val="left" w:pos="2580"/>
          <w:tab w:val="left" w:pos="5940"/>
        </w:tabs>
        <w:autoSpaceDE w:val="0"/>
        <w:autoSpaceDN w:val="0"/>
        <w:adjustRightInd w:val="0"/>
        <w:snapToGrid w:val="0"/>
        <w:spacing w:line="360" w:lineRule="auto"/>
        <w:ind w:left="1400" w:right="-20" w:hanging="1400" w:hangingChars="500"/>
        <w:rPr>
          <w:rFonts w:hint="eastAsia" w:ascii="宋体" w:hAnsi="宋体" w:eastAsia="宋体" w:cs="宋体"/>
          <w:kern w:val="0"/>
          <w:sz w:val="28"/>
          <w:highlight w:val="none"/>
          <w:u w:val="single"/>
          <w:lang w:eastAsia="zh-CN"/>
        </w:rPr>
      </w:pPr>
      <w:r>
        <w:rPr>
          <w:rFonts w:hint="eastAsia" w:ascii="宋体" w:hAnsi="宋体" w:cs="宋体"/>
          <w:kern w:val="0"/>
          <w:sz w:val="28"/>
          <w:highlight w:val="none"/>
        </w:rPr>
        <w:t>项目名称：</w:t>
      </w:r>
      <w:r>
        <w:rPr>
          <w:rFonts w:hint="eastAsia" w:ascii="宋体" w:hAnsi="宋体" w:cs="宋体"/>
          <w:kern w:val="0"/>
          <w:sz w:val="28"/>
          <w:highlight w:val="none"/>
          <w:u w:val="single"/>
          <w:lang w:eastAsia="zh-CN"/>
        </w:rPr>
        <w:t>浙江理工大学消防管网改造及安全防护设施、电梯更新项目监理服务</w:t>
      </w:r>
    </w:p>
    <w:p>
      <w:pPr>
        <w:tabs>
          <w:tab w:val="left" w:pos="2580"/>
          <w:tab w:val="left" w:pos="5940"/>
        </w:tabs>
        <w:autoSpaceDE w:val="0"/>
        <w:autoSpaceDN w:val="0"/>
        <w:adjustRightInd w:val="0"/>
        <w:snapToGrid w:val="0"/>
        <w:spacing w:line="360" w:lineRule="auto"/>
        <w:ind w:right="-20"/>
        <w:rPr>
          <w:rFonts w:ascii="宋体" w:hAnsi="宋体" w:cs="宋体"/>
          <w:kern w:val="0"/>
          <w:sz w:val="28"/>
          <w:highlight w:val="none"/>
          <w:u w:val="single"/>
        </w:rPr>
      </w:pPr>
      <w:r>
        <w:rPr>
          <w:rFonts w:hint="eastAsia" w:ascii="宋体" w:hAnsi="宋体" w:cs="宋体"/>
          <w:kern w:val="0"/>
          <w:sz w:val="28"/>
          <w:highlight w:val="none"/>
        </w:rPr>
        <w:t>项目编号：</w:t>
      </w:r>
      <w:r>
        <w:rPr>
          <w:rFonts w:hint="eastAsia" w:ascii="宋体" w:hAnsi="宋体" w:cs="宋体"/>
          <w:kern w:val="0"/>
          <w:sz w:val="28"/>
          <w:highlight w:val="none"/>
          <w:u w:val="single"/>
          <w:lang w:eastAsia="zh-CN"/>
        </w:rPr>
        <w:t>CTZB-2024040071</w:t>
      </w:r>
      <w:r>
        <w:rPr>
          <w:rFonts w:hint="eastAsia" w:ascii="宋体" w:hAnsi="宋体" w:cs="宋体"/>
          <w:kern w:val="0"/>
          <w:sz w:val="28"/>
          <w:highlight w:val="none"/>
          <w:u w:val="single"/>
        </w:rPr>
        <w:t xml:space="preserve"> </w:t>
      </w:r>
    </w:p>
    <w:p>
      <w:pPr>
        <w:tabs>
          <w:tab w:val="left" w:pos="2580"/>
          <w:tab w:val="left" w:pos="5940"/>
        </w:tabs>
        <w:autoSpaceDE w:val="0"/>
        <w:autoSpaceDN w:val="0"/>
        <w:adjustRightInd w:val="0"/>
        <w:snapToGrid w:val="0"/>
        <w:spacing w:line="360" w:lineRule="auto"/>
        <w:ind w:right="-20"/>
        <w:rPr>
          <w:rFonts w:ascii="宋体" w:hAnsi="宋体" w:cs="宋体"/>
          <w:b/>
          <w:bCs/>
          <w:kern w:val="0"/>
          <w:sz w:val="32"/>
          <w:szCs w:val="32"/>
          <w:highlight w:val="none"/>
          <w:u w:val="single"/>
        </w:rPr>
      </w:pPr>
    </w:p>
    <w:p>
      <w:pPr>
        <w:autoSpaceDE w:val="0"/>
        <w:autoSpaceDN w:val="0"/>
        <w:adjustRightInd w:val="0"/>
        <w:snapToGrid w:val="0"/>
        <w:spacing w:line="360" w:lineRule="auto"/>
        <w:jc w:val="left"/>
        <w:rPr>
          <w:rFonts w:ascii="宋体" w:hAnsi="宋体" w:cs="宋体"/>
          <w:kern w:val="0"/>
          <w:sz w:val="24"/>
          <w:highlight w:val="none"/>
        </w:rPr>
      </w:pPr>
    </w:p>
    <w:p>
      <w:pPr>
        <w:autoSpaceDE w:val="0"/>
        <w:autoSpaceDN w:val="0"/>
        <w:adjustRightInd w:val="0"/>
        <w:snapToGrid w:val="0"/>
        <w:spacing w:line="360" w:lineRule="auto"/>
        <w:jc w:val="left"/>
        <w:rPr>
          <w:rFonts w:ascii="宋体" w:hAnsi="宋体" w:cs="宋体"/>
          <w:kern w:val="0"/>
          <w:sz w:val="24"/>
          <w:highlight w:val="none"/>
        </w:rPr>
      </w:pPr>
    </w:p>
    <w:p>
      <w:pPr>
        <w:autoSpaceDE w:val="0"/>
        <w:autoSpaceDN w:val="0"/>
        <w:adjustRightInd w:val="0"/>
        <w:snapToGrid w:val="0"/>
        <w:spacing w:line="360" w:lineRule="auto"/>
        <w:jc w:val="left"/>
        <w:rPr>
          <w:rFonts w:ascii="宋体" w:hAnsi="宋体" w:cs="宋体"/>
          <w:kern w:val="0"/>
          <w:sz w:val="24"/>
          <w:highlight w:val="none"/>
        </w:rPr>
      </w:pPr>
    </w:p>
    <w:p>
      <w:pPr>
        <w:tabs>
          <w:tab w:val="left" w:pos="1805"/>
          <w:tab w:val="left" w:pos="5360"/>
        </w:tabs>
        <w:autoSpaceDE w:val="0"/>
        <w:autoSpaceDN w:val="0"/>
        <w:adjustRightInd w:val="0"/>
        <w:snapToGrid w:val="0"/>
        <w:spacing w:line="360" w:lineRule="auto"/>
        <w:ind w:right="-20"/>
        <w:jc w:val="center"/>
        <w:rPr>
          <w:rFonts w:ascii="宋体" w:hAnsi="宋体" w:cs="宋体"/>
          <w:kern w:val="0"/>
          <w:sz w:val="72"/>
          <w:highlight w:val="none"/>
        </w:rPr>
      </w:pPr>
      <w:r>
        <w:rPr>
          <w:rFonts w:hint="eastAsia" w:ascii="宋体" w:hAnsi="宋体" w:cs="宋体"/>
          <w:kern w:val="0"/>
          <w:sz w:val="72"/>
          <w:highlight w:val="none"/>
        </w:rPr>
        <w:t>投标文件</w:t>
      </w:r>
    </w:p>
    <w:p>
      <w:pPr>
        <w:tabs>
          <w:tab w:val="left" w:pos="1805"/>
          <w:tab w:val="left" w:pos="5360"/>
        </w:tabs>
        <w:autoSpaceDE w:val="0"/>
        <w:autoSpaceDN w:val="0"/>
        <w:adjustRightInd w:val="0"/>
        <w:snapToGrid w:val="0"/>
        <w:spacing w:line="360" w:lineRule="auto"/>
        <w:ind w:right="-20"/>
        <w:jc w:val="center"/>
        <w:rPr>
          <w:rFonts w:ascii="宋体" w:hAnsi="宋体" w:cs="宋体"/>
          <w:kern w:val="0"/>
          <w:sz w:val="72"/>
          <w:highlight w:val="none"/>
        </w:rPr>
      </w:pPr>
      <w:r>
        <w:rPr>
          <w:rFonts w:hint="eastAsia" w:ascii="宋体" w:hAnsi="宋体" w:cs="宋体"/>
          <w:kern w:val="0"/>
          <w:sz w:val="72"/>
          <w:highlight w:val="none"/>
        </w:rPr>
        <w:t>（商务技术文件）</w:t>
      </w:r>
    </w:p>
    <w:p>
      <w:pPr>
        <w:autoSpaceDE w:val="0"/>
        <w:autoSpaceDN w:val="0"/>
        <w:adjustRightInd w:val="0"/>
        <w:snapToGrid w:val="0"/>
        <w:spacing w:line="360" w:lineRule="auto"/>
        <w:jc w:val="left"/>
        <w:rPr>
          <w:rFonts w:ascii="宋体" w:hAnsi="宋体" w:cs="宋体"/>
          <w:kern w:val="0"/>
          <w:sz w:val="16"/>
          <w:highlight w:val="none"/>
        </w:rPr>
      </w:pPr>
    </w:p>
    <w:p>
      <w:pPr>
        <w:autoSpaceDE w:val="0"/>
        <w:autoSpaceDN w:val="0"/>
        <w:adjustRightInd w:val="0"/>
        <w:snapToGrid w:val="0"/>
        <w:spacing w:line="360" w:lineRule="auto"/>
        <w:jc w:val="left"/>
        <w:rPr>
          <w:rFonts w:ascii="宋体" w:hAnsi="宋体" w:cs="宋体"/>
          <w:kern w:val="0"/>
          <w:sz w:val="20"/>
          <w:highlight w:val="none"/>
        </w:rPr>
      </w:pPr>
    </w:p>
    <w:p>
      <w:pPr>
        <w:autoSpaceDE w:val="0"/>
        <w:autoSpaceDN w:val="0"/>
        <w:adjustRightInd w:val="0"/>
        <w:snapToGrid w:val="0"/>
        <w:spacing w:line="360" w:lineRule="auto"/>
        <w:jc w:val="left"/>
        <w:rPr>
          <w:rFonts w:ascii="宋体" w:hAnsi="宋体" w:cs="宋体"/>
          <w:kern w:val="0"/>
          <w:sz w:val="20"/>
          <w:highlight w:val="none"/>
        </w:rPr>
      </w:pPr>
    </w:p>
    <w:p>
      <w:pPr>
        <w:autoSpaceDE w:val="0"/>
        <w:autoSpaceDN w:val="0"/>
        <w:adjustRightInd w:val="0"/>
        <w:snapToGrid w:val="0"/>
        <w:spacing w:line="360" w:lineRule="auto"/>
        <w:jc w:val="left"/>
        <w:rPr>
          <w:rFonts w:ascii="宋体" w:hAnsi="宋体" w:cs="宋体"/>
          <w:kern w:val="0"/>
          <w:sz w:val="20"/>
          <w:highlight w:val="none"/>
        </w:rPr>
      </w:pPr>
    </w:p>
    <w:p>
      <w:pPr>
        <w:autoSpaceDE w:val="0"/>
        <w:autoSpaceDN w:val="0"/>
        <w:adjustRightInd w:val="0"/>
        <w:snapToGrid w:val="0"/>
        <w:spacing w:line="360" w:lineRule="auto"/>
        <w:jc w:val="left"/>
        <w:rPr>
          <w:rFonts w:ascii="宋体" w:hAnsi="宋体" w:cs="宋体"/>
          <w:kern w:val="0"/>
          <w:sz w:val="20"/>
          <w:highlight w:val="none"/>
        </w:rPr>
      </w:pPr>
    </w:p>
    <w:p>
      <w:pPr>
        <w:autoSpaceDE w:val="0"/>
        <w:autoSpaceDN w:val="0"/>
        <w:adjustRightInd w:val="0"/>
        <w:snapToGrid w:val="0"/>
        <w:spacing w:line="360" w:lineRule="auto"/>
        <w:jc w:val="left"/>
        <w:rPr>
          <w:rFonts w:ascii="宋体" w:hAnsi="宋体" w:cs="宋体"/>
          <w:kern w:val="0"/>
          <w:sz w:val="20"/>
          <w:highlight w:val="none"/>
        </w:rPr>
      </w:pPr>
    </w:p>
    <w:p>
      <w:pPr>
        <w:autoSpaceDE w:val="0"/>
        <w:autoSpaceDN w:val="0"/>
        <w:adjustRightInd w:val="0"/>
        <w:snapToGrid w:val="0"/>
        <w:spacing w:line="360" w:lineRule="auto"/>
        <w:jc w:val="left"/>
        <w:rPr>
          <w:rFonts w:ascii="宋体" w:hAnsi="宋体" w:cs="宋体"/>
          <w:kern w:val="0"/>
          <w:sz w:val="20"/>
          <w:highlight w:val="none"/>
        </w:rPr>
      </w:pPr>
    </w:p>
    <w:p>
      <w:pPr>
        <w:autoSpaceDE w:val="0"/>
        <w:autoSpaceDN w:val="0"/>
        <w:adjustRightInd w:val="0"/>
        <w:snapToGrid w:val="0"/>
        <w:spacing w:line="360" w:lineRule="auto"/>
        <w:jc w:val="left"/>
        <w:rPr>
          <w:rFonts w:ascii="宋体" w:hAnsi="宋体" w:cs="宋体"/>
          <w:kern w:val="0"/>
          <w:sz w:val="20"/>
          <w:highlight w:val="none"/>
        </w:rPr>
      </w:pPr>
    </w:p>
    <w:p>
      <w:pPr>
        <w:tabs>
          <w:tab w:val="left" w:pos="6080"/>
          <w:tab w:val="left" w:pos="6640"/>
        </w:tabs>
        <w:autoSpaceDE w:val="0"/>
        <w:autoSpaceDN w:val="0"/>
        <w:adjustRightInd w:val="0"/>
        <w:snapToGrid w:val="0"/>
        <w:spacing w:line="360" w:lineRule="auto"/>
        <w:ind w:left="774" w:right="403"/>
        <w:jc w:val="left"/>
        <w:rPr>
          <w:rFonts w:ascii="宋体" w:hAnsi="宋体" w:cs="宋体"/>
          <w:kern w:val="0"/>
          <w:sz w:val="28"/>
          <w:highlight w:val="none"/>
        </w:rPr>
      </w:pPr>
      <w:r>
        <w:rPr>
          <w:rFonts w:hint="eastAsia" w:ascii="宋体" w:hAnsi="宋体" w:cs="宋体"/>
          <w:kern w:val="0"/>
          <w:sz w:val="28"/>
          <w:highlight w:val="none"/>
        </w:rPr>
        <w:t>供应商：（盖单位公章）</w:t>
      </w:r>
    </w:p>
    <w:p>
      <w:pPr>
        <w:tabs>
          <w:tab w:val="left" w:pos="6080"/>
          <w:tab w:val="left" w:pos="6640"/>
        </w:tabs>
        <w:autoSpaceDE w:val="0"/>
        <w:autoSpaceDN w:val="0"/>
        <w:adjustRightInd w:val="0"/>
        <w:snapToGrid w:val="0"/>
        <w:spacing w:line="360" w:lineRule="auto"/>
        <w:ind w:left="774" w:right="403"/>
        <w:jc w:val="left"/>
        <w:rPr>
          <w:rFonts w:ascii="宋体" w:hAnsi="宋体" w:cs="宋体"/>
          <w:kern w:val="0"/>
          <w:sz w:val="28"/>
          <w:highlight w:val="none"/>
        </w:rPr>
      </w:pPr>
    </w:p>
    <w:p>
      <w:pPr>
        <w:tabs>
          <w:tab w:val="left" w:pos="3280"/>
          <w:tab w:val="left" w:pos="4680"/>
          <w:tab w:val="left" w:pos="6080"/>
        </w:tabs>
        <w:autoSpaceDE w:val="0"/>
        <w:autoSpaceDN w:val="0"/>
        <w:adjustRightInd w:val="0"/>
        <w:snapToGrid w:val="0"/>
        <w:spacing w:line="360" w:lineRule="auto"/>
        <w:ind w:left="2173" w:leftChars="1035" w:right="-20" w:firstLine="546" w:firstLineChars="195"/>
        <w:jc w:val="left"/>
        <w:rPr>
          <w:rFonts w:ascii="宋体" w:hAnsi="宋体" w:cs="宋体"/>
          <w:kern w:val="0"/>
          <w:sz w:val="28"/>
          <w:highlight w:val="none"/>
        </w:rPr>
      </w:pPr>
      <w:r>
        <w:rPr>
          <w:rFonts w:hint="eastAsia" w:ascii="宋体" w:hAnsi="宋体" w:cs="宋体"/>
          <w:kern w:val="0"/>
          <w:sz w:val="28"/>
          <w:highlight w:val="none"/>
        </w:rPr>
        <w:t>年月日</w:t>
      </w:r>
    </w:p>
    <w:p>
      <w:pPr>
        <w:adjustRightInd w:val="0"/>
        <w:snapToGrid w:val="0"/>
        <w:spacing w:line="360" w:lineRule="auto"/>
        <w:rPr>
          <w:rFonts w:ascii="宋体" w:hAnsi="宋体" w:cs="宋体"/>
          <w:highlight w:val="none"/>
        </w:rPr>
      </w:pPr>
      <w:bookmarkStart w:id="207" w:name="_Toc477357154"/>
      <w:bookmarkStart w:id="208" w:name="_Toc28370"/>
      <w:bookmarkStart w:id="209" w:name="_Toc16957"/>
      <w:bookmarkStart w:id="210" w:name="_Toc31910"/>
      <w:bookmarkStart w:id="211" w:name="_Toc11567"/>
      <w:bookmarkStart w:id="212" w:name="_Toc30371"/>
      <w:bookmarkStart w:id="213" w:name="_Toc3696"/>
      <w:bookmarkStart w:id="214" w:name="_Toc21976"/>
      <w:bookmarkStart w:id="215" w:name="_Toc9064"/>
    </w:p>
    <w:p>
      <w:pPr>
        <w:spacing w:line="360" w:lineRule="auto"/>
        <w:outlineLvl w:val="1"/>
        <w:rPr>
          <w:rFonts w:ascii="宋体" w:hAnsi="宋体" w:cs="宋体"/>
          <w:b/>
          <w:szCs w:val="20"/>
          <w:highlight w:val="none"/>
        </w:rPr>
        <w:sectPr>
          <w:footerReference r:id="rId10" w:type="first"/>
          <w:headerReference r:id="rId7" w:type="default"/>
          <w:footerReference r:id="rId8" w:type="default"/>
          <w:footerReference r:id="rId9" w:type="even"/>
          <w:pgSz w:w="11906" w:h="16838"/>
          <w:pgMar w:top="1440" w:right="1797" w:bottom="1440" w:left="1797" w:header="720" w:footer="720" w:gutter="0"/>
          <w:pgNumType w:fmt="decimal"/>
          <w:cols w:space="720" w:num="1"/>
          <w:docGrid w:linePitch="272" w:charSpace="-3831"/>
        </w:sectPr>
      </w:pPr>
    </w:p>
    <w:p>
      <w:pPr>
        <w:pStyle w:val="4"/>
        <w:ind w:firstLine="0" w:firstLineChars="0"/>
        <w:rPr>
          <w:rFonts w:ascii="宋体" w:hAnsi="宋体" w:cs="宋体"/>
          <w:highlight w:val="none"/>
        </w:rPr>
      </w:pPr>
      <w:bookmarkStart w:id="216" w:name="_Toc20910"/>
      <w:bookmarkStart w:id="217" w:name="_Toc3210"/>
      <w:bookmarkStart w:id="218" w:name="_Toc6790"/>
      <w:bookmarkStart w:id="219" w:name="_Toc23606"/>
      <w:bookmarkStart w:id="220" w:name="_Toc5687"/>
      <w:bookmarkStart w:id="221" w:name="_Toc5223"/>
      <w:bookmarkStart w:id="222" w:name="_Toc18246"/>
      <w:bookmarkStart w:id="223" w:name="_Toc24136"/>
      <w:bookmarkStart w:id="224" w:name="_Toc2666"/>
      <w:bookmarkStart w:id="225" w:name="_Toc2872"/>
      <w:r>
        <w:rPr>
          <w:rFonts w:hint="eastAsia" w:ascii="宋体" w:hAnsi="宋体" w:cs="宋体"/>
          <w:highlight w:val="none"/>
        </w:rPr>
        <w:t>附件三、</w:t>
      </w:r>
      <w:bookmarkEnd w:id="200"/>
      <w:bookmarkEnd w:id="201"/>
      <w:bookmarkEnd w:id="207"/>
      <w:r>
        <w:rPr>
          <w:rFonts w:hint="eastAsia" w:ascii="宋体" w:hAnsi="宋体" w:cs="宋体"/>
          <w:highlight w:val="none"/>
        </w:rPr>
        <w:t>法定代表人资格证明书或附有法定代表人资格证明书的法定代表人授权书</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adjustRightInd w:val="0"/>
        <w:snapToGrid w:val="0"/>
        <w:spacing w:line="360" w:lineRule="auto"/>
        <w:ind w:firstLine="643"/>
        <w:jc w:val="center"/>
        <w:rPr>
          <w:rFonts w:ascii="宋体" w:hAnsi="宋体" w:cs="宋体"/>
          <w:b/>
          <w:bCs/>
          <w:sz w:val="32"/>
          <w:szCs w:val="20"/>
          <w:highlight w:val="none"/>
        </w:rPr>
      </w:pPr>
      <w:r>
        <w:rPr>
          <w:rFonts w:hint="eastAsia" w:ascii="宋体" w:hAnsi="宋体" w:cs="宋体"/>
          <w:b/>
          <w:bCs/>
          <w:sz w:val="32"/>
          <w:szCs w:val="20"/>
          <w:highlight w:val="none"/>
        </w:rPr>
        <w:t>法定代表人资格证明书</w:t>
      </w:r>
    </w:p>
    <w:p>
      <w:pPr>
        <w:adjustRightInd w:val="0"/>
        <w:spacing w:line="360" w:lineRule="auto"/>
        <w:ind w:firstLine="480" w:firstLineChars="229"/>
        <w:rPr>
          <w:rFonts w:ascii="宋体" w:hAnsi="宋体" w:cs="宋体"/>
          <w:szCs w:val="20"/>
          <w:highlight w:val="none"/>
          <w:u w:val="single"/>
        </w:rPr>
      </w:pPr>
      <w:r>
        <w:rPr>
          <w:rFonts w:hint="eastAsia" w:ascii="宋体" w:hAnsi="宋体" w:cs="宋体"/>
          <w:szCs w:val="20"/>
          <w:highlight w:val="none"/>
          <w:u w:val="single"/>
          <w:lang w:eastAsia="zh-CN"/>
        </w:rPr>
        <w:t>浙江理工大学</w:t>
      </w:r>
      <w:r>
        <w:rPr>
          <w:rFonts w:hint="eastAsia" w:ascii="宋体" w:hAnsi="宋体" w:cs="宋体"/>
          <w:szCs w:val="20"/>
          <w:highlight w:val="none"/>
          <w:u w:val="single"/>
        </w:rPr>
        <w:t>：</w:t>
      </w:r>
    </w:p>
    <w:p>
      <w:pPr>
        <w:adjustRightInd w:val="0"/>
        <w:spacing w:line="360" w:lineRule="auto"/>
        <w:ind w:firstLine="482"/>
        <w:rPr>
          <w:rFonts w:ascii="宋体" w:hAnsi="宋体" w:cs="宋体"/>
          <w:szCs w:val="20"/>
          <w:highlight w:val="none"/>
          <w:u w:val="single"/>
        </w:rPr>
      </w:pPr>
      <w:r>
        <w:rPr>
          <w:rFonts w:hint="eastAsia" w:ascii="宋体" w:hAnsi="宋体" w:cs="宋体"/>
          <w:szCs w:val="20"/>
          <w:highlight w:val="none"/>
          <w:u w:val="single"/>
        </w:rPr>
        <w:t>浙江省成套招标代理有限公司：</w:t>
      </w:r>
    </w:p>
    <w:p>
      <w:pPr>
        <w:adjustRightInd w:val="0"/>
        <w:spacing w:line="360" w:lineRule="auto"/>
        <w:ind w:firstLine="482"/>
        <w:rPr>
          <w:rFonts w:ascii="宋体" w:hAnsi="宋体" w:cs="宋体"/>
          <w:szCs w:val="20"/>
          <w:highlight w:val="none"/>
        </w:rPr>
      </w:pPr>
    </w:p>
    <w:p>
      <w:pPr>
        <w:widowControl/>
        <w:autoSpaceDE w:val="0"/>
        <w:autoSpaceDN w:val="0"/>
        <w:adjustRightInd w:val="0"/>
        <w:snapToGrid w:val="0"/>
        <w:spacing w:line="360" w:lineRule="auto"/>
        <w:ind w:firstLine="420" w:firstLineChars="200"/>
        <w:textAlignment w:val="bottom"/>
        <w:rPr>
          <w:rFonts w:ascii="宋体" w:hAnsi="宋体" w:cs="宋体"/>
          <w:snapToGrid w:val="0"/>
          <w:kern w:val="0"/>
          <w:szCs w:val="21"/>
          <w:highlight w:val="none"/>
        </w:rPr>
      </w:pPr>
      <w:r>
        <w:rPr>
          <w:rFonts w:hint="eastAsia" w:ascii="宋体" w:hAnsi="宋体" w:cs="宋体"/>
          <w:snapToGrid w:val="0"/>
          <w:kern w:val="0"/>
          <w:szCs w:val="21"/>
          <w:highlight w:val="none"/>
          <w:u w:val="single"/>
        </w:rPr>
        <w:t xml:space="preserve">     （姓名）    </w:t>
      </w:r>
      <w:r>
        <w:rPr>
          <w:rFonts w:hint="eastAsia" w:ascii="宋体" w:hAnsi="宋体" w:cs="宋体"/>
          <w:snapToGrid w:val="0"/>
          <w:kern w:val="0"/>
          <w:szCs w:val="21"/>
          <w:highlight w:val="none"/>
        </w:rPr>
        <w:t>系</w:t>
      </w:r>
      <w:r>
        <w:rPr>
          <w:rFonts w:hint="eastAsia" w:ascii="宋体" w:hAnsi="宋体" w:cs="宋体"/>
          <w:snapToGrid w:val="0"/>
          <w:kern w:val="0"/>
          <w:szCs w:val="21"/>
          <w:highlight w:val="none"/>
          <w:u w:val="single"/>
        </w:rPr>
        <w:t xml:space="preserve">  （单位名称）  </w:t>
      </w:r>
      <w:r>
        <w:rPr>
          <w:rFonts w:hint="eastAsia" w:ascii="宋体" w:hAnsi="宋体" w:cs="宋体"/>
          <w:snapToGrid w:val="0"/>
          <w:kern w:val="0"/>
          <w:szCs w:val="21"/>
          <w:highlight w:val="none"/>
        </w:rPr>
        <w:t>的法定代表人，</w:t>
      </w:r>
      <w:r>
        <w:rPr>
          <w:rFonts w:hint="eastAsia" w:ascii="宋体" w:hAnsi="宋体" w:cs="宋体"/>
          <w:snapToGrid w:val="0"/>
          <w:kern w:val="0"/>
          <w:szCs w:val="21"/>
          <w:highlight w:val="none"/>
          <w:u w:val="single"/>
        </w:rPr>
        <w:t xml:space="preserve">   （身份证号）     </w:t>
      </w:r>
      <w:r>
        <w:rPr>
          <w:rFonts w:hint="eastAsia" w:ascii="宋体" w:hAnsi="宋体" w:cs="宋体"/>
          <w:snapToGrid w:val="0"/>
          <w:kern w:val="0"/>
          <w:szCs w:val="21"/>
          <w:highlight w:val="none"/>
        </w:rPr>
        <w:t>。</w:t>
      </w:r>
    </w:p>
    <w:p>
      <w:pPr>
        <w:widowControl/>
        <w:autoSpaceDE w:val="0"/>
        <w:autoSpaceDN w:val="0"/>
        <w:adjustRightInd w:val="0"/>
        <w:snapToGrid w:val="0"/>
        <w:spacing w:line="360" w:lineRule="auto"/>
        <w:ind w:firstLine="420" w:firstLineChars="200"/>
        <w:textAlignment w:val="bottom"/>
        <w:rPr>
          <w:rFonts w:ascii="宋体" w:hAnsi="宋体" w:cs="宋体"/>
          <w:snapToGrid w:val="0"/>
          <w:kern w:val="0"/>
          <w:szCs w:val="21"/>
          <w:highlight w:val="none"/>
        </w:rPr>
      </w:pPr>
      <w:r>
        <w:rPr>
          <w:rFonts w:hint="eastAsia" w:ascii="宋体" w:hAnsi="宋体" w:cs="宋体"/>
          <w:snapToGrid w:val="0"/>
          <w:kern w:val="0"/>
          <w:szCs w:val="21"/>
          <w:highlight w:val="none"/>
        </w:rPr>
        <w:t>特此证明。</w:t>
      </w:r>
    </w:p>
    <w:p>
      <w:pPr>
        <w:widowControl/>
        <w:autoSpaceDE w:val="0"/>
        <w:autoSpaceDN w:val="0"/>
        <w:adjustRightInd w:val="0"/>
        <w:snapToGrid w:val="0"/>
        <w:spacing w:line="360" w:lineRule="auto"/>
        <w:ind w:firstLine="422" w:firstLineChars="200"/>
        <w:textAlignment w:val="bottom"/>
        <w:rPr>
          <w:rFonts w:ascii="宋体" w:hAnsi="宋体" w:cs="宋体"/>
          <w:b/>
          <w:snapToGrid w:val="0"/>
          <w:kern w:val="0"/>
          <w:szCs w:val="21"/>
          <w:highlight w:val="none"/>
        </w:rPr>
      </w:pPr>
    </w:p>
    <w:p>
      <w:pPr>
        <w:widowControl/>
        <w:autoSpaceDE w:val="0"/>
        <w:autoSpaceDN w:val="0"/>
        <w:adjustRightInd w:val="0"/>
        <w:snapToGrid w:val="0"/>
        <w:spacing w:line="360" w:lineRule="auto"/>
        <w:ind w:firstLine="422" w:firstLineChars="200"/>
        <w:textAlignment w:val="bottom"/>
        <w:rPr>
          <w:rFonts w:ascii="宋体" w:hAnsi="宋体" w:cs="宋体"/>
          <w:b/>
          <w:snapToGrid w:val="0"/>
          <w:kern w:val="0"/>
          <w:szCs w:val="21"/>
          <w:highlight w:val="none"/>
        </w:rPr>
      </w:pPr>
      <w:r>
        <w:rPr>
          <w:rFonts w:hint="eastAsia" w:ascii="宋体" w:hAnsi="宋体" w:cs="宋体"/>
          <w:b/>
          <w:snapToGrid w:val="0"/>
          <w:kern w:val="0"/>
          <w:szCs w:val="21"/>
          <w:highlight w:val="none"/>
        </w:rPr>
        <w:t>供应商：（盖单位公章）</w:t>
      </w:r>
    </w:p>
    <w:p>
      <w:pPr>
        <w:adjustRightInd w:val="0"/>
        <w:snapToGrid w:val="0"/>
        <w:spacing w:line="360" w:lineRule="auto"/>
        <w:ind w:firstLine="420" w:firstLineChars="200"/>
        <w:rPr>
          <w:rFonts w:ascii="宋体" w:hAnsi="宋体" w:cs="宋体"/>
          <w:snapToGrid w:val="0"/>
          <w:kern w:val="0"/>
          <w:szCs w:val="21"/>
          <w:highlight w:val="none"/>
        </w:rPr>
      </w:pPr>
      <w:r>
        <w:rPr>
          <w:rFonts w:hint="eastAsia" w:ascii="宋体" w:hAnsi="宋体" w:cs="宋体"/>
          <w:snapToGrid w:val="0"/>
          <w:kern w:val="0"/>
          <w:szCs w:val="21"/>
          <w:highlight w:val="none"/>
        </w:rPr>
        <w:t>日期：年月日</w:t>
      </w:r>
    </w:p>
    <w:p>
      <w:pPr>
        <w:adjustRightInd w:val="0"/>
        <w:snapToGrid w:val="0"/>
        <w:spacing w:line="360" w:lineRule="auto"/>
        <w:ind w:firstLine="420" w:firstLineChars="200"/>
        <w:rPr>
          <w:rFonts w:ascii="宋体" w:hAnsi="宋体" w:cs="宋体"/>
          <w:snapToGrid w:val="0"/>
          <w:kern w:val="0"/>
          <w:szCs w:val="21"/>
          <w:highlight w:val="none"/>
        </w:rPr>
      </w:pPr>
      <w:r>
        <w:rPr>
          <w:rFonts w:hint="eastAsia" w:ascii="宋体" w:hAnsi="宋体" w:cs="宋体"/>
          <w:snapToGrid w:val="0"/>
          <w:kern w:val="0"/>
          <w:szCs w:val="21"/>
          <w:highlight w:val="none"/>
        </w:rPr>
        <w:t>附：</w:t>
      </w:r>
    </w:p>
    <w:p>
      <w:pPr>
        <w:adjustRightInd w:val="0"/>
        <w:snapToGrid w:val="0"/>
        <w:spacing w:line="360" w:lineRule="auto"/>
        <w:ind w:firstLine="420" w:firstLineChars="200"/>
        <w:rPr>
          <w:rFonts w:ascii="宋体" w:hAnsi="宋体" w:cs="宋体"/>
          <w:snapToGrid w:val="0"/>
          <w:kern w:val="0"/>
          <w:szCs w:val="21"/>
          <w:highlight w:val="none"/>
        </w:rPr>
      </w:pPr>
      <w:r>
        <w:rPr>
          <w:rFonts w:hint="eastAsia" w:ascii="宋体" w:hAnsi="宋体" w:cs="宋体"/>
          <w:snapToGrid w:val="0"/>
          <w:kern w:val="0"/>
          <w:szCs w:val="21"/>
          <w:highlight w:val="none"/>
        </w:rPr>
        <w:t>法定代表人联系方式：               、身份证复印件（正反两面）</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8528" w:type="dxa"/>
          </w:tcPr>
          <w:p>
            <w:pPr>
              <w:keepNext w:val="0"/>
              <w:keepLines w:val="0"/>
              <w:suppressLineNumbers w:val="0"/>
              <w:spacing w:before="0" w:beforeAutospacing="0" w:after="0" w:afterAutospacing="0" w:line="360" w:lineRule="auto"/>
              <w:ind w:left="0" w:right="0"/>
              <w:rPr>
                <w:rFonts w:hint="default" w:ascii="宋体" w:hAnsi="宋体" w:cs="宋体"/>
                <w:b/>
                <w:highlight w:val="none"/>
              </w:rPr>
            </w:pPr>
          </w:p>
          <w:p>
            <w:pPr>
              <w:keepNext w:val="0"/>
              <w:keepLines w:val="0"/>
              <w:suppressLineNumbers w:val="0"/>
              <w:spacing w:before="0" w:beforeAutospacing="0" w:after="0" w:afterAutospacing="0" w:line="360" w:lineRule="auto"/>
              <w:ind w:left="0" w:right="0"/>
              <w:rPr>
                <w:rFonts w:hint="default" w:ascii="宋体" w:hAnsi="宋体" w:cs="宋体"/>
                <w:b/>
                <w:highlight w:val="none"/>
              </w:rPr>
            </w:pPr>
          </w:p>
          <w:p>
            <w:pPr>
              <w:keepNext w:val="0"/>
              <w:keepLines w:val="0"/>
              <w:suppressLineNumbers w:val="0"/>
              <w:adjustRightInd w:val="0"/>
              <w:snapToGrid w:val="0"/>
              <w:spacing w:before="0" w:beforeAutospacing="0" w:after="0" w:afterAutospacing="0" w:line="360" w:lineRule="auto"/>
              <w:ind w:left="0" w:right="0" w:firstLine="2100" w:firstLineChars="1000"/>
              <w:rPr>
                <w:rFonts w:hint="default" w:ascii="宋体" w:hAnsi="宋体" w:cs="宋体"/>
                <w:snapToGrid w:val="0"/>
                <w:kern w:val="0"/>
                <w:szCs w:val="21"/>
                <w:highlight w:val="none"/>
              </w:rPr>
            </w:pPr>
            <w:r>
              <w:rPr>
                <w:rFonts w:hint="eastAsia" w:ascii="宋体" w:hAnsi="宋体" w:cs="宋体"/>
                <w:snapToGrid w:val="0"/>
                <w:kern w:val="0"/>
                <w:szCs w:val="21"/>
                <w:highlight w:val="none"/>
              </w:rPr>
              <w:t>法定代表人身份证复印件（正反两面）</w:t>
            </w:r>
          </w:p>
          <w:p>
            <w:pPr>
              <w:keepNext w:val="0"/>
              <w:keepLines w:val="0"/>
              <w:suppressLineNumbers w:val="0"/>
              <w:spacing w:before="0" w:beforeAutospacing="0" w:after="0" w:afterAutospacing="0" w:line="360" w:lineRule="auto"/>
              <w:ind w:left="0" w:right="0"/>
              <w:jc w:val="center"/>
              <w:rPr>
                <w:rFonts w:hint="default" w:ascii="宋体" w:hAnsi="宋体" w:cs="宋体"/>
                <w:b/>
                <w:highlight w:val="none"/>
              </w:rPr>
            </w:pPr>
          </w:p>
        </w:tc>
      </w:tr>
    </w:tbl>
    <w:p>
      <w:pPr>
        <w:adjustRightInd w:val="0"/>
        <w:snapToGrid w:val="0"/>
        <w:spacing w:line="360" w:lineRule="auto"/>
        <w:ind w:firstLine="422" w:firstLineChars="200"/>
        <w:rPr>
          <w:rFonts w:ascii="宋体" w:hAnsi="宋体" w:cs="宋体"/>
          <w:b/>
          <w:snapToGrid w:val="0"/>
          <w:kern w:val="0"/>
          <w:szCs w:val="21"/>
          <w:highlight w:val="none"/>
        </w:rPr>
      </w:pPr>
    </w:p>
    <w:p>
      <w:pPr>
        <w:adjustRightInd w:val="0"/>
        <w:snapToGrid w:val="0"/>
        <w:spacing w:line="360" w:lineRule="auto"/>
        <w:ind w:firstLine="422" w:firstLineChars="200"/>
        <w:rPr>
          <w:rFonts w:ascii="宋体" w:hAnsi="宋体" w:cs="宋体"/>
          <w:b/>
          <w:snapToGrid w:val="0"/>
          <w:kern w:val="0"/>
          <w:szCs w:val="21"/>
          <w:highlight w:val="none"/>
        </w:rPr>
      </w:pPr>
    </w:p>
    <w:p>
      <w:pPr>
        <w:adjustRightInd w:val="0"/>
        <w:snapToGrid w:val="0"/>
        <w:spacing w:line="360" w:lineRule="auto"/>
        <w:ind w:firstLine="422" w:firstLineChars="200"/>
        <w:rPr>
          <w:rFonts w:ascii="宋体" w:hAnsi="宋体" w:cs="宋体"/>
          <w:b/>
          <w:snapToGrid w:val="0"/>
          <w:kern w:val="0"/>
          <w:szCs w:val="21"/>
          <w:highlight w:val="none"/>
        </w:rPr>
      </w:pPr>
    </w:p>
    <w:p>
      <w:pPr>
        <w:pStyle w:val="23"/>
        <w:ind w:firstLine="420"/>
        <w:rPr>
          <w:rFonts w:ascii="宋体" w:hAnsi="宋体" w:eastAsia="宋体" w:cs="宋体"/>
          <w:highlight w:val="none"/>
        </w:rPr>
      </w:pPr>
    </w:p>
    <w:p>
      <w:pPr>
        <w:adjustRightInd w:val="0"/>
        <w:snapToGrid w:val="0"/>
        <w:spacing w:line="360" w:lineRule="auto"/>
        <w:ind w:firstLine="422" w:firstLineChars="200"/>
        <w:rPr>
          <w:rFonts w:ascii="宋体" w:hAnsi="宋体" w:cs="宋体"/>
          <w:b/>
          <w:snapToGrid w:val="0"/>
          <w:kern w:val="0"/>
          <w:szCs w:val="21"/>
          <w:highlight w:val="none"/>
        </w:rPr>
      </w:pPr>
      <w:r>
        <w:rPr>
          <w:rFonts w:hint="eastAsia" w:ascii="宋体" w:hAnsi="宋体" w:cs="宋体"/>
          <w:b/>
          <w:snapToGrid w:val="0"/>
          <w:kern w:val="0"/>
          <w:szCs w:val="21"/>
          <w:highlight w:val="none"/>
        </w:rPr>
        <w:t>注：法定代表人直接签署投标文件并参加投标的，在投标文件中出具此资格证明书及身份证复印件。</w:t>
      </w:r>
    </w:p>
    <w:p>
      <w:pPr>
        <w:adjustRightInd w:val="0"/>
        <w:snapToGrid w:val="0"/>
        <w:spacing w:line="360" w:lineRule="auto"/>
        <w:ind w:firstLine="420" w:firstLineChars="200"/>
        <w:rPr>
          <w:rFonts w:ascii="宋体" w:hAnsi="宋体" w:cs="宋体"/>
          <w:highlight w:val="none"/>
        </w:rPr>
      </w:pPr>
    </w:p>
    <w:p>
      <w:pPr>
        <w:adjustRightInd w:val="0"/>
        <w:snapToGrid w:val="0"/>
        <w:spacing w:line="360" w:lineRule="auto"/>
        <w:ind w:firstLine="643"/>
        <w:jc w:val="center"/>
        <w:rPr>
          <w:rFonts w:ascii="宋体" w:hAnsi="宋体" w:cs="宋体"/>
          <w:b/>
          <w:bCs/>
          <w:sz w:val="32"/>
          <w:szCs w:val="20"/>
          <w:highlight w:val="none"/>
        </w:rPr>
      </w:pPr>
      <w:r>
        <w:rPr>
          <w:rFonts w:hint="eastAsia" w:ascii="宋体" w:hAnsi="宋体" w:cs="宋体"/>
          <w:b/>
          <w:bCs/>
          <w:sz w:val="32"/>
          <w:szCs w:val="20"/>
          <w:highlight w:val="none"/>
        </w:rPr>
        <w:br w:type="page"/>
      </w:r>
      <w:r>
        <w:rPr>
          <w:rFonts w:hint="eastAsia" w:ascii="宋体" w:hAnsi="宋体" w:cs="宋体"/>
          <w:b/>
          <w:bCs/>
          <w:sz w:val="32"/>
          <w:szCs w:val="20"/>
          <w:highlight w:val="none"/>
        </w:rPr>
        <w:t>法定代表人授权委托书</w:t>
      </w:r>
    </w:p>
    <w:p>
      <w:pPr>
        <w:adjustRightInd w:val="0"/>
        <w:spacing w:line="360" w:lineRule="auto"/>
        <w:ind w:firstLine="420" w:firstLineChars="200"/>
        <w:rPr>
          <w:rFonts w:ascii="宋体" w:hAnsi="宋体" w:cs="宋体"/>
          <w:szCs w:val="20"/>
          <w:highlight w:val="none"/>
          <w:u w:val="single"/>
        </w:rPr>
      </w:pPr>
      <w:r>
        <w:rPr>
          <w:rFonts w:hint="eastAsia" w:ascii="宋体" w:hAnsi="宋体" w:cs="宋体"/>
          <w:szCs w:val="20"/>
          <w:highlight w:val="none"/>
          <w:u w:val="single"/>
          <w:lang w:eastAsia="zh-CN"/>
        </w:rPr>
        <w:t>浙江理工大学</w:t>
      </w:r>
      <w:r>
        <w:rPr>
          <w:rFonts w:hint="eastAsia" w:ascii="宋体" w:hAnsi="宋体" w:cs="宋体"/>
          <w:szCs w:val="20"/>
          <w:highlight w:val="none"/>
          <w:u w:val="single"/>
        </w:rPr>
        <w:t>：</w:t>
      </w:r>
    </w:p>
    <w:p>
      <w:pPr>
        <w:adjustRightInd w:val="0"/>
        <w:spacing w:line="360" w:lineRule="auto"/>
        <w:ind w:firstLine="420" w:firstLineChars="200"/>
        <w:rPr>
          <w:rFonts w:ascii="宋体" w:hAnsi="宋体" w:cs="宋体"/>
          <w:szCs w:val="20"/>
          <w:highlight w:val="none"/>
          <w:u w:val="single"/>
        </w:rPr>
      </w:pPr>
      <w:r>
        <w:rPr>
          <w:rFonts w:hint="eastAsia" w:ascii="宋体" w:hAnsi="宋体" w:cs="宋体"/>
          <w:szCs w:val="20"/>
          <w:highlight w:val="none"/>
          <w:u w:val="single"/>
        </w:rPr>
        <w:t>浙江省成套招标代理有限公司：</w:t>
      </w:r>
    </w:p>
    <w:p>
      <w:pPr>
        <w:spacing w:line="360" w:lineRule="auto"/>
        <w:ind w:firstLine="420" w:firstLineChars="200"/>
        <w:rPr>
          <w:rFonts w:ascii="宋体" w:hAnsi="宋体" w:cs="宋体"/>
          <w:szCs w:val="20"/>
          <w:highlight w:val="none"/>
        </w:rPr>
      </w:pPr>
      <w:r>
        <w:rPr>
          <w:rFonts w:hint="eastAsia" w:ascii="宋体" w:hAnsi="宋体" w:cs="宋体"/>
          <w:szCs w:val="20"/>
          <w:highlight w:val="none"/>
        </w:rPr>
        <w:t>我以</w:t>
      </w:r>
      <w:r>
        <w:rPr>
          <w:rFonts w:hint="eastAsia" w:ascii="宋体" w:hAnsi="宋体" w:cs="宋体"/>
          <w:szCs w:val="20"/>
          <w:highlight w:val="none"/>
          <w:u w:val="single"/>
        </w:rPr>
        <w:t xml:space="preserve">        （供应商全称）    </w:t>
      </w:r>
      <w:r>
        <w:rPr>
          <w:rFonts w:hint="eastAsia" w:ascii="宋体" w:hAnsi="宋体" w:cs="宋体"/>
          <w:szCs w:val="20"/>
          <w:highlight w:val="none"/>
        </w:rPr>
        <w:t>法定代表人的身份授权</w:t>
      </w:r>
      <w:r>
        <w:rPr>
          <w:rFonts w:hint="eastAsia" w:ascii="宋体" w:hAnsi="宋体" w:cs="宋体"/>
          <w:szCs w:val="20"/>
          <w:highlight w:val="none"/>
          <w:u w:val="single"/>
        </w:rPr>
        <w:t>（全权代表姓名）</w:t>
      </w:r>
      <w:r>
        <w:rPr>
          <w:rFonts w:hint="eastAsia" w:ascii="宋体" w:hAnsi="宋体" w:cs="宋体"/>
          <w:szCs w:val="20"/>
          <w:highlight w:val="none"/>
        </w:rPr>
        <w:t>，为我单位的全权代表，参加贵处组织的（</w:t>
      </w:r>
      <w:r>
        <w:rPr>
          <w:rFonts w:hint="eastAsia" w:ascii="宋体" w:hAnsi="宋体" w:cs="宋体"/>
          <w:szCs w:val="20"/>
          <w:highlight w:val="none"/>
          <w:lang w:eastAsia="zh-CN"/>
        </w:rPr>
        <w:t>浙江理工大学消防管网改造及安全防护设施、电梯更新项目监理服务</w:t>
      </w:r>
      <w:r>
        <w:rPr>
          <w:rFonts w:hint="eastAsia" w:ascii="宋体" w:hAnsi="宋体" w:cs="宋体"/>
          <w:szCs w:val="20"/>
          <w:highlight w:val="none"/>
        </w:rPr>
        <w:t>）（项目编号：</w:t>
      </w:r>
      <w:r>
        <w:rPr>
          <w:rFonts w:hint="eastAsia" w:ascii="宋体" w:hAnsi="宋体" w:cs="宋体"/>
          <w:szCs w:val="20"/>
          <w:highlight w:val="none"/>
          <w:u w:val="single"/>
          <w:lang w:eastAsia="zh-CN"/>
        </w:rPr>
        <w:t>CTZB-2024040071</w:t>
      </w:r>
      <w:r>
        <w:rPr>
          <w:rFonts w:hint="eastAsia" w:ascii="宋体" w:hAnsi="宋体" w:cs="宋体"/>
          <w:szCs w:val="20"/>
          <w:highlight w:val="none"/>
          <w:u w:val="single"/>
        </w:rPr>
        <w:t xml:space="preserve"> </w:t>
      </w:r>
      <w:r>
        <w:rPr>
          <w:rFonts w:hint="eastAsia" w:ascii="宋体" w:hAnsi="宋体" w:cs="宋体"/>
          <w:szCs w:val="20"/>
          <w:highlight w:val="none"/>
        </w:rPr>
        <w:t>）项目采购，签署本项目相关投标文件并全权处理投标活动中的一切事宜。我单位承认全权代表做出的与本项目招投标活动有关的全部行为。</w:t>
      </w:r>
    </w:p>
    <w:p>
      <w:pPr>
        <w:spacing w:line="360" w:lineRule="auto"/>
        <w:ind w:firstLine="422" w:firstLineChars="200"/>
        <w:rPr>
          <w:rFonts w:ascii="宋体" w:hAnsi="宋体" w:cs="宋体"/>
          <w:b/>
          <w:szCs w:val="20"/>
          <w:highlight w:val="none"/>
        </w:rPr>
      </w:pPr>
      <w:r>
        <w:rPr>
          <w:rFonts w:hint="eastAsia" w:ascii="宋体" w:hAnsi="宋体" w:cs="宋体"/>
          <w:b/>
          <w:szCs w:val="20"/>
          <w:highlight w:val="none"/>
        </w:rPr>
        <w:t>供应商全称（盖单位公章）：</w:t>
      </w:r>
    </w:p>
    <w:p>
      <w:pPr>
        <w:spacing w:line="360" w:lineRule="auto"/>
        <w:ind w:firstLine="422" w:firstLineChars="200"/>
        <w:rPr>
          <w:rFonts w:ascii="宋体" w:hAnsi="宋体" w:cs="宋体"/>
          <w:b/>
          <w:szCs w:val="20"/>
          <w:highlight w:val="none"/>
        </w:rPr>
      </w:pPr>
      <w:r>
        <w:rPr>
          <w:rFonts w:hint="eastAsia" w:ascii="宋体" w:hAnsi="宋体" w:cs="宋体"/>
          <w:b/>
          <w:szCs w:val="20"/>
          <w:highlight w:val="none"/>
        </w:rPr>
        <w:t>法定代表人（签字或盖章）：</w:t>
      </w:r>
    </w:p>
    <w:p>
      <w:pPr>
        <w:spacing w:line="360" w:lineRule="auto"/>
        <w:ind w:firstLine="422" w:firstLineChars="200"/>
        <w:rPr>
          <w:rFonts w:ascii="宋体" w:hAnsi="宋体" w:cs="宋体"/>
          <w:szCs w:val="20"/>
          <w:highlight w:val="none"/>
        </w:rPr>
      </w:pPr>
      <w:r>
        <w:rPr>
          <w:rFonts w:hint="eastAsia" w:ascii="宋体" w:hAnsi="宋体" w:cs="宋体"/>
          <w:b/>
          <w:szCs w:val="20"/>
          <w:highlight w:val="none"/>
        </w:rPr>
        <w:t>电话：</w:t>
      </w:r>
    </w:p>
    <w:p>
      <w:pPr>
        <w:spacing w:line="360" w:lineRule="auto"/>
        <w:ind w:firstLine="420" w:firstLineChars="200"/>
        <w:rPr>
          <w:rFonts w:ascii="宋体" w:hAnsi="宋体" w:cs="宋体"/>
          <w:szCs w:val="20"/>
          <w:highlight w:val="none"/>
        </w:rPr>
      </w:pPr>
      <w:r>
        <w:rPr>
          <w:rFonts w:hint="eastAsia" w:ascii="宋体" w:hAnsi="宋体" w:cs="宋体"/>
          <w:szCs w:val="20"/>
          <w:highlight w:val="none"/>
        </w:rPr>
        <w:t>日期：</w:t>
      </w:r>
    </w:p>
    <w:p>
      <w:pPr>
        <w:spacing w:line="360" w:lineRule="auto"/>
        <w:ind w:firstLine="480"/>
        <w:rPr>
          <w:rFonts w:ascii="宋体" w:hAnsi="宋体" w:cs="宋体"/>
          <w:szCs w:val="20"/>
          <w:highlight w:val="none"/>
        </w:rPr>
      </w:pPr>
      <w:r>
        <w:rPr>
          <w:rFonts w:hint="eastAsia" w:ascii="宋体" w:hAnsi="宋体" w:cs="宋体"/>
          <w:szCs w:val="20"/>
          <w:highlight w:val="none"/>
        </w:rPr>
        <w:t>附：</w:t>
      </w:r>
    </w:p>
    <w:p>
      <w:pPr>
        <w:spacing w:line="360" w:lineRule="auto"/>
        <w:ind w:firstLine="480"/>
        <w:rPr>
          <w:rFonts w:ascii="宋体" w:hAnsi="宋体" w:cs="宋体"/>
          <w:szCs w:val="20"/>
          <w:highlight w:val="none"/>
        </w:rPr>
      </w:pPr>
      <w:r>
        <w:rPr>
          <w:rFonts w:hint="eastAsia" w:ascii="宋体" w:hAnsi="宋体" w:cs="宋体"/>
          <w:szCs w:val="20"/>
          <w:highlight w:val="none"/>
        </w:rPr>
        <w:t>全权代表姓名：             职  务：电话：</w:t>
      </w:r>
    </w:p>
    <w:p>
      <w:pPr>
        <w:spacing w:line="360" w:lineRule="auto"/>
        <w:ind w:firstLine="422" w:firstLineChars="200"/>
        <w:rPr>
          <w:rFonts w:ascii="宋体" w:hAnsi="宋体" w:cs="宋体"/>
          <w:b/>
          <w:highlight w:val="none"/>
        </w:rPr>
      </w:pPr>
      <w:r>
        <w:rPr>
          <w:rFonts w:hint="eastAsia" w:ascii="宋体" w:hAnsi="宋体" w:cs="宋体"/>
          <w:b/>
          <w:highlight w:val="none"/>
        </w:rPr>
        <w:t>全权代表身份证复印件（正反两面）：</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8528" w:type="dxa"/>
          </w:tcPr>
          <w:p>
            <w:pPr>
              <w:keepNext w:val="0"/>
              <w:keepLines w:val="0"/>
              <w:suppressLineNumbers w:val="0"/>
              <w:spacing w:before="0" w:beforeAutospacing="0" w:after="0" w:afterAutospacing="0" w:line="360" w:lineRule="auto"/>
              <w:ind w:left="0" w:right="0"/>
              <w:rPr>
                <w:rFonts w:hint="default" w:ascii="宋体" w:hAnsi="宋体" w:cs="宋体"/>
                <w:b/>
                <w:highlight w:val="none"/>
              </w:rPr>
            </w:pPr>
          </w:p>
          <w:p>
            <w:pPr>
              <w:keepNext w:val="0"/>
              <w:keepLines w:val="0"/>
              <w:suppressLineNumbers w:val="0"/>
              <w:spacing w:before="0" w:beforeAutospacing="0" w:after="0" w:afterAutospacing="0" w:line="360" w:lineRule="auto"/>
              <w:ind w:left="0" w:right="0"/>
              <w:rPr>
                <w:rFonts w:hint="default" w:ascii="宋体" w:hAnsi="宋体" w:cs="宋体"/>
                <w:b/>
                <w:highlight w:val="none"/>
              </w:rPr>
            </w:pPr>
          </w:p>
          <w:p>
            <w:pPr>
              <w:keepNext w:val="0"/>
              <w:keepLines w:val="0"/>
              <w:suppressLineNumbers w:val="0"/>
              <w:spacing w:before="0" w:beforeAutospacing="0" w:after="0" w:afterAutospacing="0" w:line="360" w:lineRule="auto"/>
              <w:ind w:left="0" w:right="0"/>
              <w:jc w:val="center"/>
              <w:rPr>
                <w:rFonts w:hint="default" w:ascii="宋体" w:hAnsi="宋体" w:cs="宋体"/>
                <w:b/>
                <w:highlight w:val="none"/>
              </w:rPr>
            </w:pPr>
            <w:r>
              <w:rPr>
                <w:rFonts w:hint="eastAsia" w:ascii="宋体" w:hAnsi="宋体" w:cs="宋体"/>
                <w:b/>
                <w:highlight w:val="none"/>
              </w:rPr>
              <w:t>全权代表身份证复印件（正反两面）</w:t>
            </w:r>
          </w:p>
        </w:tc>
      </w:tr>
    </w:tbl>
    <w:p>
      <w:pPr>
        <w:pStyle w:val="24"/>
        <w:rPr>
          <w:rFonts w:hAnsi="宋体"/>
          <w:color w:val="auto"/>
          <w:highlight w:val="none"/>
        </w:rPr>
      </w:pPr>
    </w:p>
    <w:p>
      <w:pPr>
        <w:pStyle w:val="24"/>
        <w:rPr>
          <w:rFonts w:hAnsi="宋体"/>
          <w:color w:val="auto"/>
          <w:highlight w:val="none"/>
        </w:rPr>
      </w:pPr>
    </w:p>
    <w:p>
      <w:pPr>
        <w:spacing w:line="360" w:lineRule="auto"/>
        <w:ind w:firstLine="422" w:firstLineChars="200"/>
        <w:rPr>
          <w:rFonts w:ascii="宋体" w:hAnsi="宋体" w:cs="宋体"/>
          <w:b/>
          <w:highlight w:val="none"/>
        </w:rPr>
      </w:pPr>
      <w:r>
        <w:rPr>
          <w:rFonts w:hint="eastAsia" w:ascii="宋体" w:hAnsi="宋体" w:cs="宋体"/>
          <w:b/>
          <w:highlight w:val="none"/>
        </w:rPr>
        <w:t>注：法定代表人授权其公司员工签署及参加投标的，在投标文件中同时出具法定代表人资格证明书及此授权书，并附身份证复印件。</w:t>
      </w:r>
    </w:p>
    <w:p>
      <w:pPr>
        <w:spacing w:line="360" w:lineRule="auto"/>
        <w:ind w:firstLine="422" w:firstLineChars="200"/>
        <w:rPr>
          <w:rFonts w:ascii="宋体" w:hAnsi="宋体" w:cs="宋体"/>
          <w:b/>
          <w:highlight w:val="none"/>
        </w:rPr>
      </w:pPr>
      <w:r>
        <w:rPr>
          <w:rFonts w:hint="eastAsia" w:ascii="宋体" w:hAnsi="宋体" w:cs="宋体"/>
          <w:b/>
          <w:highlight w:val="none"/>
        </w:rPr>
        <w:t>投标文件格式中所提到的投标文件签署人是指以上两文件确定的签署人员。</w:t>
      </w:r>
    </w:p>
    <w:p>
      <w:pPr>
        <w:spacing w:line="360" w:lineRule="auto"/>
        <w:ind w:firstLine="422" w:firstLineChars="200"/>
        <w:rPr>
          <w:rFonts w:ascii="宋体" w:hAnsi="宋体" w:cs="宋体"/>
          <w:b/>
          <w:highlight w:val="none"/>
        </w:rPr>
      </w:pPr>
      <w:r>
        <w:rPr>
          <w:rFonts w:hint="eastAsia" w:ascii="宋体" w:hAnsi="宋体" w:cs="宋体"/>
          <w:b/>
          <w:highlight w:val="none"/>
        </w:rPr>
        <w:t>如参加开标并在开评标过程中签署文件的人员与投标文件签署人不一致，须另行提供授权书。</w:t>
      </w:r>
    </w:p>
    <w:p>
      <w:pPr>
        <w:spacing w:line="360" w:lineRule="auto"/>
        <w:ind w:firstLine="422" w:firstLineChars="200"/>
        <w:rPr>
          <w:rFonts w:ascii="宋体" w:hAnsi="宋体" w:cs="宋体"/>
          <w:b/>
          <w:highlight w:val="none"/>
        </w:rPr>
      </w:pPr>
    </w:p>
    <w:p>
      <w:pPr>
        <w:pStyle w:val="4"/>
        <w:ind w:firstLine="0" w:firstLineChars="0"/>
        <w:rPr>
          <w:rFonts w:ascii="宋体" w:hAnsi="宋体" w:cs="宋体"/>
          <w:highlight w:val="none"/>
        </w:rPr>
      </w:pPr>
      <w:r>
        <w:rPr>
          <w:rFonts w:hint="eastAsia" w:ascii="宋体" w:hAnsi="宋体" w:cs="宋体"/>
          <w:highlight w:val="none"/>
        </w:rPr>
        <w:br w:type="page"/>
      </w:r>
      <w:bookmarkStart w:id="226" w:name="_Toc16451"/>
      <w:bookmarkStart w:id="227" w:name="_Toc25313"/>
      <w:bookmarkStart w:id="228" w:name="_Toc15478"/>
      <w:bookmarkStart w:id="229" w:name="_Toc24626"/>
      <w:bookmarkStart w:id="230" w:name="_Toc13301"/>
      <w:bookmarkStart w:id="231" w:name="_Toc27561"/>
      <w:bookmarkStart w:id="232" w:name="_Toc29956"/>
      <w:bookmarkStart w:id="233" w:name="_Toc1895"/>
      <w:bookmarkStart w:id="234" w:name="_Toc3493"/>
      <w:bookmarkStart w:id="235" w:name="_Toc14369"/>
      <w:bookmarkStart w:id="236" w:name="_Toc3513"/>
      <w:bookmarkStart w:id="237" w:name="_Toc10071"/>
      <w:bookmarkStart w:id="238" w:name="_Toc29451"/>
      <w:bookmarkStart w:id="239" w:name="_Toc477357155"/>
      <w:bookmarkStart w:id="240" w:name="_Toc5362"/>
      <w:bookmarkStart w:id="241" w:name="_Toc22918"/>
      <w:bookmarkStart w:id="242" w:name="_Toc8075"/>
      <w:bookmarkStart w:id="243" w:name="_Toc3888"/>
      <w:bookmarkStart w:id="244" w:name="_Toc25342"/>
      <w:r>
        <w:rPr>
          <w:rFonts w:hint="eastAsia" w:ascii="宋体" w:hAnsi="宋体" w:cs="宋体"/>
          <w:highlight w:val="none"/>
        </w:rPr>
        <w:t>附件四、廉洁承诺书</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廉洁承诺书</w:t>
      </w:r>
    </w:p>
    <w:p>
      <w:pPr>
        <w:spacing w:line="360" w:lineRule="auto"/>
        <w:rPr>
          <w:rFonts w:ascii="宋体" w:hAnsi="宋体" w:cs="宋体"/>
          <w:highlight w:val="none"/>
        </w:rPr>
      </w:pPr>
      <w:r>
        <w:rPr>
          <w:rFonts w:hint="eastAsia" w:ascii="宋体" w:hAnsi="宋体" w:cs="宋体"/>
          <w:highlight w:val="none"/>
        </w:rPr>
        <w:t>致：</w:t>
      </w:r>
      <w:r>
        <w:rPr>
          <w:rFonts w:hint="eastAsia" w:ascii="宋体" w:hAnsi="宋体" w:cs="宋体"/>
          <w:highlight w:val="none"/>
          <w:lang w:eastAsia="zh-CN"/>
        </w:rPr>
        <w:t>浙江理工大学</w:t>
      </w:r>
      <w:r>
        <w:rPr>
          <w:rFonts w:hint="eastAsia" w:ascii="宋体" w:hAnsi="宋体" w:cs="宋体"/>
          <w:highlight w:val="none"/>
        </w:rPr>
        <w:t>：</w:t>
      </w:r>
    </w:p>
    <w:p>
      <w:pPr>
        <w:spacing w:line="360" w:lineRule="auto"/>
        <w:ind w:firstLine="420" w:firstLineChars="200"/>
        <w:rPr>
          <w:rFonts w:ascii="宋体" w:hAnsi="宋体" w:cs="宋体"/>
          <w:highlight w:val="none"/>
        </w:rPr>
      </w:pPr>
      <w:r>
        <w:rPr>
          <w:rFonts w:hint="eastAsia" w:ascii="宋体" w:hAnsi="宋体" w:cs="宋体"/>
          <w:highlight w:val="none"/>
        </w:rPr>
        <w:t>我单位响应你单位项目采购要求参加投标。在这次投标过程中和中标后，我们将严格遵守国家法律法规要求，并郑重承诺：</w:t>
      </w:r>
    </w:p>
    <w:p>
      <w:pPr>
        <w:spacing w:line="360" w:lineRule="auto"/>
        <w:ind w:firstLine="420" w:firstLineChars="200"/>
        <w:rPr>
          <w:rFonts w:ascii="宋体" w:hAnsi="宋体" w:cs="宋体"/>
          <w:highlight w:val="none"/>
        </w:rPr>
      </w:pPr>
      <w:r>
        <w:rPr>
          <w:rFonts w:hint="eastAsia" w:ascii="宋体" w:hAnsi="宋体" w:cs="宋体"/>
          <w:highlight w:val="none"/>
        </w:rPr>
        <w:t>一、不向标项有关人员及部门赠送礼金礼物、有价证券、回扣以及中介费、介绍费、咨询费等好处费；</w:t>
      </w:r>
    </w:p>
    <w:p>
      <w:pPr>
        <w:spacing w:line="360" w:lineRule="auto"/>
        <w:ind w:firstLine="420" w:firstLineChars="200"/>
        <w:rPr>
          <w:rFonts w:ascii="宋体" w:hAnsi="宋体" w:cs="宋体"/>
          <w:highlight w:val="none"/>
        </w:rPr>
      </w:pPr>
      <w:r>
        <w:rPr>
          <w:rFonts w:hint="eastAsia" w:ascii="宋体" w:hAnsi="宋体" w:cs="宋体"/>
          <w:highlight w:val="none"/>
        </w:rPr>
        <w:t>二、不为标项有关人员及部门报销应由你方单位或个人支付的费用；</w:t>
      </w:r>
    </w:p>
    <w:p>
      <w:pPr>
        <w:spacing w:line="360" w:lineRule="auto"/>
        <w:ind w:firstLine="420" w:firstLineChars="200"/>
        <w:rPr>
          <w:rFonts w:ascii="宋体" w:hAnsi="宋体" w:cs="宋体"/>
          <w:highlight w:val="none"/>
        </w:rPr>
      </w:pPr>
      <w:r>
        <w:rPr>
          <w:rFonts w:hint="eastAsia" w:ascii="宋体" w:hAnsi="宋体" w:cs="宋体"/>
          <w:highlight w:val="none"/>
        </w:rPr>
        <w:t>三、不向标项有关人员及部门提供有可能影响公正的宴请和健身娱乐等活动；</w:t>
      </w:r>
    </w:p>
    <w:p>
      <w:pPr>
        <w:spacing w:line="360" w:lineRule="auto"/>
        <w:ind w:firstLine="420" w:firstLineChars="200"/>
        <w:rPr>
          <w:rFonts w:ascii="宋体" w:hAnsi="宋体" w:cs="宋体"/>
          <w:highlight w:val="none"/>
        </w:rPr>
      </w:pPr>
      <w:r>
        <w:rPr>
          <w:rFonts w:hint="eastAsia" w:ascii="宋体" w:hAnsi="宋体" w:cs="宋体"/>
          <w:highlight w:val="none"/>
        </w:rPr>
        <w:t>四、不为标项有关人员及部门出国（境）、旅游等提供资助；</w:t>
      </w:r>
    </w:p>
    <w:p>
      <w:pPr>
        <w:spacing w:line="360" w:lineRule="auto"/>
        <w:ind w:firstLine="420" w:firstLineChars="200"/>
        <w:rPr>
          <w:rFonts w:ascii="宋体" w:hAnsi="宋体" w:cs="宋体"/>
          <w:highlight w:val="none"/>
        </w:rPr>
      </w:pPr>
      <w:r>
        <w:rPr>
          <w:rFonts w:hint="eastAsia" w:ascii="宋体" w:hAnsi="宋体" w:cs="宋体"/>
          <w:highlight w:val="none"/>
        </w:rPr>
        <w:t>五、不为标项有关人员个人装修住房、婚丧嫁娶、配偶子女工作安排等提供好处；</w:t>
      </w:r>
    </w:p>
    <w:p>
      <w:pPr>
        <w:spacing w:line="360" w:lineRule="auto"/>
        <w:ind w:firstLine="420" w:firstLineChars="200"/>
        <w:rPr>
          <w:rFonts w:ascii="宋体" w:hAnsi="宋体" w:cs="宋体"/>
          <w:highlight w:val="none"/>
        </w:rPr>
      </w:pPr>
      <w:r>
        <w:rPr>
          <w:rFonts w:hint="eastAsia" w:ascii="宋体" w:hAnsi="宋体" w:cs="宋体"/>
          <w:highlight w:val="none"/>
        </w:rPr>
        <w:t>六、严格遵守政府采购法、民法典等法律，诚实守信，合法经营，坚决抵制各种违法违纪行为。</w:t>
      </w:r>
    </w:p>
    <w:p>
      <w:pPr>
        <w:spacing w:line="360" w:lineRule="auto"/>
        <w:ind w:firstLine="420" w:firstLineChars="200"/>
        <w:rPr>
          <w:rFonts w:ascii="宋体" w:hAnsi="宋体" w:cs="宋体"/>
          <w:highlight w:val="none"/>
        </w:rPr>
      </w:pPr>
      <w:r>
        <w:rPr>
          <w:rFonts w:hint="eastAsia" w:ascii="宋体" w:hAnsi="宋体" w:cs="宋体"/>
          <w:highlight w:val="none"/>
        </w:rPr>
        <w:t>如违反上述承诺，你单位有权立即取消我单位投标、中标或在履约项目的资格，有权拒绝我单位在一定时期内进入你单位进行招投标或其他经营活动，并将通报相关部门及被列入商业贿赂不良记录。由此引起的相应损失均由我单位承担。</w:t>
      </w:r>
    </w:p>
    <w:p>
      <w:pPr>
        <w:spacing w:line="360" w:lineRule="auto"/>
        <w:rPr>
          <w:rFonts w:ascii="宋体" w:hAnsi="宋体" w:cs="宋体"/>
          <w:b/>
          <w:highlight w:val="none"/>
        </w:rPr>
      </w:pPr>
    </w:p>
    <w:p>
      <w:pPr>
        <w:adjustRightInd w:val="0"/>
        <w:snapToGrid w:val="0"/>
        <w:spacing w:line="360" w:lineRule="auto"/>
        <w:rPr>
          <w:rFonts w:ascii="宋体" w:hAnsi="宋体" w:cs="宋体"/>
          <w:b/>
          <w:highlight w:val="none"/>
        </w:rPr>
      </w:pPr>
      <w:r>
        <w:rPr>
          <w:rFonts w:hint="eastAsia" w:ascii="宋体" w:hAnsi="宋体" w:cs="宋体"/>
          <w:b/>
          <w:highlight w:val="none"/>
        </w:rPr>
        <w:t>供应商全称（盖单位公章）：</w:t>
      </w:r>
    </w:p>
    <w:p>
      <w:pPr>
        <w:adjustRightInd w:val="0"/>
        <w:snapToGrid w:val="0"/>
        <w:spacing w:line="360" w:lineRule="auto"/>
        <w:rPr>
          <w:rFonts w:ascii="宋体" w:hAnsi="宋体" w:cs="宋体"/>
          <w:b/>
          <w:highlight w:val="none"/>
        </w:rPr>
      </w:pPr>
      <w:r>
        <w:rPr>
          <w:rFonts w:hint="eastAsia" w:ascii="宋体" w:hAnsi="宋体" w:cs="宋体"/>
          <w:b/>
          <w:highlight w:val="none"/>
        </w:rPr>
        <w:t>日期：</w:t>
      </w:r>
    </w:p>
    <w:p>
      <w:pPr>
        <w:spacing w:line="360" w:lineRule="auto"/>
        <w:rPr>
          <w:rFonts w:ascii="宋体" w:hAnsi="宋体" w:cs="宋体"/>
          <w:b/>
          <w:highlight w:val="none"/>
        </w:rPr>
      </w:pPr>
    </w:p>
    <w:p>
      <w:pPr>
        <w:snapToGrid w:val="0"/>
        <w:spacing w:line="360" w:lineRule="auto"/>
        <w:rPr>
          <w:rFonts w:ascii="宋体" w:hAnsi="宋体" w:cs="宋体"/>
          <w:b/>
          <w:bCs/>
          <w:sz w:val="32"/>
          <w:highlight w:val="none"/>
        </w:rPr>
      </w:pPr>
      <w:bookmarkStart w:id="245" w:name="_Toc245088215"/>
      <w:bookmarkStart w:id="246" w:name="_Toc345575550"/>
    </w:p>
    <w:p>
      <w:pPr>
        <w:snapToGrid w:val="0"/>
        <w:spacing w:line="360" w:lineRule="auto"/>
        <w:rPr>
          <w:rFonts w:ascii="宋体" w:hAnsi="宋体" w:cs="宋体"/>
          <w:b/>
          <w:bCs/>
          <w:sz w:val="32"/>
          <w:highlight w:val="none"/>
        </w:rPr>
      </w:pPr>
    </w:p>
    <w:p>
      <w:pPr>
        <w:adjustRightInd w:val="0"/>
        <w:snapToGrid w:val="0"/>
        <w:spacing w:line="360" w:lineRule="auto"/>
        <w:rPr>
          <w:rFonts w:ascii="宋体" w:hAnsi="宋体" w:cs="宋体"/>
          <w:spacing w:val="4"/>
          <w:highlight w:val="none"/>
        </w:rPr>
      </w:pPr>
    </w:p>
    <w:p>
      <w:pPr>
        <w:pStyle w:val="4"/>
        <w:ind w:firstLine="0" w:firstLineChars="0"/>
        <w:rPr>
          <w:rFonts w:ascii="宋体" w:hAnsi="宋体" w:cs="宋体"/>
          <w:b w:val="0"/>
          <w:spacing w:val="20"/>
          <w:sz w:val="24"/>
          <w:highlight w:val="none"/>
        </w:rPr>
      </w:pPr>
      <w:r>
        <w:rPr>
          <w:rFonts w:hint="eastAsia" w:ascii="宋体" w:hAnsi="宋体" w:cs="宋体"/>
          <w:spacing w:val="4"/>
          <w:highlight w:val="none"/>
        </w:rPr>
        <w:br w:type="page"/>
      </w:r>
      <w:bookmarkStart w:id="247" w:name="_Toc350862156"/>
      <w:bookmarkStart w:id="248" w:name="_Toc18504"/>
      <w:bookmarkStart w:id="249" w:name="_Toc3342"/>
      <w:bookmarkStart w:id="250" w:name="_Toc5172"/>
      <w:bookmarkStart w:id="251" w:name="_Toc18286"/>
      <w:bookmarkStart w:id="252" w:name="_Toc17773"/>
      <w:bookmarkStart w:id="253" w:name="_Toc17136"/>
      <w:bookmarkStart w:id="254" w:name="_Toc25874"/>
      <w:bookmarkStart w:id="255" w:name="_Toc21876"/>
      <w:bookmarkStart w:id="256" w:name="_Toc14290"/>
      <w:bookmarkStart w:id="257" w:name="_Toc30686"/>
      <w:bookmarkStart w:id="258" w:name="_Toc20774"/>
      <w:bookmarkStart w:id="259" w:name="_Toc26135"/>
      <w:bookmarkStart w:id="260" w:name="_Toc22761"/>
      <w:bookmarkStart w:id="261" w:name="_Toc28579"/>
      <w:bookmarkStart w:id="262" w:name="_Toc543"/>
      <w:bookmarkStart w:id="263" w:name="_Toc11621"/>
      <w:bookmarkStart w:id="264" w:name="_Toc17816"/>
      <w:bookmarkStart w:id="265" w:name="_Toc9066"/>
      <w:r>
        <w:rPr>
          <w:rFonts w:hint="eastAsia" w:ascii="宋体" w:hAnsi="宋体" w:cs="宋体"/>
          <w:bCs w:val="0"/>
          <w:highlight w:val="none"/>
        </w:rPr>
        <w:t>附件</w:t>
      </w:r>
      <w:r>
        <w:rPr>
          <w:rFonts w:hint="eastAsia" w:ascii="宋体" w:hAnsi="宋体" w:cs="宋体"/>
          <w:bCs w:val="0"/>
          <w:spacing w:val="20"/>
          <w:highlight w:val="none"/>
        </w:rPr>
        <w:t>五、</w:t>
      </w:r>
      <w:r>
        <w:rPr>
          <w:rFonts w:hint="eastAsia" w:ascii="宋体" w:hAnsi="宋体" w:cs="宋体"/>
          <w:bCs w:val="0"/>
          <w:szCs w:val="21"/>
          <w:highlight w:val="none"/>
        </w:rPr>
        <w:t>类似项目业绩表</w:t>
      </w:r>
      <w:bookmarkEnd w:id="247"/>
      <w:r>
        <w:rPr>
          <w:rFonts w:hint="eastAsia" w:ascii="宋体" w:hAnsi="宋体" w:cs="宋体"/>
          <w:bCs w:val="0"/>
          <w:szCs w:val="21"/>
          <w:highlight w:val="none"/>
        </w:rPr>
        <w:t>格式</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spacing w:line="360" w:lineRule="auto"/>
        <w:ind w:left="361" w:hanging="361" w:hangingChars="100"/>
        <w:jc w:val="center"/>
        <w:rPr>
          <w:rFonts w:ascii="宋体" w:hAnsi="宋体" w:cs="宋体"/>
          <w:b/>
          <w:bCs/>
          <w:spacing w:val="20"/>
          <w:sz w:val="32"/>
          <w:szCs w:val="32"/>
          <w:highlight w:val="none"/>
        </w:rPr>
      </w:pPr>
      <w:r>
        <w:rPr>
          <w:rFonts w:hint="eastAsia" w:ascii="宋体" w:hAnsi="宋体" w:cs="宋体"/>
          <w:b/>
          <w:bCs/>
          <w:spacing w:val="20"/>
          <w:sz w:val="32"/>
          <w:szCs w:val="32"/>
          <w:highlight w:val="none"/>
        </w:rPr>
        <w:t>类似项目业绩表</w:t>
      </w:r>
    </w:p>
    <w:p>
      <w:pPr>
        <w:spacing w:line="360" w:lineRule="auto"/>
        <w:rPr>
          <w:rFonts w:hint="eastAsia" w:ascii="宋体" w:hAnsi="宋体" w:eastAsia="宋体" w:cs="宋体"/>
          <w:highlight w:val="none"/>
          <w:lang w:eastAsia="zh-CN"/>
        </w:rPr>
      </w:pPr>
      <w:r>
        <w:rPr>
          <w:rFonts w:hint="eastAsia" w:ascii="宋体" w:hAnsi="宋体" w:cs="宋体"/>
          <w:highlight w:val="none"/>
        </w:rPr>
        <w:t>项目名称：</w:t>
      </w:r>
      <w:r>
        <w:rPr>
          <w:rFonts w:hint="eastAsia" w:ascii="宋体" w:hAnsi="宋体" w:cs="宋体"/>
          <w:highlight w:val="none"/>
          <w:lang w:eastAsia="zh-CN"/>
        </w:rPr>
        <w:t>浙江理工大学消防管网改造及安全防护设施、电梯更新项目监理服务</w:t>
      </w:r>
    </w:p>
    <w:p>
      <w:pPr>
        <w:spacing w:line="360" w:lineRule="auto"/>
        <w:rPr>
          <w:rFonts w:ascii="宋体" w:hAnsi="宋体" w:cs="宋体"/>
          <w:highlight w:val="none"/>
          <w:u w:val="single"/>
        </w:rPr>
      </w:pPr>
      <w:r>
        <w:rPr>
          <w:rFonts w:hint="eastAsia" w:ascii="宋体" w:hAnsi="宋体" w:cs="宋体"/>
          <w:highlight w:val="none"/>
        </w:rPr>
        <w:t>项目编号：</w:t>
      </w:r>
      <w:r>
        <w:rPr>
          <w:rFonts w:hint="eastAsia" w:ascii="宋体" w:hAnsi="宋体" w:cs="宋体"/>
          <w:highlight w:val="none"/>
          <w:u w:val="none"/>
          <w:lang w:eastAsia="zh-CN"/>
        </w:rPr>
        <w:t>CTZB-2024040071</w:t>
      </w:r>
      <w:r>
        <w:rPr>
          <w:rFonts w:hint="eastAsia" w:ascii="宋体" w:hAnsi="宋体" w:cs="宋体"/>
          <w:highlight w:val="none"/>
          <w:u w:val="none"/>
        </w:rPr>
        <w:t xml:space="preserve"> </w:t>
      </w:r>
    </w:p>
    <w:tbl>
      <w:tblPr>
        <w:tblStyle w:val="5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954"/>
        <w:gridCol w:w="1273"/>
        <w:gridCol w:w="1122"/>
        <w:gridCol w:w="628"/>
        <w:gridCol w:w="955"/>
        <w:gridCol w:w="955"/>
        <w:gridCol w:w="795"/>
        <w:gridCol w:w="796"/>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aps/>
                <w:highlight w:val="none"/>
              </w:rPr>
            </w:pPr>
            <w:r>
              <w:rPr>
                <w:rFonts w:hint="eastAsia" w:ascii="宋体" w:hAnsi="宋体" w:cs="宋体"/>
                <w:caps/>
                <w:highlight w:val="none"/>
              </w:rPr>
              <w:t>序号</w:t>
            </w:r>
          </w:p>
        </w:tc>
        <w:tc>
          <w:tcPr>
            <w:tcW w:w="9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aps/>
                <w:highlight w:val="none"/>
              </w:rPr>
            </w:pPr>
            <w:r>
              <w:rPr>
                <w:rFonts w:hint="eastAsia" w:ascii="宋体" w:hAnsi="宋体" w:cs="宋体"/>
                <w:highlight w:val="none"/>
              </w:rPr>
              <w:t>合同编号</w:t>
            </w:r>
          </w:p>
        </w:tc>
        <w:tc>
          <w:tcPr>
            <w:tcW w:w="12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aps/>
                <w:highlight w:val="none"/>
              </w:rPr>
            </w:pPr>
            <w:r>
              <w:rPr>
                <w:rFonts w:hint="eastAsia" w:ascii="宋体" w:hAnsi="宋体" w:cs="宋体"/>
                <w:caps/>
                <w:highlight w:val="none"/>
              </w:rPr>
              <w:t>用户名称</w:t>
            </w:r>
          </w:p>
        </w:tc>
        <w:tc>
          <w:tcPr>
            <w:tcW w:w="112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aps/>
                <w:highlight w:val="none"/>
              </w:rPr>
            </w:pPr>
            <w:r>
              <w:rPr>
                <w:rFonts w:hint="eastAsia" w:ascii="宋体" w:hAnsi="宋体" w:cs="宋体"/>
                <w:caps/>
                <w:highlight w:val="none"/>
              </w:rPr>
              <w:t>项目名称</w:t>
            </w:r>
          </w:p>
        </w:tc>
        <w:tc>
          <w:tcPr>
            <w:tcW w:w="62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aps/>
                <w:highlight w:val="none"/>
              </w:rPr>
            </w:pPr>
            <w:r>
              <w:rPr>
                <w:rFonts w:hint="eastAsia" w:ascii="宋体" w:hAnsi="宋体" w:cs="宋体"/>
                <w:caps/>
                <w:highlight w:val="none"/>
              </w:rPr>
              <w:t>数量</w:t>
            </w: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aps/>
                <w:highlight w:val="none"/>
              </w:rPr>
            </w:pPr>
            <w:r>
              <w:rPr>
                <w:rFonts w:hint="eastAsia" w:ascii="宋体" w:hAnsi="宋体" w:cs="宋体"/>
                <w:caps/>
                <w:highlight w:val="none"/>
              </w:rPr>
              <w:t>合同金额</w:t>
            </w: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aps/>
                <w:highlight w:val="none"/>
              </w:rPr>
            </w:pPr>
            <w:r>
              <w:rPr>
                <w:rFonts w:hint="eastAsia" w:ascii="宋体" w:hAnsi="宋体" w:cs="宋体"/>
                <w:highlight w:val="none"/>
              </w:rPr>
              <w:t>签约日期</w:t>
            </w:r>
          </w:p>
        </w:tc>
        <w:tc>
          <w:tcPr>
            <w:tcW w:w="79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highlight w:val="none"/>
              </w:rPr>
            </w:pPr>
            <w:r>
              <w:rPr>
                <w:rFonts w:hint="eastAsia" w:ascii="宋体" w:hAnsi="宋体" w:cs="宋体"/>
                <w:highlight w:val="none"/>
              </w:rPr>
              <w:t>联系人</w:t>
            </w:r>
          </w:p>
        </w:tc>
        <w:tc>
          <w:tcPr>
            <w:tcW w:w="79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highlight w:val="none"/>
              </w:rPr>
            </w:pPr>
            <w:r>
              <w:rPr>
                <w:rFonts w:hint="eastAsia" w:ascii="宋体" w:hAnsi="宋体" w:cs="宋体"/>
                <w:highlight w:val="none"/>
              </w:rPr>
              <w:t>联系电话</w:t>
            </w:r>
          </w:p>
        </w:tc>
        <w:tc>
          <w:tcPr>
            <w:tcW w:w="47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highlight w:val="none"/>
              </w:rPr>
            </w:pPr>
            <w:r>
              <w:rPr>
                <w:rFonts w:hint="eastAsia" w:ascii="宋体" w:hAnsi="宋体" w:cs="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2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12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62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47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2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12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62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47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2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12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62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47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2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12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62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47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2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12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62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47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2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12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62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47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2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12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62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47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2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12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62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47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2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12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62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47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27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112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628"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95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79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c>
          <w:tcPr>
            <w:tcW w:w="47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highlight w:val="none"/>
              </w:rPr>
            </w:pPr>
          </w:p>
        </w:tc>
      </w:tr>
    </w:tbl>
    <w:p>
      <w:pPr>
        <w:adjustRightInd w:val="0"/>
        <w:snapToGrid w:val="0"/>
        <w:spacing w:line="360" w:lineRule="auto"/>
        <w:rPr>
          <w:rFonts w:ascii="宋体" w:hAnsi="宋体" w:cs="宋体"/>
          <w:highlight w:val="none"/>
        </w:rPr>
      </w:pPr>
    </w:p>
    <w:p>
      <w:pPr>
        <w:adjustRightInd w:val="0"/>
        <w:snapToGrid w:val="0"/>
        <w:spacing w:line="360" w:lineRule="auto"/>
        <w:rPr>
          <w:rFonts w:ascii="宋体" w:hAnsi="宋体" w:cs="宋体"/>
          <w:highlight w:val="none"/>
        </w:rPr>
      </w:pPr>
    </w:p>
    <w:p>
      <w:pPr>
        <w:adjustRightInd w:val="0"/>
        <w:snapToGrid w:val="0"/>
        <w:spacing w:line="360" w:lineRule="auto"/>
        <w:rPr>
          <w:rFonts w:ascii="宋体" w:hAnsi="宋体" w:cs="宋体"/>
          <w:highlight w:val="none"/>
        </w:rPr>
      </w:pPr>
      <w:r>
        <w:rPr>
          <w:rFonts w:hint="eastAsia" w:ascii="宋体" w:hAnsi="宋体" w:cs="宋体"/>
          <w:highlight w:val="none"/>
        </w:rPr>
        <w:t>填表说明：1、此表仅提供了格式，表格不够可自行增加。</w:t>
      </w:r>
    </w:p>
    <w:p>
      <w:pPr>
        <w:adjustRightInd w:val="0"/>
        <w:snapToGrid w:val="0"/>
        <w:spacing w:line="360" w:lineRule="auto"/>
        <w:ind w:left="454"/>
        <w:rPr>
          <w:rFonts w:ascii="宋体" w:hAnsi="宋体" w:cs="宋体"/>
          <w:highlight w:val="none"/>
        </w:rPr>
      </w:pPr>
      <w:r>
        <w:rPr>
          <w:rFonts w:hint="eastAsia" w:ascii="宋体" w:hAnsi="宋体" w:cs="宋体"/>
          <w:highlight w:val="none"/>
        </w:rPr>
        <w:t>2、</w:t>
      </w:r>
      <w:r>
        <w:rPr>
          <w:rFonts w:hint="eastAsia" w:ascii="宋体" w:hAnsi="宋体" w:cs="宋体"/>
          <w:szCs w:val="21"/>
          <w:highlight w:val="none"/>
        </w:rPr>
        <w:t>提供合同复印件</w:t>
      </w:r>
      <w:r>
        <w:rPr>
          <w:rFonts w:hint="eastAsia" w:ascii="宋体" w:hAnsi="宋体" w:cs="宋体"/>
          <w:szCs w:val="21"/>
          <w:highlight w:val="none"/>
          <w:lang w:eastAsia="zh-CN"/>
        </w:rPr>
        <w:t>、</w:t>
      </w:r>
      <w:r>
        <w:rPr>
          <w:rFonts w:hint="eastAsia" w:ascii="宋体" w:hAnsi="宋体" w:cs="宋体"/>
          <w:szCs w:val="21"/>
          <w:highlight w:val="none"/>
          <w:lang w:val="en-US" w:eastAsia="zh-CN"/>
        </w:rPr>
        <w:t>竣工验收记录等</w:t>
      </w:r>
      <w:r>
        <w:rPr>
          <w:rFonts w:hint="eastAsia" w:ascii="宋体" w:hAnsi="宋体" w:cs="宋体"/>
          <w:szCs w:val="21"/>
          <w:highlight w:val="none"/>
        </w:rPr>
        <w:t>，合同内容无法体现的可另行提供业主证明材料</w:t>
      </w:r>
      <w:r>
        <w:rPr>
          <w:rFonts w:hint="eastAsia" w:ascii="宋体" w:hAnsi="宋体" w:cs="宋体"/>
          <w:highlight w:val="none"/>
        </w:rPr>
        <w:t>。</w:t>
      </w:r>
    </w:p>
    <w:p>
      <w:pPr>
        <w:adjustRightInd w:val="0"/>
        <w:snapToGrid w:val="0"/>
        <w:spacing w:line="360" w:lineRule="auto"/>
        <w:rPr>
          <w:rFonts w:ascii="宋体" w:hAnsi="宋体" w:cs="宋体"/>
          <w:highlight w:val="none"/>
        </w:rPr>
      </w:pPr>
    </w:p>
    <w:p>
      <w:pPr>
        <w:adjustRightInd w:val="0"/>
        <w:snapToGrid w:val="0"/>
        <w:spacing w:line="360" w:lineRule="auto"/>
        <w:rPr>
          <w:rFonts w:ascii="宋体" w:hAnsi="宋体" w:cs="宋体"/>
          <w:b/>
          <w:highlight w:val="none"/>
        </w:rPr>
      </w:pPr>
      <w:r>
        <w:rPr>
          <w:rFonts w:hint="eastAsia" w:ascii="宋体" w:hAnsi="宋体" w:cs="宋体"/>
          <w:b/>
          <w:highlight w:val="none"/>
        </w:rPr>
        <w:t>供应商全称（盖单位公章）：</w:t>
      </w:r>
    </w:p>
    <w:p>
      <w:pPr>
        <w:adjustRightInd w:val="0"/>
        <w:snapToGrid w:val="0"/>
        <w:spacing w:line="360" w:lineRule="auto"/>
        <w:rPr>
          <w:rFonts w:ascii="宋体" w:hAnsi="宋体" w:cs="宋体"/>
          <w:highlight w:val="none"/>
        </w:rPr>
        <w:sectPr>
          <w:pgSz w:w="11906" w:h="16838"/>
          <w:pgMar w:top="1440" w:right="1797" w:bottom="1440" w:left="1797" w:header="720" w:footer="720" w:gutter="0"/>
          <w:pgNumType w:fmt="decimal"/>
          <w:cols w:space="720" w:num="1"/>
          <w:docGrid w:linePitch="272" w:charSpace="-3831"/>
        </w:sectPr>
      </w:pPr>
      <w:r>
        <w:rPr>
          <w:rFonts w:hint="eastAsia" w:ascii="宋体" w:hAnsi="宋体" w:cs="宋体"/>
          <w:b/>
          <w:highlight w:val="none"/>
        </w:rPr>
        <w:t>日期：</w:t>
      </w:r>
    </w:p>
    <w:p>
      <w:pPr>
        <w:pStyle w:val="4"/>
        <w:ind w:firstLine="0" w:firstLineChars="0"/>
        <w:rPr>
          <w:rFonts w:ascii="宋体" w:hAnsi="宋体" w:cs="宋体"/>
          <w:highlight w:val="none"/>
        </w:rPr>
      </w:pPr>
      <w:bookmarkStart w:id="266" w:name="_Toc32079"/>
      <w:bookmarkStart w:id="267" w:name="_Toc20864"/>
      <w:bookmarkStart w:id="268" w:name="_Toc2778"/>
      <w:bookmarkStart w:id="269" w:name="_Toc477357157"/>
      <w:bookmarkStart w:id="270" w:name="_Toc17492"/>
      <w:bookmarkStart w:id="271" w:name="_Toc6610"/>
      <w:bookmarkStart w:id="272" w:name="_Toc1605"/>
      <w:bookmarkStart w:id="273" w:name="_Toc20514"/>
      <w:bookmarkStart w:id="274" w:name="_Toc29539"/>
      <w:bookmarkStart w:id="275" w:name="_Toc23643"/>
      <w:bookmarkStart w:id="276" w:name="_Toc6422"/>
      <w:bookmarkStart w:id="277" w:name="_Toc32315"/>
      <w:bookmarkStart w:id="278" w:name="_Toc29219"/>
      <w:bookmarkStart w:id="279" w:name="_Toc2665"/>
      <w:bookmarkStart w:id="280" w:name="_Toc8819"/>
      <w:bookmarkStart w:id="281" w:name="_Toc19480"/>
      <w:bookmarkStart w:id="282" w:name="_Toc17150"/>
      <w:bookmarkStart w:id="283" w:name="_Toc7173"/>
      <w:bookmarkStart w:id="284" w:name="_Toc28857"/>
      <w:r>
        <w:rPr>
          <w:rFonts w:hint="eastAsia" w:ascii="宋体" w:hAnsi="宋体" w:cs="宋体"/>
          <w:szCs w:val="21"/>
          <w:highlight w:val="none"/>
        </w:rPr>
        <w:t>附件</w:t>
      </w:r>
      <w:r>
        <w:rPr>
          <w:rFonts w:hint="eastAsia" w:ascii="宋体" w:hAnsi="宋体" w:cs="宋体"/>
          <w:highlight w:val="none"/>
        </w:rPr>
        <w:t>六、投标人声明</w:t>
      </w:r>
      <w:bookmarkEnd w:id="245"/>
      <w:r>
        <w:rPr>
          <w:rFonts w:hint="eastAsia" w:ascii="宋体" w:hAnsi="宋体" w:cs="宋体"/>
          <w:highlight w:val="none"/>
        </w:rPr>
        <w:t>函</w:t>
      </w:r>
      <w:bookmarkEnd w:id="246"/>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adjustRightInd w:val="0"/>
        <w:spacing w:line="360" w:lineRule="auto"/>
        <w:ind w:firstLine="420" w:firstLineChars="200"/>
        <w:rPr>
          <w:rFonts w:ascii="宋体" w:hAnsi="宋体" w:cs="宋体"/>
          <w:szCs w:val="21"/>
          <w:highlight w:val="none"/>
        </w:rPr>
      </w:pPr>
    </w:p>
    <w:p>
      <w:pPr>
        <w:adjustRightInd w:val="0"/>
        <w:spacing w:line="360" w:lineRule="auto"/>
        <w:ind w:firstLine="422" w:firstLineChars="200"/>
        <w:jc w:val="center"/>
        <w:rPr>
          <w:rFonts w:ascii="宋体" w:hAnsi="宋体" w:cs="宋体"/>
          <w:b/>
          <w:szCs w:val="21"/>
          <w:highlight w:val="none"/>
        </w:rPr>
      </w:pPr>
      <w:r>
        <w:rPr>
          <w:rFonts w:hint="eastAsia" w:ascii="宋体" w:hAnsi="宋体" w:cs="宋体"/>
          <w:b/>
          <w:highlight w:val="none"/>
        </w:rPr>
        <w:t>投标人声明函</w:t>
      </w:r>
    </w:p>
    <w:p>
      <w:pPr>
        <w:adjustRightInd w:val="0"/>
        <w:spacing w:line="360" w:lineRule="auto"/>
        <w:ind w:firstLine="420" w:firstLineChars="200"/>
        <w:rPr>
          <w:rFonts w:ascii="宋体" w:hAnsi="宋体" w:cs="宋体"/>
          <w:szCs w:val="21"/>
          <w:highlight w:val="none"/>
        </w:rPr>
      </w:pPr>
      <w:r>
        <w:rPr>
          <w:rFonts w:hint="eastAsia" w:ascii="宋体" w:hAnsi="宋体" w:cs="宋体"/>
          <w:szCs w:val="21"/>
          <w:highlight w:val="none"/>
        </w:rPr>
        <w:t>本投标人在本投标文件中所提供的内容均为真实有效，如经采购人的核查存在有弄虚作假情况，愿按有关法律法规接受处罚。</w:t>
      </w:r>
    </w:p>
    <w:p>
      <w:pPr>
        <w:adjustRightInd w:val="0"/>
        <w:spacing w:line="360" w:lineRule="auto"/>
        <w:ind w:firstLine="420" w:firstLineChars="200"/>
        <w:rPr>
          <w:rFonts w:ascii="宋体" w:hAnsi="宋体" w:cs="宋体"/>
          <w:szCs w:val="21"/>
          <w:highlight w:val="none"/>
        </w:rPr>
      </w:pPr>
      <w:r>
        <w:rPr>
          <w:rFonts w:hint="eastAsia" w:ascii="宋体" w:hAnsi="宋体" w:cs="宋体"/>
          <w:szCs w:val="21"/>
          <w:highlight w:val="none"/>
        </w:rPr>
        <w:t>特此声明。</w:t>
      </w:r>
    </w:p>
    <w:p>
      <w:pPr>
        <w:adjustRightInd w:val="0"/>
        <w:snapToGrid w:val="0"/>
        <w:spacing w:line="360" w:lineRule="auto"/>
        <w:ind w:firstLine="420" w:firstLineChars="200"/>
        <w:rPr>
          <w:rFonts w:ascii="宋体" w:hAnsi="宋体" w:cs="宋体"/>
          <w:highlight w:val="none"/>
        </w:rPr>
      </w:pPr>
      <w:bookmarkStart w:id="285" w:name="_Toc350862152"/>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供应商全称（盖单位公章）：</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日期：</w:t>
      </w:r>
    </w:p>
    <w:p>
      <w:pPr>
        <w:pStyle w:val="4"/>
        <w:ind w:firstLine="0" w:firstLineChars="0"/>
        <w:rPr>
          <w:rFonts w:ascii="宋体" w:hAnsi="宋体" w:cs="宋体"/>
          <w:szCs w:val="21"/>
          <w:highlight w:val="none"/>
        </w:rPr>
      </w:pPr>
      <w:r>
        <w:rPr>
          <w:rFonts w:hint="eastAsia" w:ascii="宋体" w:hAnsi="宋体" w:cs="宋体"/>
          <w:highlight w:val="none"/>
        </w:rPr>
        <w:br w:type="page"/>
      </w:r>
      <w:bookmarkStart w:id="286" w:name="_Toc533"/>
      <w:bookmarkStart w:id="287" w:name="_Toc403"/>
      <w:bookmarkStart w:id="288" w:name="_Toc12427"/>
      <w:bookmarkStart w:id="289" w:name="_Toc1398"/>
      <w:bookmarkStart w:id="290" w:name="_Toc477357158"/>
      <w:bookmarkStart w:id="291" w:name="_Toc31301"/>
      <w:bookmarkStart w:id="292" w:name="_Toc18909"/>
      <w:bookmarkStart w:id="293" w:name="_Toc1629"/>
      <w:bookmarkStart w:id="294" w:name="_Toc6719"/>
      <w:bookmarkStart w:id="295" w:name="_Toc32277"/>
      <w:bookmarkStart w:id="296" w:name="_Toc24362"/>
      <w:bookmarkStart w:id="297" w:name="_Toc16540"/>
      <w:bookmarkStart w:id="298" w:name="_Toc16621"/>
      <w:bookmarkStart w:id="299" w:name="_Toc9216"/>
      <w:bookmarkStart w:id="300" w:name="_Toc27573"/>
      <w:bookmarkStart w:id="301" w:name="_Toc8704"/>
      <w:bookmarkStart w:id="302" w:name="_Toc18488"/>
      <w:bookmarkStart w:id="303" w:name="_Toc19279"/>
      <w:bookmarkStart w:id="304" w:name="_Toc4818"/>
      <w:r>
        <w:rPr>
          <w:rFonts w:hint="eastAsia" w:ascii="宋体" w:hAnsi="宋体" w:cs="宋体"/>
          <w:highlight w:val="none"/>
        </w:rPr>
        <w:t>附件</w:t>
      </w:r>
      <w:bookmarkEnd w:id="285"/>
      <w:r>
        <w:rPr>
          <w:rFonts w:hint="eastAsia" w:ascii="宋体" w:hAnsi="宋体" w:cs="宋体"/>
          <w:highlight w:val="none"/>
        </w:rPr>
        <w:t>七、偏离表</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spacing w:beforeLines="50" w:afterLines="100" w:line="360" w:lineRule="auto"/>
        <w:jc w:val="center"/>
        <w:rPr>
          <w:rFonts w:ascii="宋体" w:hAnsi="宋体" w:cs="宋体"/>
          <w:b/>
          <w:sz w:val="32"/>
          <w:szCs w:val="32"/>
          <w:highlight w:val="none"/>
        </w:rPr>
      </w:pPr>
      <w:r>
        <w:rPr>
          <w:rFonts w:hint="eastAsia" w:ascii="宋体" w:hAnsi="宋体" w:cs="宋体"/>
          <w:b/>
          <w:sz w:val="32"/>
          <w:szCs w:val="32"/>
          <w:highlight w:val="none"/>
        </w:rPr>
        <w:t>偏离表</w:t>
      </w:r>
    </w:p>
    <w:p>
      <w:pPr>
        <w:adjustRightInd w:val="0"/>
        <w:snapToGrid w:val="0"/>
        <w:spacing w:line="360" w:lineRule="auto"/>
        <w:rPr>
          <w:rFonts w:hint="eastAsia" w:ascii="宋体" w:hAnsi="宋体" w:eastAsia="宋体" w:cs="宋体"/>
          <w:highlight w:val="none"/>
          <w:lang w:eastAsia="zh-CN"/>
        </w:rPr>
      </w:pPr>
      <w:r>
        <w:rPr>
          <w:rFonts w:hint="eastAsia" w:ascii="宋体" w:hAnsi="宋体" w:cs="宋体"/>
          <w:highlight w:val="none"/>
        </w:rPr>
        <w:t>项目名称：</w:t>
      </w:r>
      <w:r>
        <w:rPr>
          <w:rFonts w:hint="eastAsia" w:ascii="宋体" w:hAnsi="宋体" w:cs="宋体"/>
          <w:highlight w:val="none"/>
          <w:lang w:eastAsia="zh-CN"/>
        </w:rPr>
        <w:t>浙江理工大学消防管网改造及安全防护设施、电梯更新项目监理服务</w:t>
      </w:r>
    </w:p>
    <w:p>
      <w:pPr>
        <w:adjustRightInd w:val="0"/>
        <w:snapToGrid w:val="0"/>
        <w:spacing w:line="360" w:lineRule="auto"/>
        <w:rPr>
          <w:rFonts w:ascii="宋体" w:hAnsi="宋体" w:cs="宋体"/>
          <w:highlight w:val="none"/>
          <w:u w:val="single"/>
        </w:rPr>
      </w:pPr>
      <w:r>
        <w:rPr>
          <w:rFonts w:hint="eastAsia" w:ascii="宋体" w:hAnsi="宋体" w:cs="宋体"/>
          <w:highlight w:val="none"/>
        </w:rPr>
        <w:t>项目编号：</w:t>
      </w:r>
      <w:r>
        <w:rPr>
          <w:rFonts w:hint="eastAsia" w:ascii="宋体" w:hAnsi="宋体" w:cs="宋体"/>
          <w:highlight w:val="none"/>
          <w:u w:val="single"/>
          <w:lang w:eastAsia="zh-CN"/>
        </w:rPr>
        <w:t>CTZB-2024040071</w:t>
      </w:r>
      <w:r>
        <w:rPr>
          <w:rFonts w:hint="eastAsia" w:ascii="宋体" w:hAnsi="宋体" w:cs="宋体"/>
          <w:highlight w:val="none"/>
          <w:u w:val="single"/>
        </w:rPr>
        <w:t xml:space="preserve"> </w:t>
      </w:r>
    </w:p>
    <w:tbl>
      <w:tblPr>
        <w:tblStyle w:val="56"/>
        <w:tblW w:w="962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6"/>
        <w:gridCol w:w="729"/>
        <w:gridCol w:w="2198"/>
        <w:gridCol w:w="2196"/>
        <w:gridCol w:w="2015"/>
        <w:gridCol w:w="18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r>
              <w:rPr>
                <w:rFonts w:hint="eastAsia" w:ascii="宋体" w:hAnsi="宋体" w:cs="宋体"/>
                <w:highlight w:val="none"/>
              </w:rPr>
              <w:t>序号</w:t>
            </w:r>
          </w:p>
        </w:tc>
        <w:tc>
          <w:tcPr>
            <w:tcW w:w="729" w:type="dxa"/>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r>
              <w:rPr>
                <w:rFonts w:hint="eastAsia" w:ascii="宋体" w:hAnsi="宋体" w:cs="宋体"/>
                <w:highlight w:val="none"/>
              </w:rPr>
              <w:t>类别</w:t>
            </w:r>
          </w:p>
        </w:tc>
        <w:tc>
          <w:tcPr>
            <w:tcW w:w="2198" w:type="dxa"/>
            <w:tcBorders>
              <w:lef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r>
              <w:rPr>
                <w:rFonts w:hint="eastAsia" w:ascii="宋体" w:hAnsi="宋体" w:cs="宋体"/>
                <w:highlight w:val="none"/>
              </w:rPr>
              <w:t>采购要求</w:t>
            </w:r>
          </w:p>
        </w:tc>
        <w:tc>
          <w:tcPr>
            <w:tcW w:w="219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r>
              <w:rPr>
                <w:rFonts w:hint="eastAsia" w:ascii="宋体" w:hAnsi="宋体" w:cs="宋体"/>
                <w:highlight w:val="none"/>
              </w:rPr>
              <w:t>投标响应</w:t>
            </w:r>
          </w:p>
        </w:tc>
        <w:tc>
          <w:tcPr>
            <w:tcW w:w="2015"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r>
              <w:rPr>
                <w:rFonts w:hint="eastAsia" w:ascii="宋体" w:hAnsi="宋体" w:cs="宋体"/>
                <w:highlight w:val="none"/>
              </w:rPr>
              <w:t>是否偏离</w:t>
            </w:r>
          </w:p>
        </w:tc>
        <w:tc>
          <w:tcPr>
            <w:tcW w:w="1830"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r>
              <w:rPr>
                <w:rFonts w:hint="eastAsia" w:ascii="宋体" w:hAnsi="宋体" w:cs="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729" w:type="dxa"/>
            <w:vMerge w:val="restart"/>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r>
              <w:rPr>
                <w:rFonts w:hint="eastAsia" w:ascii="宋体" w:hAnsi="宋体" w:cs="宋体"/>
                <w:highlight w:val="none"/>
              </w:rPr>
              <w:t>商务偏离</w:t>
            </w:r>
          </w:p>
        </w:tc>
        <w:tc>
          <w:tcPr>
            <w:tcW w:w="2198" w:type="dxa"/>
            <w:tcBorders>
              <w:lef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015"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1830"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729"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8" w:type="dxa"/>
            <w:tcBorders>
              <w:lef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015"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1830"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729"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8" w:type="dxa"/>
            <w:tcBorders>
              <w:lef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015"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1830"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729"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8" w:type="dxa"/>
            <w:tcBorders>
              <w:lef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015"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1830"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729" w:type="dxa"/>
            <w:vMerge w:val="restart"/>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r>
              <w:rPr>
                <w:rFonts w:hint="eastAsia" w:ascii="宋体" w:hAnsi="宋体" w:cs="宋体"/>
                <w:highlight w:val="none"/>
              </w:rPr>
              <w:t>技术偏离</w:t>
            </w:r>
          </w:p>
        </w:tc>
        <w:tc>
          <w:tcPr>
            <w:tcW w:w="2198" w:type="dxa"/>
            <w:tcBorders>
              <w:lef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015"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1830"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729"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8" w:type="dxa"/>
            <w:tcBorders>
              <w:lef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015"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1830"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729"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8" w:type="dxa"/>
            <w:tcBorders>
              <w:lef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015"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1830"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729"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8" w:type="dxa"/>
            <w:tcBorders>
              <w:lef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015"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1830"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729"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8" w:type="dxa"/>
            <w:tcBorders>
              <w:lef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015"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1830"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5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729"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8" w:type="dxa"/>
            <w:tcBorders>
              <w:lef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196"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2015"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c>
          <w:tcPr>
            <w:tcW w:w="1830" w:type="dxa"/>
            <w:vAlign w:val="center"/>
          </w:tcPr>
          <w:p>
            <w:pPr>
              <w:keepNext w:val="0"/>
              <w:keepLines w:val="0"/>
              <w:suppressLineNumbers w:val="0"/>
              <w:snapToGrid w:val="0"/>
              <w:spacing w:before="0" w:beforeAutospacing="0" w:after="0" w:afterAutospacing="0" w:line="360" w:lineRule="auto"/>
              <w:ind w:left="0" w:right="0"/>
              <w:jc w:val="center"/>
              <w:rPr>
                <w:rFonts w:hint="default" w:ascii="宋体" w:hAnsi="宋体" w:cs="宋体"/>
                <w:highlight w:val="none"/>
              </w:rPr>
            </w:pPr>
          </w:p>
        </w:tc>
      </w:tr>
    </w:tbl>
    <w:p>
      <w:pPr>
        <w:adjustRightInd w:val="0"/>
        <w:snapToGrid w:val="0"/>
        <w:spacing w:line="360" w:lineRule="auto"/>
        <w:rPr>
          <w:rFonts w:ascii="宋体" w:hAnsi="宋体" w:cs="宋体"/>
          <w:highlight w:val="none"/>
        </w:rPr>
      </w:pPr>
      <w:r>
        <w:rPr>
          <w:rFonts w:hint="eastAsia" w:ascii="宋体" w:hAnsi="宋体" w:cs="宋体"/>
          <w:szCs w:val="21"/>
          <w:highlight w:val="none"/>
        </w:rPr>
        <w:t>注：1、</w:t>
      </w:r>
      <w:r>
        <w:rPr>
          <w:rFonts w:hint="eastAsia" w:ascii="宋体" w:hAnsi="宋体" w:cs="宋体"/>
          <w:highlight w:val="none"/>
        </w:rPr>
        <w:t>对采购文件有任何偏离（包括正偏离及负偏离）均应汇总并填写在此表中，不填写此表视作完全响应本采购文件要求。</w:t>
      </w:r>
    </w:p>
    <w:p>
      <w:pPr>
        <w:adjustRightInd w:val="0"/>
        <w:snapToGrid w:val="0"/>
        <w:spacing w:line="360" w:lineRule="auto"/>
        <w:ind w:firstLine="411" w:firstLineChars="196"/>
        <w:rPr>
          <w:rFonts w:ascii="宋体" w:hAnsi="宋体" w:cs="宋体"/>
          <w:szCs w:val="21"/>
          <w:highlight w:val="none"/>
        </w:rPr>
      </w:pPr>
      <w:r>
        <w:rPr>
          <w:rFonts w:hint="eastAsia" w:ascii="宋体" w:hAnsi="宋体" w:cs="宋体"/>
          <w:szCs w:val="21"/>
          <w:highlight w:val="none"/>
        </w:rPr>
        <w:t>2、投标人提供的建议（如有）。</w:t>
      </w:r>
    </w:p>
    <w:p>
      <w:pPr>
        <w:adjustRightInd w:val="0"/>
        <w:snapToGrid w:val="0"/>
        <w:spacing w:line="360" w:lineRule="auto"/>
        <w:ind w:left="755"/>
        <w:rPr>
          <w:rFonts w:ascii="宋体" w:hAnsi="宋体" w:cs="宋体"/>
          <w:b/>
          <w:szCs w:val="20"/>
          <w:highlight w:val="none"/>
        </w:rPr>
      </w:pPr>
    </w:p>
    <w:p>
      <w:pPr>
        <w:adjustRightInd w:val="0"/>
        <w:snapToGrid w:val="0"/>
        <w:spacing w:line="360" w:lineRule="auto"/>
        <w:rPr>
          <w:rFonts w:ascii="宋体" w:hAnsi="宋体" w:cs="宋体"/>
          <w:b/>
          <w:highlight w:val="none"/>
        </w:rPr>
      </w:pPr>
      <w:r>
        <w:rPr>
          <w:rFonts w:hint="eastAsia" w:ascii="宋体" w:hAnsi="宋体" w:cs="宋体"/>
          <w:b/>
          <w:highlight w:val="none"/>
        </w:rPr>
        <w:t>供应商全称（盖单位公章）：</w:t>
      </w:r>
    </w:p>
    <w:p>
      <w:pPr>
        <w:adjustRightInd w:val="0"/>
        <w:snapToGrid w:val="0"/>
        <w:spacing w:line="360" w:lineRule="auto"/>
        <w:rPr>
          <w:rFonts w:ascii="宋体" w:hAnsi="宋体" w:cs="宋体"/>
          <w:highlight w:val="none"/>
        </w:rPr>
      </w:pPr>
      <w:r>
        <w:rPr>
          <w:rFonts w:hint="eastAsia" w:ascii="宋体" w:hAnsi="宋体" w:cs="宋体"/>
          <w:b/>
          <w:highlight w:val="none"/>
        </w:rPr>
        <w:t>日期：</w:t>
      </w:r>
    </w:p>
    <w:p>
      <w:pPr>
        <w:adjustRightInd w:val="0"/>
        <w:snapToGrid w:val="0"/>
        <w:spacing w:line="360" w:lineRule="auto"/>
        <w:ind w:left="755"/>
        <w:rPr>
          <w:rFonts w:ascii="宋体" w:hAnsi="宋体" w:cs="宋体"/>
          <w:b/>
          <w:bCs/>
          <w:szCs w:val="21"/>
          <w:highlight w:val="none"/>
        </w:rPr>
      </w:pPr>
    </w:p>
    <w:p>
      <w:pPr>
        <w:adjustRightInd w:val="0"/>
        <w:snapToGrid w:val="0"/>
        <w:spacing w:line="360" w:lineRule="auto"/>
        <w:ind w:left="755"/>
        <w:rPr>
          <w:rFonts w:ascii="宋体" w:hAnsi="宋体" w:cs="宋体"/>
          <w:b/>
          <w:bCs/>
          <w:szCs w:val="21"/>
          <w:highlight w:val="none"/>
        </w:rPr>
      </w:pPr>
    </w:p>
    <w:p>
      <w:pPr>
        <w:adjustRightInd w:val="0"/>
        <w:snapToGrid w:val="0"/>
        <w:spacing w:line="360" w:lineRule="auto"/>
        <w:ind w:left="755"/>
        <w:rPr>
          <w:rFonts w:ascii="宋体" w:hAnsi="宋体" w:cs="宋体"/>
          <w:b/>
          <w:bCs/>
          <w:szCs w:val="21"/>
          <w:highlight w:val="none"/>
        </w:rPr>
      </w:pPr>
    </w:p>
    <w:p>
      <w:pPr>
        <w:adjustRightInd w:val="0"/>
        <w:snapToGrid w:val="0"/>
        <w:spacing w:line="360" w:lineRule="auto"/>
        <w:ind w:left="755"/>
        <w:rPr>
          <w:rFonts w:ascii="宋体" w:hAnsi="宋体" w:cs="宋体"/>
          <w:b/>
          <w:bCs/>
          <w:szCs w:val="21"/>
          <w:highlight w:val="none"/>
        </w:rPr>
      </w:pPr>
    </w:p>
    <w:p>
      <w:pPr>
        <w:adjustRightInd w:val="0"/>
        <w:snapToGrid w:val="0"/>
        <w:spacing w:line="360" w:lineRule="auto"/>
        <w:ind w:left="755"/>
        <w:rPr>
          <w:rFonts w:ascii="宋体" w:hAnsi="宋体" w:cs="宋体"/>
          <w:b/>
          <w:bCs/>
          <w:szCs w:val="21"/>
          <w:highlight w:val="none"/>
        </w:rPr>
      </w:pPr>
    </w:p>
    <w:p>
      <w:pPr>
        <w:adjustRightInd w:val="0"/>
        <w:snapToGrid w:val="0"/>
        <w:spacing w:line="360" w:lineRule="auto"/>
        <w:ind w:left="755"/>
        <w:rPr>
          <w:rFonts w:ascii="宋体" w:hAnsi="宋体" w:cs="宋体"/>
          <w:b/>
          <w:bCs/>
          <w:szCs w:val="21"/>
          <w:highlight w:val="none"/>
        </w:rPr>
      </w:pPr>
    </w:p>
    <w:p>
      <w:pPr>
        <w:adjustRightInd w:val="0"/>
        <w:snapToGrid w:val="0"/>
        <w:spacing w:line="360" w:lineRule="auto"/>
        <w:ind w:left="755"/>
        <w:rPr>
          <w:rFonts w:ascii="宋体" w:hAnsi="宋体" w:cs="宋体"/>
          <w:b/>
          <w:bCs/>
          <w:szCs w:val="21"/>
          <w:highlight w:val="none"/>
        </w:rPr>
      </w:pPr>
    </w:p>
    <w:p>
      <w:pPr>
        <w:adjustRightInd w:val="0"/>
        <w:snapToGrid w:val="0"/>
        <w:spacing w:line="360" w:lineRule="auto"/>
        <w:ind w:left="755"/>
        <w:rPr>
          <w:rFonts w:ascii="宋体" w:hAnsi="宋体" w:cs="宋体"/>
          <w:b/>
          <w:bCs/>
          <w:szCs w:val="21"/>
          <w:highlight w:val="none"/>
        </w:rPr>
      </w:pPr>
    </w:p>
    <w:p>
      <w:pPr>
        <w:pStyle w:val="4"/>
        <w:ind w:firstLine="0" w:firstLineChars="0"/>
        <w:rPr>
          <w:rFonts w:ascii="宋体" w:hAnsi="宋体" w:cs="宋体"/>
          <w:szCs w:val="21"/>
          <w:highlight w:val="none"/>
        </w:rPr>
      </w:pPr>
      <w:bookmarkStart w:id="305" w:name="_Toc26895"/>
      <w:bookmarkStart w:id="306" w:name="_Toc9135"/>
      <w:bookmarkStart w:id="307" w:name="_Toc7814"/>
      <w:bookmarkStart w:id="308" w:name="_Toc11142"/>
      <w:bookmarkStart w:id="309" w:name="_Toc7491"/>
      <w:bookmarkStart w:id="310" w:name="_Toc477357159"/>
      <w:bookmarkStart w:id="311" w:name="_Toc25496"/>
      <w:r>
        <w:rPr>
          <w:rFonts w:hint="eastAsia" w:ascii="宋体" w:hAnsi="宋体" w:cs="宋体"/>
          <w:highlight w:val="none"/>
        </w:rPr>
        <w:br w:type="page"/>
      </w:r>
      <w:bookmarkEnd w:id="152"/>
      <w:bookmarkEnd w:id="153"/>
      <w:bookmarkEnd w:id="305"/>
      <w:bookmarkEnd w:id="306"/>
      <w:bookmarkEnd w:id="307"/>
      <w:bookmarkEnd w:id="308"/>
      <w:bookmarkEnd w:id="309"/>
      <w:bookmarkEnd w:id="310"/>
      <w:bookmarkEnd w:id="311"/>
      <w:bookmarkStart w:id="312" w:name="_Toc31762"/>
      <w:bookmarkStart w:id="313" w:name="_Toc19705"/>
      <w:bookmarkStart w:id="314" w:name="_Toc10425"/>
      <w:bookmarkStart w:id="315" w:name="_Toc26138"/>
      <w:bookmarkStart w:id="316" w:name="_Toc20816"/>
      <w:bookmarkStart w:id="317" w:name="_Toc18005"/>
      <w:bookmarkStart w:id="318" w:name="_Toc27134"/>
      <w:bookmarkStart w:id="319" w:name="_Toc4340"/>
      <w:bookmarkStart w:id="320" w:name="_Toc6556"/>
      <w:r>
        <w:rPr>
          <w:rFonts w:hint="eastAsia" w:ascii="宋体" w:hAnsi="宋体" w:cs="宋体"/>
          <w:highlight w:val="none"/>
        </w:rPr>
        <w:t>附件八、</w:t>
      </w:r>
      <w:bookmarkEnd w:id="312"/>
      <w:bookmarkEnd w:id="313"/>
      <w:bookmarkEnd w:id="314"/>
      <w:bookmarkEnd w:id="315"/>
      <w:bookmarkEnd w:id="316"/>
      <w:bookmarkEnd w:id="317"/>
      <w:bookmarkEnd w:id="318"/>
      <w:bookmarkEnd w:id="319"/>
      <w:r>
        <w:rPr>
          <w:rFonts w:hint="eastAsia" w:ascii="宋体" w:hAnsi="宋体" w:cs="宋体"/>
          <w:highlight w:val="none"/>
        </w:rPr>
        <w:t>项目机构人员组成表</w:t>
      </w:r>
      <w:bookmarkEnd w:id="320"/>
    </w:p>
    <w:p>
      <w:pPr>
        <w:spacing w:beforeLines="50" w:afterLines="100" w:line="360" w:lineRule="auto"/>
        <w:jc w:val="center"/>
        <w:rPr>
          <w:rFonts w:ascii="宋体" w:hAnsi="宋体" w:cs="宋体"/>
          <w:b/>
          <w:bCs/>
          <w:sz w:val="32"/>
          <w:szCs w:val="32"/>
          <w:highlight w:val="none"/>
        </w:rPr>
      </w:pPr>
      <w:r>
        <w:rPr>
          <w:rFonts w:hint="eastAsia" w:ascii="宋体" w:hAnsi="宋体" w:cs="宋体"/>
          <w:b/>
          <w:bCs/>
          <w:sz w:val="32"/>
          <w:szCs w:val="32"/>
          <w:highlight w:val="none"/>
        </w:rPr>
        <w:t>项目机构人员组成表</w:t>
      </w:r>
    </w:p>
    <w:p>
      <w:pPr>
        <w:adjustRightInd w:val="0"/>
        <w:snapToGrid w:val="0"/>
        <w:spacing w:line="360" w:lineRule="auto"/>
        <w:rPr>
          <w:rFonts w:hint="eastAsia" w:ascii="宋体" w:hAnsi="宋体" w:eastAsia="宋体" w:cs="宋体"/>
          <w:highlight w:val="none"/>
          <w:lang w:eastAsia="zh-CN"/>
        </w:rPr>
      </w:pPr>
      <w:r>
        <w:rPr>
          <w:rFonts w:hint="eastAsia" w:ascii="宋体" w:hAnsi="宋体" w:cs="宋体"/>
          <w:highlight w:val="none"/>
        </w:rPr>
        <w:t>项目名称：</w:t>
      </w:r>
      <w:r>
        <w:rPr>
          <w:rFonts w:hint="eastAsia" w:ascii="宋体" w:hAnsi="宋体" w:cs="宋体"/>
          <w:highlight w:val="none"/>
          <w:lang w:eastAsia="zh-CN"/>
        </w:rPr>
        <w:t>浙江理工大学消防管网改造及安全防护设施、电梯更新项目监理服务</w:t>
      </w:r>
    </w:p>
    <w:p>
      <w:pPr>
        <w:adjustRightInd w:val="0"/>
        <w:snapToGrid w:val="0"/>
        <w:spacing w:line="360" w:lineRule="auto"/>
        <w:rPr>
          <w:rFonts w:ascii="宋体" w:hAnsi="宋体" w:cs="宋体"/>
          <w:szCs w:val="21"/>
          <w:highlight w:val="none"/>
        </w:rPr>
      </w:pPr>
      <w:r>
        <w:rPr>
          <w:rFonts w:hint="eastAsia" w:ascii="宋体" w:hAnsi="宋体" w:cs="宋体"/>
          <w:highlight w:val="none"/>
        </w:rPr>
        <w:t>项目编号：</w:t>
      </w:r>
      <w:r>
        <w:rPr>
          <w:rFonts w:hint="eastAsia" w:ascii="宋体" w:hAnsi="宋体" w:cs="宋体"/>
          <w:highlight w:val="none"/>
          <w:u w:val="single"/>
          <w:lang w:eastAsia="zh-CN"/>
        </w:rPr>
        <w:t>CTZB-2024040071</w:t>
      </w:r>
      <w:r>
        <w:rPr>
          <w:rFonts w:hint="eastAsia" w:ascii="宋体" w:hAnsi="宋体" w:cs="宋体"/>
          <w:highlight w:val="none"/>
          <w:u w:val="single"/>
        </w:rPr>
        <w:t xml:space="preserve"> </w:t>
      </w:r>
    </w:p>
    <w:tbl>
      <w:tblPr>
        <w:tblStyle w:val="56"/>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192"/>
        <w:gridCol w:w="1217"/>
        <w:gridCol w:w="1411"/>
        <w:gridCol w:w="850"/>
        <w:gridCol w:w="1767"/>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56"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r>
              <w:rPr>
                <w:rFonts w:hint="eastAsia" w:ascii="宋体" w:hAnsi="宋体" w:cs="宋体"/>
                <w:szCs w:val="21"/>
                <w:highlight w:val="none"/>
              </w:rPr>
              <w:t>姓名</w:t>
            </w:r>
          </w:p>
        </w:tc>
        <w:tc>
          <w:tcPr>
            <w:tcW w:w="2192"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r>
              <w:rPr>
                <w:rFonts w:hint="eastAsia" w:ascii="宋体" w:hAnsi="宋体" w:cs="宋体"/>
                <w:szCs w:val="21"/>
                <w:highlight w:val="none"/>
              </w:rPr>
              <w:t>拟在本项目中担任职务</w:t>
            </w:r>
          </w:p>
        </w:tc>
        <w:tc>
          <w:tcPr>
            <w:tcW w:w="1217"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ascii="宋体" w:hAnsi="宋体" w:cs="宋体"/>
                <w:szCs w:val="21"/>
                <w:highlight w:val="none"/>
              </w:rPr>
              <w:t>专业</w:t>
            </w:r>
          </w:p>
        </w:tc>
        <w:tc>
          <w:tcPr>
            <w:tcW w:w="1411"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ascii="宋体" w:hAnsi="宋体" w:cs="宋体"/>
                <w:szCs w:val="21"/>
                <w:highlight w:val="none"/>
              </w:rPr>
              <w:t>职务/职称</w:t>
            </w:r>
          </w:p>
        </w:tc>
        <w:tc>
          <w:tcPr>
            <w:tcW w:w="85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ascii="宋体" w:hAnsi="宋体" w:cs="宋体"/>
                <w:szCs w:val="21"/>
                <w:highlight w:val="none"/>
              </w:rPr>
              <w:t>年龄</w:t>
            </w:r>
          </w:p>
        </w:tc>
        <w:tc>
          <w:tcPr>
            <w:tcW w:w="1767"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ascii="宋体" w:hAnsi="宋体" w:cs="宋体"/>
                <w:szCs w:val="21"/>
                <w:highlight w:val="none"/>
              </w:rPr>
              <w:t>证书编号（如有）</w:t>
            </w:r>
          </w:p>
        </w:tc>
        <w:tc>
          <w:tcPr>
            <w:tcW w:w="997"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Cs w:val="21"/>
                <w:highlight w:val="none"/>
                <w:lang w:eastAsia="zh-CN"/>
              </w:rPr>
            </w:pPr>
            <w:r>
              <w:rPr>
                <w:rFonts w:hint="eastAsia" w:ascii="宋体" w:hAnsi="宋体" w:cs="宋体"/>
                <w:b/>
                <w:bCs/>
                <w:szCs w:val="21"/>
                <w:highlight w:val="none"/>
                <w:lang w:val="en-US" w:eastAsia="zh-CN"/>
              </w:rPr>
              <w:t>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56"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2192"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217"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411"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850"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767"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997"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56"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2192"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217"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411"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850"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767"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997"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56"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2192"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217"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411"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850"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767"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997"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56"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2192"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217"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411"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850"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767"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997"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56"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2192"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217"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411"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850"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1767"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c>
          <w:tcPr>
            <w:tcW w:w="997" w:type="dxa"/>
            <w:vAlign w:val="center"/>
          </w:tcPr>
          <w:p>
            <w:pPr>
              <w:keepNext w:val="0"/>
              <w:keepLines w:val="0"/>
              <w:suppressLineNumbers w:val="0"/>
              <w:spacing w:before="0" w:beforeAutospacing="0" w:after="0" w:afterAutospacing="0"/>
              <w:ind w:left="0" w:right="0"/>
              <w:jc w:val="center"/>
              <w:rPr>
                <w:rFonts w:hint="default" w:ascii="宋体" w:hAnsi="宋体" w:cs="宋体"/>
                <w:szCs w:val="21"/>
                <w:highlight w:val="none"/>
              </w:rPr>
            </w:pPr>
          </w:p>
        </w:tc>
      </w:tr>
    </w:tbl>
    <w:p>
      <w:pPr>
        <w:rPr>
          <w:rFonts w:ascii="宋体" w:hAnsi="宋体" w:cs="宋体"/>
          <w:b/>
          <w:szCs w:val="21"/>
          <w:highlight w:val="none"/>
        </w:rPr>
      </w:pPr>
      <w:r>
        <w:rPr>
          <w:rFonts w:hint="eastAsia" w:ascii="宋体" w:hAnsi="宋体" w:cs="宋体"/>
          <w:szCs w:val="21"/>
          <w:highlight w:val="none"/>
        </w:rPr>
        <w:t>附：专业证明材料为毕业证书、职称证书等，职称证明材料为职称证书；</w:t>
      </w:r>
    </w:p>
    <w:p>
      <w:pPr>
        <w:adjustRightInd w:val="0"/>
        <w:snapToGrid w:val="0"/>
        <w:spacing w:line="360" w:lineRule="auto"/>
        <w:rPr>
          <w:rFonts w:ascii="宋体" w:hAnsi="宋体" w:cs="宋体"/>
          <w:b/>
          <w:szCs w:val="21"/>
          <w:highlight w:val="none"/>
        </w:rPr>
      </w:pPr>
    </w:p>
    <w:p>
      <w:pPr>
        <w:adjustRightInd w:val="0"/>
        <w:snapToGrid w:val="0"/>
        <w:spacing w:line="360" w:lineRule="auto"/>
        <w:rPr>
          <w:rFonts w:ascii="宋体" w:hAnsi="宋体" w:cs="宋体"/>
          <w:b/>
          <w:highlight w:val="none"/>
        </w:rPr>
      </w:pPr>
      <w:r>
        <w:rPr>
          <w:rFonts w:hint="eastAsia" w:ascii="宋体" w:hAnsi="宋体" w:cs="宋体"/>
          <w:b/>
          <w:highlight w:val="none"/>
        </w:rPr>
        <w:t>供应商全称（盖单位公章）：</w:t>
      </w:r>
    </w:p>
    <w:p>
      <w:pPr>
        <w:adjustRightInd w:val="0"/>
        <w:snapToGrid w:val="0"/>
        <w:spacing w:line="360" w:lineRule="auto"/>
        <w:rPr>
          <w:rFonts w:ascii="宋体" w:hAnsi="宋体" w:cs="宋体"/>
          <w:b/>
          <w:highlight w:val="none"/>
        </w:rPr>
      </w:pPr>
      <w:r>
        <w:rPr>
          <w:rFonts w:hint="eastAsia" w:ascii="宋体" w:hAnsi="宋体" w:cs="宋体"/>
          <w:b/>
          <w:highlight w:val="none"/>
        </w:rPr>
        <w:t>日期：</w:t>
      </w:r>
    </w:p>
    <w:p>
      <w:pPr>
        <w:pStyle w:val="66"/>
        <w:spacing w:line="360" w:lineRule="auto"/>
        <w:ind w:firstLine="0" w:firstLineChars="0"/>
        <w:rPr>
          <w:rFonts w:ascii="宋体" w:hAnsi="宋体" w:cs="宋体"/>
          <w:iCs/>
          <w:szCs w:val="21"/>
          <w:highlight w:val="none"/>
        </w:rPr>
      </w:pPr>
    </w:p>
    <w:p>
      <w:pPr>
        <w:pStyle w:val="4"/>
        <w:ind w:firstLine="0" w:firstLineChars="0"/>
        <w:rPr>
          <w:rFonts w:ascii="宋体" w:hAnsi="宋体" w:cs="宋体"/>
          <w:szCs w:val="21"/>
          <w:highlight w:val="none"/>
        </w:rPr>
      </w:pPr>
      <w:r>
        <w:rPr>
          <w:rFonts w:hint="eastAsia" w:ascii="宋体" w:hAnsi="宋体" w:cs="宋体"/>
          <w:kern w:val="0"/>
          <w:szCs w:val="21"/>
          <w:highlight w:val="none"/>
        </w:rPr>
        <w:br w:type="page"/>
      </w:r>
      <w:bookmarkStart w:id="321" w:name="_Toc28455"/>
      <w:r>
        <w:rPr>
          <w:rFonts w:hint="eastAsia" w:ascii="宋体" w:hAnsi="宋体" w:cs="宋体"/>
          <w:highlight w:val="none"/>
        </w:rPr>
        <w:t>附件九、项目负责人简历表</w:t>
      </w:r>
      <w:bookmarkEnd w:id="321"/>
    </w:p>
    <w:p>
      <w:pPr>
        <w:spacing w:beforeLines="50" w:afterLines="100" w:line="360" w:lineRule="auto"/>
        <w:jc w:val="center"/>
        <w:rPr>
          <w:rFonts w:hint="eastAsia" w:ascii="宋体" w:hAnsi="宋体" w:eastAsia="宋体" w:cs="宋体"/>
          <w:b/>
          <w:sz w:val="32"/>
          <w:szCs w:val="32"/>
          <w:highlight w:val="none"/>
          <w:lang w:eastAsia="zh-CN"/>
        </w:rPr>
      </w:pPr>
      <w:r>
        <w:rPr>
          <w:rFonts w:hint="eastAsia" w:ascii="宋体" w:hAnsi="宋体" w:cs="宋体"/>
          <w:b/>
          <w:bCs/>
          <w:sz w:val="32"/>
          <w:szCs w:val="32"/>
          <w:highlight w:val="none"/>
        </w:rPr>
        <w:t>项目负责人简历表</w:t>
      </w:r>
      <w:r>
        <w:rPr>
          <w:rFonts w:hint="eastAsia" w:ascii="宋体" w:hAnsi="宋体" w:cs="宋体"/>
          <w:b/>
          <w:bCs/>
          <w:sz w:val="32"/>
          <w:szCs w:val="32"/>
          <w:highlight w:val="none"/>
          <w:lang w:eastAsia="zh-CN"/>
        </w:rPr>
        <w:t>（</w:t>
      </w:r>
      <w:r>
        <w:rPr>
          <w:rFonts w:hint="eastAsia" w:ascii="宋体" w:hAnsi="宋体" w:cs="宋体"/>
          <w:b/>
          <w:bCs/>
          <w:sz w:val="32"/>
          <w:szCs w:val="32"/>
          <w:highlight w:val="none"/>
          <w:lang w:val="en-US" w:eastAsia="zh-CN"/>
        </w:rPr>
        <w:t>总监</w:t>
      </w:r>
      <w:r>
        <w:rPr>
          <w:rFonts w:hint="eastAsia" w:ascii="宋体" w:hAnsi="宋体" w:cs="宋体"/>
          <w:b/>
          <w:bCs/>
          <w:sz w:val="32"/>
          <w:szCs w:val="32"/>
          <w:highlight w:val="none"/>
          <w:lang w:eastAsia="zh-CN"/>
        </w:rPr>
        <w:t>）</w:t>
      </w:r>
    </w:p>
    <w:p>
      <w:pPr>
        <w:adjustRightInd w:val="0"/>
        <w:snapToGrid w:val="0"/>
        <w:spacing w:line="360" w:lineRule="auto"/>
        <w:rPr>
          <w:rFonts w:hint="eastAsia" w:ascii="宋体" w:hAnsi="宋体" w:eastAsia="宋体" w:cs="宋体"/>
          <w:highlight w:val="none"/>
          <w:lang w:eastAsia="zh-CN"/>
        </w:rPr>
      </w:pPr>
      <w:r>
        <w:rPr>
          <w:rFonts w:hint="eastAsia" w:ascii="宋体" w:hAnsi="宋体" w:cs="宋体"/>
          <w:highlight w:val="none"/>
        </w:rPr>
        <w:t>项目名称：</w:t>
      </w:r>
      <w:r>
        <w:rPr>
          <w:rFonts w:hint="eastAsia" w:ascii="宋体" w:hAnsi="宋体" w:cs="宋体"/>
          <w:highlight w:val="none"/>
          <w:lang w:eastAsia="zh-CN"/>
        </w:rPr>
        <w:t>浙江理工大学消防管网改造及安全防护设施、电梯更新项目监理服务</w:t>
      </w:r>
    </w:p>
    <w:p>
      <w:pPr>
        <w:adjustRightInd w:val="0"/>
        <w:snapToGrid w:val="0"/>
        <w:spacing w:line="360" w:lineRule="auto"/>
        <w:rPr>
          <w:rFonts w:ascii="宋体" w:hAnsi="宋体" w:cs="宋体"/>
          <w:szCs w:val="20"/>
          <w:highlight w:val="none"/>
        </w:rPr>
      </w:pPr>
      <w:r>
        <w:rPr>
          <w:rFonts w:hint="eastAsia" w:ascii="宋体" w:hAnsi="宋体" w:cs="宋体"/>
          <w:highlight w:val="none"/>
        </w:rPr>
        <w:t>项目编号：</w:t>
      </w:r>
      <w:r>
        <w:rPr>
          <w:rFonts w:hint="eastAsia" w:ascii="宋体" w:hAnsi="宋体" w:cs="宋体"/>
          <w:highlight w:val="none"/>
          <w:u w:val="none"/>
          <w:lang w:eastAsia="zh-CN"/>
        </w:rPr>
        <w:t>CTZB-2024040071</w:t>
      </w:r>
      <w:r>
        <w:rPr>
          <w:rFonts w:hint="eastAsia" w:ascii="宋体" w:hAnsi="宋体" w:cs="宋体"/>
          <w:highlight w:val="none"/>
          <w:u w:val="none"/>
        </w:rPr>
        <w:t xml:space="preserve"> </w:t>
      </w:r>
    </w:p>
    <w:tbl>
      <w:tblPr>
        <w:tblStyle w:val="56"/>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1598"/>
        <w:gridCol w:w="1592"/>
        <w:gridCol w:w="1703"/>
        <w:gridCol w:w="1592"/>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66"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r>
              <w:rPr>
                <w:rFonts w:hint="eastAsia" w:ascii="宋体" w:hAnsi="宋体" w:cs="宋体"/>
                <w:szCs w:val="21"/>
                <w:highlight w:val="none"/>
              </w:rPr>
              <w:t>姓名</w:t>
            </w:r>
          </w:p>
        </w:tc>
        <w:tc>
          <w:tcPr>
            <w:tcW w:w="1598"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p>
        </w:tc>
        <w:tc>
          <w:tcPr>
            <w:tcW w:w="1592"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r>
              <w:rPr>
                <w:rFonts w:hint="eastAsia" w:ascii="宋体" w:hAnsi="宋体" w:cs="宋体"/>
                <w:szCs w:val="21"/>
                <w:highlight w:val="none"/>
              </w:rPr>
              <w:t>性别</w:t>
            </w:r>
          </w:p>
        </w:tc>
        <w:tc>
          <w:tcPr>
            <w:tcW w:w="1703"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p>
        </w:tc>
        <w:tc>
          <w:tcPr>
            <w:tcW w:w="1592"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r>
              <w:rPr>
                <w:rFonts w:hint="eastAsia" w:ascii="宋体" w:hAnsi="宋体" w:cs="宋体"/>
                <w:szCs w:val="21"/>
                <w:highlight w:val="none"/>
              </w:rPr>
              <w:t>年龄</w:t>
            </w:r>
          </w:p>
        </w:tc>
        <w:tc>
          <w:tcPr>
            <w:tcW w:w="1573"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66"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r>
              <w:rPr>
                <w:rFonts w:hint="eastAsia" w:ascii="宋体" w:hAnsi="宋体" w:cs="宋体"/>
                <w:szCs w:val="21"/>
                <w:highlight w:val="none"/>
              </w:rPr>
              <w:t>资格</w:t>
            </w:r>
          </w:p>
        </w:tc>
        <w:tc>
          <w:tcPr>
            <w:tcW w:w="1598"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p>
        </w:tc>
        <w:tc>
          <w:tcPr>
            <w:tcW w:w="1592"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r>
              <w:rPr>
                <w:rFonts w:hint="eastAsia" w:ascii="宋体" w:hAnsi="宋体" w:cs="宋体"/>
                <w:szCs w:val="21"/>
                <w:highlight w:val="none"/>
              </w:rPr>
              <w:t>职称</w:t>
            </w:r>
          </w:p>
        </w:tc>
        <w:tc>
          <w:tcPr>
            <w:tcW w:w="1703"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p>
        </w:tc>
        <w:tc>
          <w:tcPr>
            <w:tcW w:w="1592"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r>
              <w:rPr>
                <w:rFonts w:hint="eastAsia" w:ascii="宋体" w:hAnsi="宋体" w:cs="宋体"/>
                <w:szCs w:val="21"/>
                <w:highlight w:val="none"/>
              </w:rPr>
              <w:t>职务</w:t>
            </w:r>
          </w:p>
        </w:tc>
        <w:tc>
          <w:tcPr>
            <w:tcW w:w="1573"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66"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r>
              <w:rPr>
                <w:rFonts w:hint="eastAsia" w:ascii="宋体" w:hAnsi="宋体" w:cs="宋体"/>
                <w:szCs w:val="21"/>
                <w:highlight w:val="none"/>
              </w:rPr>
              <w:t>学历</w:t>
            </w:r>
          </w:p>
        </w:tc>
        <w:tc>
          <w:tcPr>
            <w:tcW w:w="1598"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p>
        </w:tc>
        <w:tc>
          <w:tcPr>
            <w:tcW w:w="1592"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r>
              <w:rPr>
                <w:rFonts w:hint="eastAsia" w:ascii="宋体" w:hAnsi="宋体" w:cs="宋体"/>
                <w:szCs w:val="21"/>
                <w:highlight w:val="none"/>
              </w:rPr>
              <w:t>专业</w:t>
            </w:r>
          </w:p>
        </w:tc>
        <w:tc>
          <w:tcPr>
            <w:tcW w:w="1703"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p>
        </w:tc>
        <w:tc>
          <w:tcPr>
            <w:tcW w:w="1592" w:type="dxa"/>
            <w:vAlign w:val="center"/>
          </w:tcPr>
          <w:p>
            <w:pPr>
              <w:keepNext w:val="0"/>
              <w:keepLines w:val="0"/>
              <w:suppressLineNumbers w:val="0"/>
              <w:spacing w:before="0" w:beforeAutospacing="0" w:after="0" w:afterAutospacing="0" w:line="360" w:lineRule="auto"/>
              <w:ind w:left="630" w:right="0" w:hanging="632" w:hangingChars="300"/>
              <w:jc w:val="center"/>
              <w:rPr>
                <w:rFonts w:hint="default" w:ascii="宋体" w:hAnsi="宋体" w:eastAsia="宋体" w:cs="宋体"/>
                <w:szCs w:val="21"/>
                <w:highlight w:val="none"/>
                <w:lang w:val="en-US" w:eastAsia="zh-CN"/>
              </w:rPr>
            </w:pPr>
            <w:r>
              <w:rPr>
                <w:rFonts w:hint="eastAsia" w:ascii="宋体" w:hAnsi="宋体" w:cs="宋体"/>
                <w:b/>
                <w:bCs/>
                <w:szCs w:val="21"/>
                <w:highlight w:val="none"/>
                <w:lang w:val="en-US" w:eastAsia="zh-CN"/>
              </w:rPr>
              <w:t>到位率</w:t>
            </w:r>
          </w:p>
        </w:tc>
        <w:tc>
          <w:tcPr>
            <w:tcW w:w="1573"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66"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r>
              <w:rPr>
                <w:rFonts w:hint="eastAsia" w:ascii="宋体" w:hAnsi="宋体" w:cs="宋体"/>
                <w:szCs w:val="21"/>
                <w:highlight w:val="none"/>
              </w:rPr>
              <w:t>联系电话</w:t>
            </w:r>
          </w:p>
        </w:tc>
        <w:tc>
          <w:tcPr>
            <w:tcW w:w="3190" w:type="dxa"/>
            <w:gridSpan w:val="2"/>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p>
        </w:tc>
        <w:tc>
          <w:tcPr>
            <w:tcW w:w="1703" w:type="dxa"/>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r>
              <w:rPr>
                <w:rFonts w:hint="eastAsia" w:ascii="宋体" w:hAnsi="宋体" w:cs="宋体"/>
                <w:szCs w:val="21"/>
                <w:highlight w:val="none"/>
              </w:rPr>
              <w:t>手机</w:t>
            </w:r>
          </w:p>
        </w:tc>
        <w:tc>
          <w:tcPr>
            <w:tcW w:w="3165" w:type="dxa"/>
            <w:gridSpan w:val="2"/>
            <w:vAlign w:val="center"/>
          </w:tcPr>
          <w:p>
            <w:pPr>
              <w:keepNext w:val="0"/>
              <w:keepLines w:val="0"/>
              <w:suppressLineNumbers w:val="0"/>
              <w:spacing w:before="0" w:beforeAutospacing="0" w:after="0" w:afterAutospacing="0" w:line="360" w:lineRule="auto"/>
              <w:ind w:left="630" w:right="0" w:hanging="630" w:hangingChars="300"/>
              <w:jc w:val="center"/>
              <w:rPr>
                <w:rFonts w:hint="default"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9624" w:type="dxa"/>
            <w:gridSpan w:val="6"/>
          </w:tcPr>
          <w:p>
            <w:pPr>
              <w:keepNext w:val="0"/>
              <w:keepLines w:val="0"/>
              <w:suppressLineNumbers w:val="0"/>
              <w:spacing w:before="0" w:beforeAutospacing="0" w:after="0" w:afterAutospacing="0" w:line="360" w:lineRule="auto"/>
              <w:ind w:left="630" w:right="0" w:hanging="630" w:hangingChars="300"/>
              <w:rPr>
                <w:rFonts w:hint="default" w:ascii="宋体" w:hAnsi="宋体" w:cs="宋体"/>
                <w:szCs w:val="21"/>
                <w:highlight w:val="none"/>
              </w:rPr>
            </w:pPr>
            <w:r>
              <w:rPr>
                <w:rFonts w:hint="eastAsia" w:ascii="宋体" w:hAnsi="宋体" w:cs="宋体"/>
                <w:szCs w:val="21"/>
                <w:highlight w:val="none"/>
              </w:rPr>
              <w:t>从事相关工作经历及业绩：</w:t>
            </w:r>
          </w:p>
        </w:tc>
      </w:tr>
    </w:tbl>
    <w:p>
      <w:pPr>
        <w:spacing w:line="360" w:lineRule="auto"/>
        <w:ind w:left="630" w:hanging="630" w:hangingChars="300"/>
        <w:rPr>
          <w:rFonts w:ascii="宋体" w:hAnsi="宋体" w:cs="宋体"/>
          <w:szCs w:val="21"/>
          <w:highlight w:val="none"/>
        </w:rPr>
      </w:pPr>
      <w:r>
        <w:rPr>
          <w:rFonts w:hint="eastAsia" w:ascii="宋体" w:hAnsi="宋体" w:cs="宋体"/>
          <w:szCs w:val="21"/>
          <w:highlight w:val="none"/>
        </w:rPr>
        <w:t xml:space="preserve"> 附：专业证明材料为毕业证书、职称证书等，职称证明材料为职称证书；</w:t>
      </w:r>
    </w:p>
    <w:p>
      <w:pPr>
        <w:adjustRightInd w:val="0"/>
        <w:snapToGrid w:val="0"/>
        <w:spacing w:line="360" w:lineRule="auto"/>
        <w:rPr>
          <w:rFonts w:ascii="宋体" w:hAnsi="宋体" w:cs="宋体"/>
          <w:b/>
          <w:szCs w:val="21"/>
          <w:highlight w:val="none"/>
        </w:rPr>
      </w:pPr>
    </w:p>
    <w:p>
      <w:pPr>
        <w:adjustRightInd w:val="0"/>
        <w:snapToGrid w:val="0"/>
        <w:spacing w:line="360" w:lineRule="auto"/>
        <w:rPr>
          <w:rFonts w:ascii="宋体" w:hAnsi="宋体" w:cs="宋体"/>
          <w:b/>
          <w:highlight w:val="none"/>
        </w:rPr>
      </w:pPr>
      <w:r>
        <w:rPr>
          <w:rFonts w:hint="eastAsia" w:ascii="宋体" w:hAnsi="宋体" w:cs="宋体"/>
          <w:b/>
          <w:highlight w:val="none"/>
        </w:rPr>
        <w:t>供应商全称（盖单位公章）：</w:t>
      </w:r>
    </w:p>
    <w:p>
      <w:pPr>
        <w:adjustRightInd w:val="0"/>
        <w:snapToGrid w:val="0"/>
        <w:spacing w:line="360" w:lineRule="auto"/>
        <w:rPr>
          <w:rFonts w:ascii="宋体" w:hAnsi="宋体" w:cs="宋体"/>
          <w:b/>
          <w:highlight w:val="none"/>
        </w:rPr>
      </w:pPr>
      <w:r>
        <w:rPr>
          <w:rFonts w:hint="eastAsia" w:ascii="宋体" w:hAnsi="宋体" w:cs="宋体"/>
          <w:b/>
          <w:highlight w:val="none"/>
        </w:rPr>
        <w:t>日期：</w:t>
      </w:r>
    </w:p>
    <w:p>
      <w:pPr>
        <w:adjustRightInd w:val="0"/>
        <w:snapToGrid w:val="0"/>
        <w:spacing w:line="360" w:lineRule="auto"/>
        <w:rPr>
          <w:rFonts w:ascii="宋体" w:hAnsi="宋体" w:cs="宋体"/>
          <w:b/>
          <w:szCs w:val="20"/>
          <w:highlight w:val="none"/>
        </w:rPr>
      </w:pPr>
      <w:bookmarkStart w:id="322" w:name="_Toc350862154"/>
      <w:bookmarkStart w:id="323" w:name="_Toc422431991"/>
      <w:r>
        <w:rPr>
          <w:rFonts w:hint="eastAsia" w:ascii="宋体" w:hAnsi="宋体" w:cs="宋体"/>
          <w:sz w:val="20"/>
          <w:highlight w:val="none"/>
        </w:rPr>
        <w:br w:type="page"/>
      </w:r>
      <w:bookmarkStart w:id="324" w:name="_Toc14258"/>
      <w:bookmarkStart w:id="325" w:name="_Toc18820"/>
    </w:p>
    <w:p>
      <w:pPr>
        <w:rPr>
          <w:rFonts w:ascii="宋体" w:hAnsi="宋体" w:cs="宋体"/>
          <w:sz w:val="20"/>
          <w:highlight w:val="none"/>
        </w:rPr>
      </w:pPr>
    </w:p>
    <w:p>
      <w:pPr>
        <w:outlineLvl w:val="1"/>
        <w:rPr>
          <w:rFonts w:ascii="宋体" w:hAnsi="宋体" w:cs="宋体"/>
          <w:bCs/>
          <w:szCs w:val="32"/>
          <w:highlight w:val="none"/>
        </w:rPr>
      </w:pPr>
      <w:r>
        <w:rPr>
          <w:rFonts w:hint="eastAsia" w:ascii="宋体" w:hAnsi="宋体" w:cs="宋体"/>
          <w:bCs/>
          <w:szCs w:val="32"/>
          <w:highlight w:val="none"/>
        </w:rPr>
        <w:t>附件十、设备、器材、工具配备表</w:t>
      </w:r>
      <w:bookmarkEnd w:id="324"/>
      <w:bookmarkEnd w:id="325"/>
    </w:p>
    <w:p>
      <w:pPr>
        <w:spacing w:beforeLines="50" w:afterLines="100" w:line="360" w:lineRule="auto"/>
        <w:jc w:val="center"/>
        <w:rPr>
          <w:rFonts w:ascii="宋体" w:hAnsi="宋体" w:cs="宋体"/>
          <w:b/>
          <w:sz w:val="32"/>
          <w:szCs w:val="32"/>
          <w:highlight w:val="none"/>
        </w:rPr>
      </w:pPr>
      <w:r>
        <w:rPr>
          <w:rFonts w:hint="eastAsia" w:ascii="宋体" w:hAnsi="宋体" w:cs="宋体"/>
          <w:b/>
          <w:sz w:val="32"/>
          <w:szCs w:val="32"/>
          <w:highlight w:val="none"/>
        </w:rPr>
        <w:t>设备、器材、工具配备表</w:t>
      </w:r>
    </w:p>
    <w:p>
      <w:pPr>
        <w:adjustRightInd w:val="0"/>
        <w:snapToGrid w:val="0"/>
        <w:spacing w:line="360" w:lineRule="auto"/>
        <w:rPr>
          <w:rFonts w:hint="eastAsia" w:ascii="宋体" w:hAnsi="宋体" w:eastAsia="宋体" w:cs="宋体"/>
          <w:highlight w:val="none"/>
          <w:lang w:eastAsia="zh-CN"/>
        </w:rPr>
      </w:pPr>
      <w:r>
        <w:rPr>
          <w:rFonts w:hint="eastAsia" w:ascii="宋体" w:hAnsi="宋体" w:cs="宋体"/>
          <w:highlight w:val="none"/>
        </w:rPr>
        <w:t>项目名称：</w:t>
      </w:r>
      <w:r>
        <w:rPr>
          <w:rFonts w:hint="eastAsia" w:ascii="宋体" w:hAnsi="宋体" w:cs="宋体"/>
          <w:highlight w:val="none"/>
          <w:lang w:eastAsia="zh-CN"/>
        </w:rPr>
        <w:t>浙江理工大学消防管网改造及安全防护设施、电梯更新项目监理服务</w:t>
      </w:r>
    </w:p>
    <w:p>
      <w:pPr>
        <w:adjustRightInd w:val="0"/>
        <w:snapToGrid w:val="0"/>
        <w:spacing w:line="360" w:lineRule="auto"/>
        <w:rPr>
          <w:rFonts w:hint="eastAsia" w:eastAsia="宋体"/>
          <w:highlight w:val="none"/>
          <w:lang w:eastAsia="zh-CN"/>
        </w:rPr>
      </w:pPr>
      <w:r>
        <w:rPr>
          <w:rFonts w:hint="eastAsia" w:ascii="宋体" w:hAnsi="宋体" w:cs="宋体"/>
          <w:highlight w:val="none"/>
        </w:rPr>
        <w:t>项目编号：</w:t>
      </w:r>
      <w:r>
        <w:rPr>
          <w:rFonts w:hint="eastAsia" w:ascii="宋体" w:hAnsi="宋体" w:cs="宋体"/>
          <w:highlight w:val="none"/>
          <w:u w:val="single"/>
          <w:lang w:eastAsia="zh-CN"/>
        </w:rPr>
        <w:t>CTZB-2024040071</w:t>
      </w:r>
    </w:p>
    <w:tbl>
      <w:tblPr>
        <w:tblStyle w:val="5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2412"/>
        <w:gridCol w:w="1187"/>
        <w:gridCol w:w="1100"/>
        <w:gridCol w:w="1653"/>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highlight w:val="none"/>
              </w:rPr>
            </w:pPr>
            <w:r>
              <w:rPr>
                <w:rFonts w:hint="eastAsia" w:ascii="宋体" w:hAnsi="宋体" w:cs="宋体"/>
                <w:szCs w:val="21"/>
                <w:highlight w:val="none"/>
              </w:rPr>
              <w:t>序号</w:t>
            </w:r>
          </w:p>
        </w:tc>
        <w:tc>
          <w:tcPr>
            <w:tcW w:w="241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highlight w:val="none"/>
              </w:rPr>
            </w:pPr>
            <w:r>
              <w:rPr>
                <w:rFonts w:hint="eastAsia" w:ascii="宋体" w:hAnsi="宋体" w:cs="宋体"/>
                <w:szCs w:val="21"/>
                <w:highlight w:val="none"/>
              </w:rPr>
              <w:t>名称</w:t>
            </w:r>
          </w:p>
        </w:tc>
        <w:tc>
          <w:tcPr>
            <w:tcW w:w="118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highlight w:val="none"/>
              </w:rPr>
            </w:pPr>
            <w:r>
              <w:rPr>
                <w:rFonts w:hint="eastAsia" w:ascii="宋体" w:hAnsi="宋体" w:cs="宋体"/>
                <w:szCs w:val="21"/>
                <w:highlight w:val="none"/>
              </w:rPr>
              <w:t>规格</w:t>
            </w:r>
          </w:p>
        </w:tc>
        <w:tc>
          <w:tcPr>
            <w:tcW w:w="110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highlight w:val="none"/>
              </w:rPr>
            </w:pPr>
            <w:r>
              <w:rPr>
                <w:rFonts w:hint="eastAsia" w:ascii="宋体" w:hAnsi="宋体" w:cs="宋体"/>
                <w:szCs w:val="21"/>
                <w:highlight w:val="none"/>
              </w:rPr>
              <w:t>数量</w:t>
            </w:r>
          </w:p>
        </w:tc>
        <w:tc>
          <w:tcPr>
            <w:tcW w:w="165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highlight w:val="none"/>
              </w:rPr>
            </w:pPr>
            <w:r>
              <w:rPr>
                <w:rFonts w:hint="eastAsia" w:ascii="宋体" w:hAnsi="宋体" w:cs="宋体"/>
                <w:szCs w:val="21"/>
                <w:highlight w:val="none"/>
              </w:rPr>
              <w:t>产地</w:t>
            </w:r>
          </w:p>
        </w:tc>
        <w:tc>
          <w:tcPr>
            <w:tcW w:w="161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66"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2412"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187"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100"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653"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610"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66"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2412"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187"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100"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653"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610"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66"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2412"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187"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100"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653"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610"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66"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2412"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187"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100"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653"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610"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66"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2412"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187"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100"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653"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610"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66"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2412"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187"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100"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653"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610"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66"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2412"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187"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100"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653"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c>
          <w:tcPr>
            <w:tcW w:w="1610" w:type="dxa"/>
            <w:vAlign w:val="center"/>
          </w:tcPr>
          <w:p>
            <w:pPr>
              <w:keepNext w:val="0"/>
              <w:keepLines w:val="0"/>
              <w:suppressLineNumbers w:val="0"/>
              <w:spacing w:before="0" w:beforeAutospacing="0" w:after="0" w:afterAutospacing="0" w:line="360" w:lineRule="auto"/>
              <w:ind w:left="0" w:right="0" w:firstLine="443"/>
              <w:jc w:val="center"/>
              <w:rPr>
                <w:rFonts w:hint="default" w:ascii="宋体" w:hAnsi="宋体" w:cs="宋体"/>
                <w:szCs w:val="21"/>
                <w:highlight w:val="none"/>
              </w:rPr>
            </w:pPr>
          </w:p>
        </w:tc>
      </w:tr>
    </w:tbl>
    <w:p>
      <w:pPr>
        <w:adjustRightInd w:val="0"/>
        <w:snapToGrid w:val="0"/>
        <w:spacing w:line="360" w:lineRule="auto"/>
        <w:ind w:left="755"/>
        <w:rPr>
          <w:rFonts w:ascii="宋体" w:hAnsi="宋体" w:cs="宋体"/>
          <w:szCs w:val="20"/>
          <w:highlight w:val="none"/>
        </w:rPr>
      </w:pPr>
    </w:p>
    <w:p>
      <w:pPr>
        <w:adjustRightInd w:val="0"/>
        <w:snapToGrid w:val="0"/>
        <w:spacing w:line="360" w:lineRule="auto"/>
        <w:rPr>
          <w:rFonts w:ascii="宋体" w:hAnsi="宋体" w:cs="宋体"/>
          <w:highlight w:val="none"/>
        </w:rPr>
      </w:pPr>
    </w:p>
    <w:p>
      <w:pPr>
        <w:adjustRightInd w:val="0"/>
        <w:snapToGrid w:val="0"/>
        <w:spacing w:line="360" w:lineRule="auto"/>
        <w:rPr>
          <w:rFonts w:ascii="宋体" w:hAnsi="宋体" w:cs="宋体"/>
          <w:highlight w:val="none"/>
        </w:rPr>
      </w:pPr>
      <w:r>
        <w:rPr>
          <w:rFonts w:hint="eastAsia" w:ascii="宋体" w:hAnsi="宋体" w:cs="宋体"/>
          <w:highlight w:val="none"/>
        </w:rPr>
        <w:t xml:space="preserve">投标人全称（盖单位公章）：                                                                    </w:t>
      </w:r>
    </w:p>
    <w:p>
      <w:pPr>
        <w:adjustRightInd w:val="0"/>
        <w:snapToGrid w:val="0"/>
        <w:spacing w:line="360" w:lineRule="auto"/>
        <w:rPr>
          <w:rFonts w:ascii="宋体" w:hAnsi="宋体" w:cs="宋体"/>
          <w:highlight w:val="none"/>
        </w:rPr>
      </w:pPr>
      <w:r>
        <w:rPr>
          <w:rFonts w:hint="eastAsia" w:ascii="宋体" w:hAnsi="宋体" w:cs="宋体"/>
          <w:highlight w:val="none"/>
        </w:rPr>
        <w:t>日期：</w:t>
      </w:r>
    </w:p>
    <w:p>
      <w:pPr>
        <w:pStyle w:val="66"/>
        <w:spacing w:line="360" w:lineRule="auto"/>
        <w:ind w:firstLine="0" w:firstLineChars="0"/>
        <w:rPr>
          <w:rFonts w:ascii="宋体" w:hAnsi="宋体" w:cs="宋体"/>
          <w:iCs/>
          <w:szCs w:val="21"/>
          <w:highlight w:val="none"/>
        </w:rPr>
      </w:pPr>
    </w:p>
    <w:p>
      <w:pPr>
        <w:pStyle w:val="4"/>
        <w:ind w:firstLine="422"/>
        <w:rPr>
          <w:rFonts w:ascii="宋体" w:hAnsi="宋体" w:cs="宋体"/>
          <w:highlight w:val="none"/>
        </w:rPr>
      </w:pPr>
      <w:r>
        <w:rPr>
          <w:rFonts w:hint="eastAsia" w:ascii="宋体" w:hAnsi="宋体" w:cs="宋体"/>
          <w:kern w:val="0"/>
          <w:szCs w:val="21"/>
          <w:highlight w:val="none"/>
        </w:rPr>
        <w:br w:type="page"/>
      </w:r>
      <w:bookmarkStart w:id="326" w:name="_Toc28026"/>
      <w:bookmarkStart w:id="327" w:name="_Toc28944"/>
      <w:bookmarkStart w:id="328" w:name="_Toc8712"/>
      <w:bookmarkStart w:id="329" w:name="_Toc27990"/>
      <w:bookmarkStart w:id="330" w:name="_Toc32124"/>
      <w:bookmarkStart w:id="331" w:name="_Toc25257"/>
      <w:bookmarkStart w:id="332" w:name="_Toc29869"/>
      <w:bookmarkStart w:id="333" w:name="_Toc5326"/>
      <w:r>
        <w:rPr>
          <w:rFonts w:hint="eastAsia" w:ascii="宋体" w:hAnsi="宋体" w:cs="宋体"/>
          <w:highlight w:val="none"/>
        </w:rPr>
        <w:t>附件十</w:t>
      </w:r>
      <w:r>
        <w:rPr>
          <w:rFonts w:hint="eastAsia" w:ascii="宋体" w:hAnsi="宋体" w:cs="宋体"/>
          <w:highlight w:val="none"/>
          <w:lang w:val="en-US" w:eastAsia="zh-CN"/>
        </w:rPr>
        <w:t>一</w:t>
      </w:r>
      <w:r>
        <w:rPr>
          <w:rFonts w:hint="eastAsia" w:ascii="宋体" w:hAnsi="宋体" w:cs="宋体"/>
          <w:highlight w:val="none"/>
        </w:rPr>
        <w:t>、</w:t>
      </w:r>
      <w:bookmarkEnd w:id="326"/>
      <w:bookmarkEnd w:id="327"/>
      <w:bookmarkEnd w:id="328"/>
      <w:bookmarkEnd w:id="329"/>
      <w:bookmarkEnd w:id="330"/>
      <w:r>
        <w:rPr>
          <w:rFonts w:hint="eastAsia" w:ascii="宋体" w:hAnsi="宋体" w:cs="宋体"/>
          <w:highlight w:val="none"/>
        </w:rPr>
        <w:t>技术部分组成（具体结合“采购内容及技术要求”及“评标办法”中的要求）</w:t>
      </w:r>
      <w:bookmarkEnd w:id="331"/>
      <w:bookmarkEnd w:id="332"/>
      <w:bookmarkEnd w:id="333"/>
    </w:p>
    <w:bookmarkEnd w:id="322"/>
    <w:bookmarkEnd w:id="323"/>
    <w:p>
      <w:pPr>
        <w:widowControl/>
        <w:jc w:val="left"/>
        <w:rPr>
          <w:rFonts w:ascii="宋体" w:hAnsi="宋体" w:cs="宋体"/>
          <w:szCs w:val="22"/>
          <w:highlight w:val="none"/>
        </w:rPr>
      </w:pPr>
      <w:r>
        <w:rPr>
          <w:rFonts w:hint="eastAsia" w:ascii="宋体" w:hAnsi="宋体" w:cs="宋体"/>
          <w:highlight w:val="none"/>
        </w:rPr>
        <w:br w:type="page"/>
      </w:r>
    </w:p>
    <w:p>
      <w:pPr>
        <w:pStyle w:val="4"/>
        <w:ind w:firstLine="0" w:firstLineChars="0"/>
        <w:rPr>
          <w:rFonts w:ascii="宋体" w:hAnsi="宋体" w:cs="宋体"/>
          <w:highlight w:val="none"/>
        </w:rPr>
      </w:pPr>
      <w:bookmarkStart w:id="334" w:name="_Toc25907"/>
      <w:bookmarkStart w:id="335" w:name="_Toc12034"/>
      <w:bookmarkStart w:id="336" w:name="_Toc31452"/>
      <w:bookmarkStart w:id="337" w:name="_Toc8918"/>
      <w:bookmarkStart w:id="338" w:name="_Toc10173"/>
      <w:bookmarkStart w:id="339" w:name="_Toc21962"/>
      <w:bookmarkStart w:id="340" w:name="_Toc779"/>
      <w:r>
        <w:rPr>
          <w:rFonts w:hint="eastAsia" w:ascii="宋体" w:hAnsi="宋体" w:cs="宋体"/>
          <w:highlight w:val="none"/>
        </w:rPr>
        <w:t>附件十</w:t>
      </w:r>
      <w:r>
        <w:rPr>
          <w:rFonts w:hint="eastAsia" w:ascii="宋体" w:hAnsi="宋体" w:cs="宋体"/>
          <w:highlight w:val="none"/>
          <w:lang w:val="en-US" w:eastAsia="zh-CN"/>
        </w:rPr>
        <w:t>二</w:t>
      </w:r>
      <w:r>
        <w:rPr>
          <w:rFonts w:hint="eastAsia" w:ascii="宋体" w:hAnsi="宋体" w:cs="宋体"/>
          <w:highlight w:val="none"/>
        </w:rPr>
        <w:t>、</w:t>
      </w:r>
      <w:bookmarkEnd w:id="334"/>
      <w:bookmarkEnd w:id="335"/>
      <w:bookmarkEnd w:id="336"/>
      <w:bookmarkEnd w:id="337"/>
      <w:r>
        <w:rPr>
          <w:rFonts w:hint="eastAsia" w:ascii="宋体" w:hAnsi="宋体" w:cs="宋体"/>
          <w:szCs w:val="21"/>
          <w:highlight w:val="none"/>
        </w:rPr>
        <w:t>投标人认为需要提供的其他资料</w:t>
      </w:r>
      <w:bookmarkEnd w:id="338"/>
      <w:bookmarkEnd w:id="339"/>
      <w:r>
        <w:rPr>
          <w:rFonts w:hint="eastAsia" w:ascii="宋体" w:hAnsi="宋体" w:cs="宋体"/>
          <w:szCs w:val="21"/>
          <w:highlight w:val="none"/>
        </w:rPr>
        <w:t>（如有）</w:t>
      </w:r>
      <w:bookmarkEnd w:id="340"/>
    </w:p>
    <w:p>
      <w:pPr>
        <w:pStyle w:val="331"/>
        <w:spacing w:line="360" w:lineRule="auto"/>
        <w:ind w:firstLine="444"/>
        <w:jc w:val="left"/>
        <w:rPr>
          <w:rFonts w:hAnsi="宋体" w:cs="宋体"/>
          <w:highlight w:val="none"/>
        </w:rPr>
      </w:pPr>
      <w:bookmarkStart w:id="341" w:name="_Toc75184888"/>
    </w:p>
    <w:p>
      <w:pPr>
        <w:pStyle w:val="331"/>
        <w:spacing w:line="360" w:lineRule="auto"/>
        <w:ind w:firstLine="444"/>
        <w:jc w:val="left"/>
        <w:rPr>
          <w:rFonts w:hAnsi="宋体" w:cs="宋体"/>
          <w:highlight w:val="none"/>
        </w:rPr>
      </w:pPr>
    </w:p>
    <w:bookmarkEnd w:id="341"/>
    <w:p>
      <w:pPr>
        <w:pStyle w:val="331"/>
        <w:spacing w:line="360" w:lineRule="auto"/>
        <w:ind w:firstLine="444"/>
        <w:jc w:val="left"/>
        <w:rPr>
          <w:rFonts w:hAnsi="宋体" w:cs="宋体"/>
          <w:highlight w:val="none"/>
        </w:rPr>
      </w:pPr>
    </w:p>
    <w:sectPr>
      <w:footerReference r:id="rId11" w:type="default"/>
      <w:footerReference r:id="rId12" w:type="even"/>
      <w:pgSz w:w="11906" w:h="16838"/>
      <w:pgMar w:top="1247" w:right="1247" w:bottom="1247" w:left="124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媅SO">
    <w:altName w:val="微软雅黑"/>
    <w:panose1 w:val="00000000000000000000"/>
    <w:charset w:val="00"/>
    <w:family w:val="auto"/>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DejaVu Serif Condensed">
    <w:altName w:val="Yu Gothic UI"/>
    <w:panose1 w:val="02060606050605020204"/>
    <w:charset w:val="80"/>
    <w:family w:val="roman"/>
    <w:pitch w:val="default"/>
    <w:sig w:usb0="00000000" w:usb1="00000000" w:usb2="00000010" w:usb3="00000000" w:csb0="00020000" w:csb1="00000000"/>
  </w:font>
  <w:font w:name="ˎ̥">
    <w:altName w:val="Times New Roman"/>
    <w:panose1 w:val="00000000000000000000"/>
    <w:charset w:val="00"/>
    <w:family w:val="decorative"/>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Optima">
    <w:altName w:val="Arial"/>
    <w:panose1 w:val="00000000000000000000"/>
    <w:charset w:val="00"/>
    <w:family w:val="swiss"/>
    <w:pitch w:val="default"/>
    <w:sig w:usb0="00000000" w:usb1="00000000" w:usb2="00000000" w:usb3="00000000" w:csb0="00000001" w:csb1="00000000"/>
  </w:font>
  <w:font w:name="MS UI Gothic">
    <w:panose1 w:val="020B0600070205080204"/>
    <w:charset w:val="80"/>
    <w:family w:val="swiss"/>
    <w:pitch w:val="default"/>
    <w:sig w:usb0="E00002FF" w:usb1="6AC7FDFB" w:usb2="08000012" w:usb3="00000000" w:csb0="4002009F" w:csb1="DFD70000"/>
  </w:font>
  <w:font w:name="Romantic">
    <w:altName w:val="Segoe Print"/>
    <w:panose1 w:val="00000400000000000000"/>
    <w:charset w:val="02"/>
    <w:family w:val="auto"/>
    <w:pitch w:val="default"/>
    <w:sig w:usb0="00000000" w:usb1="00000000" w:usb2="00000000" w:usb3="00000000" w:csb0="00000000" w:csb1="00000000"/>
  </w:font>
  <w:font w:name="微软大黑体">
    <w:altName w:val="黑体"/>
    <w:panose1 w:val="00000000000000000000"/>
    <w:charset w:val="00"/>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HP Simplified Light">
    <w:altName w:val="Yu Gothic UI Semilight"/>
    <w:panose1 w:val="020B0406020204020204"/>
    <w:charset w:val="00"/>
    <w:family w:val="swiss"/>
    <w:pitch w:val="default"/>
    <w:sig w:usb0="00000000" w:usb1="00000000" w:usb2="00000000" w:usb3="00000000" w:csb0="20000093"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Yu Gothic UI Semilight">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fldChar w:fldCharType="begin"/>
    </w:r>
    <w:r>
      <w:instrText xml:space="preserve"> PAGE   \* MERGEFORMAT </w:instrText>
    </w:r>
    <w:r>
      <w:fldChar w:fldCharType="separate"/>
    </w:r>
    <w:r>
      <w:t>- 59 -</w: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901"/>
      </w:tabs>
      <w:ind w:right="105"/>
      <w:rPr>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5"/>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901"/>
      </w:tabs>
      <w:ind w:right="105"/>
      <w:rPr>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5"/>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r>
      <w:fldChar w:fldCharType="begin"/>
    </w:r>
    <w:r>
      <w:rPr>
        <w:rStyle w:val="60"/>
      </w:rPr>
      <w:instrText xml:space="preserve">PAGE  </w:instrText>
    </w:r>
    <w:r>
      <w:fldChar w:fldCharType="end"/>
    </w:r>
  </w:p>
  <w:p>
    <w:pPr>
      <w:pStyle w:val="3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p>
  <w:p>
    <w:pPr>
      <w:pStyle w:val="35"/>
      <w:framePr w:wrap="around" w:vAnchor="text" w:hAnchor="page" w:x="6439" w:y="332"/>
      <w:jc w:val="center"/>
      <w:rPr>
        <w:rStyle w:val="60"/>
      </w:rPr>
    </w:pPr>
  </w:p>
  <w:p>
    <w:pPr>
      <w:pStyle w:val="35"/>
    </w:pPr>
    <w:r>
      <mc:AlternateContent>
        <mc:Choice Requires="wps">
          <w:drawing>
            <wp:anchor distT="0" distB="0" distL="114300" distR="114300" simplePos="0" relativeHeight="251659264" behindDoc="0" locked="0" layoutInCell="1" allowOverlap="1">
              <wp:simplePos x="0" y="0"/>
              <wp:positionH relativeFrom="column">
                <wp:posOffset>-7467600</wp:posOffset>
              </wp:positionH>
              <wp:positionV relativeFrom="paragraph">
                <wp:posOffset>142875</wp:posOffset>
              </wp:positionV>
              <wp:extent cx="6067425" cy="0"/>
              <wp:effectExtent l="0" t="0" r="0" b="0"/>
              <wp:wrapNone/>
              <wp:docPr id="3" name="直线 1"/>
              <wp:cNvGraphicFramePr/>
              <a:graphic xmlns:a="http://schemas.openxmlformats.org/drawingml/2006/main">
                <a:graphicData uri="http://schemas.microsoft.com/office/word/2010/wordprocessingShape">
                  <wps:wsp>
                    <wps:cNvCnPr/>
                    <wps:spPr>
                      <a:xfrm>
                        <a:off x="0" y="0"/>
                        <a:ext cx="60674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 o:spid="_x0000_s1026" o:spt="20" style="position:absolute;left:0pt;margin-left:-588pt;margin-top:11.25pt;height:0pt;width:477.75pt;z-index:251659264;mso-width-relative:page;mso-height-relative:page;" filled="f" stroked="t" coordsize="21600,21600" o:gfxdata="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Ls/D52QAA&#10;AAwBAAAPAAAAAAAAAAEAIAAAACIAAABkcnMvZG93bnJldi54bWxQSwECFAAUAAAACACHTuJAJ42a&#10;EOQBAADdAwAADgAAAAAAAAABACAAAAAoAQAAZHJzL2Uyb0RvYy54bWxQSwUGAAAAAAYABgBZAQAA&#10;fgUAAAAA&#10;">
              <v:fill on="f" focussize="0,0"/>
              <v:stroke color="#000000" joinstyle="round"/>
              <v:imagedata o:title=""/>
              <o:lock v:ext="edit" aspectratio="f"/>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5"/>
                          </w:pPr>
                          <w:r>
                            <w:fldChar w:fldCharType="begin"/>
                          </w:r>
                          <w:r>
                            <w:instrText xml:space="preserve"> PAGE  \* MERGEFORMAT </w:instrText>
                          </w:r>
                          <w:r>
                            <w:fldChar w:fldCharType="separate"/>
                          </w:r>
                          <w:r>
                            <w:t>90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90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r>
      <w:fldChar w:fldCharType="begin"/>
    </w:r>
    <w:r>
      <w:rPr>
        <w:rStyle w:val="60"/>
      </w:rPr>
      <w:instrText xml:space="preserve">PAGE  </w:instrText>
    </w:r>
    <w:r>
      <w:fldChar w:fldCharType="end"/>
    </w:r>
  </w:p>
  <w:p>
    <w:pPr>
      <w:pStyle w:val="3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6" w:space="2"/>
      </w:pBdr>
      <w:jc w:val="both"/>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6" w:space="2"/>
      </w:pBdr>
      <w:jc w:val="both"/>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multilevel"/>
    <w:tmpl w:val="0000001F"/>
    <w:lvl w:ilvl="0" w:tentative="0">
      <w:start w:val="1"/>
      <w:numFmt w:val="decimal"/>
      <w:lvlText w:val="%1） "/>
      <w:lvlJc w:val="left"/>
      <w:pPr>
        <w:tabs>
          <w:tab w:val="left" w:pos="744"/>
        </w:tabs>
        <w:ind w:left="290" w:firstLine="420"/>
      </w:pPr>
      <w:rPr>
        <w:rFonts w:hint="eastAsia" w:ascii="宋体" w:hAnsi="宋体" w:eastAsia="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46E10081"/>
    <w:multiLevelType w:val="singleLevel"/>
    <w:tmpl w:val="46E10081"/>
    <w:lvl w:ilvl="0" w:tentative="0">
      <w:start w:val="10"/>
      <w:numFmt w:val="decimal"/>
      <w:lvlText w:val="%1."/>
      <w:lvlJc w:val="left"/>
      <w:pPr>
        <w:tabs>
          <w:tab w:val="left" w:pos="312"/>
        </w:tabs>
      </w:pPr>
    </w:lvl>
  </w:abstractNum>
  <w:abstractNum w:abstractNumId="2">
    <w:nsid w:val="5EAEB1CF"/>
    <w:multiLevelType w:val="singleLevel"/>
    <w:tmpl w:val="5EAEB1CF"/>
    <w:lvl w:ilvl="0" w:tentative="0">
      <w:start w:val="2"/>
      <w:numFmt w:val="decimal"/>
      <w:suff w:val="nothing"/>
      <w:lvlText w:val="%1、"/>
      <w:lvlJc w:val="left"/>
    </w:lvl>
  </w:abstractNum>
  <w:abstractNum w:abstractNumId="3">
    <w:nsid w:val="6F45371A"/>
    <w:multiLevelType w:val="multilevel"/>
    <w:tmpl w:val="6F45371A"/>
    <w:lvl w:ilvl="0" w:tentative="0">
      <w:start w:val="1"/>
      <w:numFmt w:val="decimal"/>
      <w:lvlText w:val="%1） "/>
      <w:lvlJc w:val="left"/>
      <w:pPr>
        <w:tabs>
          <w:tab w:val="left" w:pos="744"/>
        </w:tabs>
        <w:ind w:left="290" w:firstLine="420"/>
      </w:pPr>
      <w:rPr>
        <w:rFonts w:hint="eastAsia" w:ascii="宋体" w:hAnsi="宋体" w:eastAsia="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zM2M4ZmUwNmYzZjc2NjA3YzYxNDk2NTExM2E0OTYifQ=="/>
    <w:docVar w:name="KSO_WPS_MARK_KEY" w:val="2a3cc074-0aa2-47c1-b074-44b7efca3c54"/>
  </w:docVars>
  <w:rsids>
    <w:rsidRoot w:val="00172A27"/>
    <w:rsid w:val="000017A9"/>
    <w:rsid w:val="00003D9D"/>
    <w:rsid w:val="00004C03"/>
    <w:rsid w:val="00004F21"/>
    <w:rsid w:val="00005314"/>
    <w:rsid w:val="00005649"/>
    <w:rsid w:val="00005745"/>
    <w:rsid w:val="00007262"/>
    <w:rsid w:val="00011008"/>
    <w:rsid w:val="000112DE"/>
    <w:rsid w:val="000125C5"/>
    <w:rsid w:val="00012903"/>
    <w:rsid w:val="00012B45"/>
    <w:rsid w:val="00013BB8"/>
    <w:rsid w:val="00013BC2"/>
    <w:rsid w:val="000142FB"/>
    <w:rsid w:val="000155DC"/>
    <w:rsid w:val="00015A0F"/>
    <w:rsid w:val="00016B37"/>
    <w:rsid w:val="000173BA"/>
    <w:rsid w:val="00017A51"/>
    <w:rsid w:val="000204E7"/>
    <w:rsid w:val="000238C5"/>
    <w:rsid w:val="00024958"/>
    <w:rsid w:val="00024CFF"/>
    <w:rsid w:val="00027B81"/>
    <w:rsid w:val="00030CD7"/>
    <w:rsid w:val="00030DC7"/>
    <w:rsid w:val="00030E2E"/>
    <w:rsid w:val="00032C8C"/>
    <w:rsid w:val="000330F8"/>
    <w:rsid w:val="00033CE3"/>
    <w:rsid w:val="0003418A"/>
    <w:rsid w:val="00034B8C"/>
    <w:rsid w:val="00036262"/>
    <w:rsid w:val="00036C4A"/>
    <w:rsid w:val="000372CB"/>
    <w:rsid w:val="0003745E"/>
    <w:rsid w:val="000377FE"/>
    <w:rsid w:val="00037F88"/>
    <w:rsid w:val="000435BF"/>
    <w:rsid w:val="00043755"/>
    <w:rsid w:val="000441A9"/>
    <w:rsid w:val="00044C9F"/>
    <w:rsid w:val="00046E25"/>
    <w:rsid w:val="00050207"/>
    <w:rsid w:val="000505C6"/>
    <w:rsid w:val="00053255"/>
    <w:rsid w:val="000538BB"/>
    <w:rsid w:val="00053C5A"/>
    <w:rsid w:val="00053D0C"/>
    <w:rsid w:val="00053DE2"/>
    <w:rsid w:val="0005465A"/>
    <w:rsid w:val="00054941"/>
    <w:rsid w:val="000570B3"/>
    <w:rsid w:val="00057BC0"/>
    <w:rsid w:val="00057E66"/>
    <w:rsid w:val="00057F4D"/>
    <w:rsid w:val="000616C5"/>
    <w:rsid w:val="00061EB1"/>
    <w:rsid w:val="00061F0E"/>
    <w:rsid w:val="00061F88"/>
    <w:rsid w:val="000622F9"/>
    <w:rsid w:val="00062B81"/>
    <w:rsid w:val="00066C2F"/>
    <w:rsid w:val="000671E8"/>
    <w:rsid w:val="0006792F"/>
    <w:rsid w:val="00067991"/>
    <w:rsid w:val="00071099"/>
    <w:rsid w:val="000732EE"/>
    <w:rsid w:val="00073F05"/>
    <w:rsid w:val="00073F49"/>
    <w:rsid w:val="00075695"/>
    <w:rsid w:val="00076574"/>
    <w:rsid w:val="000779F3"/>
    <w:rsid w:val="00081B8F"/>
    <w:rsid w:val="00081E67"/>
    <w:rsid w:val="000824C2"/>
    <w:rsid w:val="000845BB"/>
    <w:rsid w:val="000854BE"/>
    <w:rsid w:val="000858D4"/>
    <w:rsid w:val="00086CE2"/>
    <w:rsid w:val="0009036C"/>
    <w:rsid w:val="00090482"/>
    <w:rsid w:val="00092BF0"/>
    <w:rsid w:val="00093666"/>
    <w:rsid w:val="000938FB"/>
    <w:rsid w:val="00096B06"/>
    <w:rsid w:val="000A0A92"/>
    <w:rsid w:val="000A0D78"/>
    <w:rsid w:val="000A1C41"/>
    <w:rsid w:val="000A25A7"/>
    <w:rsid w:val="000A2741"/>
    <w:rsid w:val="000A3AE2"/>
    <w:rsid w:val="000A4409"/>
    <w:rsid w:val="000A475D"/>
    <w:rsid w:val="000A5B93"/>
    <w:rsid w:val="000A5E17"/>
    <w:rsid w:val="000A7057"/>
    <w:rsid w:val="000A7899"/>
    <w:rsid w:val="000B22D5"/>
    <w:rsid w:val="000B2BF3"/>
    <w:rsid w:val="000B2C14"/>
    <w:rsid w:val="000B353A"/>
    <w:rsid w:val="000B4AF9"/>
    <w:rsid w:val="000B655A"/>
    <w:rsid w:val="000C0C04"/>
    <w:rsid w:val="000C1181"/>
    <w:rsid w:val="000C1BDE"/>
    <w:rsid w:val="000C1E8F"/>
    <w:rsid w:val="000C21C8"/>
    <w:rsid w:val="000C339C"/>
    <w:rsid w:val="000C4224"/>
    <w:rsid w:val="000C6ED8"/>
    <w:rsid w:val="000C7B9A"/>
    <w:rsid w:val="000D0AC9"/>
    <w:rsid w:val="000D118E"/>
    <w:rsid w:val="000D11C8"/>
    <w:rsid w:val="000D2736"/>
    <w:rsid w:val="000D2BF4"/>
    <w:rsid w:val="000D328C"/>
    <w:rsid w:val="000D3409"/>
    <w:rsid w:val="000E01AF"/>
    <w:rsid w:val="000E1DAD"/>
    <w:rsid w:val="000E25FD"/>
    <w:rsid w:val="000E28A3"/>
    <w:rsid w:val="000E3A64"/>
    <w:rsid w:val="000E3D90"/>
    <w:rsid w:val="000E4DCC"/>
    <w:rsid w:val="000E4E81"/>
    <w:rsid w:val="000E7604"/>
    <w:rsid w:val="000F0C5E"/>
    <w:rsid w:val="000F1004"/>
    <w:rsid w:val="000F1AA6"/>
    <w:rsid w:val="000F3B14"/>
    <w:rsid w:val="000F4255"/>
    <w:rsid w:val="000F63DA"/>
    <w:rsid w:val="000F7CE8"/>
    <w:rsid w:val="00101AAC"/>
    <w:rsid w:val="00101D53"/>
    <w:rsid w:val="00101E76"/>
    <w:rsid w:val="0010230D"/>
    <w:rsid w:val="00104B0E"/>
    <w:rsid w:val="001105B7"/>
    <w:rsid w:val="00111333"/>
    <w:rsid w:val="00111536"/>
    <w:rsid w:val="00111F77"/>
    <w:rsid w:val="00112757"/>
    <w:rsid w:val="00112BE8"/>
    <w:rsid w:val="00112E46"/>
    <w:rsid w:val="001130C9"/>
    <w:rsid w:val="001133C9"/>
    <w:rsid w:val="0011392A"/>
    <w:rsid w:val="00113D02"/>
    <w:rsid w:val="00114332"/>
    <w:rsid w:val="00115FBF"/>
    <w:rsid w:val="00116E73"/>
    <w:rsid w:val="00117820"/>
    <w:rsid w:val="00117869"/>
    <w:rsid w:val="00120ECD"/>
    <w:rsid w:val="00121BFA"/>
    <w:rsid w:val="00123652"/>
    <w:rsid w:val="001237F8"/>
    <w:rsid w:val="001239EF"/>
    <w:rsid w:val="00124441"/>
    <w:rsid w:val="0012546F"/>
    <w:rsid w:val="001279F3"/>
    <w:rsid w:val="00127F70"/>
    <w:rsid w:val="00131131"/>
    <w:rsid w:val="00131AA7"/>
    <w:rsid w:val="00131B43"/>
    <w:rsid w:val="0013241D"/>
    <w:rsid w:val="0013278C"/>
    <w:rsid w:val="00132ACE"/>
    <w:rsid w:val="00134C8B"/>
    <w:rsid w:val="00135AC9"/>
    <w:rsid w:val="001369EB"/>
    <w:rsid w:val="0013720E"/>
    <w:rsid w:val="001373F7"/>
    <w:rsid w:val="00141C2D"/>
    <w:rsid w:val="00141D9C"/>
    <w:rsid w:val="00141FDE"/>
    <w:rsid w:val="00142092"/>
    <w:rsid w:val="00142C2E"/>
    <w:rsid w:val="00144359"/>
    <w:rsid w:val="00144937"/>
    <w:rsid w:val="001457F4"/>
    <w:rsid w:val="00145AB3"/>
    <w:rsid w:val="00146AE3"/>
    <w:rsid w:val="00146EB9"/>
    <w:rsid w:val="00147C36"/>
    <w:rsid w:val="00150E35"/>
    <w:rsid w:val="00151042"/>
    <w:rsid w:val="00151BEF"/>
    <w:rsid w:val="00152261"/>
    <w:rsid w:val="0015430F"/>
    <w:rsid w:val="00154C82"/>
    <w:rsid w:val="00156F82"/>
    <w:rsid w:val="00157220"/>
    <w:rsid w:val="001578F1"/>
    <w:rsid w:val="00157E3F"/>
    <w:rsid w:val="0016053C"/>
    <w:rsid w:val="001609C4"/>
    <w:rsid w:val="0016131B"/>
    <w:rsid w:val="001617A6"/>
    <w:rsid w:val="00162C2E"/>
    <w:rsid w:val="00164C31"/>
    <w:rsid w:val="00166219"/>
    <w:rsid w:val="00166710"/>
    <w:rsid w:val="001669C6"/>
    <w:rsid w:val="00166D2C"/>
    <w:rsid w:val="00170591"/>
    <w:rsid w:val="00170D64"/>
    <w:rsid w:val="00172A27"/>
    <w:rsid w:val="00172F14"/>
    <w:rsid w:val="00174EFF"/>
    <w:rsid w:val="00175B93"/>
    <w:rsid w:val="00177FEE"/>
    <w:rsid w:val="0018042F"/>
    <w:rsid w:val="00180448"/>
    <w:rsid w:val="00181238"/>
    <w:rsid w:val="0018127A"/>
    <w:rsid w:val="00181435"/>
    <w:rsid w:val="00181612"/>
    <w:rsid w:val="0018329A"/>
    <w:rsid w:val="0018347A"/>
    <w:rsid w:val="0018541B"/>
    <w:rsid w:val="00185656"/>
    <w:rsid w:val="00185C8C"/>
    <w:rsid w:val="00185FCB"/>
    <w:rsid w:val="00186EED"/>
    <w:rsid w:val="00187021"/>
    <w:rsid w:val="00187AB1"/>
    <w:rsid w:val="0019168F"/>
    <w:rsid w:val="001926BD"/>
    <w:rsid w:val="00193AC3"/>
    <w:rsid w:val="001967A2"/>
    <w:rsid w:val="00197DEB"/>
    <w:rsid w:val="00197F91"/>
    <w:rsid w:val="001A0AA5"/>
    <w:rsid w:val="001A1126"/>
    <w:rsid w:val="001A1332"/>
    <w:rsid w:val="001A1FFA"/>
    <w:rsid w:val="001A4B82"/>
    <w:rsid w:val="001A4C27"/>
    <w:rsid w:val="001A4E17"/>
    <w:rsid w:val="001A5668"/>
    <w:rsid w:val="001A6E27"/>
    <w:rsid w:val="001B00BE"/>
    <w:rsid w:val="001B09F1"/>
    <w:rsid w:val="001B12E3"/>
    <w:rsid w:val="001B24D8"/>
    <w:rsid w:val="001B603D"/>
    <w:rsid w:val="001B67FE"/>
    <w:rsid w:val="001B69B1"/>
    <w:rsid w:val="001C0138"/>
    <w:rsid w:val="001C015D"/>
    <w:rsid w:val="001C073E"/>
    <w:rsid w:val="001C17C0"/>
    <w:rsid w:val="001C207E"/>
    <w:rsid w:val="001C2270"/>
    <w:rsid w:val="001C2C5B"/>
    <w:rsid w:val="001C516C"/>
    <w:rsid w:val="001C527B"/>
    <w:rsid w:val="001C52E1"/>
    <w:rsid w:val="001C79F9"/>
    <w:rsid w:val="001D04BB"/>
    <w:rsid w:val="001D1F3F"/>
    <w:rsid w:val="001D31A0"/>
    <w:rsid w:val="001D3405"/>
    <w:rsid w:val="001D39CA"/>
    <w:rsid w:val="001D4A32"/>
    <w:rsid w:val="001D4AD3"/>
    <w:rsid w:val="001D5625"/>
    <w:rsid w:val="001D60A9"/>
    <w:rsid w:val="001D67F8"/>
    <w:rsid w:val="001E0AF8"/>
    <w:rsid w:val="001E2480"/>
    <w:rsid w:val="001E2CD7"/>
    <w:rsid w:val="001E3289"/>
    <w:rsid w:val="001E3E2A"/>
    <w:rsid w:val="001E4734"/>
    <w:rsid w:val="001E58E7"/>
    <w:rsid w:val="001E72D1"/>
    <w:rsid w:val="001E7A26"/>
    <w:rsid w:val="001E7F6D"/>
    <w:rsid w:val="001E7FB0"/>
    <w:rsid w:val="001F017F"/>
    <w:rsid w:val="001F01E8"/>
    <w:rsid w:val="001F1F20"/>
    <w:rsid w:val="001F23FF"/>
    <w:rsid w:val="001F2649"/>
    <w:rsid w:val="001F3724"/>
    <w:rsid w:val="001F4EBA"/>
    <w:rsid w:val="001F5A61"/>
    <w:rsid w:val="00200D62"/>
    <w:rsid w:val="00201286"/>
    <w:rsid w:val="00201713"/>
    <w:rsid w:val="0020196C"/>
    <w:rsid w:val="00201DA0"/>
    <w:rsid w:val="0020203B"/>
    <w:rsid w:val="00204611"/>
    <w:rsid w:val="00205C90"/>
    <w:rsid w:val="0020683B"/>
    <w:rsid w:val="002077CB"/>
    <w:rsid w:val="0021194D"/>
    <w:rsid w:val="00213A60"/>
    <w:rsid w:val="00213D80"/>
    <w:rsid w:val="002149C4"/>
    <w:rsid w:val="00215D4B"/>
    <w:rsid w:val="0021699F"/>
    <w:rsid w:val="00217736"/>
    <w:rsid w:val="00222314"/>
    <w:rsid w:val="00222BF7"/>
    <w:rsid w:val="0022435F"/>
    <w:rsid w:val="002262DA"/>
    <w:rsid w:val="00227924"/>
    <w:rsid w:val="00230170"/>
    <w:rsid w:val="00230346"/>
    <w:rsid w:val="00230C8B"/>
    <w:rsid w:val="002310CE"/>
    <w:rsid w:val="00231B6F"/>
    <w:rsid w:val="00231EFA"/>
    <w:rsid w:val="0023280F"/>
    <w:rsid w:val="00232D93"/>
    <w:rsid w:val="002333CE"/>
    <w:rsid w:val="0023449B"/>
    <w:rsid w:val="002344CE"/>
    <w:rsid w:val="00235AD8"/>
    <w:rsid w:val="002361DC"/>
    <w:rsid w:val="00236496"/>
    <w:rsid w:val="00236BFF"/>
    <w:rsid w:val="00236D6B"/>
    <w:rsid w:val="00241A1D"/>
    <w:rsid w:val="00241B08"/>
    <w:rsid w:val="00241C10"/>
    <w:rsid w:val="002420F6"/>
    <w:rsid w:val="00242664"/>
    <w:rsid w:val="00245586"/>
    <w:rsid w:val="002455DB"/>
    <w:rsid w:val="0024715B"/>
    <w:rsid w:val="00247345"/>
    <w:rsid w:val="00251CD6"/>
    <w:rsid w:val="00253693"/>
    <w:rsid w:val="00253C2C"/>
    <w:rsid w:val="002546E8"/>
    <w:rsid w:val="002550EF"/>
    <w:rsid w:val="00255786"/>
    <w:rsid w:val="0025650A"/>
    <w:rsid w:val="00256C97"/>
    <w:rsid w:val="00260515"/>
    <w:rsid w:val="00260C14"/>
    <w:rsid w:val="00262DD1"/>
    <w:rsid w:val="00263C18"/>
    <w:rsid w:val="0026422E"/>
    <w:rsid w:val="00265346"/>
    <w:rsid w:val="002668C0"/>
    <w:rsid w:val="00266D73"/>
    <w:rsid w:val="00267116"/>
    <w:rsid w:val="00267FE1"/>
    <w:rsid w:val="00270497"/>
    <w:rsid w:val="002708A2"/>
    <w:rsid w:val="00270B85"/>
    <w:rsid w:val="00270C00"/>
    <w:rsid w:val="00270EB2"/>
    <w:rsid w:val="00271222"/>
    <w:rsid w:val="002715DD"/>
    <w:rsid w:val="002722FD"/>
    <w:rsid w:val="00272FFD"/>
    <w:rsid w:val="00274A0F"/>
    <w:rsid w:val="0027669F"/>
    <w:rsid w:val="0027731A"/>
    <w:rsid w:val="00277D65"/>
    <w:rsid w:val="00280B0C"/>
    <w:rsid w:val="00281D25"/>
    <w:rsid w:val="00282EDE"/>
    <w:rsid w:val="00284DEA"/>
    <w:rsid w:val="002857AA"/>
    <w:rsid w:val="00285F13"/>
    <w:rsid w:val="00286E93"/>
    <w:rsid w:val="00290065"/>
    <w:rsid w:val="00290208"/>
    <w:rsid w:val="00295434"/>
    <w:rsid w:val="00295CF2"/>
    <w:rsid w:val="002970F1"/>
    <w:rsid w:val="002A1558"/>
    <w:rsid w:val="002A1FA3"/>
    <w:rsid w:val="002A3875"/>
    <w:rsid w:val="002A4EF2"/>
    <w:rsid w:val="002A5CF6"/>
    <w:rsid w:val="002A76C3"/>
    <w:rsid w:val="002A7A84"/>
    <w:rsid w:val="002B3533"/>
    <w:rsid w:val="002B3A2C"/>
    <w:rsid w:val="002B5AF5"/>
    <w:rsid w:val="002B5ED9"/>
    <w:rsid w:val="002B6274"/>
    <w:rsid w:val="002B77B7"/>
    <w:rsid w:val="002C1371"/>
    <w:rsid w:val="002C19DF"/>
    <w:rsid w:val="002C2234"/>
    <w:rsid w:val="002C391A"/>
    <w:rsid w:val="002C512D"/>
    <w:rsid w:val="002C5501"/>
    <w:rsid w:val="002C59C8"/>
    <w:rsid w:val="002C5CED"/>
    <w:rsid w:val="002D0490"/>
    <w:rsid w:val="002D0F52"/>
    <w:rsid w:val="002D0FBA"/>
    <w:rsid w:val="002D335B"/>
    <w:rsid w:val="002D3637"/>
    <w:rsid w:val="002D4FB0"/>
    <w:rsid w:val="002D5EF6"/>
    <w:rsid w:val="002D7148"/>
    <w:rsid w:val="002E19A3"/>
    <w:rsid w:val="002E21E9"/>
    <w:rsid w:val="002E3062"/>
    <w:rsid w:val="002E38D1"/>
    <w:rsid w:val="002E3BCC"/>
    <w:rsid w:val="002E6037"/>
    <w:rsid w:val="002E6D90"/>
    <w:rsid w:val="002F0142"/>
    <w:rsid w:val="002F0305"/>
    <w:rsid w:val="002F0366"/>
    <w:rsid w:val="002F05E4"/>
    <w:rsid w:val="002F23E2"/>
    <w:rsid w:val="002F28BA"/>
    <w:rsid w:val="002F302A"/>
    <w:rsid w:val="002F3F57"/>
    <w:rsid w:val="002F6D28"/>
    <w:rsid w:val="003001AA"/>
    <w:rsid w:val="00300C48"/>
    <w:rsid w:val="00300FAD"/>
    <w:rsid w:val="00303A18"/>
    <w:rsid w:val="00303FEA"/>
    <w:rsid w:val="00307F01"/>
    <w:rsid w:val="00310DC2"/>
    <w:rsid w:val="00310EB0"/>
    <w:rsid w:val="003119D4"/>
    <w:rsid w:val="00311A34"/>
    <w:rsid w:val="00312F41"/>
    <w:rsid w:val="003135E4"/>
    <w:rsid w:val="0031436F"/>
    <w:rsid w:val="00314DA7"/>
    <w:rsid w:val="00315C12"/>
    <w:rsid w:val="00316130"/>
    <w:rsid w:val="0031719C"/>
    <w:rsid w:val="0031798B"/>
    <w:rsid w:val="00317B5B"/>
    <w:rsid w:val="00317BF9"/>
    <w:rsid w:val="00320C62"/>
    <w:rsid w:val="0032130A"/>
    <w:rsid w:val="00321422"/>
    <w:rsid w:val="00321512"/>
    <w:rsid w:val="0032155E"/>
    <w:rsid w:val="0032340D"/>
    <w:rsid w:val="00323456"/>
    <w:rsid w:val="00325005"/>
    <w:rsid w:val="00326389"/>
    <w:rsid w:val="00330DD4"/>
    <w:rsid w:val="00331836"/>
    <w:rsid w:val="0033546F"/>
    <w:rsid w:val="00335804"/>
    <w:rsid w:val="0033649B"/>
    <w:rsid w:val="00340485"/>
    <w:rsid w:val="00340578"/>
    <w:rsid w:val="00340CA6"/>
    <w:rsid w:val="00342D32"/>
    <w:rsid w:val="00342EC1"/>
    <w:rsid w:val="00343041"/>
    <w:rsid w:val="00343BCF"/>
    <w:rsid w:val="0034552F"/>
    <w:rsid w:val="00346086"/>
    <w:rsid w:val="00346F10"/>
    <w:rsid w:val="00347881"/>
    <w:rsid w:val="003478B5"/>
    <w:rsid w:val="00347EC9"/>
    <w:rsid w:val="00352475"/>
    <w:rsid w:val="00352DA0"/>
    <w:rsid w:val="00355BA2"/>
    <w:rsid w:val="00356D62"/>
    <w:rsid w:val="0035705D"/>
    <w:rsid w:val="003576A2"/>
    <w:rsid w:val="003578A4"/>
    <w:rsid w:val="00357E81"/>
    <w:rsid w:val="00361547"/>
    <w:rsid w:val="00361BAB"/>
    <w:rsid w:val="00362600"/>
    <w:rsid w:val="0036273D"/>
    <w:rsid w:val="00364851"/>
    <w:rsid w:val="003648BC"/>
    <w:rsid w:val="00365FD8"/>
    <w:rsid w:val="003678F8"/>
    <w:rsid w:val="00367F1B"/>
    <w:rsid w:val="003705C1"/>
    <w:rsid w:val="00370F55"/>
    <w:rsid w:val="00371C74"/>
    <w:rsid w:val="00371D69"/>
    <w:rsid w:val="003734C3"/>
    <w:rsid w:val="00373D53"/>
    <w:rsid w:val="00374252"/>
    <w:rsid w:val="00374A59"/>
    <w:rsid w:val="0037600B"/>
    <w:rsid w:val="00380484"/>
    <w:rsid w:val="003806A4"/>
    <w:rsid w:val="0038125E"/>
    <w:rsid w:val="003816E8"/>
    <w:rsid w:val="00381834"/>
    <w:rsid w:val="003823E1"/>
    <w:rsid w:val="00383E1E"/>
    <w:rsid w:val="00383F63"/>
    <w:rsid w:val="00384ACA"/>
    <w:rsid w:val="00384FFD"/>
    <w:rsid w:val="00385FC9"/>
    <w:rsid w:val="003869C4"/>
    <w:rsid w:val="00386F23"/>
    <w:rsid w:val="00387D20"/>
    <w:rsid w:val="00390B88"/>
    <w:rsid w:val="00392290"/>
    <w:rsid w:val="00393458"/>
    <w:rsid w:val="003947B4"/>
    <w:rsid w:val="003959BD"/>
    <w:rsid w:val="003A0EC8"/>
    <w:rsid w:val="003A1C3C"/>
    <w:rsid w:val="003A2A0A"/>
    <w:rsid w:val="003A2CD4"/>
    <w:rsid w:val="003A2E40"/>
    <w:rsid w:val="003A303C"/>
    <w:rsid w:val="003A4D9A"/>
    <w:rsid w:val="003A4EF3"/>
    <w:rsid w:val="003A5912"/>
    <w:rsid w:val="003A7369"/>
    <w:rsid w:val="003B23A5"/>
    <w:rsid w:val="003B3AF4"/>
    <w:rsid w:val="003B4CE8"/>
    <w:rsid w:val="003B4F6E"/>
    <w:rsid w:val="003B5397"/>
    <w:rsid w:val="003B5D0A"/>
    <w:rsid w:val="003B6468"/>
    <w:rsid w:val="003B6D1D"/>
    <w:rsid w:val="003B73F4"/>
    <w:rsid w:val="003B7557"/>
    <w:rsid w:val="003B782D"/>
    <w:rsid w:val="003C09AD"/>
    <w:rsid w:val="003C26DA"/>
    <w:rsid w:val="003C4935"/>
    <w:rsid w:val="003C5572"/>
    <w:rsid w:val="003C68D6"/>
    <w:rsid w:val="003C6D82"/>
    <w:rsid w:val="003C6EF7"/>
    <w:rsid w:val="003C725B"/>
    <w:rsid w:val="003C7E14"/>
    <w:rsid w:val="003D054C"/>
    <w:rsid w:val="003D07E4"/>
    <w:rsid w:val="003D0868"/>
    <w:rsid w:val="003D0A89"/>
    <w:rsid w:val="003D27FC"/>
    <w:rsid w:val="003D3AB2"/>
    <w:rsid w:val="003D3D15"/>
    <w:rsid w:val="003D4DB5"/>
    <w:rsid w:val="003D678C"/>
    <w:rsid w:val="003D6A0A"/>
    <w:rsid w:val="003E24A2"/>
    <w:rsid w:val="003E3ED8"/>
    <w:rsid w:val="003E45E7"/>
    <w:rsid w:val="003E495C"/>
    <w:rsid w:val="003E5A2D"/>
    <w:rsid w:val="003E6A18"/>
    <w:rsid w:val="003E6DDE"/>
    <w:rsid w:val="003E6E5D"/>
    <w:rsid w:val="003F0EC8"/>
    <w:rsid w:val="003F20C3"/>
    <w:rsid w:val="003F2CE1"/>
    <w:rsid w:val="003F4234"/>
    <w:rsid w:val="003F432F"/>
    <w:rsid w:val="003F4494"/>
    <w:rsid w:val="003F4AFC"/>
    <w:rsid w:val="003F4BE4"/>
    <w:rsid w:val="003F4DAC"/>
    <w:rsid w:val="003F6742"/>
    <w:rsid w:val="003F7775"/>
    <w:rsid w:val="00400C53"/>
    <w:rsid w:val="00401716"/>
    <w:rsid w:val="00401E7B"/>
    <w:rsid w:val="004021F3"/>
    <w:rsid w:val="00402597"/>
    <w:rsid w:val="0040271C"/>
    <w:rsid w:val="0040299B"/>
    <w:rsid w:val="00402C16"/>
    <w:rsid w:val="00404EF7"/>
    <w:rsid w:val="004066D0"/>
    <w:rsid w:val="004073A4"/>
    <w:rsid w:val="0040794A"/>
    <w:rsid w:val="0041019E"/>
    <w:rsid w:val="00410B30"/>
    <w:rsid w:val="004119A6"/>
    <w:rsid w:val="00412626"/>
    <w:rsid w:val="00414F5D"/>
    <w:rsid w:val="0041573C"/>
    <w:rsid w:val="00415CAB"/>
    <w:rsid w:val="0041659B"/>
    <w:rsid w:val="004166F5"/>
    <w:rsid w:val="00416728"/>
    <w:rsid w:val="004167F0"/>
    <w:rsid w:val="004211B5"/>
    <w:rsid w:val="00423576"/>
    <w:rsid w:val="00423BBE"/>
    <w:rsid w:val="004243BA"/>
    <w:rsid w:val="004243DE"/>
    <w:rsid w:val="00424886"/>
    <w:rsid w:val="0042634E"/>
    <w:rsid w:val="00426A1F"/>
    <w:rsid w:val="00427F96"/>
    <w:rsid w:val="004308A2"/>
    <w:rsid w:val="00433344"/>
    <w:rsid w:val="004335BF"/>
    <w:rsid w:val="00433ECA"/>
    <w:rsid w:val="00434BBC"/>
    <w:rsid w:val="00434F4A"/>
    <w:rsid w:val="0043616F"/>
    <w:rsid w:val="00436796"/>
    <w:rsid w:val="0043736D"/>
    <w:rsid w:val="00440FD4"/>
    <w:rsid w:val="004424A5"/>
    <w:rsid w:val="00443B54"/>
    <w:rsid w:val="00443E6A"/>
    <w:rsid w:val="0044455A"/>
    <w:rsid w:val="00445435"/>
    <w:rsid w:val="00447EBF"/>
    <w:rsid w:val="004509CD"/>
    <w:rsid w:val="00450B84"/>
    <w:rsid w:val="0045146B"/>
    <w:rsid w:val="00451BBB"/>
    <w:rsid w:val="00452DEB"/>
    <w:rsid w:val="00453896"/>
    <w:rsid w:val="00453B19"/>
    <w:rsid w:val="00453E8B"/>
    <w:rsid w:val="00454351"/>
    <w:rsid w:val="004546BF"/>
    <w:rsid w:val="00455F19"/>
    <w:rsid w:val="004574F0"/>
    <w:rsid w:val="00457945"/>
    <w:rsid w:val="004606E3"/>
    <w:rsid w:val="00460844"/>
    <w:rsid w:val="0046104D"/>
    <w:rsid w:val="00462676"/>
    <w:rsid w:val="004653EA"/>
    <w:rsid w:val="00465AAD"/>
    <w:rsid w:val="004679D8"/>
    <w:rsid w:val="00470BCF"/>
    <w:rsid w:val="00471F23"/>
    <w:rsid w:val="00474535"/>
    <w:rsid w:val="0047520C"/>
    <w:rsid w:val="00475DFF"/>
    <w:rsid w:val="00476687"/>
    <w:rsid w:val="00476C28"/>
    <w:rsid w:val="004802D1"/>
    <w:rsid w:val="004808E6"/>
    <w:rsid w:val="00480957"/>
    <w:rsid w:val="0048133D"/>
    <w:rsid w:val="00483460"/>
    <w:rsid w:val="00484746"/>
    <w:rsid w:val="00485D5E"/>
    <w:rsid w:val="0048640F"/>
    <w:rsid w:val="00486CC5"/>
    <w:rsid w:val="00486E62"/>
    <w:rsid w:val="004910F1"/>
    <w:rsid w:val="004916A6"/>
    <w:rsid w:val="00492A90"/>
    <w:rsid w:val="004935EF"/>
    <w:rsid w:val="004941AD"/>
    <w:rsid w:val="00495343"/>
    <w:rsid w:val="004A001D"/>
    <w:rsid w:val="004A015A"/>
    <w:rsid w:val="004A19E9"/>
    <w:rsid w:val="004A22DC"/>
    <w:rsid w:val="004A3033"/>
    <w:rsid w:val="004A4002"/>
    <w:rsid w:val="004A45E9"/>
    <w:rsid w:val="004A5500"/>
    <w:rsid w:val="004A5A45"/>
    <w:rsid w:val="004A620C"/>
    <w:rsid w:val="004B0034"/>
    <w:rsid w:val="004B0FB0"/>
    <w:rsid w:val="004B220C"/>
    <w:rsid w:val="004B4752"/>
    <w:rsid w:val="004B4C01"/>
    <w:rsid w:val="004B55F3"/>
    <w:rsid w:val="004B6D3E"/>
    <w:rsid w:val="004C0149"/>
    <w:rsid w:val="004C0A4E"/>
    <w:rsid w:val="004C0D78"/>
    <w:rsid w:val="004C1778"/>
    <w:rsid w:val="004C1A50"/>
    <w:rsid w:val="004C20C3"/>
    <w:rsid w:val="004C2841"/>
    <w:rsid w:val="004C32C0"/>
    <w:rsid w:val="004C509F"/>
    <w:rsid w:val="004C68AD"/>
    <w:rsid w:val="004C7489"/>
    <w:rsid w:val="004C7A6E"/>
    <w:rsid w:val="004C7C21"/>
    <w:rsid w:val="004D0B39"/>
    <w:rsid w:val="004D0CB0"/>
    <w:rsid w:val="004D1C9F"/>
    <w:rsid w:val="004D352F"/>
    <w:rsid w:val="004D3886"/>
    <w:rsid w:val="004D4ADD"/>
    <w:rsid w:val="004D528F"/>
    <w:rsid w:val="004D5B71"/>
    <w:rsid w:val="004D613B"/>
    <w:rsid w:val="004D66A4"/>
    <w:rsid w:val="004D681D"/>
    <w:rsid w:val="004D6F13"/>
    <w:rsid w:val="004E0E82"/>
    <w:rsid w:val="004E0F52"/>
    <w:rsid w:val="004E26D0"/>
    <w:rsid w:val="004E344A"/>
    <w:rsid w:val="004E58C6"/>
    <w:rsid w:val="004E58F2"/>
    <w:rsid w:val="004E6708"/>
    <w:rsid w:val="004E71A5"/>
    <w:rsid w:val="004E72F7"/>
    <w:rsid w:val="004E7586"/>
    <w:rsid w:val="004E7F68"/>
    <w:rsid w:val="004F027B"/>
    <w:rsid w:val="004F0BF3"/>
    <w:rsid w:val="004F11F9"/>
    <w:rsid w:val="004F12AA"/>
    <w:rsid w:val="004F5BE6"/>
    <w:rsid w:val="00500979"/>
    <w:rsid w:val="0050184F"/>
    <w:rsid w:val="00501854"/>
    <w:rsid w:val="00502B08"/>
    <w:rsid w:val="005038D8"/>
    <w:rsid w:val="005041A1"/>
    <w:rsid w:val="005065A7"/>
    <w:rsid w:val="005073BA"/>
    <w:rsid w:val="00507E99"/>
    <w:rsid w:val="00510059"/>
    <w:rsid w:val="00510CB8"/>
    <w:rsid w:val="0051101D"/>
    <w:rsid w:val="005113E9"/>
    <w:rsid w:val="005122EF"/>
    <w:rsid w:val="005130EA"/>
    <w:rsid w:val="00513A95"/>
    <w:rsid w:val="00513BF6"/>
    <w:rsid w:val="0051461B"/>
    <w:rsid w:val="005160F2"/>
    <w:rsid w:val="005174F2"/>
    <w:rsid w:val="0052064F"/>
    <w:rsid w:val="00520F60"/>
    <w:rsid w:val="00524851"/>
    <w:rsid w:val="00525097"/>
    <w:rsid w:val="005255EB"/>
    <w:rsid w:val="0052656D"/>
    <w:rsid w:val="005268ED"/>
    <w:rsid w:val="00527996"/>
    <w:rsid w:val="00527AAE"/>
    <w:rsid w:val="005302F2"/>
    <w:rsid w:val="0053045E"/>
    <w:rsid w:val="00530C2A"/>
    <w:rsid w:val="0053675A"/>
    <w:rsid w:val="00536A9C"/>
    <w:rsid w:val="00536CE9"/>
    <w:rsid w:val="00537624"/>
    <w:rsid w:val="00540387"/>
    <w:rsid w:val="00540FDF"/>
    <w:rsid w:val="005412BB"/>
    <w:rsid w:val="00541B37"/>
    <w:rsid w:val="005425B8"/>
    <w:rsid w:val="005428AF"/>
    <w:rsid w:val="00542D47"/>
    <w:rsid w:val="005433FD"/>
    <w:rsid w:val="00544017"/>
    <w:rsid w:val="0054472B"/>
    <w:rsid w:val="00544964"/>
    <w:rsid w:val="0054649E"/>
    <w:rsid w:val="0054723E"/>
    <w:rsid w:val="0054759E"/>
    <w:rsid w:val="00547ED3"/>
    <w:rsid w:val="00552256"/>
    <w:rsid w:val="00552EB9"/>
    <w:rsid w:val="00555549"/>
    <w:rsid w:val="00555AA2"/>
    <w:rsid w:val="00555D1F"/>
    <w:rsid w:val="005564A8"/>
    <w:rsid w:val="00560167"/>
    <w:rsid w:val="00560270"/>
    <w:rsid w:val="005606FC"/>
    <w:rsid w:val="00563426"/>
    <w:rsid w:val="00563CD8"/>
    <w:rsid w:val="00564D40"/>
    <w:rsid w:val="00565C1D"/>
    <w:rsid w:val="00565E11"/>
    <w:rsid w:val="00566DB5"/>
    <w:rsid w:val="00567976"/>
    <w:rsid w:val="00570596"/>
    <w:rsid w:val="005705E5"/>
    <w:rsid w:val="00570A30"/>
    <w:rsid w:val="00571AC5"/>
    <w:rsid w:val="00572018"/>
    <w:rsid w:val="00573BAE"/>
    <w:rsid w:val="005745D9"/>
    <w:rsid w:val="00575BA2"/>
    <w:rsid w:val="00576452"/>
    <w:rsid w:val="005772E8"/>
    <w:rsid w:val="00581A76"/>
    <w:rsid w:val="00581CAC"/>
    <w:rsid w:val="005821B2"/>
    <w:rsid w:val="0058293E"/>
    <w:rsid w:val="00583263"/>
    <w:rsid w:val="00583545"/>
    <w:rsid w:val="00583B02"/>
    <w:rsid w:val="005844A0"/>
    <w:rsid w:val="00585C58"/>
    <w:rsid w:val="0058664A"/>
    <w:rsid w:val="00586C1E"/>
    <w:rsid w:val="0058700F"/>
    <w:rsid w:val="005872FF"/>
    <w:rsid w:val="0059061B"/>
    <w:rsid w:val="0059082E"/>
    <w:rsid w:val="0059126D"/>
    <w:rsid w:val="00593C2E"/>
    <w:rsid w:val="005A0A1E"/>
    <w:rsid w:val="005A11D4"/>
    <w:rsid w:val="005A36FE"/>
    <w:rsid w:val="005A4E6A"/>
    <w:rsid w:val="005A4FA6"/>
    <w:rsid w:val="005A5BEF"/>
    <w:rsid w:val="005A67C4"/>
    <w:rsid w:val="005A6AFF"/>
    <w:rsid w:val="005B03EB"/>
    <w:rsid w:val="005B07B0"/>
    <w:rsid w:val="005B0F22"/>
    <w:rsid w:val="005B4166"/>
    <w:rsid w:val="005B42A2"/>
    <w:rsid w:val="005B5787"/>
    <w:rsid w:val="005B73AB"/>
    <w:rsid w:val="005B7448"/>
    <w:rsid w:val="005B7E68"/>
    <w:rsid w:val="005C0CAE"/>
    <w:rsid w:val="005C41D3"/>
    <w:rsid w:val="005C41E9"/>
    <w:rsid w:val="005C4492"/>
    <w:rsid w:val="005C46E3"/>
    <w:rsid w:val="005C4C36"/>
    <w:rsid w:val="005C4CBB"/>
    <w:rsid w:val="005D0685"/>
    <w:rsid w:val="005D2FF0"/>
    <w:rsid w:val="005D32A0"/>
    <w:rsid w:val="005D33F5"/>
    <w:rsid w:val="005D3BDF"/>
    <w:rsid w:val="005D4935"/>
    <w:rsid w:val="005D4AF2"/>
    <w:rsid w:val="005D5001"/>
    <w:rsid w:val="005E032F"/>
    <w:rsid w:val="005E3028"/>
    <w:rsid w:val="005E3052"/>
    <w:rsid w:val="005E38B6"/>
    <w:rsid w:val="005E4DCB"/>
    <w:rsid w:val="005E58CA"/>
    <w:rsid w:val="005E76B0"/>
    <w:rsid w:val="005E775B"/>
    <w:rsid w:val="005E7996"/>
    <w:rsid w:val="005F1C37"/>
    <w:rsid w:val="005F2E6D"/>
    <w:rsid w:val="005F3399"/>
    <w:rsid w:val="005F3FA3"/>
    <w:rsid w:val="005F4407"/>
    <w:rsid w:val="005F6685"/>
    <w:rsid w:val="005F7B17"/>
    <w:rsid w:val="0060039C"/>
    <w:rsid w:val="006004C9"/>
    <w:rsid w:val="0060329C"/>
    <w:rsid w:val="00603B85"/>
    <w:rsid w:val="00603C6B"/>
    <w:rsid w:val="006043F0"/>
    <w:rsid w:val="0061092C"/>
    <w:rsid w:val="00611624"/>
    <w:rsid w:val="006119B3"/>
    <w:rsid w:val="00611DA0"/>
    <w:rsid w:val="00611E37"/>
    <w:rsid w:val="00612843"/>
    <w:rsid w:val="00612C23"/>
    <w:rsid w:val="00612F63"/>
    <w:rsid w:val="00612FD8"/>
    <w:rsid w:val="0061417F"/>
    <w:rsid w:val="00614B98"/>
    <w:rsid w:val="00614DB2"/>
    <w:rsid w:val="00614DD0"/>
    <w:rsid w:val="00615013"/>
    <w:rsid w:val="0061567D"/>
    <w:rsid w:val="00615A80"/>
    <w:rsid w:val="006162B7"/>
    <w:rsid w:val="00616500"/>
    <w:rsid w:val="00623A01"/>
    <w:rsid w:val="0062418A"/>
    <w:rsid w:val="00624B36"/>
    <w:rsid w:val="00625803"/>
    <w:rsid w:val="00625B45"/>
    <w:rsid w:val="006316B7"/>
    <w:rsid w:val="006319C5"/>
    <w:rsid w:val="0063264C"/>
    <w:rsid w:val="006326E7"/>
    <w:rsid w:val="00632EE7"/>
    <w:rsid w:val="006340E8"/>
    <w:rsid w:val="00635CDB"/>
    <w:rsid w:val="00635F09"/>
    <w:rsid w:val="00636F69"/>
    <w:rsid w:val="006402C1"/>
    <w:rsid w:val="00647CCA"/>
    <w:rsid w:val="00650152"/>
    <w:rsid w:val="00650570"/>
    <w:rsid w:val="0065153A"/>
    <w:rsid w:val="00652507"/>
    <w:rsid w:val="00653F2A"/>
    <w:rsid w:val="00654D0E"/>
    <w:rsid w:val="006559D2"/>
    <w:rsid w:val="00655BA4"/>
    <w:rsid w:val="00655C6E"/>
    <w:rsid w:val="00655F1D"/>
    <w:rsid w:val="00656EE3"/>
    <w:rsid w:val="0066055F"/>
    <w:rsid w:val="00662172"/>
    <w:rsid w:val="00664663"/>
    <w:rsid w:val="00664E64"/>
    <w:rsid w:val="006707DF"/>
    <w:rsid w:val="006717F5"/>
    <w:rsid w:val="00672467"/>
    <w:rsid w:val="00672688"/>
    <w:rsid w:val="00673462"/>
    <w:rsid w:val="00673515"/>
    <w:rsid w:val="006737E2"/>
    <w:rsid w:val="00673BF4"/>
    <w:rsid w:val="00674904"/>
    <w:rsid w:val="0067577F"/>
    <w:rsid w:val="0067601A"/>
    <w:rsid w:val="00680584"/>
    <w:rsid w:val="0068442A"/>
    <w:rsid w:val="006847DE"/>
    <w:rsid w:val="006860BD"/>
    <w:rsid w:val="00686106"/>
    <w:rsid w:val="006874C3"/>
    <w:rsid w:val="00690887"/>
    <w:rsid w:val="00691A16"/>
    <w:rsid w:val="0069279B"/>
    <w:rsid w:val="006935B1"/>
    <w:rsid w:val="006941AB"/>
    <w:rsid w:val="00694261"/>
    <w:rsid w:val="0069457A"/>
    <w:rsid w:val="00694635"/>
    <w:rsid w:val="006948A8"/>
    <w:rsid w:val="00695A2A"/>
    <w:rsid w:val="00696BAB"/>
    <w:rsid w:val="00697F1A"/>
    <w:rsid w:val="006A4694"/>
    <w:rsid w:val="006A50A7"/>
    <w:rsid w:val="006A66AF"/>
    <w:rsid w:val="006A6F10"/>
    <w:rsid w:val="006B0C65"/>
    <w:rsid w:val="006B0D35"/>
    <w:rsid w:val="006B138B"/>
    <w:rsid w:val="006B1DA4"/>
    <w:rsid w:val="006B1E01"/>
    <w:rsid w:val="006B2F4E"/>
    <w:rsid w:val="006B309C"/>
    <w:rsid w:val="006B3387"/>
    <w:rsid w:val="006C152F"/>
    <w:rsid w:val="006C2CC1"/>
    <w:rsid w:val="006C3F93"/>
    <w:rsid w:val="006C49C8"/>
    <w:rsid w:val="006C4B35"/>
    <w:rsid w:val="006C4BDF"/>
    <w:rsid w:val="006C4EAD"/>
    <w:rsid w:val="006C7100"/>
    <w:rsid w:val="006C778D"/>
    <w:rsid w:val="006D38AF"/>
    <w:rsid w:val="006D4B96"/>
    <w:rsid w:val="006D4F33"/>
    <w:rsid w:val="006D53D0"/>
    <w:rsid w:val="006D54FC"/>
    <w:rsid w:val="006D576F"/>
    <w:rsid w:val="006D59CD"/>
    <w:rsid w:val="006D5BA1"/>
    <w:rsid w:val="006D6021"/>
    <w:rsid w:val="006D67D3"/>
    <w:rsid w:val="006E2CCE"/>
    <w:rsid w:val="006E376C"/>
    <w:rsid w:val="006E3D25"/>
    <w:rsid w:val="006E51E8"/>
    <w:rsid w:val="006E5675"/>
    <w:rsid w:val="006E68CB"/>
    <w:rsid w:val="006E7FEA"/>
    <w:rsid w:val="006F0CED"/>
    <w:rsid w:val="006F0F61"/>
    <w:rsid w:val="006F1B05"/>
    <w:rsid w:val="006F1C75"/>
    <w:rsid w:val="006F23C2"/>
    <w:rsid w:val="006F2A67"/>
    <w:rsid w:val="006F3194"/>
    <w:rsid w:val="006F32F8"/>
    <w:rsid w:val="006F38D0"/>
    <w:rsid w:val="006F5B3E"/>
    <w:rsid w:val="006F7BB6"/>
    <w:rsid w:val="007007D4"/>
    <w:rsid w:val="00700F5D"/>
    <w:rsid w:val="007019DA"/>
    <w:rsid w:val="00701EC6"/>
    <w:rsid w:val="00702B3C"/>
    <w:rsid w:val="00702F80"/>
    <w:rsid w:val="00704436"/>
    <w:rsid w:val="00705473"/>
    <w:rsid w:val="00706A14"/>
    <w:rsid w:val="007070EB"/>
    <w:rsid w:val="00711A2B"/>
    <w:rsid w:val="00712F3E"/>
    <w:rsid w:val="0071315D"/>
    <w:rsid w:val="00714498"/>
    <w:rsid w:val="007156FE"/>
    <w:rsid w:val="00716261"/>
    <w:rsid w:val="007167A3"/>
    <w:rsid w:val="00716B2B"/>
    <w:rsid w:val="00716C1D"/>
    <w:rsid w:val="00716C93"/>
    <w:rsid w:val="0071790F"/>
    <w:rsid w:val="00721594"/>
    <w:rsid w:val="007217AC"/>
    <w:rsid w:val="007222C7"/>
    <w:rsid w:val="007227E6"/>
    <w:rsid w:val="00723D80"/>
    <w:rsid w:val="00727BEF"/>
    <w:rsid w:val="00730815"/>
    <w:rsid w:val="00731186"/>
    <w:rsid w:val="007319B6"/>
    <w:rsid w:val="00732AC7"/>
    <w:rsid w:val="00732D95"/>
    <w:rsid w:val="007331C6"/>
    <w:rsid w:val="0073333F"/>
    <w:rsid w:val="00733675"/>
    <w:rsid w:val="00734EF9"/>
    <w:rsid w:val="007356EE"/>
    <w:rsid w:val="00735BCF"/>
    <w:rsid w:val="00736D45"/>
    <w:rsid w:val="0073717D"/>
    <w:rsid w:val="007406F9"/>
    <w:rsid w:val="0074078F"/>
    <w:rsid w:val="007408BD"/>
    <w:rsid w:val="00740FE8"/>
    <w:rsid w:val="007416F8"/>
    <w:rsid w:val="00742E52"/>
    <w:rsid w:val="00743E81"/>
    <w:rsid w:val="00744241"/>
    <w:rsid w:val="00745B5A"/>
    <w:rsid w:val="00745E98"/>
    <w:rsid w:val="00746C96"/>
    <w:rsid w:val="00751316"/>
    <w:rsid w:val="007538B2"/>
    <w:rsid w:val="00754B17"/>
    <w:rsid w:val="007565E2"/>
    <w:rsid w:val="0075699F"/>
    <w:rsid w:val="007616FC"/>
    <w:rsid w:val="00763580"/>
    <w:rsid w:val="00764BC9"/>
    <w:rsid w:val="00766594"/>
    <w:rsid w:val="0076698F"/>
    <w:rsid w:val="00771733"/>
    <w:rsid w:val="00772FE0"/>
    <w:rsid w:val="0077323D"/>
    <w:rsid w:val="0077362F"/>
    <w:rsid w:val="0077468A"/>
    <w:rsid w:val="0077502C"/>
    <w:rsid w:val="00775303"/>
    <w:rsid w:val="00775E11"/>
    <w:rsid w:val="007761AA"/>
    <w:rsid w:val="00776C15"/>
    <w:rsid w:val="00776C35"/>
    <w:rsid w:val="00777E78"/>
    <w:rsid w:val="007813CE"/>
    <w:rsid w:val="00781431"/>
    <w:rsid w:val="007818EF"/>
    <w:rsid w:val="00782018"/>
    <w:rsid w:val="0078310C"/>
    <w:rsid w:val="00783F08"/>
    <w:rsid w:val="007840ED"/>
    <w:rsid w:val="00784E77"/>
    <w:rsid w:val="0078584C"/>
    <w:rsid w:val="00785B51"/>
    <w:rsid w:val="00787188"/>
    <w:rsid w:val="00787638"/>
    <w:rsid w:val="00790D55"/>
    <w:rsid w:val="007924BE"/>
    <w:rsid w:val="0079323C"/>
    <w:rsid w:val="007933D6"/>
    <w:rsid w:val="00793C91"/>
    <w:rsid w:val="00793D10"/>
    <w:rsid w:val="00794397"/>
    <w:rsid w:val="0079456E"/>
    <w:rsid w:val="00797B52"/>
    <w:rsid w:val="00797D76"/>
    <w:rsid w:val="007A04CB"/>
    <w:rsid w:val="007A0F46"/>
    <w:rsid w:val="007A1303"/>
    <w:rsid w:val="007A130C"/>
    <w:rsid w:val="007A254B"/>
    <w:rsid w:val="007A2F4E"/>
    <w:rsid w:val="007A2F5B"/>
    <w:rsid w:val="007A45BE"/>
    <w:rsid w:val="007A4739"/>
    <w:rsid w:val="007A48E5"/>
    <w:rsid w:val="007A4D27"/>
    <w:rsid w:val="007A5029"/>
    <w:rsid w:val="007A53C3"/>
    <w:rsid w:val="007A682D"/>
    <w:rsid w:val="007A76B7"/>
    <w:rsid w:val="007A7FF6"/>
    <w:rsid w:val="007B2FC2"/>
    <w:rsid w:val="007B3C48"/>
    <w:rsid w:val="007B3DF1"/>
    <w:rsid w:val="007B4F9E"/>
    <w:rsid w:val="007B68BB"/>
    <w:rsid w:val="007C01D0"/>
    <w:rsid w:val="007C01EF"/>
    <w:rsid w:val="007C1707"/>
    <w:rsid w:val="007C2708"/>
    <w:rsid w:val="007C2739"/>
    <w:rsid w:val="007C27B5"/>
    <w:rsid w:val="007C35B7"/>
    <w:rsid w:val="007C6EF6"/>
    <w:rsid w:val="007C70DD"/>
    <w:rsid w:val="007D14AD"/>
    <w:rsid w:val="007D1969"/>
    <w:rsid w:val="007D4472"/>
    <w:rsid w:val="007D4506"/>
    <w:rsid w:val="007D5C99"/>
    <w:rsid w:val="007D5EA4"/>
    <w:rsid w:val="007D682D"/>
    <w:rsid w:val="007D6915"/>
    <w:rsid w:val="007D6C66"/>
    <w:rsid w:val="007E072A"/>
    <w:rsid w:val="007E166A"/>
    <w:rsid w:val="007E4214"/>
    <w:rsid w:val="007E6386"/>
    <w:rsid w:val="007E66F8"/>
    <w:rsid w:val="007E75DC"/>
    <w:rsid w:val="007E76F8"/>
    <w:rsid w:val="007F01BB"/>
    <w:rsid w:val="007F1488"/>
    <w:rsid w:val="007F34F5"/>
    <w:rsid w:val="007F513C"/>
    <w:rsid w:val="007F7495"/>
    <w:rsid w:val="007F751D"/>
    <w:rsid w:val="007F7FCE"/>
    <w:rsid w:val="00801576"/>
    <w:rsid w:val="00801862"/>
    <w:rsid w:val="00801B46"/>
    <w:rsid w:val="0080203D"/>
    <w:rsid w:val="00802140"/>
    <w:rsid w:val="00802F26"/>
    <w:rsid w:val="00803191"/>
    <w:rsid w:val="008036B1"/>
    <w:rsid w:val="00805925"/>
    <w:rsid w:val="00806551"/>
    <w:rsid w:val="0080655E"/>
    <w:rsid w:val="00806B5A"/>
    <w:rsid w:val="008071F5"/>
    <w:rsid w:val="0081022A"/>
    <w:rsid w:val="00810DA2"/>
    <w:rsid w:val="00811B19"/>
    <w:rsid w:val="008124B2"/>
    <w:rsid w:val="00813418"/>
    <w:rsid w:val="00815337"/>
    <w:rsid w:val="00815DAA"/>
    <w:rsid w:val="00816934"/>
    <w:rsid w:val="00816CB7"/>
    <w:rsid w:val="0082100A"/>
    <w:rsid w:val="00821D1B"/>
    <w:rsid w:val="00821EFC"/>
    <w:rsid w:val="008233B9"/>
    <w:rsid w:val="00824791"/>
    <w:rsid w:val="0082559F"/>
    <w:rsid w:val="00825900"/>
    <w:rsid w:val="0082662F"/>
    <w:rsid w:val="008266F6"/>
    <w:rsid w:val="008345C0"/>
    <w:rsid w:val="0083505F"/>
    <w:rsid w:val="00836290"/>
    <w:rsid w:val="00836A04"/>
    <w:rsid w:val="00836E12"/>
    <w:rsid w:val="00837835"/>
    <w:rsid w:val="00837F43"/>
    <w:rsid w:val="0084087C"/>
    <w:rsid w:val="00841C68"/>
    <w:rsid w:val="00841CA5"/>
    <w:rsid w:val="00843E2D"/>
    <w:rsid w:val="00843FE2"/>
    <w:rsid w:val="00844D53"/>
    <w:rsid w:val="008455AD"/>
    <w:rsid w:val="008468E0"/>
    <w:rsid w:val="0085004B"/>
    <w:rsid w:val="0085111C"/>
    <w:rsid w:val="00854503"/>
    <w:rsid w:val="0085488A"/>
    <w:rsid w:val="008600BD"/>
    <w:rsid w:val="00861E6C"/>
    <w:rsid w:val="00861EE2"/>
    <w:rsid w:val="008620C7"/>
    <w:rsid w:val="00862A30"/>
    <w:rsid w:val="00863B1F"/>
    <w:rsid w:val="008643B2"/>
    <w:rsid w:val="00864414"/>
    <w:rsid w:val="0086527B"/>
    <w:rsid w:val="008662F8"/>
    <w:rsid w:val="00867F63"/>
    <w:rsid w:val="00871888"/>
    <w:rsid w:val="00871AD6"/>
    <w:rsid w:val="00871F65"/>
    <w:rsid w:val="00872E28"/>
    <w:rsid w:val="008734E1"/>
    <w:rsid w:val="00873BFE"/>
    <w:rsid w:val="00874C8D"/>
    <w:rsid w:val="00875A65"/>
    <w:rsid w:val="008778E5"/>
    <w:rsid w:val="00877B88"/>
    <w:rsid w:val="00877E84"/>
    <w:rsid w:val="00881401"/>
    <w:rsid w:val="00881F1F"/>
    <w:rsid w:val="00881F89"/>
    <w:rsid w:val="00884BA1"/>
    <w:rsid w:val="008862F4"/>
    <w:rsid w:val="00886AE5"/>
    <w:rsid w:val="00886B7B"/>
    <w:rsid w:val="00887E45"/>
    <w:rsid w:val="00887F5D"/>
    <w:rsid w:val="0089048A"/>
    <w:rsid w:val="008906F8"/>
    <w:rsid w:val="0089281C"/>
    <w:rsid w:val="00893E24"/>
    <w:rsid w:val="008944DC"/>
    <w:rsid w:val="008950D9"/>
    <w:rsid w:val="00896610"/>
    <w:rsid w:val="00896DA6"/>
    <w:rsid w:val="00896E5F"/>
    <w:rsid w:val="00897A29"/>
    <w:rsid w:val="00897EDA"/>
    <w:rsid w:val="008A0598"/>
    <w:rsid w:val="008A0A76"/>
    <w:rsid w:val="008A1178"/>
    <w:rsid w:val="008A1663"/>
    <w:rsid w:val="008A2DDD"/>
    <w:rsid w:val="008A36F5"/>
    <w:rsid w:val="008A3D2F"/>
    <w:rsid w:val="008A48C1"/>
    <w:rsid w:val="008B07C1"/>
    <w:rsid w:val="008B19F9"/>
    <w:rsid w:val="008B21E0"/>
    <w:rsid w:val="008B3C53"/>
    <w:rsid w:val="008B3E90"/>
    <w:rsid w:val="008B4D11"/>
    <w:rsid w:val="008B4D91"/>
    <w:rsid w:val="008B59C1"/>
    <w:rsid w:val="008B62B6"/>
    <w:rsid w:val="008B71A4"/>
    <w:rsid w:val="008B734F"/>
    <w:rsid w:val="008C0498"/>
    <w:rsid w:val="008C09E5"/>
    <w:rsid w:val="008C12AD"/>
    <w:rsid w:val="008C288E"/>
    <w:rsid w:val="008C2EB3"/>
    <w:rsid w:val="008C3EE6"/>
    <w:rsid w:val="008C6E32"/>
    <w:rsid w:val="008C707B"/>
    <w:rsid w:val="008C7B82"/>
    <w:rsid w:val="008D2412"/>
    <w:rsid w:val="008D2BDF"/>
    <w:rsid w:val="008D2EEE"/>
    <w:rsid w:val="008D31C2"/>
    <w:rsid w:val="008D3228"/>
    <w:rsid w:val="008D45CB"/>
    <w:rsid w:val="008D48A9"/>
    <w:rsid w:val="008D5812"/>
    <w:rsid w:val="008D59F5"/>
    <w:rsid w:val="008D5F5C"/>
    <w:rsid w:val="008D73DA"/>
    <w:rsid w:val="008E0675"/>
    <w:rsid w:val="008E0EC7"/>
    <w:rsid w:val="008E129A"/>
    <w:rsid w:val="008E1EDA"/>
    <w:rsid w:val="008E2349"/>
    <w:rsid w:val="008E4B25"/>
    <w:rsid w:val="008E4D07"/>
    <w:rsid w:val="008E59AB"/>
    <w:rsid w:val="008E63B0"/>
    <w:rsid w:val="008E7572"/>
    <w:rsid w:val="008F1CF6"/>
    <w:rsid w:val="008F1E03"/>
    <w:rsid w:val="008F1E3F"/>
    <w:rsid w:val="008F409C"/>
    <w:rsid w:val="008F4A93"/>
    <w:rsid w:val="008F5F3D"/>
    <w:rsid w:val="008F6629"/>
    <w:rsid w:val="0090333F"/>
    <w:rsid w:val="00903960"/>
    <w:rsid w:val="009041E9"/>
    <w:rsid w:val="00905DA4"/>
    <w:rsid w:val="00906391"/>
    <w:rsid w:val="0091001C"/>
    <w:rsid w:val="00911EAC"/>
    <w:rsid w:val="00912F6B"/>
    <w:rsid w:val="0091317D"/>
    <w:rsid w:val="00914773"/>
    <w:rsid w:val="00915A03"/>
    <w:rsid w:val="00916987"/>
    <w:rsid w:val="00916D5C"/>
    <w:rsid w:val="00916F88"/>
    <w:rsid w:val="009247EB"/>
    <w:rsid w:val="009256A4"/>
    <w:rsid w:val="009264C2"/>
    <w:rsid w:val="00931B3B"/>
    <w:rsid w:val="00932D41"/>
    <w:rsid w:val="0093350B"/>
    <w:rsid w:val="00933562"/>
    <w:rsid w:val="00933DA0"/>
    <w:rsid w:val="00934906"/>
    <w:rsid w:val="00934D65"/>
    <w:rsid w:val="009352AC"/>
    <w:rsid w:val="00935F58"/>
    <w:rsid w:val="009362A4"/>
    <w:rsid w:val="00936A5A"/>
    <w:rsid w:val="00936F11"/>
    <w:rsid w:val="00940B0D"/>
    <w:rsid w:val="009410F9"/>
    <w:rsid w:val="0094135B"/>
    <w:rsid w:val="009425AE"/>
    <w:rsid w:val="00946D28"/>
    <w:rsid w:val="00950DD6"/>
    <w:rsid w:val="009526DC"/>
    <w:rsid w:val="00952A51"/>
    <w:rsid w:val="00954E55"/>
    <w:rsid w:val="00960531"/>
    <w:rsid w:val="009609AE"/>
    <w:rsid w:val="009613C2"/>
    <w:rsid w:val="00961D0D"/>
    <w:rsid w:val="00962488"/>
    <w:rsid w:val="00962897"/>
    <w:rsid w:val="00962CC2"/>
    <w:rsid w:val="009636CF"/>
    <w:rsid w:val="00963A9A"/>
    <w:rsid w:val="00965BF0"/>
    <w:rsid w:val="0096603F"/>
    <w:rsid w:val="00967645"/>
    <w:rsid w:val="0096784E"/>
    <w:rsid w:val="00970231"/>
    <w:rsid w:val="00970E19"/>
    <w:rsid w:val="00971F7C"/>
    <w:rsid w:val="00974167"/>
    <w:rsid w:val="00974400"/>
    <w:rsid w:val="00974834"/>
    <w:rsid w:val="00975CBA"/>
    <w:rsid w:val="00976954"/>
    <w:rsid w:val="00977191"/>
    <w:rsid w:val="00981A85"/>
    <w:rsid w:val="00984598"/>
    <w:rsid w:val="00985505"/>
    <w:rsid w:val="009862E1"/>
    <w:rsid w:val="009904AD"/>
    <w:rsid w:val="009906E0"/>
    <w:rsid w:val="00992AD0"/>
    <w:rsid w:val="00993768"/>
    <w:rsid w:val="00993ACB"/>
    <w:rsid w:val="00993CD6"/>
    <w:rsid w:val="00995926"/>
    <w:rsid w:val="00996050"/>
    <w:rsid w:val="00997115"/>
    <w:rsid w:val="0099789A"/>
    <w:rsid w:val="00997E87"/>
    <w:rsid w:val="009A00D4"/>
    <w:rsid w:val="009A23C5"/>
    <w:rsid w:val="009A2600"/>
    <w:rsid w:val="009A2D1E"/>
    <w:rsid w:val="009A2DC3"/>
    <w:rsid w:val="009A3D0B"/>
    <w:rsid w:val="009A3D12"/>
    <w:rsid w:val="009A42A0"/>
    <w:rsid w:val="009A4A7E"/>
    <w:rsid w:val="009A574E"/>
    <w:rsid w:val="009A5EA3"/>
    <w:rsid w:val="009A73D6"/>
    <w:rsid w:val="009B02B2"/>
    <w:rsid w:val="009B17E5"/>
    <w:rsid w:val="009B6CE4"/>
    <w:rsid w:val="009B6D56"/>
    <w:rsid w:val="009C0606"/>
    <w:rsid w:val="009C1887"/>
    <w:rsid w:val="009C4119"/>
    <w:rsid w:val="009C50A1"/>
    <w:rsid w:val="009C6196"/>
    <w:rsid w:val="009C6A3C"/>
    <w:rsid w:val="009C7DF6"/>
    <w:rsid w:val="009D066B"/>
    <w:rsid w:val="009D1406"/>
    <w:rsid w:val="009D2FCF"/>
    <w:rsid w:val="009D3664"/>
    <w:rsid w:val="009D5022"/>
    <w:rsid w:val="009D531C"/>
    <w:rsid w:val="009D5995"/>
    <w:rsid w:val="009D73A3"/>
    <w:rsid w:val="009D778C"/>
    <w:rsid w:val="009E03F9"/>
    <w:rsid w:val="009E0BC8"/>
    <w:rsid w:val="009E0E9A"/>
    <w:rsid w:val="009E1AAF"/>
    <w:rsid w:val="009E2478"/>
    <w:rsid w:val="009E27E3"/>
    <w:rsid w:val="009E2C0C"/>
    <w:rsid w:val="009E7B45"/>
    <w:rsid w:val="009F0469"/>
    <w:rsid w:val="009F1676"/>
    <w:rsid w:val="009F1A1B"/>
    <w:rsid w:val="009F1DCE"/>
    <w:rsid w:val="009F3DF1"/>
    <w:rsid w:val="009F5236"/>
    <w:rsid w:val="009F596B"/>
    <w:rsid w:val="009F597A"/>
    <w:rsid w:val="009F61A1"/>
    <w:rsid w:val="009F748C"/>
    <w:rsid w:val="009F7CB2"/>
    <w:rsid w:val="00A0118D"/>
    <w:rsid w:val="00A014B5"/>
    <w:rsid w:val="00A02ADA"/>
    <w:rsid w:val="00A03BBF"/>
    <w:rsid w:val="00A03C10"/>
    <w:rsid w:val="00A04514"/>
    <w:rsid w:val="00A04A48"/>
    <w:rsid w:val="00A04F3D"/>
    <w:rsid w:val="00A06126"/>
    <w:rsid w:val="00A0658A"/>
    <w:rsid w:val="00A069B9"/>
    <w:rsid w:val="00A06E6E"/>
    <w:rsid w:val="00A12528"/>
    <w:rsid w:val="00A12EDF"/>
    <w:rsid w:val="00A12FBA"/>
    <w:rsid w:val="00A134D4"/>
    <w:rsid w:val="00A13E41"/>
    <w:rsid w:val="00A147B1"/>
    <w:rsid w:val="00A15E53"/>
    <w:rsid w:val="00A167AF"/>
    <w:rsid w:val="00A202B0"/>
    <w:rsid w:val="00A20BA9"/>
    <w:rsid w:val="00A2107F"/>
    <w:rsid w:val="00A216A3"/>
    <w:rsid w:val="00A222AF"/>
    <w:rsid w:val="00A22F9A"/>
    <w:rsid w:val="00A23703"/>
    <w:rsid w:val="00A24C0E"/>
    <w:rsid w:val="00A25467"/>
    <w:rsid w:val="00A25EA2"/>
    <w:rsid w:val="00A25FF6"/>
    <w:rsid w:val="00A260FD"/>
    <w:rsid w:val="00A270E9"/>
    <w:rsid w:val="00A2711D"/>
    <w:rsid w:val="00A30464"/>
    <w:rsid w:val="00A31B45"/>
    <w:rsid w:val="00A326CD"/>
    <w:rsid w:val="00A32883"/>
    <w:rsid w:val="00A33454"/>
    <w:rsid w:val="00A355BF"/>
    <w:rsid w:val="00A3566F"/>
    <w:rsid w:val="00A37C1C"/>
    <w:rsid w:val="00A412F2"/>
    <w:rsid w:val="00A423BE"/>
    <w:rsid w:val="00A42A5A"/>
    <w:rsid w:val="00A43611"/>
    <w:rsid w:val="00A454CC"/>
    <w:rsid w:val="00A502BE"/>
    <w:rsid w:val="00A513CE"/>
    <w:rsid w:val="00A524FB"/>
    <w:rsid w:val="00A526D9"/>
    <w:rsid w:val="00A55BE1"/>
    <w:rsid w:val="00A560D4"/>
    <w:rsid w:val="00A577CF"/>
    <w:rsid w:val="00A57D2C"/>
    <w:rsid w:val="00A60054"/>
    <w:rsid w:val="00A60089"/>
    <w:rsid w:val="00A60FEC"/>
    <w:rsid w:val="00A620AA"/>
    <w:rsid w:val="00A62D8D"/>
    <w:rsid w:val="00A66F0A"/>
    <w:rsid w:val="00A703EE"/>
    <w:rsid w:val="00A71A06"/>
    <w:rsid w:val="00A71E4A"/>
    <w:rsid w:val="00A73D12"/>
    <w:rsid w:val="00A747AA"/>
    <w:rsid w:val="00A80454"/>
    <w:rsid w:val="00A80927"/>
    <w:rsid w:val="00A84633"/>
    <w:rsid w:val="00A846EF"/>
    <w:rsid w:val="00A86381"/>
    <w:rsid w:val="00A87B8A"/>
    <w:rsid w:val="00A908F7"/>
    <w:rsid w:val="00A90BCF"/>
    <w:rsid w:val="00A92AB7"/>
    <w:rsid w:val="00A93EB2"/>
    <w:rsid w:val="00A943C0"/>
    <w:rsid w:val="00A94680"/>
    <w:rsid w:val="00A94A13"/>
    <w:rsid w:val="00A97C37"/>
    <w:rsid w:val="00AA01DE"/>
    <w:rsid w:val="00AA0AFC"/>
    <w:rsid w:val="00AA1E7D"/>
    <w:rsid w:val="00AA3238"/>
    <w:rsid w:val="00AA507E"/>
    <w:rsid w:val="00AA53AE"/>
    <w:rsid w:val="00AA5D32"/>
    <w:rsid w:val="00AA69D8"/>
    <w:rsid w:val="00AB2352"/>
    <w:rsid w:val="00AB24EC"/>
    <w:rsid w:val="00AB2A49"/>
    <w:rsid w:val="00AB31C7"/>
    <w:rsid w:val="00AB374E"/>
    <w:rsid w:val="00AB4567"/>
    <w:rsid w:val="00AB4E4E"/>
    <w:rsid w:val="00AC1950"/>
    <w:rsid w:val="00AC1E50"/>
    <w:rsid w:val="00AC30BB"/>
    <w:rsid w:val="00AC34D6"/>
    <w:rsid w:val="00AC3B04"/>
    <w:rsid w:val="00AC3CEF"/>
    <w:rsid w:val="00AC4735"/>
    <w:rsid w:val="00AC6BE9"/>
    <w:rsid w:val="00AC6C1E"/>
    <w:rsid w:val="00AC76DF"/>
    <w:rsid w:val="00AC79C1"/>
    <w:rsid w:val="00AD1249"/>
    <w:rsid w:val="00AD231D"/>
    <w:rsid w:val="00AD25B1"/>
    <w:rsid w:val="00AD2F2A"/>
    <w:rsid w:val="00AD4319"/>
    <w:rsid w:val="00AD5184"/>
    <w:rsid w:val="00AD7746"/>
    <w:rsid w:val="00AD7B2A"/>
    <w:rsid w:val="00AE1D48"/>
    <w:rsid w:val="00AE2054"/>
    <w:rsid w:val="00AE27A9"/>
    <w:rsid w:val="00AE3280"/>
    <w:rsid w:val="00AE43FD"/>
    <w:rsid w:val="00AE4526"/>
    <w:rsid w:val="00AE49A8"/>
    <w:rsid w:val="00AE4FB4"/>
    <w:rsid w:val="00AE5421"/>
    <w:rsid w:val="00AE5588"/>
    <w:rsid w:val="00AE6C02"/>
    <w:rsid w:val="00AE72D3"/>
    <w:rsid w:val="00AF0B15"/>
    <w:rsid w:val="00AF0C5D"/>
    <w:rsid w:val="00AF0DA7"/>
    <w:rsid w:val="00AF1928"/>
    <w:rsid w:val="00AF1FF1"/>
    <w:rsid w:val="00AF2951"/>
    <w:rsid w:val="00AF318C"/>
    <w:rsid w:val="00AF3EAB"/>
    <w:rsid w:val="00AF56FD"/>
    <w:rsid w:val="00AF685B"/>
    <w:rsid w:val="00B0019A"/>
    <w:rsid w:val="00B01176"/>
    <w:rsid w:val="00B013EF"/>
    <w:rsid w:val="00B01FC4"/>
    <w:rsid w:val="00B03504"/>
    <w:rsid w:val="00B03FEC"/>
    <w:rsid w:val="00B04B8B"/>
    <w:rsid w:val="00B0638D"/>
    <w:rsid w:val="00B10491"/>
    <w:rsid w:val="00B10773"/>
    <w:rsid w:val="00B11988"/>
    <w:rsid w:val="00B12FB7"/>
    <w:rsid w:val="00B13E43"/>
    <w:rsid w:val="00B140E4"/>
    <w:rsid w:val="00B146C6"/>
    <w:rsid w:val="00B14B6B"/>
    <w:rsid w:val="00B14BD0"/>
    <w:rsid w:val="00B150DD"/>
    <w:rsid w:val="00B167D5"/>
    <w:rsid w:val="00B16B18"/>
    <w:rsid w:val="00B16E77"/>
    <w:rsid w:val="00B17B5E"/>
    <w:rsid w:val="00B21606"/>
    <w:rsid w:val="00B22F20"/>
    <w:rsid w:val="00B23228"/>
    <w:rsid w:val="00B236BE"/>
    <w:rsid w:val="00B23FFD"/>
    <w:rsid w:val="00B24C4E"/>
    <w:rsid w:val="00B24D5E"/>
    <w:rsid w:val="00B25926"/>
    <w:rsid w:val="00B26FB1"/>
    <w:rsid w:val="00B275F0"/>
    <w:rsid w:val="00B27651"/>
    <w:rsid w:val="00B30471"/>
    <w:rsid w:val="00B31D6F"/>
    <w:rsid w:val="00B32209"/>
    <w:rsid w:val="00B34048"/>
    <w:rsid w:val="00B36294"/>
    <w:rsid w:val="00B4051D"/>
    <w:rsid w:val="00B40879"/>
    <w:rsid w:val="00B409FF"/>
    <w:rsid w:val="00B4147A"/>
    <w:rsid w:val="00B417EF"/>
    <w:rsid w:val="00B43015"/>
    <w:rsid w:val="00B4646C"/>
    <w:rsid w:val="00B46826"/>
    <w:rsid w:val="00B46D52"/>
    <w:rsid w:val="00B47446"/>
    <w:rsid w:val="00B51789"/>
    <w:rsid w:val="00B52D26"/>
    <w:rsid w:val="00B531BF"/>
    <w:rsid w:val="00B53662"/>
    <w:rsid w:val="00B601DC"/>
    <w:rsid w:val="00B6567E"/>
    <w:rsid w:val="00B65775"/>
    <w:rsid w:val="00B66A2A"/>
    <w:rsid w:val="00B66EA3"/>
    <w:rsid w:val="00B67582"/>
    <w:rsid w:val="00B67615"/>
    <w:rsid w:val="00B67DCD"/>
    <w:rsid w:val="00B7081E"/>
    <w:rsid w:val="00B70990"/>
    <w:rsid w:val="00B70ACD"/>
    <w:rsid w:val="00B71A22"/>
    <w:rsid w:val="00B71B38"/>
    <w:rsid w:val="00B73BE8"/>
    <w:rsid w:val="00B743A0"/>
    <w:rsid w:val="00B74691"/>
    <w:rsid w:val="00B74CA4"/>
    <w:rsid w:val="00B765E8"/>
    <w:rsid w:val="00B7677E"/>
    <w:rsid w:val="00B77382"/>
    <w:rsid w:val="00B77A13"/>
    <w:rsid w:val="00B80029"/>
    <w:rsid w:val="00B80E21"/>
    <w:rsid w:val="00B810A3"/>
    <w:rsid w:val="00B81131"/>
    <w:rsid w:val="00B81248"/>
    <w:rsid w:val="00B82F8F"/>
    <w:rsid w:val="00B8489F"/>
    <w:rsid w:val="00B849A9"/>
    <w:rsid w:val="00B8728A"/>
    <w:rsid w:val="00B9009C"/>
    <w:rsid w:val="00B90850"/>
    <w:rsid w:val="00B92311"/>
    <w:rsid w:val="00B92E98"/>
    <w:rsid w:val="00B9658C"/>
    <w:rsid w:val="00BA0660"/>
    <w:rsid w:val="00BA0683"/>
    <w:rsid w:val="00BA0B36"/>
    <w:rsid w:val="00BA2123"/>
    <w:rsid w:val="00BA36A1"/>
    <w:rsid w:val="00BA43DE"/>
    <w:rsid w:val="00BA6018"/>
    <w:rsid w:val="00BA6F2B"/>
    <w:rsid w:val="00BA7A84"/>
    <w:rsid w:val="00BB04AB"/>
    <w:rsid w:val="00BB2AE8"/>
    <w:rsid w:val="00BB2BC8"/>
    <w:rsid w:val="00BB31D2"/>
    <w:rsid w:val="00BB3AEA"/>
    <w:rsid w:val="00BB3CCF"/>
    <w:rsid w:val="00BB3FE7"/>
    <w:rsid w:val="00BB50E5"/>
    <w:rsid w:val="00BB5468"/>
    <w:rsid w:val="00BB56A0"/>
    <w:rsid w:val="00BB735D"/>
    <w:rsid w:val="00BB78EF"/>
    <w:rsid w:val="00BC0692"/>
    <w:rsid w:val="00BC3705"/>
    <w:rsid w:val="00BC50D9"/>
    <w:rsid w:val="00BC5300"/>
    <w:rsid w:val="00BC6CF3"/>
    <w:rsid w:val="00BC7982"/>
    <w:rsid w:val="00BD01AD"/>
    <w:rsid w:val="00BD0C2D"/>
    <w:rsid w:val="00BD0C47"/>
    <w:rsid w:val="00BD208D"/>
    <w:rsid w:val="00BD417B"/>
    <w:rsid w:val="00BD4FBF"/>
    <w:rsid w:val="00BD76BE"/>
    <w:rsid w:val="00BE167F"/>
    <w:rsid w:val="00BE1E40"/>
    <w:rsid w:val="00BE2C2C"/>
    <w:rsid w:val="00BE328B"/>
    <w:rsid w:val="00BE504A"/>
    <w:rsid w:val="00BE5810"/>
    <w:rsid w:val="00BE60BB"/>
    <w:rsid w:val="00BE6E74"/>
    <w:rsid w:val="00BE71CC"/>
    <w:rsid w:val="00BE764B"/>
    <w:rsid w:val="00BE79C9"/>
    <w:rsid w:val="00BE7E12"/>
    <w:rsid w:val="00BF0133"/>
    <w:rsid w:val="00BF113B"/>
    <w:rsid w:val="00BF14F3"/>
    <w:rsid w:val="00BF2457"/>
    <w:rsid w:val="00BF26E7"/>
    <w:rsid w:val="00BF325C"/>
    <w:rsid w:val="00BF3471"/>
    <w:rsid w:val="00BF3D7D"/>
    <w:rsid w:val="00BF4DD5"/>
    <w:rsid w:val="00BF52D9"/>
    <w:rsid w:val="00BF5A67"/>
    <w:rsid w:val="00BF5A84"/>
    <w:rsid w:val="00BF6598"/>
    <w:rsid w:val="00BF6870"/>
    <w:rsid w:val="00BF7433"/>
    <w:rsid w:val="00C0017B"/>
    <w:rsid w:val="00C007DD"/>
    <w:rsid w:val="00C00CFD"/>
    <w:rsid w:val="00C0109F"/>
    <w:rsid w:val="00C01276"/>
    <w:rsid w:val="00C03296"/>
    <w:rsid w:val="00C0453E"/>
    <w:rsid w:val="00C04C8E"/>
    <w:rsid w:val="00C05D1A"/>
    <w:rsid w:val="00C061E5"/>
    <w:rsid w:val="00C06D89"/>
    <w:rsid w:val="00C07E40"/>
    <w:rsid w:val="00C10C9A"/>
    <w:rsid w:val="00C135F1"/>
    <w:rsid w:val="00C14494"/>
    <w:rsid w:val="00C14645"/>
    <w:rsid w:val="00C16968"/>
    <w:rsid w:val="00C2298D"/>
    <w:rsid w:val="00C22F16"/>
    <w:rsid w:val="00C23115"/>
    <w:rsid w:val="00C23180"/>
    <w:rsid w:val="00C23667"/>
    <w:rsid w:val="00C23A04"/>
    <w:rsid w:val="00C24DD3"/>
    <w:rsid w:val="00C25C3A"/>
    <w:rsid w:val="00C26514"/>
    <w:rsid w:val="00C2753D"/>
    <w:rsid w:val="00C2754F"/>
    <w:rsid w:val="00C27E8B"/>
    <w:rsid w:val="00C30065"/>
    <w:rsid w:val="00C307AB"/>
    <w:rsid w:val="00C3080F"/>
    <w:rsid w:val="00C30E9A"/>
    <w:rsid w:val="00C34867"/>
    <w:rsid w:val="00C35388"/>
    <w:rsid w:val="00C36331"/>
    <w:rsid w:val="00C413FB"/>
    <w:rsid w:val="00C41F1F"/>
    <w:rsid w:val="00C421EF"/>
    <w:rsid w:val="00C42481"/>
    <w:rsid w:val="00C44B2B"/>
    <w:rsid w:val="00C45641"/>
    <w:rsid w:val="00C46976"/>
    <w:rsid w:val="00C47BDB"/>
    <w:rsid w:val="00C508AD"/>
    <w:rsid w:val="00C50A29"/>
    <w:rsid w:val="00C51B82"/>
    <w:rsid w:val="00C5206A"/>
    <w:rsid w:val="00C52804"/>
    <w:rsid w:val="00C52CA7"/>
    <w:rsid w:val="00C533F2"/>
    <w:rsid w:val="00C5380A"/>
    <w:rsid w:val="00C53F64"/>
    <w:rsid w:val="00C54541"/>
    <w:rsid w:val="00C552A0"/>
    <w:rsid w:val="00C56229"/>
    <w:rsid w:val="00C57BB0"/>
    <w:rsid w:val="00C608B1"/>
    <w:rsid w:val="00C61DDC"/>
    <w:rsid w:val="00C62548"/>
    <w:rsid w:val="00C64344"/>
    <w:rsid w:val="00C653E4"/>
    <w:rsid w:val="00C659BB"/>
    <w:rsid w:val="00C67599"/>
    <w:rsid w:val="00C70550"/>
    <w:rsid w:val="00C70FA5"/>
    <w:rsid w:val="00C7166B"/>
    <w:rsid w:val="00C71C94"/>
    <w:rsid w:val="00C72064"/>
    <w:rsid w:val="00C72199"/>
    <w:rsid w:val="00C72FDB"/>
    <w:rsid w:val="00C73781"/>
    <w:rsid w:val="00C74597"/>
    <w:rsid w:val="00C761E7"/>
    <w:rsid w:val="00C76D38"/>
    <w:rsid w:val="00C7744B"/>
    <w:rsid w:val="00C80504"/>
    <w:rsid w:val="00C80E4F"/>
    <w:rsid w:val="00C80E63"/>
    <w:rsid w:val="00C81A52"/>
    <w:rsid w:val="00C82E21"/>
    <w:rsid w:val="00C84213"/>
    <w:rsid w:val="00C85702"/>
    <w:rsid w:val="00C85915"/>
    <w:rsid w:val="00C85A5F"/>
    <w:rsid w:val="00C86136"/>
    <w:rsid w:val="00C87471"/>
    <w:rsid w:val="00C916CA"/>
    <w:rsid w:val="00C9207A"/>
    <w:rsid w:val="00C9467F"/>
    <w:rsid w:val="00C94D92"/>
    <w:rsid w:val="00C95DBE"/>
    <w:rsid w:val="00C95F24"/>
    <w:rsid w:val="00C9625F"/>
    <w:rsid w:val="00C972B8"/>
    <w:rsid w:val="00CA0734"/>
    <w:rsid w:val="00CA167E"/>
    <w:rsid w:val="00CA258E"/>
    <w:rsid w:val="00CA2994"/>
    <w:rsid w:val="00CA559B"/>
    <w:rsid w:val="00CA73E1"/>
    <w:rsid w:val="00CB0649"/>
    <w:rsid w:val="00CB09AB"/>
    <w:rsid w:val="00CB2071"/>
    <w:rsid w:val="00CB29AD"/>
    <w:rsid w:val="00CB2E1D"/>
    <w:rsid w:val="00CB3340"/>
    <w:rsid w:val="00CB3DBF"/>
    <w:rsid w:val="00CB4EE5"/>
    <w:rsid w:val="00CB7D88"/>
    <w:rsid w:val="00CC103A"/>
    <w:rsid w:val="00CC1580"/>
    <w:rsid w:val="00CC2D1D"/>
    <w:rsid w:val="00CC3BF7"/>
    <w:rsid w:val="00CC47C5"/>
    <w:rsid w:val="00CC50C8"/>
    <w:rsid w:val="00CC61F0"/>
    <w:rsid w:val="00CC713A"/>
    <w:rsid w:val="00CC7754"/>
    <w:rsid w:val="00CD399B"/>
    <w:rsid w:val="00CD50D8"/>
    <w:rsid w:val="00CD52C7"/>
    <w:rsid w:val="00CD6FF2"/>
    <w:rsid w:val="00CD7455"/>
    <w:rsid w:val="00CE0001"/>
    <w:rsid w:val="00CE0F50"/>
    <w:rsid w:val="00CE1560"/>
    <w:rsid w:val="00CE5E05"/>
    <w:rsid w:val="00CE6028"/>
    <w:rsid w:val="00CE63A5"/>
    <w:rsid w:val="00CE6581"/>
    <w:rsid w:val="00CE6910"/>
    <w:rsid w:val="00CE7D30"/>
    <w:rsid w:val="00CF038A"/>
    <w:rsid w:val="00CF094F"/>
    <w:rsid w:val="00CF27CA"/>
    <w:rsid w:val="00CF2E54"/>
    <w:rsid w:val="00CF3510"/>
    <w:rsid w:val="00CF39D9"/>
    <w:rsid w:val="00CF3BC0"/>
    <w:rsid w:val="00CF3DB1"/>
    <w:rsid w:val="00CF4F4C"/>
    <w:rsid w:val="00CF613E"/>
    <w:rsid w:val="00CF62E0"/>
    <w:rsid w:val="00CF6D36"/>
    <w:rsid w:val="00CF77A8"/>
    <w:rsid w:val="00CF77F6"/>
    <w:rsid w:val="00D01D79"/>
    <w:rsid w:val="00D038F0"/>
    <w:rsid w:val="00D04416"/>
    <w:rsid w:val="00D05939"/>
    <w:rsid w:val="00D06009"/>
    <w:rsid w:val="00D06703"/>
    <w:rsid w:val="00D076C3"/>
    <w:rsid w:val="00D106B8"/>
    <w:rsid w:val="00D10869"/>
    <w:rsid w:val="00D11CEC"/>
    <w:rsid w:val="00D120E6"/>
    <w:rsid w:val="00D14090"/>
    <w:rsid w:val="00D15E42"/>
    <w:rsid w:val="00D16038"/>
    <w:rsid w:val="00D16F29"/>
    <w:rsid w:val="00D17350"/>
    <w:rsid w:val="00D17C86"/>
    <w:rsid w:val="00D201DF"/>
    <w:rsid w:val="00D20576"/>
    <w:rsid w:val="00D20BB4"/>
    <w:rsid w:val="00D216F1"/>
    <w:rsid w:val="00D23D6D"/>
    <w:rsid w:val="00D2656E"/>
    <w:rsid w:val="00D30816"/>
    <w:rsid w:val="00D3092F"/>
    <w:rsid w:val="00D31EFD"/>
    <w:rsid w:val="00D3359D"/>
    <w:rsid w:val="00D33B71"/>
    <w:rsid w:val="00D34C97"/>
    <w:rsid w:val="00D34D8C"/>
    <w:rsid w:val="00D350AC"/>
    <w:rsid w:val="00D3632F"/>
    <w:rsid w:val="00D36A6B"/>
    <w:rsid w:val="00D37E3F"/>
    <w:rsid w:val="00D412C3"/>
    <w:rsid w:val="00D426A0"/>
    <w:rsid w:val="00D44039"/>
    <w:rsid w:val="00D45599"/>
    <w:rsid w:val="00D45768"/>
    <w:rsid w:val="00D462DA"/>
    <w:rsid w:val="00D466C4"/>
    <w:rsid w:val="00D46BB4"/>
    <w:rsid w:val="00D50998"/>
    <w:rsid w:val="00D50B59"/>
    <w:rsid w:val="00D52C1A"/>
    <w:rsid w:val="00D5312B"/>
    <w:rsid w:val="00D54C35"/>
    <w:rsid w:val="00D552B2"/>
    <w:rsid w:val="00D56262"/>
    <w:rsid w:val="00D56B99"/>
    <w:rsid w:val="00D60564"/>
    <w:rsid w:val="00D61FB4"/>
    <w:rsid w:val="00D62B93"/>
    <w:rsid w:val="00D65260"/>
    <w:rsid w:val="00D71FC9"/>
    <w:rsid w:val="00D729C7"/>
    <w:rsid w:val="00D72E36"/>
    <w:rsid w:val="00D73935"/>
    <w:rsid w:val="00D73FF9"/>
    <w:rsid w:val="00D74AD0"/>
    <w:rsid w:val="00D74D38"/>
    <w:rsid w:val="00D75F84"/>
    <w:rsid w:val="00D8051F"/>
    <w:rsid w:val="00D815D0"/>
    <w:rsid w:val="00D817DF"/>
    <w:rsid w:val="00D83903"/>
    <w:rsid w:val="00D84C29"/>
    <w:rsid w:val="00D854F0"/>
    <w:rsid w:val="00D860BE"/>
    <w:rsid w:val="00D862D4"/>
    <w:rsid w:val="00D86534"/>
    <w:rsid w:val="00D869BA"/>
    <w:rsid w:val="00D8752F"/>
    <w:rsid w:val="00D94D37"/>
    <w:rsid w:val="00DA0270"/>
    <w:rsid w:val="00DA068D"/>
    <w:rsid w:val="00DA0EA3"/>
    <w:rsid w:val="00DA11E9"/>
    <w:rsid w:val="00DA140F"/>
    <w:rsid w:val="00DA19D9"/>
    <w:rsid w:val="00DA53A4"/>
    <w:rsid w:val="00DA5812"/>
    <w:rsid w:val="00DA5D0B"/>
    <w:rsid w:val="00DB0551"/>
    <w:rsid w:val="00DB21D3"/>
    <w:rsid w:val="00DB36DF"/>
    <w:rsid w:val="00DB4B9A"/>
    <w:rsid w:val="00DB6459"/>
    <w:rsid w:val="00DB70FD"/>
    <w:rsid w:val="00DC2269"/>
    <w:rsid w:val="00DC44D5"/>
    <w:rsid w:val="00DC4923"/>
    <w:rsid w:val="00DC4951"/>
    <w:rsid w:val="00DC4C86"/>
    <w:rsid w:val="00DC4CDA"/>
    <w:rsid w:val="00DD2CC3"/>
    <w:rsid w:val="00DD370E"/>
    <w:rsid w:val="00DD3CBA"/>
    <w:rsid w:val="00DD4A06"/>
    <w:rsid w:val="00DD5800"/>
    <w:rsid w:val="00DD66FD"/>
    <w:rsid w:val="00DD6A28"/>
    <w:rsid w:val="00DD701F"/>
    <w:rsid w:val="00DE0587"/>
    <w:rsid w:val="00DE058D"/>
    <w:rsid w:val="00DE0642"/>
    <w:rsid w:val="00DE1003"/>
    <w:rsid w:val="00DE2AC5"/>
    <w:rsid w:val="00DE3168"/>
    <w:rsid w:val="00DE4F2B"/>
    <w:rsid w:val="00DE50E6"/>
    <w:rsid w:val="00DE64C5"/>
    <w:rsid w:val="00DE6727"/>
    <w:rsid w:val="00DE6969"/>
    <w:rsid w:val="00DF01D6"/>
    <w:rsid w:val="00DF05E3"/>
    <w:rsid w:val="00DF0BF8"/>
    <w:rsid w:val="00DF1AB9"/>
    <w:rsid w:val="00DF2AA6"/>
    <w:rsid w:val="00DF30A7"/>
    <w:rsid w:val="00DF3D32"/>
    <w:rsid w:val="00DF5CA6"/>
    <w:rsid w:val="00DF73E9"/>
    <w:rsid w:val="00E0012D"/>
    <w:rsid w:val="00E00C00"/>
    <w:rsid w:val="00E01945"/>
    <w:rsid w:val="00E020B8"/>
    <w:rsid w:val="00E03774"/>
    <w:rsid w:val="00E0608B"/>
    <w:rsid w:val="00E06699"/>
    <w:rsid w:val="00E1035C"/>
    <w:rsid w:val="00E10899"/>
    <w:rsid w:val="00E11742"/>
    <w:rsid w:val="00E11CE9"/>
    <w:rsid w:val="00E1227B"/>
    <w:rsid w:val="00E137E1"/>
    <w:rsid w:val="00E13A1A"/>
    <w:rsid w:val="00E1462F"/>
    <w:rsid w:val="00E16925"/>
    <w:rsid w:val="00E17670"/>
    <w:rsid w:val="00E2082A"/>
    <w:rsid w:val="00E20DF2"/>
    <w:rsid w:val="00E21469"/>
    <w:rsid w:val="00E214E6"/>
    <w:rsid w:val="00E21F95"/>
    <w:rsid w:val="00E22516"/>
    <w:rsid w:val="00E22889"/>
    <w:rsid w:val="00E22F61"/>
    <w:rsid w:val="00E23577"/>
    <w:rsid w:val="00E279C0"/>
    <w:rsid w:val="00E34E59"/>
    <w:rsid w:val="00E3504B"/>
    <w:rsid w:val="00E367DA"/>
    <w:rsid w:val="00E377FE"/>
    <w:rsid w:val="00E414EA"/>
    <w:rsid w:val="00E425A8"/>
    <w:rsid w:val="00E42C4A"/>
    <w:rsid w:val="00E4358C"/>
    <w:rsid w:val="00E435DA"/>
    <w:rsid w:val="00E43ACE"/>
    <w:rsid w:val="00E43B97"/>
    <w:rsid w:val="00E44022"/>
    <w:rsid w:val="00E44226"/>
    <w:rsid w:val="00E4588B"/>
    <w:rsid w:val="00E45F37"/>
    <w:rsid w:val="00E501F4"/>
    <w:rsid w:val="00E50626"/>
    <w:rsid w:val="00E50FB9"/>
    <w:rsid w:val="00E510F0"/>
    <w:rsid w:val="00E51371"/>
    <w:rsid w:val="00E5222C"/>
    <w:rsid w:val="00E54C4D"/>
    <w:rsid w:val="00E564C6"/>
    <w:rsid w:val="00E56595"/>
    <w:rsid w:val="00E6060A"/>
    <w:rsid w:val="00E608E5"/>
    <w:rsid w:val="00E6112B"/>
    <w:rsid w:val="00E61369"/>
    <w:rsid w:val="00E61D76"/>
    <w:rsid w:val="00E628CB"/>
    <w:rsid w:val="00E6368D"/>
    <w:rsid w:val="00E65054"/>
    <w:rsid w:val="00E66025"/>
    <w:rsid w:val="00E66E8B"/>
    <w:rsid w:val="00E67AA6"/>
    <w:rsid w:val="00E67B26"/>
    <w:rsid w:val="00E70621"/>
    <w:rsid w:val="00E72E84"/>
    <w:rsid w:val="00E75710"/>
    <w:rsid w:val="00E760AA"/>
    <w:rsid w:val="00E77827"/>
    <w:rsid w:val="00E77C30"/>
    <w:rsid w:val="00E80B38"/>
    <w:rsid w:val="00E8118A"/>
    <w:rsid w:val="00E8122F"/>
    <w:rsid w:val="00E8191E"/>
    <w:rsid w:val="00E81EA0"/>
    <w:rsid w:val="00E83B38"/>
    <w:rsid w:val="00E858F0"/>
    <w:rsid w:val="00E86E00"/>
    <w:rsid w:val="00E86E73"/>
    <w:rsid w:val="00E87526"/>
    <w:rsid w:val="00E8786B"/>
    <w:rsid w:val="00E87BFE"/>
    <w:rsid w:val="00E9184A"/>
    <w:rsid w:val="00E91E0E"/>
    <w:rsid w:val="00E92564"/>
    <w:rsid w:val="00E9333F"/>
    <w:rsid w:val="00E93900"/>
    <w:rsid w:val="00E9562B"/>
    <w:rsid w:val="00E9654F"/>
    <w:rsid w:val="00E9767B"/>
    <w:rsid w:val="00EA21A1"/>
    <w:rsid w:val="00EA393A"/>
    <w:rsid w:val="00EA3D01"/>
    <w:rsid w:val="00EA544D"/>
    <w:rsid w:val="00EA66F4"/>
    <w:rsid w:val="00EA7A64"/>
    <w:rsid w:val="00EB0535"/>
    <w:rsid w:val="00EB05F6"/>
    <w:rsid w:val="00EB16AC"/>
    <w:rsid w:val="00EB1F9A"/>
    <w:rsid w:val="00EB1FB9"/>
    <w:rsid w:val="00EB3EBC"/>
    <w:rsid w:val="00EB43AA"/>
    <w:rsid w:val="00EB5140"/>
    <w:rsid w:val="00EB5B92"/>
    <w:rsid w:val="00EB7478"/>
    <w:rsid w:val="00EB76C3"/>
    <w:rsid w:val="00EC17AB"/>
    <w:rsid w:val="00EC28F6"/>
    <w:rsid w:val="00EC4ED7"/>
    <w:rsid w:val="00EC52C3"/>
    <w:rsid w:val="00EC56AF"/>
    <w:rsid w:val="00EC67D5"/>
    <w:rsid w:val="00EC684C"/>
    <w:rsid w:val="00ED29FD"/>
    <w:rsid w:val="00ED55D5"/>
    <w:rsid w:val="00ED5C29"/>
    <w:rsid w:val="00ED5E4C"/>
    <w:rsid w:val="00ED68C0"/>
    <w:rsid w:val="00ED7F5A"/>
    <w:rsid w:val="00EE17F1"/>
    <w:rsid w:val="00EE194F"/>
    <w:rsid w:val="00EE4A77"/>
    <w:rsid w:val="00EE4F50"/>
    <w:rsid w:val="00EE5531"/>
    <w:rsid w:val="00EE5A4A"/>
    <w:rsid w:val="00EE5A55"/>
    <w:rsid w:val="00EE6289"/>
    <w:rsid w:val="00EE7039"/>
    <w:rsid w:val="00EF0B44"/>
    <w:rsid w:val="00EF0EF5"/>
    <w:rsid w:val="00EF11D0"/>
    <w:rsid w:val="00EF2A81"/>
    <w:rsid w:val="00EF4A54"/>
    <w:rsid w:val="00EF4E53"/>
    <w:rsid w:val="00EF5773"/>
    <w:rsid w:val="00EF5CFC"/>
    <w:rsid w:val="00EF5E74"/>
    <w:rsid w:val="00EF65AD"/>
    <w:rsid w:val="00EF7F4F"/>
    <w:rsid w:val="00F0163D"/>
    <w:rsid w:val="00F019D9"/>
    <w:rsid w:val="00F01E06"/>
    <w:rsid w:val="00F0298C"/>
    <w:rsid w:val="00F02FFB"/>
    <w:rsid w:val="00F06089"/>
    <w:rsid w:val="00F123C8"/>
    <w:rsid w:val="00F12F00"/>
    <w:rsid w:val="00F13855"/>
    <w:rsid w:val="00F16E4D"/>
    <w:rsid w:val="00F1726A"/>
    <w:rsid w:val="00F1768F"/>
    <w:rsid w:val="00F17BCB"/>
    <w:rsid w:val="00F17D3D"/>
    <w:rsid w:val="00F20317"/>
    <w:rsid w:val="00F2040E"/>
    <w:rsid w:val="00F20619"/>
    <w:rsid w:val="00F21A11"/>
    <w:rsid w:val="00F22787"/>
    <w:rsid w:val="00F2436E"/>
    <w:rsid w:val="00F25745"/>
    <w:rsid w:val="00F26A3E"/>
    <w:rsid w:val="00F27202"/>
    <w:rsid w:val="00F31918"/>
    <w:rsid w:val="00F31D79"/>
    <w:rsid w:val="00F3207A"/>
    <w:rsid w:val="00F332A8"/>
    <w:rsid w:val="00F337BB"/>
    <w:rsid w:val="00F341D5"/>
    <w:rsid w:val="00F3709A"/>
    <w:rsid w:val="00F4003D"/>
    <w:rsid w:val="00F408D0"/>
    <w:rsid w:val="00F4090C"/>
    <w:rsid w:val="00F40AB0"/>
    <w:rsid w:val="00F41CE7"/>
    <w:rsid w:val="00F4274C"/>
    <w:rsid w:val="00F443ED"/>
    <w:rsid w:val="00F44CCE"/>
    <w:rsid w:val="00F50B28"/>
    <w:rsid w:val="00F52BD4"/>
    <w:rsid w:val="00F531D9"/>
    <w:rsid w:val="00F54007"/>
    <w:rsid w:val="00F54475"/>
    <w:rsid w:val="00F5567C"/>
    <w:rsid w:val="00F56196"/>
    <w:rsid w:val="00F5629C"/>
    <w:rsid w:val="00F572F4"/>
    <w:rsid w:val="00F578C7"/>
    <w:rsid w:val="00F604FE"/>
    <w:rsid w:val="00F60647"/>
    <w:rsid w:val="00F61112"/>
    <w:rsid w:val="00F612B1"/>
    <w:rsid w:val="00F61471"/>
    <w:rsid w:val="00F634E4"/>
    <w:rsid w:val="00F649AE"/>
    <w:rsid w:val="00F65A2A"/>
    <w:rsid w:val="00F665A3"/>
    <w:rsid w:val="00F665CE"/>
    <w:rsid w:val="00F70191"/>
    <w:rsid w:val="00F70C36"/>
    <w:rsid w:val="00F71882"/>
    <w:rsid w:val="00F737E2"/>
    <w:rsid w:val="00F73CC4"/>
    <w:rsid w:val="00F73DF2"/>
    <w:rsid w:val="00F750CE"/>
    <w:rsid w:val="00F7625C"/>
    <w:rsid w:val="00F76604"/>
    <w:rsid w:val="00F76A32"/>
    <w:rsid w:val="00F82351"/>
    <w:rsid w:val="00F82C49"/>
    <w:rsid w:val="00F82E04"/>
    <w:rsid w:val="00F8339B"/>
    <w:rsid w:val="00F84051"/>
    <w:rsid w:val="00F84584"/>
    <w:rsid w:val="00F86485"/>
    <w:rsid w:val="00F86724"/>
    <w:rsid w:val="00F9263B"/>
    <w:rsid w:val="00F92FA2"/>
    <w:rsid w:val="00F937AB"/>
    <w:rsid w:val="00F9422A"/>
    <w:rsid w:val="00F95AD8"/>
    <w:rsid w:val="00F97387"/>
    <w:rsid w:val="00FA2EFD"/>
    <w:rsid w:val="00FA3C31"/>
    <w:rsid w:val="00FA5B9F"/>
    <w:rsid w:val="00FA5D53"/>
    <w:rsid w:val="00FA6D20"/>
    <w:rsid w:val="00FA706C"/>
    <w:rsid w:val="00FB30F7"/>
    <w:rsid w:val="00FB46CB"/>
    <w:rsid w:val="00FB6834"/>
    <w:rsid w:val="00FB6C89"/>
    <w:rsid w:val="00FB7630"/>
    <w:rsid w:val="00FB7939"/>
    <w:rsid w:val="00FC1981"/>
    <w:rsid w:val="00FC1C43"/>
    <w:rsid w:val="00FC2070"/>
    <w:rsid w:val="00FC4B12"/>
    <w:rsid w:val="00FC5051"/>
    <w:rsid w:val="00FC7B4C"/>
    <w:rsid w:val="00FC7C80"/>
    <w:rsid w:val="00FC7C96"/>
    <w:rsid w:val="00FD0DDE"/>
    <w:rsid w:val="00FD1676"/>
    <w:rsid w:val="00FD20B5"/>
    <w:rsid w:val="00FD2DFF"/>
    <w:rsid w:val="00FD39BE"/>
    <w:rsid w:val="00FD3C0F"/>
    <w:rsid w:val="00FE05B6"/>
    <w:rsid w:val="00FE11B5"/>
    <w:rsid w:val="00FE2485"/>
    <w:rsid w:val="00FE26D0"/>
    <w:rsid w:val="00FE2B77"/>
    <w:rsid w:val="00FE3875"/>
    <w:rsid w:val="00FE464C"/>
    <w:rsid w:val="00FE534C"/>
    <w:rsid w:val="00FE68D8"/>
    <w:rsid w:val="00FE7561"/>
    <w:rsid w:val="00FF0450"/>
    <w:rsid w:val="00FF1708"/>
    <w:rsid w:val="00FF1D9B"/>
    <w:rsid w:val="00FF24A7"/>
    <w:rsid w:val="00FF3773"/>
    <w:rsid w:val="00FF5ADB"/>
    <w:rsid w:val="00FF6669"/>
    <w:rsid w:val="00FF7556"/>
    <w:rsid w:val="00FF789D"/>
    <w:rsid w:val="00FF7D3C"/>
    <w:rsid w:val="01026F88"/>
    <w:rsid w:val="01082606"/>
    <w:rsid w:val="01280D1F"/>
    <w:rsid w:val="013B6FDE"/>
    <w:rsid w:val="01444DD9"/>
    <w:rsid w:val="021A569A"/>
    <w:rsid w:val="022D45FA"/>
    <w:rsid w:val="026E02FC"/>
    <w:rsid w:val="02713E77"/>
    <w:rsid w:val="029C49A8"/>
    <w:rsid w:val="02AB3BC6"/>
    <w:rsid w:val="036D1000"/>
    <w:rsid w:val="038D5406"/>
    <w:rsid w:val="03C02654"/>
    <w:rsid w:val="040556DD"/>
    <w:rsid w:val="041C4DD5"/>
    <w:rsid w:val="04930AF2"/>
    <w:rsid w:val="04971839"/>
    <w:rsid w:val="04AC38A6"/>
    <w:rsid w:val="04BA3BD2"/>
    <w:rsid w:val="04DD575C"/>
    <w:rsid w:val="04EB6681"/>
    <w:rsid w:val="057E50C5"/>
    <w:rsid w:val="05823514"/>
    <w:rsid w:val="058A1BC4"/>
    <w:rsid w:val="05B54C86"/>
    <w:rsid w:val="05CB3D81"/>
    <w:rsid w:val="05D40978"/>
    <w:rsid w:val="05DC3692"/>
    <w:rsid w:val="06401602"/>
    <w:rsid w:val="064B14F2"/>
    <w:rsid w:val="06895398"/>
    <w:rsid w:val="06A37BC5"/>
    <w:rsid w:val="07024AB1"/>
    <w:rsid w:val="071852DE"/>
    <w:rsid w:val="072B090B"/>
    <w:rsid w:val="072F1CB0"/>
    <w:rsid w:val="075229E7"/>
    <w:rsid w:val="078D1C79"/>
    <w:rsid w:val="079A2C57"/>
    <w:rsid w:val="07A33756"/>
    <w:rsid w:val="07F42A17"/>
    <w:rsid w:val="081758A3"/>
    <w:rsid w:val="085456D8"/>
    <w:rsid w:val="08565494"/>
    <w:rsid w:val="08EE4992"/>
    <w:rsid w:val="09007C8F"/>
    <w:rsid w:val="091920B7"/>
    <w:rsid w:val="09EF6C3F"/>
    <w:rsid w:val="0A570F7A"/>
    <w:rsid w:val="0A693C1B"/>
    <w:rsid w:val="0A6D10B5"/>
    <w:rsid w:val="0AB53EB2"/>
    <w:rsid w:val="0AF71E05"/>
    <w:rsid w:val="0B1A75F0"/>
    <w:rsid w:val="0B4B048C"/>
    <w:rsid w:val="0B7375E3"/>
    <w:rsid w:val="0BD65D74"/>
    <w:rsid w:val="0BEB51B8"/>
    <w:rsid w:val="0BEE3B91"/>
    <w:rsid w:val="0C1669DB"/>
    <w:rsid w:val="0C211773"/>
    <w:rsid w:val="0C8F023A"/>
    <w:rsid w:val="0C931AD8"/>
    <w:rsid w:val="0CB36820"/>
    <w:rsid w:val="0CF06059"/>
    <w:rsid w:val="0D016400"/>
    <w:rsid w:val="0D524FFD"/>
    <w:rsid w:val="0D5855FF"/>
    <w:rsid w:val="0DE57E16"/>
    <w:rsid w:val="0E372683"/>
    <w:rsid w:val="0E6F4FF2"/>
    <w:rsid w:val="0E7E40C2"/>
    <w:rsid w:val="0E9E650C"/>
    <w:rsid w:val="0EB577E3"/>
    <w:rsid w:val="0EC65BD1"/>
    <w:rsid w:val="0ED23475"/>
    <w:rsid w:val="0F6F59F5"/>
    <w:rsid w:val="0F8A7471"/>
    <w:rsid w:val="0F9864C2"/>
    <w:rsid w:val="0FB00A79"/>
    <w:rsid w:val="0FC06DD0"/>
    <w:rsid w:val="0FC12A2F"/>
    <w:rsid w:val="0FC573D0"/>
    <w:rsid w:val="0FCD241E"/>
    <w:rsid w:val="0FD23BCC"/>
    <w:rsid w:val="1026294B"/>
    <w:rsid w:val="10455A8E"/>
    <w:rsid w:val="107F02BC"/>
    <w:rsid w:val="10BE1090"/>
    <w:rsid w:val="10C3265B"/>
    <w:rsid w:val="10D12329"/>
    <w:rsid w:val="11040D1B"/>
    <w:rsid w:val="111878D8"/>
    <w:rsid w:val="111E2245"/>
    <w:rsid w:val="115A395B"/>
    <w:rsid w:val="115A7F3F"/>
    <w:rsid w:val="11674CE6"/>
    <w:rsid w:val="116F43CA"/>
    <w:rsid w:val="11802ADE"/>
    <w:rsid w:val="118E4D04"/>
    <w:rsid w:val="11B6120F"/>
    <w:rsid w:val="11C113C0"/>
    <w:rsid w:val="11EA1B1A"/>
    <w:rsid w:val="11F4067E"/>
    <w:rsid w:val="11F8216C"/>
    <w:rsid w:val="121C4DC2"/>
    <w:rsid w:val="127E572B"/>
    <w:rsid w:val="12B77C22"/>
    <w:rsid w:val="12D24F8E"/>
    <w:rsid w:val="13884A6A"/>
    <w:rsid w:val="139B3ED7"/>
    <w:rsid w:val="139D4854"/>
    <w:rsid w:val="13A16B0A"/>
    <w:rsid w:val="13B85539"/>
    <w:rsid w:val="140202DC"/>
    <w:rsid w:val="14340721"/>
    <w:rsid w:val="14476465"/>
    <w:rsid w:val="144D93E6"/>
    <w:rsid w:val="14554B45"/>
    <w:rsid w:val="14773170"/>
    <w:rsid w:val="15123D62"/>
    <w:rsid w:val="157F049C"/>
    <w:rsid w:val="158D63B9"/>
    <w:rsid w:val="15BBFBFE"/>
    <w:rsid w:val="1623346E"/>
    <w:rsid w:val="16311949"/>
    <w:rsid w:val="164D264A"/>
    <w:rsid w:val="16553F22"/>
    <w:rsid w:val="166A7BB4"/>
    <w:rsid w:val="16CF39B6"/>
    <w:rsid w:val="16D06A17"/>
    <w:rsid w:val="16DC051F"/>
    <w:rsid w:val="16E951FA"/>
    <w:rsid w:val="16FE4217"/>
    <w:rsid w:val="16FF1513"/>
    <w:rsid w:val="1717643C"/>
    <w:rsid w:val="17351550"/>
    <w:rsid w:val="17471E44"/>
    <w:rsid w:val="176F36D5"/>
    <w:rsid w:val="177269BD"/>
    <w:rsid w:val="177BBE92"/>
    <w:rsid w:val="179E5C97"/>
    <w:rsid w:val="17CC2463"/>
    <w:rsid w:val="17DD06D5"/>
    <w:rsid w:val="17DE2EE5"/>
    <w:rsid w:val="18026C0C"/>
    <w:rsid w:val="1814509C"/>
    <w:rsid w:val="18281504"/>
    <w:rsid w:val="182D0233"/>
    <w:rsid w:val="184B14B9"/>
    <w:rsid w:val="18C92125"/>
    <w:rsid w:val="18DD2780"/>
    <w:rsid w:val="18DE232D"/>
    <w:rsid w:val="18E963CF"/>
    <w:rsid w:val="18FD6646"/>
    <w:rsid w:val="192F2691"/>
    <w:rsid w:val="1A070A49"/>
    <w:rsid w:val="1A584361"/>
    <w:rsid w:val="1A7108C8"/>
    <w:rsid w:val="1A951525"/>
    <w:rsid w:val="1A995734"/>
    <w:rsid w:val="1ACE69E6"/>
    <w:rsid w:val="1AE837B6"/>
    <w:rsid w:val="1AF367AF"/>
    <w:rsid w:val="1B1975DA"/>
    <w:rsid w:val="1B407DAA"/>
    <w:rsid w:val="1B831B80"/>
    <w:rsid w:val="1B966137"/>
    <w:rsid w:val="1BCF3DD2"/>
    <w:rsid w:val="1C9D45B3"/>
    <w:rsid w:val="1CD01C99"/>
    <w:rsid w:val="1CD04AC5"/>
    <w:rsid w:val="1CF01248"/>
    <w:rsid w:val="1CFF4391"/>
    <w:rsid w:val="1D387DF8"/>
    <w:rsid w:val="1D3D286D"/>
    <w:rsid w:val="1D9255F7"/>
    <w:rsid w:val="1DB573D4"/>
    <w:rsid w:val="1DCE0C93"/>
    <w:rsid w:val="1DDC02A2"/>
    <w:rsid w:val="1DEA15EE"/>
    <w:rsid w:val="1DFBE009"/>
    <w:rsid w:val="1E193390"/>
    <w:rsid w:val="1E2D66D4"/>
    <w:rsid w:val="1E616470"/>
    <w:rsid w:val="1E6A03F1"/>
    <w:rsid w:val="1E8B697F"/>
    <w:rsid w:val="1E8E7E2F"/>
    <w:rsid w:val="1E911BEF"/>
    <w:rsid w:val="1EC037D8"/>
    <w:rsid w:val="1ED03A77"/>
    <w:rsid w:val="1EE76D90"/>
    <w:rsid w:val="1EEF5F5A"/>
    <w:rsid w:val="1F063FE0"/>
    <w:rsid w:val="1F3A42AF"/>
    <w:rsid w:val="1FA0403B"/>
    <w:rsid w:val="1FEB7333"/>
    <w:rsid w:val="1FF45575"/>
    <w:rsid w:val="20015D5F"/>
    <w:rsid w:val="202A5E57"/>
    <w:rsid w:val="20A711C5"/>
    <w:rsid w:val="20C31E08"/>
    <w:rsid w:val="20CE788D"/>
    <w:rsid w:val="20DA7041"/>
    <w:rsid w:val="2126281F"/>
    <w:rsid w:val="213476E8"/>
    <w:rsid w:val="215106AA"/>
    <w:rsid w:val="2167281F"/>
    <w:rsid w:val="21972E24"/>
    <w:rsid w:val="219C49A3"/>
    <w:rsid w:val="21CE04E0"/>
    <w:rsid w:val="21D82371"/>
    <w:rsid w:val="21DC47B6"/>
    <w:rsid w:val="21DE344B"/>
    <w:rsid w:val="22012BD9"/>
    <w:rsid w:val="22037723"/>
    <w:rsid w:val="224F7DF7"/>
    <w:rsid w:val="22975258"/>
    <w:rsid w:val="22A54340"/>
    <w:rsid w:val="22B25A52"/>
    <w:rsid w:val="22ED6D73"/>
    <w:rsid w:val="22FE1130"/>
    <w:rsid w:val="23066CDC"/>
    <w:rsid w:val="230F7587"/>
    <w:rsid w:val="232C0E0E"/>
    <w:rsid w:val="232F606F"/>
    <w:rsid w:val="23393759"/>
    <w:rsid w:val="23892703"/>
    <w:rsid w:val="23985F10"/>
    <w:rsid w:val="24294562"/>
    <w:rsid w:val="24355899"/>
    <w:rsid w:val="24A22410"/>
    <w:rsid w:val="24AA0982"/>
    <w:rsid w:val="24C551A9"/>
    <w:rsid w:val="24F544DB"/>
    <w:rsid w:val="25803332"/>
    <w:rsid w:val="263B057E"/>
    <w:rsid w:val="265B5FD7"/>
    <w:rsid w:val="26735F97"/>
    <w:rsid w:val="267521FE"/>
    <w:rsid w:val="267F5B46"/>
    <w:rsid w:val="268E79AD"/>
    <w:rsid w:val="26CE7E88"/>
    <w:rsid w:val="26D545BE"/>
    <w:rsid w:val="26D567E1"/>
    <w:rsid w:val="271C26C4"/>
    <w:rsid w:val="27250566"/>
    <w:rsid w:val="27675BE3"/>
    <w:rsid w:val="27D15952"/>
    <w:rsid w:val="27F51441"/>
    <w:rsid w:val="27FB1B78"/>
    <w:rsid w:val="28664B78"/>
    <w:rsid w:val="28764D67"/>
    <w:rsid w:val="28786E1A"/>
    <w:rsid w:val="287C45C5"/>
    <w:rsid w:val="28916B7A"/>
    <w:rsid w:val="28DA4193"/>
    <w:rsid w:val="28FD0DF7"/>
    <w:rsid w:val="291C7135"/>
    <w:rsid w:val="292D4D79"/>
    <w:rsid w:val="29683C73"/>
    <w:rsid w:val="29856CD7"/>
    <w:rsid w:val="29C62255"/>
    <w:rsid w:val="29D92341"/>
    <w:rsid w:val="2A6D06AA"/>
    <w:rsid w:val="2A746934"/>
    <w:rsid w:val="2A895E70"/>
    <w:rsid w:val="2A9776C9"/>
    <w:rsid w:val="2AC75591"/>
    <w:rsid w:val="2ACD644B"/>
    <w:rsid w:val="2B0A03A0"/>
    <w:rsid w:val="2B300A39"/>
    <w:rsid w:val="2BE315B0"/>
    <w:rsid w:val="2C250FA9"/>
    <w:rsid w:val="2C37465D"/>
    <w:rsid w:val="2C730B86"/>
    <w:rsid w:val="2CA231EC"/>
    <w:rsid w:val="2D3A0ED5"/>
    <w:rsid w:val="2D5D3DE8"/>
    <w:rsid w:val="2D64488D"/>
    <w:rsid w:val="2D732593"/>
    <w:rsid w:val="2D850500"/>
    <w:rsid w:val="2D9D643D"/>
    <w:rsid w:val="2D9E0F5C"/>
    <w:rsid w:val="2DA8231D"/>
    <w:rsid w:val="2DD613CD"/>
    <w:rsid w:val="2DDA2821"/>
    <w:rsid w:val="2E0917A2"/>
    <w:rsid w:val="2E4F367F"/>
    <w:rsid w:val="2E6147BB"/>
    <w:rsid w:val="2E8D3299"/>
    <w:rsid w:val="2EA25FA7"/>
    <w:rsid w:val="2EAC3268"/>
    <w:rsid w:val="2EFE0457"/>
    <w:rsid w:val="2F1E2B36"/>
    <w:rsid w:val="2F4E13FA"/>
    <w:rsid w:val="2F5F8100"/>
    <w:rsid w:val="2F72792F"/>
    <w:rsid w:val="2F7812A2"/>
    <w:rsid w:val="2F790D59"/>
    <w:rsid w:val="2F9230FA"/>
    <w:rsid w:val="2FA9374B"/>
    <w:rsid w:val="2FB827CF"/>
    <w:rsid w:val="2FC52FBA"/>
    <w:rsid w:val="2FCC12E7"/>
    <w:rsid w:val="2FD14541"/>
    <w:rsid w:val="30253593"/>
    <w:rsid w:val="303C0703"/>
    <w:rsid w:val="30525A2F"/>
    <w:rsid w:val="30720CCB"/>
    <w:rsid w:val="30727F1A"/>
    <w:rsid w:val="3099734E"/>
    <w:rsid w:val="310D1546"/>
    <w:rsid w:val="311D531F"/>
    <w:rsid w:val="317C3488"/>
    <w:rsid w:val="31B93F35"/>
    <w:rsid w:val="31C92C28"/>
    <w:rsid w:val="31F12D4B"/>
    <w:rsid w:val="32161BC7"/>
    <w:rsid w:val="321C72C4"/>
    <w:rsid w:val="32370010"/>
    <w:rsid w:val="324E1DFF"/>
    <w:rsid w:val="324F4F48"/>
    <w:rsid w:val="328421DA"/>
    <w:rsid w:val="329D2E32"/>
    <w:rsid w:val="3309660F"/>
    <w:rsid w:val="3312595D"/>
    <w:rsid w:val="336C6F3E"/>
    <w:rsid w:val="336F384B"/>
    <w:rsid w:val="33704071"/>
    <w:rsid w:val="33714FB3"/>
    <w:rsid w:val="339424EC"/>
    <w:rsid w:val="33A361F5"/>
    <w:rsid w:val="33AB1BEA"/>
    <w:rsid w:val="33B6720B"/>
    <w:rsid w:val="33FF1C3B"/>
    <w:rsid w:val="3426113E"/>
    <w:rsid w:val="342650B6"/>
    <w:rsid w:val="344C1DA6"/>
    <w:rsid w:val="344C593E"/>
    <w:rsid w:val="346040E6"/>
    <w:rsid w:val="346D1FF3"/>
    <w:rsid w:val="34847E6D"/>
    <w:rsid w:val="348D390C"/>
    <w:rsid w:val="34E40E58"/>
    <w:rsid w:val="35015922"/>
    <w:rsid w:val="35054CDE"/>
    <w:rsid w:val="355C2AFF"/>
    <w:rsid w:val="35955F8C"/>
    <w:rsid w:val="35B7197C"/>
    <w:rsid w:val="35E12C8E"/>
    <w:rsid w:val="35E4410F"/>
    <w:rsid w:val="35EF151C"/>
    <w:rsid w:val="362049B6"/>
    <w:rsid w:val="362B0E06"/>
    <w:rsid w:val="363477D4"/>
    <w:rsid w:val="36656FB7"/>
    <w:rsid w:val="367031F9"/>
    <w:rsid w:val="367638F0"/>
    <w:rsid w:val="36872610"/>
    <w:rsid w:val="369B0E77"/>
    <w:rsid w:val="36B95376"/>
    <w:rsid w:val="36E83213"/>
    <w:rsid w:val="377A27E2"/>
    <w:rsid w:val="37F708BD"/>
    <w:rsid w:val="38106FB5"/>
    <w:rsid w:val="38123949"/>
    <w:rsid w:val="38406349"/>
    <w:rsid w:val="38954E6B"/>
    <w:rsid w:val="38B20CEF"/>
    <w:rsid w:val="38B43C1D"/>
    <w:rsid w:val="38C06B24"/>
    <w:rsid w:val="38C1287F"/>
    <w:rsid w:val="39533B5E"/>
    <w:rsid w:val="395E0A7B"/>
    <w:rsid w:val="397B11FC"/>
    <w:rsid w:val="39B60ED4"/>
    <w:rsid w:val="39E7AB22"/>
    <w:rsid w:val="3A1E109A"/>
    <w:rsid w:val="3A390958"/>
    <w:rsid w:val="3A923AF5"/>
    <w:rsid w:val="3AAA2105"/>
    <w:rsid w:val="3AC451CB"/>
    <w:rsid w:val="3AE75F9C"/>
    <w:rsid w:val="3B020B61"/>
    <w:rsid w:val="3B0D17A4"/>
    <w:rsid w:val="3B1A57D8"/>
    <w:rsid w:val="3B3A74E0"/>
    <w:rsid w:val="3BA635DD"/>
    <w:rsid w:val="3BC22BE6"/>
    <w:rsid w:val="3BFC1534"/>
    <w:rsid w:val="3C097D31"/>
    <w:rsid w:val="3C7C25C4"/>
    <w:rsid w:val="3C89499A"/>
    <w:rsid w:val="3C8A1488"/>
    <w:rsid w:val="3CB4137B"/>
    <w:rsid w:val="3CB87E6C"/>
    <w:rsid w:val="3CDF40BA"/>
    <w:rsid w:val="3D0D04A2"/>
    <w:rsid w:val="3D1E1028"/>
    <w:rsid w:val="3D27335F"/>
    <w:rsid w:val="3D2B4A83"/>
    <w:rsid w:val="3D4E71D1"/>
    <w:rsid w:val="3D5024C8"/>
    <w:rsid w:val="3D7A072D"/>
    <w:rsid w:val="3D8C1626"/>
    <w:rsid w:val="3DE6060C"/>
    <w:rsid w:val="3DEF7246"/>
    <w:rsid w:val="3E5C76CC"/>
    <w:rsid w:val="3E6C527D"/>
    <w:rsid w:val="3EB8434B"/>
    <w:rsid w:val="3EE41ECA"/>
    <w:rsid w:val="3EEBCE6F"/>
    <w:rsid w:val="3F084759"/>
    <w:rsid w:val="3F435E87"/>
    <w:rsid w:val="3F540744"/>
    <w:rsid w:val="3F5D640E"/>
    <w:rsid w:val="3FA35810"/>
    <w:rsid w:val="3FBA10A2"/>
    <w:rsid w:val="3FC66ACD"/>
    <w:rsid w:val="3FD11053"/>
    <w:rsid w:val="3FFF6303"/>
    <w:rsid w:val="402B1E33"/>
    <w:rsid w:val="40381724"/>
    <w:rsid w:val="404D3C4C"/>
    <w:rsid w:val="40A521C3"/>
    <w:rsid w:val="40D14AE3"/>
    <w:rsid w:val="40E1210B"/>
    <w:rsid w:val="40F260C6"/>
    <w:rsid w:val="41124B86"/>
    <w:rsid w:val="415D291B"/>
    <w:rsid w:val="4188533F"/>
    <w:rsid w:val="4199411A"/>
    <w:rsid w:val="41BB2C50"/>
    <w:rsid w:val="41F27357"/>
    <w:rsid w:val="41F3509D"/>
    <w:rsid w:val="423C70E2"/>
    <w:rsid w:val="42461E9C"/>
    <w:rsid w:val="424E548C"/>
    <w:rsid w:val="426F51A5"/>
    <w:rsid w:val="426F5FBD"/>
    <w:rsid w:val="42845443"/>
    <w:rsid w:val="428B7CD7"/>
    <w:rsid w:val="429F66C6"/>
    <w:rsid w:val="42E20189"/>
    <w:rsid w:val="42F51255"/>
    <w:rsid w:val="431A7352"/>
    <w:rsid w:val="435A30B4"/>
    <w:rsid w:val="438F30C0"/>
    <w:rsid w:val="43D91551"/>
    <w:rsid w:val="43ED4E04"/>
    <w:rsid w:val="43F1511F"/>
    <w:rsid w:val="43FA016D"/>
    <w:rsid w:val="44472CBF"/>
    <w:rsid w:val="44522366"/>
    <w:rsid w:val="449B0C88"/>
    <w:rsid w:val="44B8131C"/>
    <w:rsid w:val="44B822C8"/>
    <w:rsid w:val="44C24001"/>
    <w:rsid w:val="45022243"/>
    <w:rsid w:val="452E7259"/>
    <w:rsid w:val="45590EAA"/>
    <w:rsid w:val="45863281"/>
    <w:rsid w:val="45CC611C"/>
    <w:rsid w:val="45DD6324"/>
    <w:rsid w:val="45E32B7E"/>
    <w:rsid w:val="45EA5BA0"/>
    <w:rsid w:val="45FB72EB"/>
    <w:rsid w:val="468F6DAA"/>
    <w:rsid w:val="46A77FBC"/>
    <w:rsid w:val="46DD15C6"/>
    <w:rsid w:val="472A0FDA"/>
    <w:rsid w:val="47752F68"/>
    <w:rsid w:val="47771D61"/>
    <w:rsid w:val="47B677D1"/>
    <w:rsid w:val="47ED4D46"/>
    <w:rsid w:val="48011153"/>
    <w:rsid w:val="4843149E"/>
    <w:rsid w:val="485F7C6E"/>
    <w:rsid w:val="48731E16"/>
    <w:rsid w:val="48941DC9"/>
    <w:rsid w:val="48AE321A"/>
    <w:rsid w:val="48B558E8"/>
    <w:rsid w:val="48CE2745"/>
    <w:rsid w:val="48E51AA1"/>
    <w:rsid w:val="490B4961"/>
    <w:rsid w:val="492A45BA"/>
    <w:rsid w:val="49371D95"/>
    <w:rsid w:val="49440CB6"/>
    <w:rsid w:val="49551C8E"/>
    <w:rsid w:val="497732DE"/>
    <w:rsid w:val="49781609"/>
    <w:rsid w:val="49AB0A0B"/>
    <w:rsid w:val="49D513A1"/>
    <w:rsid w:val="4A0C7F94"/>
    <w:rsid w:val="4A1268D2"/>
    <w:rsid w:val="4A381D02"/>
    <w:rsid w:val="4A6B02A5"/>
    <w:rsid w:val="4A904636"/>
    <w:rsid w:val="4AA73483"/>
    <w:rsid w:val="4AA80C79"/>
    <w:rsid w:val="4AC64EE8"/>
    <w:rsid w:val="4AC6550B"/>
    <w:rsid w:val="4ADC0759"/>
    <w:rsid w:val="4AF34F14"/>
    <w:rsid w:val="4B266977"/>
    <w:rsid w:val="4B464844"/>
    <w:rsid w:val="4B743E5D"/>
    <w:rsid w:val="4B9707C4"/>
    <w:rsid w:val="4BC452E9"/>
    <w:rsid w:val="4BF3308D"/>
    <w:rsid w:val="4C26756B"/>
    <w:rsid w:val="4C3B1F67"/>
    <w:rsid w:val="4C5635B2"/>
    <w:rsid w:val="4C6B78D0"/>
    <w:rsid w:val="4C84225E"/>
    <w:rsid w:val="4C9977A4"/>
    <w:rsid w:val="4CE04E48"/>
    <w:rsid w:val="4CFF08EC"/>
    <w:rsid w:val="4D063B3E"/>
    <w:rsid w:val="4D1831FB"/>
    <w:rsid w:val="4D364608"/>
    <w:rsid w:val="4D4F089B"/>
    <w:rsid w:val="4DA2775B"/>
    <w:rsid w:val="4DBA440F"/>
    <w:rsid w:val="4DC92958"/>
    <w:rsid w:val="4DCB03CA"/>
    <w:rsid w:val="4DD87DEA"/>
    <w:rsid w:val="4E155417"/>
    <w:rsid w:val="4E3F0F99"/>
    <w:rsid w:val="4EC304BF"/>
    <w:rsid w:val="4ED33BB4"/>
    <w:rsid w:val="4ED35615"/>
    <w:rsid w:val="4F7058FB"/>
    <w:rsid w:val="4F7C16E3"/>
    <w:rsid w:val="4F915CC3"/>
    <w:rsid w:val="4FBB7AFE"/>
    <w:rsid w:val="4FE156A7"/>
    <w:rsid w:val="4FF75681"/>
    <w:rsid w:val="50051F26"/>
    <w:rsid w:val="5020156D"/>
    <w:rsid w:val="50211B14"/>
    <w:rsid w:val="503A68B5"/>
    <w:rsid w:val="503B607A"/>
    <w:rsid w:val="505B1DC5"/>
    <w:rsid w:val="505E5615"/>
    <w:rsid w:val="5070343B"/>
    <w:rsid w:val="5074443B"/>
    <w:rsid w:val="508E64BE"/>
    <w:rsid w:val="50B06AA6"/>
    <w:rsid w:val="50F6263B"/>
    <w:rsid w:val="51053BF3"/>
    <w:rsid w:val="51270EC0"/>
    <w:rsid w:val="51313D03"/>
    <w:rsid w:val="513A5539"/>
    <w:rsid w:val="51554EA2"/>
    <w:rsid w:val="515734B3"/>
    <w:rsid w:val="516B0F6F"/>
    <w:rsid w:val="51854CA3"/>
    <w:rsid w:val="51933E03"/>
    <w:rsid w:val="5195140A"/>
    <w:rsid w:val="51B701A5"/>
    <w:rsid w:val="51DC4954"/>
    <w:rsid w:val="534529CD"/>
    <w:rsid w:val="53541376"/>
    <w:rsid w:val="539179C0"/>
    <w:rsid w:val="53AB40E7"/>
    <w:rsid w:val="53B51FDC"/>
    <w:rsid w:val="53BD0BB9"/>
    <w:rsid w:val="54034444"/>
    <w:rsid w:val="545875E8"/>
    <w:rsid w:val="545B199F"/>
    <w:rsid w:val="54A379BB"/>
    <w:rsid w:val="55094987"/>
    <w:rsid w:val="55442C7A"/>
    <w:rsid w:val="556E3977"/>
    <w:rsid w:val="55742AE9"/>
    <w:rsid w:val="557C1FAA"/>
    <w:rsid w:val="55ED3497"/>
    <w:rsid w:val="56110A54"/>
    <w:rsid w:val="56170E42"/>
    <w:rsid w:val="563129AF"/>
    <w:rsid w:val="56C312ED"/>
    <w:rsid w:val="56CD7A06"/>
    <w:rsid w:val="570237F2"/>
    <w:rsid w:val="57150C83"/>
    <w:rsid w:val="572C70A3"/>
    <w:rsid w:val="573858DC"/>
    <w:rsid w:val="57621E3B"/>
    <w:rsid w:val="578F1872"/>
    <w:rsid w:val="57B225A7"/>
    <w:rsid w:val="57BD672D"/>
    <w:rsid w:val="57C2138B"/>
    <w:rsid w:val="57CE3D78"/>
    <w:rsid w:val="57EF0CBB"/>
    <w:rsid w:val="581D34D6"/>
    <w:rsid w:val="58215910"/>
    <w:rsid w:val="58275EF1"/>
    <w:rsid w:val="585C042A"/>
    <w:rsid w:val="588E21C5"/>
    <w:rsid w:val="58B147B3"/>
    <w:rsid w:val="58DA387D"/>
    <w:rsid w:val="58E3144F"/>
    <w:rsid w:val="59091DA7"/>
    <w:rsid w:val="59117B83"/>
    <w:rsid w:val="594A4681"/>
    <w:rsid w:val="5977B5E6"/>
    <w:rsid w:val="59820975"/>
    <w:rsid w:val="59AA4597"/>
    <w:rsid w:val="59B317E2"/>
    <w:rsid w:val="59B972E9"/>
    <w:rsid w:val="59BD7509"/>
    <w:rsid w:val="59D41553"/>
    <w:rsid w:val="59FA4DB3"/>
    <w:rsid w:val="5A0112B3"/>
    <w:rsid w:val="5A2C0443"/>
    <w:rsid w:val="5A4412E8"/>
    <w:rsid w:val="5A6A1BA1"/>
    <w:rsid w:val="5A7B2DEB"/>
    <w:rsid w:val="5A8922B9"/>
    <w:rsid w:val="5AB53092"/>
    <w:rsid w:val="5ACD0A4A"/>
    <w:rsid w:val="5B127639"/>
    <w:rsid w:val="5B552879"/>
    <w:rsid w:val="5B6550E6"/>
    <w:rsid w:val="5B8A1134"/>
    <w:rsid w:val="5B926561"/>
    <w:rsid w:val="5B9A0D64"/>
    <w:rsid w:val="5BCE7282"/>
    <w:rsid w:val="5BD37571"/>
    <w:rsid w:val="5BDB5C7C"/>
    <w:rsid w:val="5BFE6FE4"/>
    <w:rsid w:val="5C0A6562"/>
    <w:rsid w:val="5C2D4068"/>
    <w:rsid w:val="5C306FE8"/>
    <w:rsid w:val="5C3A7F51"/>
    <w:rsid w:val="5C3B233F"/>
    <w:rsid w:val="5C3F08AF"/>
    <w:rsid w:val="5C52273A"/>
    <w:rsid w:val="5C6264A3"/>
    <w:rsid w:val="5C680059"/>
    <w:rsid w:val="5C8D5AF2"/>
    <w:rsid w:val="5D221689"/>
    <w:rsid w:val="5E1458E8"/>
    <w:rsid w:val="5E4B4F7D"/>
    <w:rsid w:val="5E540385"/>
    <w:rsid w:val="5E5C0AE3"/>
    <w:rsid w:val="5E7F33B1"/>
    <w:rsid w:val="5EA147CA"/>
    <w:rsid w:val="5EA26F45"/>
    <w:rsid w:val="5EB82BEE"/>
    <w:rsid w:val="5ED34B71"/>
    <w:rsid w:val="5EFE773A"/>
    <w:rsid w:val="5F1024C3"/>
    <w:rsid w:val="5F163A0B"/>
    <w:rsid w:val="5F1C474F"/>
    <w:rsid w:val="5F920D48"/>
    <w:rsid w:val="5FA34F37"/>
    <w:rsid w:val="5FC03C2E"/>
    <w:rsid w:val="5FDA011D"/>
    <w:rsid w:val="60727D26"/>
    <w:rsid w:val="60970261"/>
    <w:rsid w:val="60A56859"/>
    <w:rsid w:val="61AE5BE1"/>
    <w:rsid w:val="61AF4DFC"/>
    <w:rsid w:val="61D16B75"/>
    <w:rsid w:val="61E67129"/>
    <w:rsid w:val="622C0DBC"/>
    <w:rsid w:val="62591294"/>
    <w:rsid w:val="62661143"/>
    <w:rsid w:val="627A2758"/>
    <w:rsid w:val="627F0F3C"/>
    <w:rsid w:val="62936704"/>
    <w:rsid w:val="62D6139D"/>
    <w:rsid w:val="62E16189"/>
    <w:rsid w:val="62EE5E9C"/>
    <w:rsid w:val="62FC7C7D"/>
    <w:rsid w:val="63097B66"/>
    <w:rsid w:val="633A045B"/>
    <w:rsid w:val="634532F6"/>
    <w:rsid w:val="638E4521"/>
    <w:rsid w:val="63A41B85"/>
    <w:rsid w:val="63B43FBD"/>
    <w:rsid w:val="63D33A6F"/>
    <w:rsid w:val="63DB40C2"/>
    <w:rsid w:val="63FE2FD4"/>
    <w:rsid w:val="64601CFA"/>
    <w:rsid w:val="647963FD"/>
    <w:rsid w:val="64AA5014"/>
    <w:rsid w:val="64BC4DF9"/>
    <w:rsid w:val="64CE458C"/>
    <w:rsid w:val="64FE4C97"/>
    <w:rsid w:val="651E7EBA"/>
    <w:rsid w:val="65252C35"/>
    <w:rsid w:val="654F0B8C"/>
    <w:rsid w:val="654F24D2"/>
    <w:rsid w:val="65524360"/>
    <w:rsid w:val="655D680E"/>
    <w:rsid w:val="65B54D20"/>
    <w:rsid w:val="65B94F67"/>
    <w:rsid w:val="65C36135"/>
    <w:rsid w:val="65E5599F"/>
    <w:rsid w:val="660C2E85"/>
    <w:rsid w:val="662A4CCC"/>
    <w:rsid w:val="663B03CE"/>
    <w:rsid w:val="66A7240C"/>
    <w:rsid w:val="671A5B7D"/>
    <w:rsid w:val="67605EE5"/>
    <w:rsid w:val="679017E8"/>
    <w:rsid w:val="67E80040"/>
    <w:rsid w:val="68193AF2"/>
    <w:rsid w:val="68B275AA"/>
    <w:rsid w:val="68CB6F3A"/>
    <w:rsid w:val="68E75BD7"/>
    <w:rsid w:val="690D326D"/>
    <w:rsid w:val="691E1192"/>
    <w:rsid w:val="69325494"/>
    <w:rsid w:val="695D07DC"/>
    <w:rsid w:val="696341FA"/>
    <w:rsid w:val="69957BCC"/>
    <w:rsid w:val="69B00381"/>
    <w:rsid w:val="69DF6901"/>
    <w:rsid w:val="6A366647"/>
    <w:rsid w:val="6A437D54"/>
    <w:rsid w:val="6A645A27"/>
    <w:rsid w:val="6A954690"/>
    <w:rsid w:val="6AA36FAF"/>
    <w:rsid w:val="6AB112F8"/>
    <w:rsid w:val="6AC01271"/>
    <w:rsid w:val="6AE31091"/>
    <w:rsid w:val="6AEB1E57"/>
    <w:rsid w:val="6AF633DF"/>
    <w:rsid w:val="6B6C4855"/>
    <w:rsid w:val="6B930322"/>
    <w:rsid w:val="6BB205AE"/>
    <w:rsid w:val="6BB426C9"/>
    <w:rsid w:val="6BCC74A1"/>
    <w:rsid w:val="6BD022F7"/>
    <w:rsid w:val="6BE40B7D"/>
    <w:rsid w:val="6BF64CAC"/>
    <w:rsid w:val="6C191552"/>
    <w:rsid w:val="6C210A4A"/>
    <w:rsid w:val="6C5E29E4"/>
    <w:rsid w:val="6C823EF2"/>
    <w:rsid w:val="6CAD2276"/>
    <w:rsid w:val="6CC867EB"/>
    <w:rsid w:val="6CC919DC"/>
    <w:rsid w:val="6CDF775E"/>
    <w:rsid w:val="6CE625C1"/>
    <w:rsid w:val="6D107750"/>
    <w:rsid w:val="6D1159A2"/>
    <w:rsid w:val="6D4F30A9"/>
    <w:rsid w:val="6DB0353C"/>
    <w:rsid w:val="6DDB3B54"/>
    <w:rsid w:val="6E891BA4"/>
    <w:rsid w:val="6F1525BD"/>
    <w:rsid w:val="6F5A61FC"/>
    <w:rsid w:val="6F7F87A0"/>
    <w:rsid w:val="6FAA4496"/>
    <w:rsid w:val="70414FB7"/>
    <w:rsid w:val="70834053"/>
    <w:rsid w:val="70997389"/>
    <w:rsid w:val="70B30B1E"/>
    <w:rsid w:val="70C61DF3"/>
    <w:rsid w:val="70E90114"/>
    <w:rsid w:val="71177C0E"/>
    <w:rsid w:val="71297445"/>
    <w:rsid w:val="712B4404"/>
    <w:rsid w:val="71406760"/>
    <w:rsid w:val="716D033C"/>
    <w:rsid w:val="71733CFD"/>
    <w:rsid w:val="71845E18"/>
    <w:rsid w:val="718C7542"/>
    <w:rsid w:val="71A11540"/>
    <w:rsid w:val="7211050D"/>
    <w:rsid w:val="725024BF"/>
    <w:rsid w:val="725C2B01"/>
    <w:rsid w:val="72920294"/>
    <w:rsid w:val="729F273C"/>
    <w:rsid w:val="72AA7FB3"/>
    <w:rsid w:val="72AC7D99"/>
    <w:rsid w:val="72D1633A"/>
    <w:rsid w:val="72EF27A7"/>
    <w:rsid w:val="72F27C32"/>
    <w:rsid w:val="736056AF"/>
    <w:rsid w:val="738972CE"/>
    <w:rsid w:val="738D6E5D"/>
    <w:rsid w:val="73BE0760"/>
    <w:rsid w:val="73C76A5E"/>
    <w:rsid w:val="73C96875"/>
    <w:rsid w:val="73D46628"/>
    <w:rsid w:val="741C5DCF"/>
    <w:rsid w:val="745503E2"/>
    <w:rsid w:val="74C076E1"/>
    <w:rsid w:val="74EE481B"/>
    <w:rsid w:val="75130505"/>
    <w:rsid w:val="75393547"/>
    <w:rsid w:val="75775C78"/>
    <w:rsid w:val="75830CC6"/>
    <w:rsid w:val="759056EB"/>
    <w:rsid w:val="75C615FB"/>
    <w:rsid w:val="760811C8"/>
    <w:rsid w:val="7621092D"/>
    <w:rsid w:val="766068A3"/>
    <w:rsid w:val="76A01923"/>
    <w:rsid w:val="76A24A20"/>
    <w:rsid w:val="77386D05"/>
    <w:rsid w:val="77400C32"/>
    <w:rsid w:val="77564F3B"/>
    <w:rsid w:val="77813130"/>
    <w:rsid w:val="77894988"/>
    <w:rsid w:val="77F02658"/>
    <w:rsid w:val="77F054A2"/>
    <w:rsid w:val="77F53B22"/>
    <w:rsid w:val="78181F64"/>
    <w:rsid w:val="783038BA"/>
    <w:rsid w:val="78453011"/>
    <w:rsid w:val="784A3E68"/>
    <w:rsid w:val="787927EA"/>
    <w:rsid w:val="78852DA0"/>
    <w:rsid w:val="78885D6A"/>
    <w:rsid w:val="78E40B9D"/>
    <w:rsid w:val="78F61EF0"/>
    <w:rsid w:val="78FE5C10"/>
    <w:rsid w:val="79534AA3"/>
    <w:rsid w:val="79702E77"/>
    <w:rsid w:val="7977204F"/>
    <w:rsid w:val="797B19E5"/>
    <w:rsid w:val="799C7940"/>
    <w:rsid w:val="79B72CEE"/>
    <w:rsid w:val="79B8627E"/>
    <w:rsid w:val="79D41D50"/>
    <w:rsid w:val="7A0909F7"/>
    <w:rsid w:val="7A2E714E"/>
    <w:rsid w:val="7A5609A4"/>
    <w:rsid w:val="7A5A2579"/>
    <w:rsid w:val="7A5E05B1"/>
    <w:rsid w:val="7A6564B7"/>
    <w:rsid w:val="7A79782F"/>
    <w:rsid w:val="7A7F64E5"/>
    <w:rsid w:val="7A996FD7"/>
    <w:rsid w:val="7AA81C91"/>
    <w:rsid w:val="7ACA53E2"/>
    <w:rsid w:val="7ADC4D02"/>
    <w:rsid w:val="7B3A4DC1"/>
    <w:rsid w:val="7B4C2068"/>
    <w:rsid w:val="7B8B0259"/>
    <w:rsid w:val="7BC039DA"/>
    <w:rsid w:val="7BE34BD1"/>
    <w:rsid w:val="7C211812"/>
    <w:rsid w:val="7C5A152D"/>
    <w:rsid w:val="7C5F196A"/>
    <w:rsid w:val="7C6429CE"/>
    <w:rsid w:val="7CA166B1"/>
    <w:rsid w:val="7CA3500B"/>
    <w:rsid w:val="7CC01FC2"/>
    <w:rsid w:val="7D1C416B"/>
    <w:rsid w:val="7D3A6021"/>
    <w:rsid w:val="7D4A1967"/>
    <w:rsid w:val="7D4C0208"/>
    <w:rsid w:val="7D553974"/>
    <w:rsid w:val="7D761851"/>
    <w:rsid w:val="7D7A4A32"/>
    <w:rsid w:val="7D934221"/>
    <w:rsid w:val="7DAD7713"/>
    <w:rsid w:val="7DC439B2"/>
    <w:rsid w:val="7DF32B24"/>
    <w:rsid w:val="7E0D1701"/>
    <w:rsid w:val="7E153981"/>
    <w:rsid w:val="7E2253C2"/>
    <w:rsid w:val="7E2C49C5"/>
    <w:rsid w:val="7E3E411D"/>
    <w:rsid w:val="7EA22319"/>
    <w:rsid w:val="7EAA5432"/>
    <w:rsid w:val="7EEFEF12"/>
    <w:rsid w:val="7EF7314E"/>
    <w:rsid w:val="7F1665C4"/>
    <w:rsid w:val="7F181D4B"/>
    <w:rsid w:val="7F1E0684"/>
    <w:rsid w:val="7F262598"/>
    <w:rsid w:val="7F2E59E2"/>
    <w:rsid w:val="7F4875DD"/>
    <w:rsid w:val="7F4A4000"/>
    <w:rsid w:val="7F5B2AAD"/>
    <w:rsid w:val="7FAB1ABC"/>
    <w:rsid w:val="7FD77CDB"/>
    <w:rsid w:val="7FFE841F"/>
    <w:rsid w:val="88A85D29"/>
    <w:rsid w:val="896FA202"/>
    <w:rsid w:val="B3EB3324"/>
    <w:rsid w:val="BA7B23C6"/>
    <w:rsid w:val="BF7EAFA8"/>
    <w:rsid w:val="BFEF0706"/>
    <w:rsid w:val="D4EF5D44"/>
    <w:rsid w:val="DB6B5ECC"/>
    <w:rsid w:val="DBBFA9DC"/>
    <w:rsid w:val="DCBFBEE0"/>
    <w:rsid w:val="EF6DE88C"/>
    <w:rsid w:val="EF7BC7BA"/>
    <w:rsid w:val="EFDF9F34"/>
    <w:rsid w:val="EFF7EEEA"/>
    <w:rsid w:val="F5C41064"/>
    <w:rsid w:val="F74E8D8C"/>
    <w:rsid w:val="F7E71CDE"/>
    <w:rsid w:val="FEFE2757"/>
    <w:rsid w:val="FF77CB60"/>
    <w:rsid w:val="FFDB0CA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qFormat="1"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7"/>
    <w:qFormat/>
    <w:uiPriority w:val="9"/>
    <w:pPr>
      <w:keepNext/>
      <w:spacing w:line="360" w:lineRule="auto"/>
      <w:jc w:val="center"/>
      <w:outlineLvl w:val="0"/>
    </w:pPr>
    <w:rPr>
      <w:b/>
      <w:color w:val="000000"/>
      <w:sz w:val="32"/>
    </w:rPr>
  </w:style>
  <w:style w:type="paragraph" w:styleId="4">
    <w:name w:val="heading 2"/>
    <w:basedOn w:val="1"/>
    <w:next w:val="1"/>
    <w:link w:val="71"/>
    <w:qFormat/>
    <w:uiPriority w:val="0"/>
    <w:pPr>
      <w:keepNext/>
      <w:keepLines/>
      <w:spacing w:line="360" w:lineRule="auto"/>
      <w:ind w:firstLine="200" w:firstLineChars="200"/>
      <w:outlineLvl w:val="1"/>
    </w:pPr>
    <w:rPr>
      <w:rFonts w:ascii="Arial" w:hAnsi="Arial"/>
      <w:b/>
      <w:bCs/>
      <w:szCs w:val="32"/>
    </w:rPr>
  </w:style>
  <w:style w:type="paragraph" w:styleId="5">
    <w:name w:val="heading 3"/>
    <w:basedOn w:val="1"/>
    <w:next w:val="6"/>
    <w:link w:val="72"/>
    <w:qFormat/>
    <w:uiPriority w:val="0"/>
    <w:pPr>
      <w:widowControl/>
      <w:autoSpaceDE w:val="0"/>
      <w:autoSpaceDN w:val="0"/>
      <w:spacing w:before="120" w:after="120" w:line="300" w:lineRule="auto"/>
      <w:outlineLvl w:val="2"/>
    </w:pPr>
    <w:rPr>
      <w:sz w:val="24"/>
      <w:szCs w:val="20"/>
    </w:rPr>
  </w:style>
  <w:style w:type="paragraph" w:styleId="8">
    <w:name w:val="heading 4"/>
    <w:basedOn w:val="1"/>
    <w:next w:val="1"/>
    <w:link w:val="73"/>
    <w:qFormat/>
    <w:uiPriority w:val="9"/>
    <w:pPr>
      <w:keepNext/>
      <w:keepLines/>
      <w:spacing w:before="280" w:after="290" w:line="376" w:lineRule="auto"/>
      <w:outlineLvl w:val="3"/>
    </w:pPr>
    <w:rPr>
      <w:rFonts w:ascii="Cambria" w:hAnsi="Cambria"/>
      <w:b/>
      <w:bCs/>
      <w:sz w:val="28"/>
      <w:szCs w:val="28"/>
    </w:rPr>
  </w:style>
  <w:style w:type="paragraph" w:styleId="9">
    <w:name w:val="heading 5"/>
    <w:basedOn w:val="1"/>
    <w:next w:val="1"/>
    <w:link w:val="74"/>
    <w:qFormat/>
    <w:uiPriority w:val="9"/>
    <w:pPr>
      <w:keepNext/>
      <w:keepLines/>
      <w:spacing w:before="280" w:after="290" w:line="376" w:lineRule="auto"/>
      <w:outlineLvl w:val="4"/>
    </w:pPr>
    <w:rPr>
      <w:b/>
      <w:bCs/>
      <w:sz w:val="28"/>
      <w:szCs w:val="28"/>
    </w:rPr>
  </w:style>
  <w:style w:type="paragraph" w:styleId="10">
    <w:name w:val="heading 6"/>
    <w:basedOn w:val="1"/>
    <w:next w:val="1"/>
    <w:link w:val="75"/>
    <w:qFormat/>
    <w:uiPriority w:val="9"/>
    <w:pPr>
      <w:keepNext/>
      <w:keepLines/>
      <w:tabs>
        <w:tab w:val="left" w:pos="1152"/>
        <w:tab w:val="left" w:pos="2520"/>
      </w:tabs>
      <w:spacing w:before="240" w:after="64" w:line="317" w:lineRule="auto"/>
      <w:ind w:left="2520" w:hanging="420"/>
      <w:outlineLvl w:val="5"/>
    </w:pPr>
    <w:rPr>
      <w:rFonts w:ascii="Arial" w:hAnsi="Arial" w:eastAsia="黑体"/>
      <w:b/>
      <w:bCs/>
      <w:sz w:val="24"/>
    </w:rPr>
  </w:style>
  <w:style w:type="paragraph" w:styleId="11">
    <w:name w:val="heading 7"/>
    <w:basedOn w:val="1"/>
    <w:next w:val="1"/>
    <w:link w:val="76"/>
    <w:qFormat/>
    <w:uiPriority w:val="9"/>
    <w:pPr>
      <w:keepNext/>
      <w:keepLines/>
      <w:tabs>
        <w:tab w:val="left" w:pos="1296"/>
        <w:tab w:val="left" w:pos="2940"/>
      </w:tabs>
      <w:spacing w:before="240" w:after="64" w:line="317" w:lineRule="auto"/>
      <w:ind w:left="2940" w:hanging="420"/>
      <w:outlineLvl w:val="6"/>
    </w:pPr>
    <w:rPr>
      <w:b/>
      <w:bCs/>
      <w:sz w:val="24"/>
    </w:rPr>
  </w:style>
  <w:style w:type="paragraph" w:styleId="12">
    <w:name w:val="heading 8"/>
    <w:basedOn w:val="1"/>
    <w:next w:val="1"/>
    <w:link w:val="77"/>
    <w:qFormat/>
    <w:uiPriority w:val="9"/>
    <w:pPr>
      <w:keepNext/>
      <w:keepLines/>
      <w:tabs>
        <w:tab w:val="left" w:pos="1440"/>
        <w:tab w:val="left" w:pos="3360"/>
      </w:tabs>
      <w:spacing w:before="240" w:after="64" w:line="317" w:lineRule="auto"/>
      <w:ind w:left="3360" w:hanging="420"/>
      <w:outlineLvl w:val="7"/>
    </w:pPr>
    <w:rPr>
      <w:rFonts w:ascii="Arial" w:hAnsi="Arial" w:eastAsia="黑体"/>
      <w:sz w:val="24"/>
    </w:rPr>
  </w:style>
  <w:style w:type="paragraph" w:styleId="13">
    <w:name w:val="heading 9"/>
    <w:basedOn w:val="1"/>
    <w:next w:val="1"/>
    <w:link w:val="78"/>
    <w:qFormat/>
    <w:uiPriority w:val="9"/>
    <w:pPr>
      <w:keepNext/>
      <w:keepLines/>
      <w:tabs>
        <w:tab w:val="left" w:pos="1584"/>
        <w:tab w:val="left" w:pos="3780"/>
      </w:tabs>
      <w:spacing w:before="240" w:after="64" w:line="317" w:lineRule="auto"/>
      <w:ind w:left="3780" w:hanging="420"/>
      <w:outlineLvl w:val="8"/>
    </w:pPr>
    <w:rPr>
      <w:rFonts w:ascii="Arial" w:hAnsi="Arial" w:eastAsia="黑体"/>
      <w:szCs w:val="21"/>
    </w:rPr>
  </w:style>
  <w:style w:type="character" w:default="1" w:styleId="58">
    <w:name w:val="Default Paragraph Font"/>
    <w:semiHidden/>
    <w:unhideWhenUsed/>
    <w:qFormat/>
    <w:uiPriority w:val="1"/>
  </w:style>
  <w:style w:type="table" w:default="1" w:styleId="5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oc 1"/>
    <w:basedOn w:val="1"/>
    <w:next w:val="1"/>
    <w:qFormat/>
    <w:uiPriority w:val="39"/>
    <w:pPr>
      <w:tabs>
        <w:tab w:val="right" w:leader="dot" w:pos="9403"/>
      </w:tabs>
      <w:snapToGrid w:val="0"/>
      <w:spacing w:line="360" w:lineRule="auto"/>
    </w:pPr>
    <w:rPr>
      <w:b/>
      <w:bCs/>
      <w:caps/>
    </w:rPr>
  </w:style>
  <w:style w:type="paragraph" w:styleId="6">
    <w:name w:val="Plain Text"/>
    <w:basedOn w:val="1"/>
    <w:next w:val="7"/>
    <w:link w:val="155"/>
    <w:qFormat/>
    <w:uiPriority w:val="99"/>
    <w:rPr>
      <w:rFonts w:ascii="宋体" w:hAnsi="Courier New"/>
      <w:szCs w:val="20"/>
    </w:rPr>
  </w:style>
  <w:style w:type="paragraph" w:styleId="7">
    <w:name w:val="Date"/>
    <w:basedOn w:val="1"/>
    <w:next w:val="1"/>
    <w:link w:val="119"/>
    <w:qFormat/>
    <w:uiPriority w:val="0"/>
    <w:pPr>
      <w:ind w:left="100" w:leftChars="2500"/>
    </w:pPr>
    <w:rPr>
      <w:color w:val="000000"/>
      <w:sz w:val="24"/>
    </w:rPr>
  </w:style>
  <w:style w:type="paragraph" w:styleId="14">
    <w:name w:val="List 3"/>
    <w:basedOn w:val="1"/>
    <w:qFormat/>
    <w:uiPriority w:val="0"/>
    <w:pPr>
      <w:ind w:left="100" w:leftChars="400" w:hanging="200" w:hangingChars="200"/>
    </w:pPr>
    <w:rPr>
      <w:szCs w:val="20"/>
    </w:rPr>
  </w:style>
  <w:style w:type="paragraph" w:styleId="15">
    <w:name w:val="toc 7"/>
    <w:basedOn w:val="1"/>
    <w:next w:val="1"/>
    <w:qFormat/>
    <w:uiPriority w:val="0"/>
    <w:pPr>
      <w:ind w:left="1260"/>
      <w:jc w:val="left"/>
    </w:pPr>
    <w:rPr>
      <w:sz w:val="18"/>
      <w:szCs w:val="18"/>
    </w:rPr>
  </w:style>
  <w:style w:type="paragraph" w:styleId="16">
    <w:name w:val="List Number"/>
    <w:basedOn w:val="1"/>
    <w:qFormat/>
    <w:uiPriority w:val="0"/>
    <w:pPr>
      <w:widowControl/>
      <w:tabs>
        <w:tab w:val="left" w:pos="420"/>
        <w:tab w:val="left" w:pos="454"/>
      </w:tabs>
      <w:spacing w:afterLines="50"/>
      <w:ind w:left="454" w:hanging="284"/>
      <w:jc w:val="left"/>
    </w:pPr>
    <w:rPr>
      <w:rFonts w:ascii="Arial" w:hAnsi="Arial" w:cs="Arial"/>
      <w:kern w:val="0"/>
      <w:sz w:val="24"/>
      <w:szCs w:val="20"/>
    </w:rPr>
  </w:style>
  <w:style w:type="paragraph" w:styleId="17">
    <w:name w:val="Normal Indent"/>
    <w:basedOn w:val="1"/>
    <w:link w:val="168"/>
    <w:qFormat/>
    <w:uiPriority w:val="0"/>
    <w:pPr>
      <w:ind w:firstLine="420" w:firstLineChars="200"/>
    </w:pPr>
  </w:style>
  <w:style w:type="paragraph" w:styleId="18">
    <w:name w:val="caption"/>
    <w:basedOn w:val="1"/>
    <w:next w:val="1"/>
    <w:qFormat/>
    <w:uiPriority w:val="35"/>
    <w:rPr>
      <w:rFonts w:ascii="黑体" w:hAnsi="黑体" w:eastAsia="楷体" w:cs="黑体"/>
      <w:sz w:val="20"/>
      <w:szCs w:val="20"/>
    </w:rPr>
  </w:style>
  <w:style w:type="paragraph" w:styleId="19">
    <w:name w:val="Document Map"/>
    <w:basedOn w:val="1"/>
    <w:link w:val="205"/>
    <w:qFormat/>
    <w:uiPriority w:val="0"/>
    <w:pPr>
      <w:shd w:val="clear" w:color="auto" w:fill="000080"/>
    </w:pPr>
  </w:style>
  <w:style w:type="paragraph" w:styleId="20">
    <w:name w:val="toa heading"/>
    <w:basedOn w:val="1"/>
    <w:next w:val="1"/>
    <w:qFormat/>
    <w:uiPriority w:val="0"/>
    <w:pPr>
      <w:spacing w:before="120"/>
    </w:pPr>
    <w:rPr>
      <w:rFonts w:ascii="Arial" w:hAnsi="Arial" w:cs="Arial"/>
      <w:sz w:val="24"/>
    </w:rPr>
  </w:style>
  <w:style w:type="paragraph" w:styleId="21">
    <w:name w:val="annotation text"/>
    <w:basedOn w:val="1"/>
    <w:link w:val="128"/>
    <w:qFormat/>
    <w:uiPriority w:val="0"/>
    <w:pPr>
      <w:jc w:val="left"/>
    </w:pPr>
    <w:rPr>
      <w:szCs w:val="20"/>
    </w:rPr>
  </w:style>
  <w:style w:type="paragraph" w:styleId="22">
    <w:name w:val="Body Text 3"/>
    <w:basedOn w:val="1"/>
    <w:link w:val="104"/>
    <w:qFormat/>
    <w:uiPriority w:val="0"/>
    <w:pPr>
      <w:spacing w:line="440" w:lineRule="atLeast"/>
      <w:jc w:val="center"/>
    </w:pPr>
    <w:rPr>
      <w:rFonts w:ascii="楷体_GB2312" w:eastAsia="楷体_GB2312"/>
      <w:b/>
      <w:color w:val="000000"/>
      <w:sz w:val="30"/>
    </w:rPr>
  </w:style>
  <w:style w:type="paragraph" w:styleId="23">
    <w:name w:val="Body Text"/>
    <w:basedOn w:val="1"/>
    <w:next w:val="24"/>
    <w:link w:val="70"/>
    <w:qFormat/>
    <w:uiPriority w:val="0"/>
    <w:pPr>
      <w:adjustRightInd w:val="0"/>
      <w:spacing w:line="315" w:lineRule="atLeast"/>
      <w:jc w:val="left"/>
      <w:textAlignment w:val="baseline"/>
    </w:pPr>
    <w:rPr>
      <w:rFonts w:ascii="仿宋_GB2312" w:eastAsia="仿宋_GB2312"/>
      <w:kern w:val="0"/>
      <w:sz w:val="28"/>
      <w:szCs w:val="20"/>
    </w:rPr>
  </w:style>
  <w:style w:type="paragraph" w:customStyle="1" w:styleId="24">
    <w:name w:val="Default"/>
    <w:next w:val="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26">
    <w:name w:val="Body Text Indent"/>
    <w:basedOn w:val="1"/>
    <w:link w:val="150"/>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27">
    <w:name w:val="List Number 3"/>
    <w:basedOn w:val="1"/>
    <w:qFormat/>
    <w:uiPriority w:val="0"/>
    <w:pPr>
      <w:widowControl/>
      <w:tabs>
        <w:tab w:val="left" w:pos="482"/>
        <w:tab w:val="left" w:pos="1157"/>
      </w:tabs>
      <w:spacing w:afterLines="50"/>
      <w:ind w:left="482" w:hanging="340"/>
      <w:jc w:val="left"/>
    </w:pPr>
    <w:rPr>
      <w:rFonts w:ascii="Arial" w:hAnsi="Arial" w:cs="Arial"/>
      <w:kern w:val="0"/>
      <w:sz w:val="24"/>
      <w:szCs w:val="20"/>
    </w:rPr>
  </w:style>
  <w:style w:type="paragraph" w:styleId="28">
    <w:name w:val="List 2"/>
    <w:basedOn w:val="1"/>
    <w:qFormat/>
    <w:uiPriority w:val="0"/>
    <w:pPr>
      <w:ind w:left="100" w:leftChars="200" w:hanging="200" w:hangingChars="200"/>
    </w:pPr>
  </w:style>
  <w:style w:type="paragraph" w:styleId="29">
    <w:name w:val="Block Text"/>
    <w:basedOn w:val="1"/>
    <w:qFormat/>
    <w:uiPriority w:val="0"/>
    <w:pPr>
      <w:spacing w:line="300" w:lineRule="auto"/>
      <w:ind w:left="94" w:right="47"/>
      <w:jc w:val="center"/>
    </w:pPr>
    <w:rPr>
      <w:rFonts w:ascii="宋体"/>
      <w:b/>
      <w:szCs w:val="20"/>
    </w:rPr>
  </w:style>
  <w:style w:type="paragraph" w:styleId="30">
    <w:name w:val="toc 5"/>
    <w:basedOn w:val="1"/>
    <w:next w:val="1"/>
    <w:qFormat/>
    <w:uiPriority w:val="0"/>
    <w:pPr>
      <w:ind w:left="840"/>
      <w:jc w:val="left"/>
    </w:pPr>
    <w:rPr>
      <w:sz w:val="18"/>
      <w:szCs w:val="18"/>
    </w:rPr>
  </w:style>
  <w:style w:type="paragraph" w:styleId="31">
    <w:name w:val="toc 3"/>
    <w:basedOn w:val="1"/>
    <w:next w:val="1"/>
    <w:qFormat/>
    <w:uiPriority w:val="39"/>
    <w:pPr>
      <w:ind w:left="420"/>
      <w:jc w:val="left"/>
    </w:pPr>
    <w:rPr>
      <w:i/>
      <w:iCs/>
      <w:sz w:val="20"/>
      <w:szCs w:val="20"/>
    </w:rPr>
  </w:style>
  <w:style w:type="paragraph" w:styleId="32">
    <w:name w:val="toc 8"/>
    <w:basedOn w:val="1"/>
    <w:next w:val="1"/>
    <w:qFormat/>
    <w:uiPriority w:val="0"/>
    <w:pPr>
      <w:ind w:left="1470"/>
      <w:jc w:val="left"/>
    </w:pPr>
    <w:rPr>
      <w:sz w:val="18"/>
      <w:szCs w:val="18"/>
    </w:rPr>
  </w:style>
  <w:style w:type="paragraph" w:styleId="33">
    <w:name w:val="Body Text Indent 2"/>
    <w:basedOn w:val="1"/>
    <w:link w:val="120"/>
    <w:qFormat/>
    <w:uiPriority w:val="0"/>
    <w:pPr>
      <w:widowControl/>
      <w:spacing w:line="480" w:lineRule="atLeast"/>
      <w:ind w:firstLine="480"/>
    </w:pPr>
    <w:rPr>
      <w:rFonts w:ascii="宋体"/>
      <w:kern w:val="0"/>
      <w:sz w:val="24"/>
      <w:szCs w:val="20"/>
    </w:rPr>
  </w:style>
  <w:style w:type="paragraph" w:styleId="34">
    <w:name w:val="Balloon Text"/>
    <w:basedOn w:val="1"/>
    <w:link w:val="166"/>
    <w:qFormat/>
    <w:uiPriority w:val="99"/>
    <w:rPr>
      <w:sz w:val="18"/>
      <w:szCs w:val="18"/>
    </w:rPr>
  </w:style>
  <w:style w:type="paragraph" w:styleId="35">
    <w:name w:val="footer"/>
    <w:basedOn w:val="1"/>
    <w:next w:val="36"/>
    <w:link w:val="152"/>
    <w:qFormat/>
    <w:uiPriority w:val="99"/>
    <w:pPr>
      <w:pBdr>
        <w:top w:val="single" w:color="auto" w:sz="4" w:space="1"/>
      </w:pBdr>
      <w:tabs>
        <w:tab w:val="center" w:pos="4153"/>
        <w:tab w:val="right" w:pos="8306"/>
      </w:tabs>
      <w:snapToGrid w:val="0"/>
      <w:jc w:val="left"/>
    </w:pPr>
    <w:rPr>
      <w:sz w:val="18"/>
      <w:szCs w:val="18"/>
    </w:rPr>
  </w:style>
  <w:style w:type="paragraph" w:styleId="36">
    <w:name w:val="toc 2"/>
    <w:basedOn w:val="1"/>
    <w:next w:val="1"/>
    <w:qFormat/>
    <w:uiPriority w:val="39"/>
    <w:pPr>
      <w:tabs>
        <w:tab w:val="right" w:leader="dot" w:pos="9403"/>
      </w:tabs>
      <w:snapToGrid w:val="0"/>
      <w:spacing w:line="360" w:lineRule="auto"/>
      <w:ind w:firstLine="200" w:firstLineChars="200"/>
    </w:pPr>
    <w:rPr>
      <w:smallCaps/>
    </w:rPr>
  </w:style>
  <w:style w:type="paragraph" w:styleId="37">
    <w:name w:val="header"/>
    <w:basedOn w:val="1"/>
    <w:link w:val="129"/>
    <w:qFormat/>
    <w:uiPriority w:val="99"/>
    <w:pPr>
      <w:pBdr>
        <w:bottom w:val="single" w:color="auto" w:sz="6" w:space="1"/>
      </w:pBdr>
      <w:tabs>
        <w:tab w:val="center" w:pos="4153"/>
        <w:tab w:val="right" w:pos="8306"/>
      </w:tabs>
      <w:snapToGrid w:val="0"/>
      <w:jc w:val="center"/>
    </w:pPr>
    <w:rPr>
      <w:sz w:val="18"/>
      <w:szCs w:val="18"/>
    </w:rPr>
  </w:style>
  <w:style w:type="paragraph" w:styleId="38">
    <w:name w:val="toc 4"/>
    <w:basedOn w:val="1"/>
    <w:next w:val="1"/>
    <w:qFormat/>
    <w:uiPriority w:val="0"/>
    <w:pPr>
      <w:ind w:left="630"/>
      <w:jc w:val="left"/>
    </w:pPr>
    <w:rPr>
      <w:sz w:val="18"/>
      <w:szCs w:val="18"/>
    </w:rPr>
  </w:style>
  <w:style w:type="paragraph" w:styleId="39">
    <w:name w:val="Subtitle"/>
    <w:basedOn w:val="1"/>
    <w:next w:val="1"/>
    <w:link w:val="135"/>
    <w:qFormat/>
    <w:uiPriority w:val="11"/>
    <w:pPr>
      <w:spacing w:before="240" w:after="60" w:line="312" w:lineRule="auto"/>
      <w:jc w:val="center"/>
      <w:outlineLvl w:val="1"/>
    </w:pPr>
    <w:rPr>
      <w:rFonts w:ascii="Cambria" w:hAnsi="Cambria"/>
      <w:b/>
      <w:bCs/>
      <w:kern w:val="28"/>
      <w:sz w:val="32"/>
      <w:szCs w:val="32"/>
    </w:rPr>
  </w:style>
  <w:style w:type="paragraph" w:styleId="40">
    <w:name w:val="List"/>
    <w:basedOn w:val="1"/>
    <w:qFormat/>
    <w:uiPriority w:val="0"/>
    <w:pPr>
      <w:ind w:left="200" w:hanging="200" w:hangingChars="200"/>
    </w:pPr>
  </w:style>
  <w:style w:type="paragraph" w:styleId="41">
    <w:name w:val="footnote text"/>
    <w:basedOn w:val="1"/>
    <w:link w:val="146"/>
    <w:qFormat/>
    <w:uiPriority w:val="0"/>
    <w:pPr>
      <w:snapToGrid w:val="0"/>
      <w:jc w:val="left"/>
    </w:pPr>
    <w:rPr>
      <w:rFonts w:eastAsia="仿宋_GB2312"/>
      <w:sz w:val="18"/>
      <w:szCs w:val="18"/>
    </w:rPr>
  </w:style>
  <w:style w:type="paragraph" w:styleId="42">
    <w:name w:val="toc 6"/>
    <w:basedOn w:val="1"/>
    <w:next w:val="1"/>
    <w:qFormat/>
    <w:uiPriority w:val="0"/>
    <w:pPr>
      <w:ind w:left="1050"/>
      <w:jc w:val="left"/>
    </w:pPr>
    <w:rPr>
      <w:sz w:val="18"/>
      <w:szCs w:val="18"/>
    </w:rPr>
  </w:style>
  <w:style w:type="paragraph" w:styleId="43">
    <w:name w:val="List 5"/>
    <w:basedOn w:val="1"/>
    <w:qFormat/>
    <w:uiPriority w:val="0"/>
    <w:pPr>
      <w:ind w:left="100" w:leftChars="800" w:hanging="200" w:hangingChars="200"/>
    </w:pPr>
    <w:rPr>
      <w:szCs w:val="20"/>
    </w:rPr>
  </w:style>
  <w:style w:type="paragraph" w:styleId="44">
    <w:name w:val="Body Text Indent 3"/>
    <w:basedOn w:val="1"/>
    <w:link w:val="191"/>
    <w:qFormat/>
    <w:uiPriority w:val="0"/>
    <w:pPr>
      <w:autoSpaceDE w:val="0"/>
      <w:autoSpaceDN w:val="0"/>
      <w:spacing w:line="400" w:lineRule="atLeast"/>
      <w:ind w:firstLine="443" w:firstLineChars="200"/>
      <w:textAlignment w:val="bottom"/>
    </w:pPr>
    <w:rPr>
      <w:rFonts w:eastAsia="黑体"/>
      <w:color w:val="000000"/>
      <w:sz w:val="24"/>
    </w:rPr>
  </w:style>
  <w:style w:type="paragraph" w:styleId="45">
    <w:name w:val="toc 9"/>
    <w:basedOn w:val="1"/>
    <w:next w:val="1"/>
    <w:qFormat/>
    <w:uiPriority w:val="0"/>
    <w:pPr>
      <w:ind w:left="1680"/>
      <w:jc w:val="left"/>
    </w:pPr>
    <w:rPr>
      <w:sz w:val="18"/>
      <w:szCs w:val="18"/>
    </w:rPr>
  </w:style>
  <w:style w:type="paragraph" w:styleId="46">
    <w:name w:val="Body Text 2"/>
    <w:basedOn w:val="1"/>
    <w:link w:val="156"/>
    <w:qFormat/>
    <w:uiPriority w:val="0"/>
    <w:rPr>
      <w:b/>
      <w:bCs/>
      <w:color w:val="000000"/>
      <w:sz w:val="28"/>
    </w:rPr>
  </w:style>
  <w:style w:type="paragraph" w:styleId="47">
    <w:name w:val="List 4"/>
    <w:basedOn w:val="1"/>
    <w:qFormat/>
    <w:uiPriority w:val="0"/>
    <w:pPr>
      <w:ind w:left="100" w:leftChars="600" w:hanging="200" w:hangingChars="200"/>
    </w:pPr>
    <w:rPr>
      <w:szCs w:val="20"/>
    </w:rPr>
  </w:style>
  <w:style w:type="paragraph" w:styleId="48">
    <w:name w:val="HTML Preformatted"/>
    <w:basedOn w:val="1"/>
    <w:link w:val="8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9">
    <w:name w:val="Normal (Web)"/>
    <w:basedOn w:val="1"/>
    <w:qFormat/>
    <w:uiPriority w:val="99"/>
    <w:pPr>
      <w:widowControl/>
      <w:spacing w:before="100" w:beforeAutospacing="1" w:after="100" w:afterAutospacing="1"/>
      <w:jc w:val="left"/>
    </w:pPr>
    <w:rPr>
      <w:rFonts w:ascii="宋体" w:hAnsi="宋体"/>
      <w:kern w:val="0"/>
      <w:sz w:val="24"/>
    </w:rPr>
  </w:style>
  <w:style w:type="paragraph" w:styleId="50">
    <w:name w:val="index 1"/>
    <w:basedOn w:val="1"/>
    <w:next w:val="1"/>
    <w:qFormat/>
    <w:uiPriority w:val="0"/>
    <w:pPr>
      <w:widowControl/>
      <w:spacing w:line="360" w:lineRule="auto"/>
      <w:jc w:val="center"/>
    </w:pPr>
    <w:rPr>
      <w:rFonts w:ascii="Arial" w:hAnsi="Arial" w:cs="Arial"/>
      <w:kern w:val="0"/>
      <w:sz w:val="24"/>
    </w:rPr>
  </w:style>
  <w:style w:type="paragraph" w:styleId="51">
    <w:name w:val="index 2"/>
    <w:basedOn w:val="1"/>
    <w:next w:val="1"/>
    <w:qFormat/>
    <w:uiPriority w:val="0"/>
    <w:pPr>
      <w:ind w:left="200" w:leftChars="200"/>
    </w:pPr>
  </w:style>
  <w:style w:type="paragraph" w:styleId="52">
    <w:name w:val="Title"/>
    <w:basedOn w:val="1"/>
    <w:link w:val="141"/>
    <w:qFormat/>
    <w:uiPriority w:val="0"/>
    <w:pPr>
      <w:jc w:val="center"/>
    </w:pPr>
    <w:rPr>
      <w:sz w:val="30"/>
    </w:rPr>
  </w:style>
  <w:style w:type="paragraph" w:styleId="53">
    <w:name w:val="annotation subject"/>
    <w:basedOn w:val="21"/>
    <w:next w:val="21"/>
    <w:link w:val="139"/>
    <w:qFormat/>
    <w:uiPriority w:val="99"/>
    <w:rPr>
      <w:b/>
      <w:bCs/>
    </w:rPr>
  </w:style>
  <w:style w:type="paragraph" w:styleId="54">
    <w:name w:val="Body Text First Indent"/>
    <w:basedOn w:val="23"/>
    <w:next w:val="42"/>
    <w:link w:val="79"/>
    <w:qFormat/>
    <w:uiPriority w:val="99"/>
    <w:pPr>
      <w:adjustRightInd/>
      <w:spacing w:after="120" w:line="240" w:lineRule="auto"/>
      <w:ind w:firstLine="420" w:firstLineChars="100"/>
      <w:jc w:val="both"/>
      <w:textAlignment w:val="auto"/>
    </w:pPr>
    <w:rPr>
      <w:rFonts w:ascii="Times New Roman" w:eastAsia="宋体"/>
      <w:kern w:val="2"/>
      <w:sz w:val="21"/>
    </w:rPr>
  </w:style>
  <w:style w:type="paragraph" w:styleId="55">
    <w:name w:val="Body Text First Indent 2"/>
    <w:basedOn w:val="26"/>
    <w:link w:val="149"/>
    <w:qFormat/>
    <w:uiPriority w:val="0"/>
    <w:pPr>
      <w:widowControl w:val="0"/>
      <w:autoSpaceDE/>
      <w:autoSpaceDN/>
      <w:snapToGrid/>
      <w:spacing w:before="0" w:after="120" w:line="240" w:lineRule="auto"/>
      <w:ind w:left="420" w:leftChars="200" w:firstLine="420" w:firstLineChars="200"/>
      <w:textAlignment w:val="auto"/>
    </w:pPr>
    <w:rPr>
      <w:rFonts w:eastAsia="Century Gothic"/>
      <w:kern w:val="2"/>
      <w:sz w:val="21"/>
      <w:szCs w:val="24"/>
    </w:rPr>
  </w:style>
  <w:style w:type="table" w:styleId="57">
    <w:name w:val="Table Grid"/>
    <w:basedOn w:val="5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9">
    <w:name w:val="Strong"/>
    <w:qFormat/>
    <w:uiPriority w:val="0"/>
    <w:rPr>
      <w:b/>
    </w:rPr>
  </w:style>
  <w:style w:type="character" w:styleId="60">
    <w:name w:val="page number"/>
    <w:basedOn w:val="58"/>
    <w:qFormat/>
    <w:uiPriority w:val="0"/>
    <w:rPr>
      <w:rFonts w:eastAsia="Arial"/>
    </w:rPr>
  </w:style>
  <w:style w:type="character" w:styleId="61">
    <w:name w:val="FollowedHyperlink"/>
    <w:qFormat/>
    <w:uiPriority w:val="99"/>
    <w:rPr>
      <w:color w:val="800080"/>
      <w:u w:val="single"/>
    </w:rPr>
  </w:style>
  <w:style w:type="character" w:styleId="62">
    <w:name w:val="Emphasis"/>
    <w:qFormat/>
    <w:uiPriority w:val="20"/>
    <w:rPr>
      <w:color w:val="CC0033"/>
    </w:rPr>
  </w:style>
  <w:style w:type="character" w:styleId="63">
    <w:name w:val="Hyperlink"/>
    <w:qFormat/>
    <w:uiPriority w:val="99"/>
    <w:rPr>
      <w:color w:val="0000FF"/>
      <w:u w:val="single"/>
    </w:rPr>
  </w:style>
  <w:style w:type="character" w:styleId="64">
    <w:name w:val="annotation reference"/>
    <w:qFormat/>
    <w:uiPriority w:val="0"/>
    <w:rPr>
      <w:sz w:val="21"/>
      <w:szCs w:val="21"/>
    </w:rPr>
  </w:style>
  <w:style w:type="character" w:styleId="65">
    <w:name w:val="HTML Sample"/>
    <w:basedOn w:val="58"/>
    <w:semiHidden/>
    <w:unhideWhenUsed/>
    <w:qFormat/>
    <w:uiPriority w:val="0"/>
    <w:rPr>
      <w:rFonts w:ascii="Courier New" w:hAnsi="Courier New"/>
    </w:rPr>
  </w:style>
  <w:style w:type="paragraph" w:styleId="66">
    <w:name w:val="List Paragraph"/>
    <w:basedOn w:val="1"/>
    <w:qFormat/>
    <w:uiPriority w:val="34"/>
    <w:pPr>
      <w:ind w:firstLine="420" w:firstLineChars="200"/>
    </w:pPr>
  </w:style>
  <w:style w:type="character" w:customStyle="1" w:styleId="67">
    <w:name w:val="标题 1 Char"/>
    <w:link w:val="3"/>
    <w:qFormat/>
    <w:uiPriority w:val="9"/>
    <w:rPr>
      <w:rFonts w:eastAsia="宋体"/>
      <w:b/>
      <w:color w:val="000000"/>
      <w:kern w:val="2"/>
      <w:sz w:val="32"/>
      <w:szCs w:val="24"/>
      <w:lang w:val="en-US" w:eastAsia="zh-CN" w:bidi="ar-SA"/>
    </w:rPr>
  </w:style>
  <w:style w:type="paragraph" w:customStyle="1" w:styleId="68">
    <w:name w:val="首行缩进"/>
    <w:basedOn w:val="1"/>
    <w:qFormat/>
    <w:uiPriority w:val="99"/>
    <w:pPr>
      <w:spacing w:line="360" w:lineRule="auto"/>
      <w:ind w:firstLine="480" w:firstLineChars="200"/>
    </w:pPr>
    <w:rPr>
      <w:szCs w:val="22"/>
    </w:rPr>
  </w:style>
  <w:style w:type="paragraph" w:customStyle="1" w:styleId="69">
    <w:name w:val="正文首行缩进 21"/>
    <w:basedOn w:val="26"/>
    <w:qFormat/>
    <w:uiPriority w:val="0"/>
    <w:pPr>
      <w:ind w:firstLine="210"/>
    </w:pPr>
  </w:style>
  <w:style w:type="character" w:customStyle="1" w:styleId="70">
    <w:name w:val="正文文本 Char"/>
    <w:link w:val="23"/>
    <w:qFormat/>
    <w:uiPriority w:val="99"/>
    <w:rPr>
      <w:rFonts w:ascii="仿宋_GB2312" w:eastAsia="仿宋_GB2312"/>
      <w:sz w:val="28"/>
    </w:rPr>
  </w:style>
  <w:style w:type="character" w:customStyle="1" w:styleId="71">
    <w:name w:val="标题 2 Char"/>
    <w:basedOn w:val="58"/>
    <w:link w:val="4"/>
    <w:qFormat/>
    <w:uiPriority w:val="0"/>
    <w:rPr>
      <w:rFonts w:ascii="Arial" w:hAnsi="Arial" w:eastAsia="宋体"/>
      <w:b/>
      <w:bCs/>
      <w:kern w:val="2"/>
      <w:sz w:val="21"/>
      <w:szCs w:val="32"/>
      <w:lang w:val="en-US" w:eastAsia="zh-CN" w:bidi="ar-SA"/>
    </w:rPr>
  </w:style>
  <w:style w:type="character" w:customStyle="1" w:styleId="72">
    <w:name w:val="标题 3 Char"/>
    <w:link w:val="5"/>
    <w:qFormat/>
    <w:uiPriority w:val="9"/>
    <w:rPr>
      <w:kern w:val="2"/>
      <w:sz w:val="24"/>
    </w:rPr>
  </w:style>
  <w:style w:type="character" w:customStyle="1" w:styleId="73">
    <w:name w:val="标题 4 Char"/>
    <w:link w:val="8"/>
    <w:qFormat/>
    <w:uiPriority w:val="9"/>
    <w:rPr>
      <w:rFonts w:ascii="Cambria" w:hAnsi="Cambria"/>
      <w:b/>
      <w:bCs/>
      <w:kern w:val="2"/>
      <w:sz w:val="28"/>
      <w:szCs w:val="28"/>
    </w:rPr>
  </w:style>
  <w:style w:type="character" w:customStyle="1" w:styleId="74">
    <w:name w:val="标题 5 Char"/>
    <w:link w:val="9"/>
    <w:qFormat/>
    <w:uiPriority w:val="9"/>
    <w:rPr>
      <w:b/>
      <w:bCs/>
      <w:kern w:val="2"/>
      <w:sz w:val="28"/>
      <w:szCs w:val="28"/>
    </w:rPr>
  </w:style>
  <w:style w:type="character" w:customStyle="1" w:styleId="75">
    <w:name w:val="标题 6 Char"/>
    <w:link w:val="10"/>
    <w:qFormat/>
    <w:uiPriority w:val="9"/>
    <w:rPr>
      <w:rFonts w:ascii="Arial" w:hAnsi="Arial" w:eastAsia="黑体"/>
      <w:b/>
      <w:bCs/>
      <w:kern w:val="2"/>
      <w:sz w:val="24"/>
      <w:szCs w:val="24"/>
    </w:rPr>
  </w:style>
  <w:style w:type="character" w:customStyle="1" w:styleId="76">
    <w:name w:val="标题 7 Char"/>
    <w:link w:val="11"/>
    <w:qFormat/>
    <w:uiPriority w:val="9"/>
    <w:rPr>
      <w:b/>
      <w:bCs/>
      <w:kern w:val="2"/>
      <w:sz w:val="24"/>
      <w:szCs w:val="24"/>
    </w:rPr>
  </w:style>
  <w:style w:type="character" w:customStyle="1" w:styleId="77">
    <w:name w:val="标题 8 Char"/>
    <w:link w:val="12"/>
    <w:qFormat/>
    <w:uiPriority w:val="9"/>
    <w:rPr>
      <w:rFonts w:ascii="Arial" w:hAnsi="Arial" w:eastAsia="黑体"/>
      <w:kern w:val="2"/>
      <w:sz w:val="24"/>
      <w:szCs w:val="24"/>
    </w:rPr>
  </w:style>
  <w:style w:type="character" w:customStyle="1" w:styleId="78">
    <w:name w:val="标题 9 Char"/>
    <w:link w:val="13"/>
    <w:qFormat/>
    <w:uiPriority w:val="9"/>
    <w:rPr>
      <w:rFonts w:ascii="Arial" w:hAnsi="Arial" w:eastAsia="黑体"/>
      <w:kern w:val="2"/>
      <w:sz w:val="21"/>
      <w:szCs w:val="21"/>
    </w:rPr>
  </w:style>
  <w:style w:type="character" w:customStyle="1" w:styleId="79">
    <w:name w:val="正文首行缩进 Char"/>
    <w:link w:val="54"/>
    <w:qFormat/>
    <w:uiPriority w:val="0"/>
    <w:rPr>
      <w:kern w:val="2"/>
      <w:sz w:val="21"/>
    </w:rPr>
  </w:style>
  <w:style w:type="character" w:customStyle="1" w:styleId="80">
    <w:name w:val="普通文字 Char1"/>
    <w:qFormat/>
    <w:uiPriority w:val="0"/>
    <w:rPr>
      <w:rFonts w:ascii="宋体" w:hAnsi="Courier New" w:eastAsia="宋体"/>
      <w:kern w:val="2"/>
      <w:sz w:val="21"/>
      <w:lang w:val="en-US" w:eastAsia="zh-CN"/>
    </w:rPr>
  </w:style>
  <w:style w:type="character" w:customStyle="1" w:styleId="81">
    <w:name w:val="自定义正文 Char"/>
    <w:link w:val="82"/>
    <w:qFormat/>
    <w:uiPriority w:val="0"/>
    <w:rPr>
      <w:rFonts w:eastAsia="仿宋"/>
      <w:kern w:val="2"/>
      <w:sz w:val="32"/>
      <w:szCs w:val="24"/>
    </w:rPr>
  </w:style>
  <w:style w:type="paragraph" w:customStyle="1" w:styleId="82">
    <w:name w:val="自定义正文"/>
    <w:basedOn w:val="1"/>
    <w:link w:val="81"/>
    <w:qFormat/>
    <w:uiPriority w:val="0"/>
    <w:pPr>
      <w:spacing w:afterLines="50" w:line="360" w:lineRule="auto"/>
      <w:ind w:firstLine="200" w:firstLineChars="200"/>
      <w:jc w:val="left"/>
    </w:pPr>
    <w:rPr>
      <w:rFonts w:eastAsia="仿宋"/>
      <w:sz w:val="32"/>
    </w:rPr>
  </w:style>
  <w:style w:type="character" w:customStyle="1" w:styleId="83">
    <w:name w:val="Char Char21"/>
    <w:qFormat/>
    <w:uiPriority w:val="0"/>
    <w:rPr>
      <w:rFonts w:eastAsia="Century Gothic"/>
      <w:b/>
      <w:bCs/>
      <w:kern w:val="44"/>
      <w:sz w:val="32"/>
      <w:szCs w:val="44"/>
      <w:lang w:val="en-US" w:eastAsia="zh-CN" w:bidi="ar-SA"/>
    </w:rPr>
  </w:style>
  <w:style w:type="character" w:customStyle="1" w:styleId="84">
    <w:name w:val="HTML 预设格式 Char"/>
    <w:link w:val="48"/>
    <w:qFormat/>
    <w:uiPriority w:val="99"/>
    <w:rPr>
      <w:rFonts w:ascii="宋体" w:hAnsi="宋体" w:cs="宋体"/>
      <w:sz w:val="24"/>
      <w:szCs w:val="24"/>
    </w:rPr>
  </w:style>
  <w:style w:type="character" w:customStyle="1" w:styleId="85">
    <w:name w:val="apple-style-span"/>
    <w:qFormat/>
    <w:uiPriority w:val="0"/>
    <w:rPr>
      <w:kern w:val="2"/>
      <w:sz w:val="24"/>
      <w:szCs w:val="24"/>
    </w:rPr>
  </w:style>
  <w:style w:type="character" w:customStyle="1" w:styleId="86">
    <w:name w:val="标准文本 Char"/>
    <w:link w:val="87"/>
    <w:qFormat/>
    <w:uiPriority w:val="0"/>
    <w:rPr>
      <w:rFonts w:ascii="Arial" w:hAnsi="Arial" w:cs="宋体"/>
      <w:kern w:val="2"/>
      <w:sz w:val="24"/>
    </w:rPr>
  </w:style>
  <w:style w:type="paragraph" w:customStyle="1" w:styleId="87">
    <w:name w:val="标准文本"/>
    <w:basedOn w:val="1"/>
    <w:link w:val="86"/>
    <w:qFormat/>
    <w:uiPriority w:val="0"/>
    <w:pPr>
      <w:spacing w:line="360" w:lineRule="auto"/>
      <w:ind w:firstLine="480" w:firstLineChars="200"/>
    </w:pPr>
    <w:rPr>
      <w:rFonts w:ascii="Arial" w:hAnsi="Arial"/>
      <w:sz w:val="24"/>
      <w:szCs w:val="20"/>
    </w:rPr>
  </w:style>
  <w:style w:type="character" w:customStyle="1" w:styleId="88">
    <w:name w:val="md"/>
    <w:qFormat/>
    <w:uiPriority w:val="0"/>
  </w:style>
  <w:style w:type="character" w:customStyle="1" w:styleId="89">
    <w:name w:val="标题 Char1"/>
    <w:qFormat/>
    <w:uiPriority w:val="10"/>
    <w:rPr>
      <w:rFonts w:ascii="Cambria" w:hAnsi="Cambria" w:cs="Times New Roman"/>
      <w:b/>
      <w:bCs/>
      <w:kern w:val="2"/>
      <w:sz w:val="32"/>
      <w:szCs w:val="32"/>
    </w:rPr>
  </w:style>
  <w:style w:type="character" w:customStyle="1" w:styleId="90">
    <w:name w:val="正文文本缩进 2 Char1"/>
    <w:semiHidden/>
    <w:qFormat/>
    <w:uiPriority w:val="99"/>
    <w:rPr>
      <w:rFonts w:ascii="Times New Roman" w:hAnsi="Times New Roman" w:eastAsia="宋体" w:cs="Times New Roman"/>
      <w:szCs w:val="20"/>
    </w:rPr>
  </w:style>
  <w:style w:type="character" w:customStyle="1" w:styleId="91">
    <w:name w:val="样式"/>
    <w:qFormat/>
    <w:uiPriority w:val="0"/>
    <w:rPr>
      <w:rFonts w:ascii="宋体" w:hAnsi="宋体" w:eastAsia="仿宋_GB2312"/>
      <w:u w:val="single"/>
    </w:rPr>
  </w:style>
  <w:style w:type="character" w:customStyle="1" w:styleId="92">
    <w:name w:val="浅色网格 - 强调文字颜色 3 Char"/>
    <w:link w:val="93"/>
    <w:qFormat/>
    <w:uiPriority w:val="0"/>
    <w:rPr>
      <w:rFonts w:eastAsia="宋体"/>
      <w:kern w:val="2"/>
      <w:sz w:val="21"/>
      <w:szCs w:val="24"/>
      <w:lang w:val="en-US" w:eastAsia="zh-CN" w:bidi="ar-SA"/>
    </w:rPr>
  </w:style>
  <w:style w:type="paragraph" w:customStyle="1" w:styleId="93">
    <w:name w:val="浅色网格 - 强调文字颜色 31"/>
    <w:basedOn w:val="1"/>
    <w:link w:val="92"/>
    <w:qFormat/>
    <w:uiPriority w:val="0"/>
    <w:pPr>
      <w:ind w:firstLine="420" w:firstLineChars="200"/>
    </w:pPr>
  </w:style>
  <w:style w:type="character" w:customStyle="1" w:styleId="94">
    <w:name w:val="公文正文 Char"/>
    <w:link w:val="95"/>
    <w:qFormat/>
    <w:uiPriority w:val="0"/>
    <w:rPr>
      <w:rFonts w:ascii="??_GB2312" w:hAnsi="??_GB2312" w:eastAsia="??_GB2312" w:cs="宋体"/>
      <w:kern w:val="2"/>
      <w:sz w:val="24"/>
      <w:szCs w:val="24"/>
    </w:rPr>
  </w:style>
  <w:style w:type="paragraph" w:customStyle="1" w:styleId="95">
    <w:name w:val="公文正文"/>
    <w:basedOn w:val="1"/>
    <w:link w:val="94"/>
    <w:qFormat/>
    <w:uiPriority w:val="0"/>
    <w:pPr>
      <w:spacing w:before="156" w:line="360" w:lineRule="auto"/>
      <w:ind w:firstLine="200" w:firstLineChars="200"/>
    </w:pPr>
    <w:rPr>
      <w:rFonts w:ascii="??_GB2312" w:hAnsi="??_GB2312" w:eastAsia="??_GB2312"/>
      <w:sz w:val="24"/>
    </w:rPr>
  </w:style>
  <w:style w:type="character" w:customStyle="1" w:styleId="96">
    <w:name w:val="正文文本 3 Char1"/>
    <w:semiHidden/>
    <w:qFormat/>
    <w:uiPriority w:val="99"/>
    <w:rPr>
      <w:rFonts w:ascii="Times New Roman" w:hAnsi="Times New Roman" w:eastAsia="宋体" w:cs="Times New Roman"/>
      <w:sz w:val="16"/>
      <w:szCs w:val="16"/>
    </w:rPr>
  </w:style>
  <w:style w:type="character" w:customStyle="1" w:styleId="97">
    <w:name w:val="日期 Char"/>
    <w:qFormat/>
    <w:uiPriority w:val="99"/>
    <w:rPr>
      <w:color w:val="000000"/>
      <w:kern w:val="2"/>
      <w:sz w:val="24"/>
      <w:szCs w:val="24"/>
    </w:rPr>
  </w:style>
  <w:style w:type="character" w:customStyle="1" w:styleId="98">
    <w:name w:val="ft1110"/>
    <w:qFormat/>
    <w:uiPriority w:val="0"/>
    <w:rPr>
      <w:rFonts w:hint="default" w:ascii="Times" w:hAnsi="Times" w:eastAsia="仿宋_GB2312"/>
      <w:color w:val="000000"/>
      <w:spacing w:val="10"/>
      <w:sz w:val="33"/>
      <w:szCs w:val="33"/>
    </w:rPr>
  </w:style>
  <w:style w:type="character" w:customStyle="1" w:styleId="99">
    <w:name w:val="批注文字 Char1"/>
    <w:qFormat/>
    <w:uiPriority w:val="99"/>
    <w:rPr>
      <w:rFonts w:ascii="Times New Roman" w:hAnsi="Times New Roman" w:eastAsia="宋体" w:cs="Times New Roman"/>
      <w:szCs w:val="20"/>
    </w:rPr>
  </w:style>
  <w:style w:type="character" w:customStyle="1" w:styleId="100">
    <w:name w:val="tpc_content1"/>
    <w:qFormat/>
    <w:uiPriority w:val="0"/>
    <w:rPr>
      <w:sz w:val="20"/>
      <w:szCs w:val="20"/>
    </w:rPr>
  </w:style>
  <w:style w:type="character" w:customStyle="1" w:styleId="101">
    <w:name w:val="页脚 Char1"/>
    <w:qFormat/>
    <w:uiPriority w:val="99"/>
    <w:rPr>
      <w:sz w:val="18"/>
      <w:szCs w:val="18"/>
    </w:rPr>
  </w:style>
  <w:style w:type="character" w:customStyle="1" w:styleId="102">
    <w:name w:val="zbggtop11 style5"/>
    <w:qFormat/>
    <w:uiPriority w:val="0"/>
    <w:rPr>
      <w:rFonts w:eastAsia="仿宋_GB2312"/>
      <w:sz w:val="28"/>
    </w:rPr>
  </w:style>
  <w:style w:type="character" w:customStyle="1" w:styleId="103">
    <w:name w:val="正文首行缩进 Char1"/>
    <w:semiHidden/>
    <w:qFormat/>
    <w:uiPriority w:val="99"/>
  </w:style>
  <w:style w:type="character" w:customStyle="1" w:styleId="104">
    <w:name w:val="正文文本 3 Char"/>
    <w:link w:val="22"/>
    <w:qFormat/>
    <w:uiPriority w:val="0"/>
    <w:rPr>
      <w:rFonts w:ascii="楷体_GB2312" w:eastAsia="楷体_GB2312"/>
      <w:b/>
      <w:color w:val="000000"/>
      <w:kern w:val="2"/>
      <w:sz w:val="30"/>
      <w:szCs w:val="24"/>
    </w:rPr>
  </w:style>
  <w:style w:type="character" w:customStyle="1" w:styleId="105">
    <w:name w:val="个人撰写风格"/>
    <w:qFormat/>
    <w:uiPriority w:val="0"/>
    <w:rPr>
      <w:rFonts w:ascii="Arial" w:hAnsi="Arial" w:eastAsia="宋体" w:cs="Arial"/>
      <w:color w:val="auto"/>
      <w:sz w:val="20"/>
    </w:rPr>
  </w:style>
  <w:style w:type="character" w:customStyle="1" w:styleId="106">
    <w:name w:val="页码1"/>
    <w:qFormat/>
    <w:uiPriority w:val="0"/>
    <w:rPr>
      <w:rFonts w:ascii="Times New Roman"/>
      <w:sz w:val="21"/>
      <w:szCs w:val="24"/>
    </w:rPr>
  </w:style>
  <w:style w:type="character" w:customStyle="1" w:styleId="107">
    <w:name w:val="Char Char4"/>
    <w:qFormat/>
    <w:uiPriority w:val="0"/>
    <w:rPr>
      <w:rFonts w:eastAsia="宋体"/>
      <w:b/>
      <w:color w:val="000000"/>
      <w:kern w:val="2"/>
      <w:sz w:val="32"/>
      <w:szCs w:val="24"/>
      <w:lang w:val="en-US" w:eastAsia="zh-CN" w:bidi="ar-SA"/>
    </w:rPr>
  </w:style>
  <w:style w:type="character" w:customStyle="1" w:styleId="108">
    <w:name w:val="style1"/>
    <w:qFormat/>
    <w:uiPriority w:val="0"/>
    <w:rPr>
      <w:rFonts w:eastAsia="仿宋_GB2312"/>
      <w:sz w:val="28"/>
    </w:rPr>
  </w:style>
  <w:style w:type="character" w:customStyle="1" w:styleId="109">
    <w:name w:val="font11"/>
    <w:qFormat/>
    <w:uiPriority w:val="0"/>
    <w:rPr>
      <w:rFonts w:hint="eastAsia" w:ascii="宋体" w:hAnsi="宋体" w:eastAsia="宋体" w:cs="宋体"/>
      <w:color w:val="000000"/>
      <w:sz w:val="21"/>
      <w:szCs w:val="21"/>
      <w:u w:val="none"/>
    </w:rPr>
  </w:style>
  <w:style w:type="character" w:customStyle="1" w:styleId="110">
    <w:name w:val="标题 3 字符1"/>
    <w:qFormat/>
    <w:uiPriority w:val="9"/>
    <w:rPr>
      <w:rFonts w:ascii="黑体" w:hAnsi="Times New Roman" w:eastAsia="黑体" w:cs="Times New Roman"/>
      <w:b/>
      <w:color w:val="000000"/>
      <w:kern w:val="0"/>
      <w:sz w:val="28"/>
      <w:szCs w:val="20"/>
      <w:lang w:val="zh-CN" w:eastAsia="zh-CN"/>
    </w:rPr>
  </w:style>
  <w:style w:type="character" w:customStyle="1" w:styleId="111">
    <w:name w:val="EmailStyle25"/>
    <w:qFormat/>
    <w:uiPriority w:val="0"/>
    <w:rPr>
      <w:rFonts w:ascii="Arial" w:hAnsi="Arial" w:eastAsia="宋体" w:cs="Arial"/>
      <w:color w:val="auto"/>
      <w:sz w:val="20"/>
    </w:rPr>
  </w:style>
  <w:style w:type="character" w:customStyle="1" w:styleId="112">
    <w:name w:val="Char Char12"/>
    <w:qFormat/>
    <w:uiPriority w:val="0"/>
    <w:rPr>
      <w:rFonts w:ascii="Century Gothic" w:hAnsi="楷体_GB2312" w:eastAsia="Century Gothic" w:cs="楷体_GB2312"/>
      <w:kern w:val="2"/>
      <w:sz w:val="21"/>
      <w:szCs w:val="21"/>
      <w:lang w:val="en-US" w:eastAsia="zh-CN" w:bidi="ar-SA"/>
    </w:rPr>
  </w:style>
  <w:style w:type="character" w:customStyle="1" w:styleId="113">
    <w:name w:val="Char Char27"/>
    <w:qFormat/>
    <w:uiPriority w:val="0"/>
    <w:rPr>
      <w:rFonts w:ascii="Times New Roman" w:hAnsi="Times New Roman"/>
      <w:b/>
      <w:bCs/>
      <w:kern w:val="2"/>
      <w:sz w:val="32"/>
      <w:szCs w:val="32"/>
    </w:rPr>
  </w:style>
  <w:style w:type="character" w:customStyle="1" w:styleId="114">
    <w:name w:val="Char Char7"/>
    <w:qFormat/>
    <w:uiPriority w:val="0"/>
    <w:rPr>
      <w:rFonts w:ascii="宋体" w:hAnsi="Courier New" w:eastAsia="宋体"/>
      <w:kern w:val="2"/>
      <w:sz w:val="21"/>
      <w:lang w:val="en-US" w:eastAsia="zh-CN" w:bidi="ar-SA"/>
    </w:rPr>
  </w:style>
  <w:style w:type="character" w:customStyle="1" w:styleId="115">
    <w:name w:val="样式 宋体 小四"/>
    <w:qFormat/>
    <w:uiPriority w:val="0"/>
    <w:rPr>
      <w:rFonts w:ascii="宋体" w:hAnsi="宋体"/>
      <w:spacing w:val="6"/>
      <w:sz w:val="24"/>
      <w:szCs w:val="24"/>
    </w:rPr>
  </w:style>
  <w:style w:type="character" w:customStyle="1" w:styleId="116">
    <w:name w:val="bigfont1"/>
    <w:qFormat/>
    <w:uiPriority w:val="0"/>
    <w:rPr>
      <w:rFonts w:hint="default"/>
      <w:color w:val="000000"/>
      <w:sz w:val="24"/>
      <w:szCs w:val="24"/>
      <w:u w:val="none"/>
    </w:rPr>
  </w:style>
  <w:style w:type="character" w:customStyle="1" w:styleId="117">
    <w:name w:val="标题 1 字符1"/>
    <w:qFormat/>
    <w:uiPriority w:val="9"/>
    <w:rPr>
      <w:rFonts w:ascii="宋体" w:hAnsi="Arial" w:eastAsia="宋体" w:cs="Times New Roman"/>
      <w:b/>
      <w:color w:val="000000"/>
      <w:kern w:val="44"/>
      <w:sz w:val="36"/>
      <w:szCs w:val="20"/>
    </w:rPr>
  </w:style>
  <w:style w:type="character" w:customStyle="1" w:styleId="118">
    <w:name w:val="内文 Char Char"/>
    <w:qFormat/>
    <w:uiPriority w:val="0"/>
    <w:rPr>
      <w:rFonts w:ascii="Arial" w:hAnsi="Arial"/>
      <w:kern w:val="2"/>
      <w:sz w:val="21"/>
      <w:lang w:val="en-US" w:eastAsia="zh-CN" w:bidi="ar-SA"/>
    </w:rPr>
  </w:style>
  <w:style w:type="character" w:customStyle="1" w:styleId="119">
    <w:name w:val="日期 Char2"/>
    <w:link w:val="7"/>
    <w:qFormat/>
    <w:uiPriority w:val="0"/>
    <w:rPr>
      <w:color w:val="000000"/>
      <w:kern w:val="2"/>
      <w:sz w:val="24"/>
      <w:szCs w:val="24"/>
    </w:rPr>
  </w:style>
  <w:style w:type="character" w:customStyle="1" w:styleId="120">
    <w:name w:val="正文文本缩进 2 Char"/>
    <w:link w:val="33"/>
    <w:qFormat/>
    <w:uiPriority w:val="0"/>
    <w:rPr>
      <w:rFonts w:ascii="宋体"/>
      <w:sz w:val="24"/>
    </w:rPr>
  </w:style>
  <w:style w:type="character" w:customStyle="1" w:styleId="121">
    <w:name w:val="标题 Char2"/>
    <w:qFormat/>
    <w:uiPriority w:val="10"/>
    <w:rPr>
      <w:rFonts w:ascii="Cambria" w:hAnsi="Cambria" w:eastAsia="宋体" w:cs="Times New Roman"/>
      <w:b/>
      <w:bCs/>
      <w:sz w:val="32"/>
      <w:szCs w:val="32"/>
    </w:rPr>
  </w:style>
  <w:style w:type="character" w:customStyle="1" w:styleId="122">
    <w:name w:val="纯文本 Char Char Char Char Char Char Char Char Char Char Char Char Char Char1"/>
    <w:qFormat/>
    <w:uiPriority w:val="0"/>
    <w:rPr>
      <w:rFonts w:ascii="Century Gothic" w:hAnsi="楷体_GB2312" w:eastAsia="宋体" w:cs="楷体_GB2312"/>
      <w:kern w:val="2"/>
      <w:sz w:val="21"/>
      <w:szCs w:val="21"/>
      <w:lang w:val="en-US" w:eastAsia="zh-CN" w:bidi="ar-SA"/>
    </w:rPr>
  </w:style>
  <w:style w:type="character" w:customStyle="1" w:styleId="123">
    <w:name w:val="批注主题 Char1"/>
    <w:semiHidden/>
    <w:qFormat/>
    <w:uiPriority w:val="99"/>
    <w:rPr>
      <w:rFonts w:ascii="Times New Roman" w:hAnsi="Times New Roman" w:eastAsia="宋体" w:cs="Times New Roman"/>
      <w:b/>
      <w:bCs/>
      <w:kern w:val="2"/>
      <w:sz w:val="21"/>
      <w:szCs w:val="20"/>
    </w:rPr>
  </w:style>
  <w:style w:type="character" w:customStyle="1" w:styleId="124">
    <w:name w:val="正文文本 2 Char1"/>
    <w:semiHidden/>
    <w:qFormat/>
    <w:uiPriority w:val="99"/>
    <w:rPr>
      <w:rFonts w:ascii="Times New Roman" w:hAnsi="Times New Roman" w:eastAsia="宋体" w:cs="Times New Roman"/>
      <w:szCs w:val="20"/>
    </w:rPr>
  </w:style>
  <w:style w:type="character" w:customStyle="1" w:styleId="125">
    <w:name w:val="apple-converted-space"/>
    <w:qFormat/>
    <w:uiPriority w:val="0"/>
    <w:rPr>
      <w:rFonts w:eastAsia="仿宋_GB2312"/>
      <w:sz w:val="28"/>
    </w:rPr>
  </w:style>
  <w:style w:type="character" w:customStyle="1" w:styleId="126">
    <w:name w:val="纯文本 Char2"/>
    <w:qFormat/>
    <w:uiPriority w:val="99"/>
    <w:rPr>
      <w:rFonts w:ascii="宋体" w:hAnsi="Courier New" w:eastAsia="宋体"/>
      <w:kern w:val="2"/>
      <w:sz w:val="21"/>
      <w:lang w:val="en-US" w:eastAsia="zh-CN" w:bidi="ar-SA"/>
    </w:rPr>
  </w:style>
  <w:style w:type="character" w:customStyle="1" w:styleId="127">
    <w:name w:val="文档结构图 Char1"/>
    <w:semiHidden/>
    <w:qFormat/>
    <w:uiPriority w:val="99"/>
    <w:rPr>
      <w:rFonts w:ascii="宋体" w:hAnsi="Times New Roman"/>
      <w:kern w:val="2"/>
      <w:sz w:val="18"/>
      <w:szCs w:val="18"/>
    </w:rPr>
  </w:style>
  <w:style w:type="character" w:customStyle="1" w:styleId="128">
    <w:name w:val="批注文字 Char"/>
    <w:link w:val="21"/>
    <w:qFormat/>
    <w:locked/>
    <w:uiPriority w:val="0"/>
    <w:rPr>
      <w:kern w:val="2"/>
      <w:sz w:val="21"/>
    </w:rPr>
  </w:style>
  <w:style w:type="character" w:customStyle="1" w:styleId="129">
    <w:name w:val="页眉 Char"/>
    <w:link w:val="37"/>
    <w:qFormat/>
    <w:uiPriority w:val="99"/>
    <w:rPr>
      <w:rFonts w:eastAsia="宋体"/>
      <w:kern w:val="2"/>
      <w:sz w:val="18"/>
      <w:szCs w:val="18"/>
      <w:lang w:val="en-US" w:eastAsia="zh-CN" w:bidi="ar-SA"/>
    </w:rPr>
  </w:style>
  <w:style w:type="character" w:customStyle="1" w:styleId="130">
    <w:name w:val="批注主题 字符1"/>
    <w:qFormat/>
    <w:uiPriority w:val="99"/>
    <w:rPr>
      <w:rFonts w:ascii="黑体" w:eastAsia="黑体"/>
    </w:rPr>
  </w:style>
  <w:style w:type="character" w:customStyle="1" w:styleId="131">
    <w:name w:val="p1481"/>
    <w:qFormat/>
    <w:uiPriority w:val="0"/>
    <w:rPr>
      <w:rFonts w:cs="Times New Roman"/>
    </w:rPr>
  </w:style>
  <w:style w:type="character" w:customStyle="1" w:styleId="132">
    <w:name w:val="font3"/>
    <w:qFormat/>
    <w:uiPriority w:val="0"/>
  </w:style>
  <w:style w:type="character" w:customStyle="1" w:styleId="133">
    <w:name w:val="彩色列表 - 强调文字颜色 1 Char"/>
    <w:link w:val="134"/>
    <w:qFormat/>
    <w:uiPriority w:val="0"/>
    <w:rPr>
      <w:kern w:val="2"/>
      <w:sz w:val="21"/>
      <w:szCs w:val="24"/>
    </w:rPr>
  </w:style>
  <w:style w:type="paragraph" w:customStyle="1" w:styleId="134">
    <w:name w:val="彩色列表 - 强调文字颜色 11"/>
    <w:basedOn w:val="1"/>
    <w:link w:val="133"/>
    <w:qFormat/>
    <w:uiPriority w:val="0"/>
    <w:pPr>
      <w:ind w:firstLine="420" w:firstLineChars="200"/>
    </w:pPr>
  </w:style>
  <w:style w:type="character" w:customStyle="1" w:styleId="135">
    <w:name w:val="副标题 Char"/>
    <w:link w:val="39"/>
    <w:qFormat/>
    <w:uiPriority w:val="11"/>
    <w:rPr>
      <w:rFonts w:ascii="Cambria" w:hAnsi="Cambria" w:eastAsia="宋体"/>
      <w:b/>
      <w:bCs/>
      <w:kern w:val="28"/>
      <w:sz w:val="32"/>
      <w:szCs w:val="32"/>
      <w:lang w:val="en-US" w:eastAsia="zh-CN" w:bidi="ar-SA"/>
    </w:rPr>
  </w:style>
  <w:style w:type="character" w:customStyle="1" w:styleId="136">
    <w:name w:val="样式 纯文本普通文字 Char纯文本 Char Char普通文字纯文本 Char Char Char Char Char...6 Char Char"/>
    <w:qFormat/>
    <w:uiPriority w:val="0"/>
    <w:rPr>
      <w:rFonts w:ascii="宋体" w:hAnsi="Courier New" w:eastAsia="宋体" w:cs="Courier New"/>
      <w:color w:val="000000"/>
      <w:kern w:val="2"/>
      <w:sz w:val="21"/>
      <w:szCs w:val="21"/>
      <w:lang w:val="en-US" w:eastAsia="zh-CN" w:bidi="ar-SA"/>
    </w:rPr>
  </w:style>
  <w:style w:type="character" w:customStyle="1" w:styleId="137">
    <w:name w:val="html_txt1"/>
    <w:qFormat/>
    <w:uiPriority w:val="0"/>
    <w:rPr>
      <w:color w:val="000000"/>
    </w:rPr>
  </w:style>
  <w:style w:type="character" w:customStyle="1" w:styleId="138">
    <w:name w:val="页眉 Char1"/>
    <w:qFormat/>
    <w:uiPriority w:val="99"/>
    <w:rPr>
      <w:sz w:val="18"/>
      <w:szCs w:val="18"/>
    </w:rPr>
  </w:style>
  <w:style w:type="character" w:customStyle="1" w:styleId="139">
    <w:name w:val="批注主题 Char"/>
    <w:link w:val="53"/>
    <w:qFormat/>
    <w:uiPriority w:val="99"/>
    <w:rPr>
      <w:b/>
      <w:bCs/>
      <w:kern w:val="2"/>
      <w:sz w:val="21"/>
    </w:rPr>
  </w:style>
  <w:style w:type="character" w:customStyle="1" w:styleId="140">
    <w:name w:val="正文文本缩进 Char"/>
    <w:qFormat/>
    <w:uiPriority w:val="0"/>
    <w:rPr>
      <w:rFonts w:ascii="宋体"/>
      <w:sz w:val="24"/>
    </w:rPr>
  </w:style>
  <w:style w:type="character" w:customStyle="1" w:styleId="141">
    <w:name w:val="标题 Char"/>
    <w:link w:val="52"/>
    <w:qFormat/>
    <w:uiPriority w:val="0"/>
    <w:rPr>
      <w:kern w:val="2"/>
      <w:sz w:val="30"/>
      <w:szCs w:val="24"/>
    </w:rPr>
  </w:style>
  <w:style w:type="character" w:customStyle="1" w:styleId="142">
    <w:name w:val="Char Char Char"/>
    <w:link w:val="143"/>
    <w:qFormat/>
    <w:uiPriority w:val="0"/>
    <w:rPr>
      <w:rFonts w:ascii="宋体" w:hAnsi="宋体" w:eastAsia="宋体"/>
      <w:b/>
      <w:kern w:val="2"/>
      <w:sz w:val="21"/>
      <w:szCs w:val="21"/>
      <w:lang w:val="en-US" w:eastAsia="zh-CN" w:bidi="ar-SA"/>
    </w:rPr>
  </w:style>
  <w:style w:type="paragraph" w:customStyle="1" w:styleId="143">
    <w:name w:val="Char5"/>
    <w:basedOn w:val="37"/>
    <w:next w:val="37"/>
    <w:link w:val="142"/>
    <w:qFormat/>
    <w:uiPriority w:val="0"/>
    <w:pPr>
      <w:snapToGrid/>
      <w:jc w:val="right"/>
    </w:pPr>
    <w:rPr>
      <w:rFonts w:ascii="宋体" w:hAnsi="宋体"/>
      <w:b/>
      <w:sz w:val="21"/>
      <w:szCs w:val="21"/>
    </w:rPr>
  </w:style>
  <w:style w:type="character" w:customStyle="1" w:styleId="144">
    <w:name w:val="样式1 Char Char"/>
    <w:link w:val="145"/>
    <w:qFormat/>
    <w:uiPriority w:val="0"/>
    <w:rPr>
      <w:rFonts w:ascii="Arial" w:hAnsi="Arial" w:eastAsia="宋体"/>
      <w:kern w:val="2"/>
      <w:sz w:val="21"/>
      <w:szCs w:val="24"/>
      <w:lang w:val="en-US" w:eastAsia="zh-CN" w:bidi="ar-SA"/>
    </w:rPr>
  </w:style>
  <w:style w:type="paragraph" w:customStyle="1" w:styleId="145">
    <w:name w:val="样式1"/>
    <w:basedOn w:val="1"/>
    <w:link w:val="144"/>
    <w:qFormat/>
    <w:uiPriority w:val="0"/>
    <w:pPr>
      <w:spacing w:line="360" w:lineRule="exact"/>
      <w:ind w:firstLine="200" w:firstLineChars="200"/>
    </w:pPr>
    <w:rPr>
      <w:rFonts w:ascii="Arial" w:hAnsi="Arial"/>
    </w:rPr>
  </w:style>
  <w:style w:type="character" w:customStyle="1" w:styleId="146">
    <w:name w:val="脚注文本 Char"/>
    <w:link w:val="41"/>
    <w:qFormat/>
    <w:uiPriority w:val="0"/>
    <w:rPr>
      <w:rFonts w:eastAsia="仿宋_GB2312"/>
      <w:kern w:val="2"/>
      <w:sz w:val="18"/>
      <w:szCs w:val="18"/>
    </w:rPr>
  </w:style>
  <w:style w:type="character" w:customStyle="1" w:styleId="147">
    <w:name w:val="bulletintext1"/>
    <w:qFormat/>
    <w:uiPriority w:val="0"/>
    <w:rPr>
      <w:rFonts w:eastAsia="仿宋_GB2312"/>
      <w:color w:val="000000"/>
      <w:sz w:val="18"/>
    </w:rPr>
  </w:style>
  <w:style w:type="character" w:customStyle="1" w:styleId="148">
    <w:name w:val="日期 Char1"/>
    <w:semiHidden/>
    <w:qFormat/>
    <w:uiPriority w:val="99"/>
    <w:rPr>
      <w:rFonts w:ascii="Times New Roman" w:hAnsi="Times New Roman" w:eastAsia="宋体" w:cs="Times New Roman"/>
      <w:szCs w:val="20"/>
    </w:rPr>
  </w:style>
  <w:style w:type="character" w:customStyle="1" w:styleId="149">
    <w:name w:val="正文首行缩进 2 Char"/>
    <w:link w:val="55"/>
    <w:qFormat/>
    <w:uiPriority w:val="0"/>
    <w:rPr>
      <w:rFonts w:ascii="宋体" w:eastAsia="Century Gothic"/>
      <w:kern w:val="2"/>
      <w:sz w:val="21"/>
      <w:szCs w:val="24"/>
    </w:rPr>
  </w:style>
  <w:style w:type="character" w:customStyle="1" w:styleId="150">
    <w:name w:val="正文文本缩进 Char2"/>
    <w:link w:val="26"/>
    <w:qFormat/>
    <w:uiPriority w:val="0"/>
    <w:rPr>
      <w:rFonts w:ascii="宋体"/>
      <w:sz w:val="24"/>
    </w:rPr>
  </w:style>
  <w:style w:type="character" w:customStyle="1" w:styleId="151">
    <w:name w:val="正文文本 Char2"/>
    <w:semiHidden/>
    <w:qFormat/>
    <w:uiPriority w:val="99"/>
    <w:rPr>
      <w:rFonts w:ascii="Times New Roman" w:hAnsi="Times New Roman" w:eastAsia="宋体" w:cs="Times New Roman"/>
      <w:szCs w:val="20"/>
    </w:rPr>
  </w:style>
  <w:style w:type="character" w:customStyle="1" w:styleId="152">
    <w:name w:val="页脚 Char"/>
    <w:link w:val="35"/>
    <w:qFormat/>
    <w:uiPriority w:val="99"/>
    <w:rPr>
      <w:rFonts w:eastAsia="宋体"/>
      <w:kern w:val="2"/>
      <w:sz w:val="18"/>
      <w:szCs w:val="18"/>
      <w:lang w:val="en-US" w:eastAsia="zh-CN" w:bidi="ar-SA"/>
    </w:rPr>
  </w:style>
  <w:style w:type="character" w:customStyle="1" w:styleId="153">
    <w:name w:val="样式 纯文本普通文字 Char纯文本 Char Char普通文字纯文本 Char Char Char Char Char...6 Char"/>
    <w:link w:val="154"/>
    <w:qFormat/>
    <w:uiPriority w:val="0"/>
    <w:rPr>
      <w:rFonts w:ascii="宋体" w:hAnsi="Courier New" w:cs="Courier New"/>
      <w:color w:val="000000"/>
      <w:szCs w:val="21"/>
    </w:rPr>
  </w:style>
  <w:style w:type="paragraph" w:customStyle="1" w:styleId="154">
    <w:name w:val="样式 纯文本普通文字 Char纯文本 Char Char普通文字纯文本 Char Char Char Char Char...6"/>
    <w:basedOn w:val="6"/>
    <w:link w:val="153"/>
    <w:qFormat/>
    <w:uiPriority w:val="0"/>
    <w:rPr>
      <w:color w:val="000000"/>
      <w:kern w:val="0"/>
      <w:sz w:val="20"/>
      <w:szCs w:val="21"/>
    </w:rPr>
  </w:style>
  <w:style w:type="character" w:customStyle="1" w:styleId="155">
    <w:name w:val="纯文本 Char"/>
    <w:link w:val="6"/>
    <w:qFormat/>
    <w:uiPriority w:val="99"/>
    <w:rPr>
      <w:rFonts w:ascii="宋体" w:hAnsi="Courier New" w:eastAsia="宋体"/>
      <w:kern w:val="2"/>
      <w:sz w:val="21"/>
      <w:lang w:val="en-US" w:eastAsia="zh-CN" w:bidi="ar-SA"/>
    </w:rPr>
  </w:style>
  <w:style w:type="character" w:customStyle="1" w:styleId="156">
    <w:name w:val="正文文本 2 Char"/>
    <w:link w:val="46"/>
    <w:qFormat/>
    <w:uiPriority w:val="0"/>
    <w:rPr>
      <w:b/>
      <w:bCs/>
      <w:color w:val="000000"/>
      <w:kern w:val="2"/>
      <w:sz w:val="28"/>
      <w:szCs w:val="24"/>
    </w:rPr>
  </w:style>
  <w:style w:type="character" w:customStyle="1" w:styleId="157">
    <w:name w:val="font01"/>
    <w:qFormat/>
    <w:uiPriority w:val="0"/>
    <w:rPr>
      <w:rFonts w:hint="default" w:ascii="媅SO" w:hAnsi="媅SO" w:eastAsia="媅SO" w:cs="媅SO"/>
      <w:color w:val="FF0000"/>
      <w:sz w:val="18"/>
      <w:szCs w:val="18"/>
      <w:u w:val="none"/>
    </w:rPr>
  </w:style>
  <w:style w:type="character" w:customStyle="1" w:styleId="158">
    <w:name w:val="Char Char1"/>
    <w:qFormat/>
    <w:uiPriority w:val="0"/>
    <w:rPr>
      <w:rFonts w:ascii="宋体" w:hAnsi="Courier New" w:eastAsia="宋体" w:cs="Times New Roman"/>
      <w:kern w:val="2"/>
      <w:sz w:val="21"/>
      <w:lang w:val="en-US" w:eastAsia="zh-CN"/>
    </w:rPr>
  </w:style>
  <w:style w:type="character" w:customStyle="1" w:styleId="159">
    <w:name w:val="htd01"/>
    <w:qFormat/>
    <w:uiPriority w:val="0"/>
  </w:style>
  <w:style w:type="character" w:customStyle="1" w:styleId="160">
    <w:name w:val="Char Char13"/>
    <w:qFormat/>
    <w:uiPriority w:val="0"/>
    <w:rPr>
      <w:rFonts w:ascii="Times New Roman" w:hAnsi="Times New Roman" w:eastAsia="宋体" w:cs="Times New Roman"/>
      <w:sz w:val="18"/>
      <w:szCs w:val="18"/>
    </w:rPr>
  </w:style>
  <w:style w:type="character" w:customStyle="1" w:styleId="161">
    <w:name w:val="无间隔 Char"/>
    <w:link w:val="162"/>
    <w:qFormat/>
    <w:uiPriority w:val="1"/>
    <w:rPr>
      <w:kern w:val="2"/>
      <w:sz w:val="24"/>
      <w:szCs w:val="22"/>
      <w:lang w:val="en-US" w:eastAsia="zh-CN" w:bidi="ar-SA"/>
    </w:rPr>
  </w:style>
  <w:style w:type="paragraph" w:customStyle="1" w:styleId="162">
    <w:name w:val="无间隔1"/>
    <w:link w:val="161"/>
    <w:qFormat/>
    <w:uiPriority w:val="1"/>
    <w:pPr>
      <w:widowControl w:val="0"/>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63">
    <w:name w:val="纯文本 Char1"/>
    <w:qFormat/>
    <w:uiPriority w:val="0"/>
    <w:rPr>
      <w:rFonts w:ascii="宋体" w:hAnsi="Courier New" w:cs="Courier New"/>
      <w:kern w:val="2"/>
      <w:sz w:val="21"/>
      <w:szCs w:val="21"/>
    </w:rPr>
  </w:style>
  <w:style w:type="character" w:customStyle="1" w:styleId="164">
    <w:name w:val="副标题 Char2"/>
    <w:qFormat/>
    <w:uiPriority w:val="11"/>
    <w:rPr>
      <w:rFonts w:ascii="Cambria" w:hAnsi="Cambria" w:eastAsia="宋体" w:cs="Times New Roman"/>
      <w:b/>
      <w:bCs/>
      <w:kern w:val="28"/>
      <w:sz w:val="32"/>
      <w:szCs w:val="32"/>
    </w:rPr>
  </w:style>
  <w:style w:type="character" w:customStyle="1" w:styleId="165">
    <w:name w:val="font51"/>
    <w:qFormat/>
    <w:uiPriority w:val="0"/>
    <w:rPr>
      <w:rFonts w:hint="eastAsia" w:ascii="宋体" w:hAnsi="宋体" w:eastAsia="宋体" w:cs="宋体"/>
      <w:color w:val="FF0000"/>
      <w:sz w:val="18"/>
      <w:szCs w:val="18"/>
      <w:u w:val="none"/>
    </w:rPr>
  </w:style>
  <w:style w:type="character" w:customStyle="1" w:styleId="166">
    <w:name w:val="批注框文本 Char"/>
    <w:link w:val="34"/>
    <w:qFormat/>
    <w:uiPriority w:val="99"/>
    <w:rPr>
      <w:kern w:val="2"/>
      <w:sz w:val="18"/>
      <w:szCs w:val="18"/>
    </w:rPr>
  </w:style>
  <w:style w:type="character" w:customStyle="1" w:styleId="167">
    <w:name w:val="zbggmain style9"/>
    <w:basedOn w:val="58"/>
    <w:qFormat/>
    <w:uiPriority w:val="0"/>
  </w:style>
  <w:style w:type="character" w:customStyle="1" w:styleId="168">
    <w:name w:val="正文缩进 Char"/>
    <w:link w:val="17"/>
    <w:qFormat/>
    <w:uiPriority w:val="0"/>
    <w:rPr>
      <w:rFonts w:eastAsia="宋体"/>
      <w:kern w:val="2"/>
      <w:sz w:val="21"/>
      <w:szCs w:val="24"/>
      <w:lang w:val="en-US" w:eastAsia="zh-CN" w:bidi="ar-SA"/>
    </w:rPr>
  </w:style>
  <w:style w:type="character" w:customStyle="1" w:styleId="169">
    <w:name w:val="info1"/>
    <w:qFormat/>
    <w:uiPriority w:val="0"/>
    <w:rPr>
      <w:sz w:val="29"/>
      <w:szCs w:val="29"/>
    </w:rPr>
  </w:style>
  <w:style w:type="character" w:customStyle="1" w:styleId="170">
    <w:name w:val="样式 标题 2 + 小四 Char Char"/>
    <w:link w:val="171"/>
    <w:qFormat/>
    <w:uiPriority w:val="0"/>
    <w:rPr>
      <w:rFonts w:ascii="宋体" w:hAnsi="宋体"/>
      <w:b/>
      <w:sz w:val="36"/>
    </w:rPr>
  </w:style>
  <w:style w:type="paragraph" w:customStyle="1" w:styleId="171">
    <w:name w:val="样式 标题 2 + 小四"/>
    <w:basedOn w:val="4"/>
    <w:link w:val="170"/>
    <w:qFormat/>
    <w:uiPriority w:val="0"/>
    <w:pPr>
      <w:tabs>
        <w:tab w:val="left" w:pos="420"/>
        <w:tab w:val="left" w:pos="576"/>
      </w:tabs>
      <w:spacing w:before="260" w:after="260" w:line="408" w:lineRule="auto"/>
      <w:jc w:val="center"/>
    </w:pPr>
    <w:rPr>
      <w:rFonts w:ascii="宋体" w:hAnsi="宋体"/>
      <w:bCs w:val="0"/>
      <w:kern w:val="0"/>
      <w:sz w:val="36"/>
      <w:szCs w:val="20"/>
    </w:rPr>
  </w:style>
  <w:style w:type="character" w:customStyle="1" w:styleId="172">
    <w:name w:val="正文文本 Char1"/>
    <w:semiHidden/>
    <w:qFormat/>
    <w:uiPriority w:val="99"/>
  </w:style>
  <w:style w:type="character" w:customStyle="1" w:styleId="173">
    <w:name w:val="访问过的超链接1"/>
    <w:qFormat/>
    <w:uiPriority w:val="0"/>
    <w:rPr>
      <w:color w:val="800080"/>
      <w:u w:val="single"/>
    </w:rPr>
  </w:style>
  <w:style w:type="character" w:customStyle="1" w:styleId="174">
    <w:name w:val="个人答复风格"/>
    <w:qFormat/>
    <w:uiPriority w:val="0"/>
    <w:rPr>
      <w:rFonts w:ascii="Arial" w:hAnsi="Arial" w:eastAsia="宋体" w:cs="Arial"/>
      <w:color w:val="auto"/>
      <w:sz w:val="20"/>
    </w:rPr>
  </w:style>
  <w:style w:type="character" w:customStyle="1" w:styleId="175">
    <w:name w:val="Char Char3"/>
    <w:qFormat/>
    <w:uiPriority w:val="0"/>
    <w:rPr>
      <w:rFonts w:ascii="Arial" w:hAnsi="Arial" w:eastAsia="宋体"/>
      <w:b/>
      <w:bCs/>
      <w:kern w:val="2"/>
      <w:sz w:val="21"/>
      <w:szCs w:val="32"/>
      <w:lang w:val="en-US" w:eastAsia="zh-CN" w:bidi="ar-SA"/>
    </w:rPr>
  </w:style>
  <w:style w:type="character" w:customStyle="1" w:styleId="176">
    <w:name w:val="彩色列表字符"/>
    <w:link w:val="177"/>
    <w:qFormat/>
    <w:uiPriority w:val="0"/>
    <w:rPr>
      <w:rFonts w:ascii="Calibri" w:hAnsi="Calibri"/>
      <w:kern w:val="2"/>
      <w:sz w:val="21"/>
      <w:szCs w:val="22"/>
    </w:rPr>
  </w:style>
  <w:style w:type="paragraph" w:customStyle="1" w:styleId="177">
    <w:name w:val="彩色列表1"/>
    <w:basedOn w:val="1"/>
    <w:link w:val="176"/>
    <w:qFormat/>
    <w:uiPriority w:val="0"/>
    <w:pPr>
      <w:ind w:firstLine="420" w:firstLineChars="200"/>
    </w:pPr>
    <w:rPr>
      <w:rFonts w:ascii="Calibri" w:hAnsi="Calibri"/>
      <w:szCs w:val="22"/>
    </w:rPr>
  </w:style>
  <w:style w:type="character" w:customStyle="1" w:styleId="178">
    <w:name w:val="unnamed51"/>
    <w:qFormat/>
    <w:uiPriority w:val="0"/>
    <w:rPr>
      <w:sz w:val="22"/>
      <w:szCs w:val="22"/>
    </w:rPr>
  </w:style>
  <w:style w:type="character" w:customStyle="1" w:styleId="179">
    <w:name w:val="正文2 Char Char"/>
    <w:qFormat/>
    <w:uiPriority w:val="0"/>
    <w:rPr>
      <w:kern w:val="2"/>
      <w:sz w:val="24"/>
    </w:rPr>
  </w:style>
  <w:style w:type="character" w:customStyle="1" w:styleId="180">
    <w:name w:val="cart_title_smaller1"/>
    <w:qFormat/>
    <w:uiPriority w:val="0"/>
    <w:rPr>
      <w:color w:val="000000"/>
      <w:sz w:val="18"/>
      <w:szCs w:val="18"/>
      <w:u w:val="none"/>
    </w:rPr>
  </w:style>
  <w:style w:type="character" w:customStyle="1" w:styleId="181">
    <w:name w:val="正文（首行缩进两字） Char"/>
    <w:qFormat/>
    <w:uiPriority w:val="0"/>
    <w:rPr>
      <w:rFonts w:eastAsia="宋体"/>
      <w:kern w:val="2"/>
      <w:sz w:val="21"/>
      <w:u w:val="single"/>
      <w:lang w:val="en-US" w:eastAsia="zh-CN" w:bidi="ar-SA"/>
    </w:rPr>
  </w:style>
  <w:style w:type="character" w:customStyle="1" w:styleId="182">
    <w:name w:val="样式1 Char Char Char"/>
    <w:qFormat/>
    <w:uiPriority w:val="0"/>
    <w:rPr>
      <w:rFonts w:ascii="Arial" w:hAnsi="Arial" w:eastAsia="宋体"/>
      <w:kern w:val="2"/>
      <w:sz w:val="21"/>
      <w:szCs w:val="24"/>
      <w:lang w:val="en-US" w:eastAsia="zh-CN" w:bidi="ar-SA"/>
    </w:rPr>
  </w:style>
  <w:style w:type="character" w:customStyle="1" w:styleId="183">
    <w:name w:val="脚注文本 Char1"/>
    <w:qFormat/>
    <w:uiPriority w:val="0"/>
    <w:rPr>
      <w:kern w:val="2"/>
      <w:sz w:val="18"/>
      <w:szCs w:val="18"/>
    </w:rPr>
  </w:style>
  <w:style w:type="character" w:customStyle="1" w:styleId="184">
    <w:name w:val="正文2 Char"/>
    <w:link w:val="185"/>
    <w:qFormat/>
    <w:uiPriority w:val="0"/>
    <w:rPr>
      <w:kern w:val="2"/>
      <w:sz w:val="24"/>
    </w:rPr>
  </w:style>
  <w:style w:type="paragraph" w:customStyle="1" w:styleId="185">
    <w:name w:val="正文2"/>
    <w:basedOn w:val="1"/>
    <w:link w:val="184"/>
    <w:qFormat/>
    <w:uiPriority w:val="0"/>
    <w:pPr>
      <w:spacing w:before="156" w:line="360" w:lineRule="auto"/>
      <w:ind w:firstLine="510" w:firstLineChars="200"/>
    </w:pPr>
    <w:rPr>
      <w:sz w:val="24"/>
      <w:szCs w:val="20"/>
    </w:rPr>
  </w:style>
  <w:style w:type="character" w:customStyle="1" w:styleId="186">
    <w:name w:val="副标题 Char1"/>
    <w:qFormat/>
    <w:uiPriority w:val="0"/>
    <w:rPr>
      <w:rFonts w:ascii="Cambria" w:hAnsi="Cambria" w:cs="Times New Roman"/>
      <w:b/>
      <w:bCs/>
      <w:kern w:val="28"/>
      <w:sz w:val="32"/>
      <w:szCs w:val="32"/>
    </w:rPr>
  </w:style>
  <w:style w:type="character" w:customStyle="1" w:styleId="187">
    <w:name w:val="纯文本 字符1"/>
    <w:qFormat/>
    <w:uiPriority w:val="99"/>
    <w:rPr>
      <w:rFonts w:ascii="宋体" w:hAnsi="Courier New"/>
    </w:rPr>
  </w:style>
  <w:style w:type="character" w:customStyle="1" w:styleId="188">
    <w:name w:val="Char Char29"/>
    <w:qFormat/>
    <w:uiPriority w:val="0"/>
    <w:rPr>
      <w:rFonts w:eastAsia="宋体"/>
      <w:b/>
      <w:bCs/>
      <w:kern w:val="44"/>
      <w:sz w:val="44"/>
      <w:szCs w:val="44"/>
      <w:lang w:val="en-US" w:eastAsia="zh-CN" w:bidi="ar-SA"/>
    </w:rPr>
  </w:style>
  <w:style w:type="character" w:customStyle="1" w:styleId="189">
    <w:name w:val="Char Char31"/>
    <w:qFormat/>
    <w:uiPriority w:val="0"/>
    <w:rPr>
      <w:rFonts w:ascii="Arial" w:hAnsi="Arial" w:eastAsia="宋体"/>
      <w:b/>
      <w:bCs/>
      <w:kern w:val="2"/>
      <w:sz w:val="21"/>
      <w:szCs w:val="32"/>
      <w:lang w:val="en-US" w:eastAsia="zh-CN" w:bidi="ar-SA"/>
    </w:rPr>
  </w:style>
  <w:style w:type="character" w:customStyle="1" w:styleId="190">
    <w:name w:val="正文文本缩进 Char1"/>
    <w:semiHidden/>
    <w:qFormat/>
    <w:uiPriority w:val="99"/>
    <w:rPr>
      <w:rFonts w:ascii="Times New Roman" w:hAnsi="Times New Roman" w:eastAsia="宋体" w:cs="Times New Roman"/>
      <w:szCs w:val="20"/>
    </w:rPr>
  </w:style>
  <w:style w:type="character" w:customStyle="1" w:styleId="191">
    <w:name w:val="正文文本缩进 3 Char"/>
    <w:link w:val="44"/>
    <w:qFormat/>
    <w:uiPriority w:val="0"/>
    <w:rPr>
      <w:rFonts w:eastAsia="黑体"/>
      <w:color w:val="000000"/>
      <w:kern w:val="2"/>
      <w:sz w:val="24"/>
      <w:szCs w:val="24"/>
    </w:rPr>
  </w:style>
  <w:style w:type="character" w:customStyle="1" w:styleId="192">
    <w:name w:val="自定义正文 Char Char"/>
    <w:qFormat/>
    <w:uiPriority w:val="0"/>
    <w:rPr>
      <w:rFonts w:eastAsia="宋体"/>
      <w:sz w:val="24"/>
    </w:rPr>
  </w:style>
  <w:style w:type="character" w:customStyle="1" w:styleId="193">
    <w:name w:val="b titlename wangputoptitle"/>
    <w:qFormat/>
    <w:uiPriority w:val="0"/>
  </w:style>
  <w:style w:type="character" w:customStyle="1" w:styleId="194">
    <w:name w:val="文档结构图 Char2"/>
    <w:semiHidden/>
    <w:qFormat/>
    <w:uiPriority w:val="99"/>
    <w:rPr>
      <w:rFonts w:ascii="宋体" w:hAnsi="Times New Roman" w:eastAsia="宋体" w:cs="Times New Roman"/>
      <w:sz w:val="18"/>
      <w:szCs w:val="18"/>
    </w:rPr>
  </w:style>
  <w:style w:type="character" w:customStyle="1" w:styleId="195">
    <w:name w:val="正文文本缩进 3 Char1"/>
    <w:semiHidden/>
    <w:qFormat/>
    <w:uiPriority w:val="99"/>
    <w:rPr>
      <w:rFonts w:ascii="Times New Roman" w:hAnsi="Times New Roman" w:eastAsia="宋体" w:cs="Times New Roman"/>
      <w:sz w:val="16"/>
      <w:szCs w:val="16"/>
    </w:rPr>
  </w:style>
  <w:style w:type="character" w:customStyle="1" w:styleId="196">
    <w:name w:val="批注框文本 Char1"/>
    <w:semiHidden/>
    <w:qFormat/>
    <w:uiPriority w:val="99"/>
    <w:rPr>
      <w:rFonts w:ascii="Times New Roman" w:hAnsi="Times New Roman" w:eastAsia="宋体" w:cs="Times New Roman"/>
      <w:sz w:val="18"/>
      <w:szCs w:val="18"/>
    </w:rPr>
  </w:style>
  <w:style w:type="character" w:customStyle="1" w:styleId="197">
    <w:name w:val="样式1 Char"/>
    <w:qFormat/>
    <w:uiPriority w:val="0"/>
    <w:rPr>
      <w:rFonts w:ascii="Arial" w:hAnsi="Arial" w:eastAsia="宋体"/>
      <w:kern w:val="2"/>
      <w:sz w:val="21"/>
      <w:szCs w:val="24"/>
      <w:lang w:val="en-US" w:eastAsia="zh-CN" w:bidi="ar-SA"/>
    </w:rPr>
  </w:style>
  <w:style w:type="character" w:customStyle="1" w:styleId="198">
    <w:name w:val="Char Char17"/>
    <w:qFormat/>
    <w:uiPriority w:val="0"/>
    <w:rPr>
      <w:rFonts w:eastAsia="宋体"/>
      <w:kern w:val="2"/>
      <w:sz w:val="21"/>
      <w:szCs w:val="24"/>
      <w:lang w:bidi="ar-SA"/>
    </w:rPr>
  </w:style>
  <w:style w:type="character" w:customStyle="1" w:styleId="199">
    <w:name w:val="Blockquote Char Char"/>
    <w:link w:val="200"/>
    <w:qFormat/>
    <w:uiPriority w:val="0"/>
    <w:rPr>
      <w:sz w:val="24"/>
    </w:rPr>
  </w:style>
  <w:style w:type="paragraph" w:customStyle="1" w:styleId="200">
    <w:name w:val="Blockquote"/>
    <w:basedOn w:val="1"/>
    <w:link w:val="199"/>
    <w:qFormat/>
    <w:uiPriority w:val="0"/>
    <w:pPr>
      <w:autoSpaceDE w:val="0"/>
      <w:autoSpaceDN w:val="0"/>
      <w:adjustRightInd w:val="0"/>
      <w:spacing w:before="100" w:after="100"/>
      <w:ind w:left="360" w:right="360"/>
      <w:jc w:val="left"/>
    </w:pPr>
    <w:rPr>
      <w:kern w:val="0"/>
      <w:sz w:val="24"/>
      <w:szCs w:val="20"/>
    </w:rPr>
  </w:style>
  <w:style w:type="character" w:customStyle="1" w:styleId="201">
    <w:name w:val="内文 Char"/>
    <w:link w:val="202"/>
    <w:qFormat/>
    <w:uiPriority w:val="0"/>
    <w:rPr>
      <w:rFonts w:ascii="Arial" w:hAnsi="Arial"/>
      <w:lang w:val="en-US" w:eastAsia="zh-CN" w:bidi="ar-SA"/>
    </w:rPr>
  </w:style>
  <w:style w:type="paragraph" w:customStyle="1" w:styleId="202">
    <w:name w:val="内文"/>
    <w:link w:val="201"/>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203">
    <w:name w:val="列出段落 字符"/>
    <w:link w:val="204"/>
    <w:qFormat/>
    <w:uiPriority w:val="0"/>
    <w:rPr>
      <w:kern w:val="2"/>
      <w:sz w:val="21"/>
      <w:szCs w:val="24"/>
    </w:rPr>
  </w:style>
  <w:style w:type="paragraph" w:customStyle="1" w:styleId="204">
    <w:name w:val="列出段落12"/>
    <w:basedOn w:val="1"/>
    <w:link w:val="203"/>
    <w:qFormat/>
    <w:uiPriority w:val="0"/>
    <w:pPr>
      <w:ind w:firstLine="420" w:firstLineChars="200"/>
    </w:pPr>
  </w:style>
  <w:style w:type="character" w:customStyle="1" w:styleId="205">
    <w:name w:val="文档结构图 Char"/>
    <w:link w:val="19"/>
    <w:qFormat/>
    <w:uiPriority w:val="0"/>
    <w:rPr>
      <w:kern w:val="2"/>
      <w:sz w:val="21"/>
      <w:szCs w:val="24"/>
      <w:shd w:val="clear" w:color="auto" w:fill="000080"/>
    </w:rPr>
  </w:style>
  <w:style w:type="character" w:customStyle="1" w:styleId="206">
    <w:name w:val="标题 1 Char Char"/>
    <w:qFormat/>
    <w:uiPriority w:val="0"/>
    <w:rPr>
      <w:rFonts w:eastAsia="宋体"/>
      <w:b/>
      <w:spacing w:val="-2"/>
      <w:sz w:val="24"/>
      <w:lang w:val="en-US" w:eastAsia="zh-CN" w:bidi="ar-SA"/>
    </w:rPr>
  </w:style>
  <w:style w:type="character" w:customStyle="1" w:styleId="207">
    <w:name w:val="Char Char15"/>
    <w:qFormat/>
    <w:uiPriority w:val="0"/>
    <w:rPr>
      <w:rFonts w:ascii="Times New Roman" w:hAnsi="Times New Roman" w:eastAsia="宋体" w:cs="Times New Roman"/>
      <w:sz w:val="18"/>
      <w:szCs w:val="18"/>
    </w:rPr>
  </w:style>
  <w:style w:type="character" w:customStyle="1" w:styleId="208">
    <w:name w:val="普通文字 Char Char2"/>
    <w:qFormat/>
    <w:uiPriority w:val="0"/>
    <w:rPr>
      <w:rFonts w:ascii="宋体" w:hAnsi="Courier New" w:eastAsia="宋体"/>
      <w:kern w:val="2"/>
      <w:sz w:val="21"/>
      <w:lang w:val="en-US" w:eastAsia="zh-CN" w:bidi="ar-SA"/>
    </w:rPr>
  </w:style>
  <w:style w:type="character" w:customStyle="1" w:styleId="209">
    <w:name w:val="标题 2 字符1"/>
    <w:qFormat/>
    <w:uiPriority w:val="0"/>
    <w:rPr>
      <w:rFonts w:ascii="Arial" w:hAnsi="Arial" w:eastAsia="黑体" w:cs="Times New Roman"/>
      <w:b/>
      <w:bCs/>
      <w:sz w:val="32"/>
      <w:szCs w:val="32"/>
      <w:lang w:val="zh-CN" w:eastAsia="zh-CN"/>
    </w:rPr>
  </w:style>
  <w:style w:type="character" w:customStyle="1" w:styleId="210">
    <w:name w:val="批注框文本 字符1"/>
    <w:qFormat/>
    <w:uiPriority w:val="99"/>
    <w:rPr>
      <w:sz w:val="18"/>
      <w:szCs w:val="18"/>
    </w:rPr>
  </w:style>
  <w:style w:type="paragraph" w:customStyle="1" w:styleId="211">
    <w:name w:val="xl33"/>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3">
    <w:name w:val="xl2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214">
    <w:name w:val="Char Char4 Char Char Char Char"/>
    <w:basedOn w:val="1"/>
    <w:qFormat/>
    <w:uiPriority w:val="0"/>
    <w:rPr>
      <w:rFonts w:eastAsia="仿宋_GB2312"/>
      <w:sz w:val="28"/>
    </w:rPr>
  </w:style>
  <w:style w:type="paragraph" w:customStyle="1" w:styleId="215">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21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217">
    <w:name w:val="正文说明"/>
    <w:basedOn w:val="1"/>
    <w:qFormat/>
    <w:uiPriority w:val="0"/>
    <w:rPr>
      <w:szCs w:val="22"/>
    </w:rPr>
  </w:style>
  <w:style w:type="paragraph" w:customStyle="1" w:styleId="218">
    <w:name w:val="Char1 Char Char Char"/>
    <w:basedOn w:val="1"/>
    <w:qFormat/>
    <w:uiPriority w:val="0"/>
    <w:rPr>
      <w:szCs w:val="20"/>
    </w:rPr>
  </w:style>
  <w:style w:type="paragraph" w:customStyle="1" w:styleId="219">
    <w:name w:val="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220">
    <w:name w:val="Char"/>
    <w:basedOn w:val="1"/>
    <w:qFormat/>
    <w:uiPriority w:val="0"/>
    <w:rPr>
      <w:rFonts w:ascii="仿宋_GB2312" w:eastAsia="仿宋_GB2312"/>
      <w:b/>
      <w:sz w:val="32"/>
      <w:szCs w:val="32"/>
    </w:rPr>
  </w:style>
  <w:style w:type="paragraph" w:customStyle="1" w:styleId="221">
    <w:name w:val="blockquote"/>
    <w:basedOn w:val="1"/>
    <w:qFormat/>
    <w:uiPriority w:val="0"/>
    <w:pPr>
      <w:widowControl/>
      <w:spacing w:before="100" w:beforeAutospacing="1" w:after="100" w:afterAutospacing="1"/>
      <w:jc w:val="left"/>
    </w:pPr>
    <w:rPr>
      <w:rFonts w:ascii="宋体" w:hAnsi="宋体"/>
      <w:kern w:val="0"/>
      <w:sz w:val="24"/>
    </w:rPr>
  </w:style>
  <w:style w:type="paragraph" w:customStyle="1" w:styleId="222">
    <w:name w:val="标题4"/>
    <w:basedOn w:val="1"/>
    <w:qFormat/>
    <w:uiPriority w:val="0"/>
    <w:rPr>
      <w:rFonts w:eastAsia="仿宋_GB2312"/>
      <w:sz w:val="32"/>
      <w:szCs w:val="20"/>
    </w:rPr>
  </w:style>
  <w:style w:type="paragraph" w:customStyle="1" w:styleId="223">
    <w:name w:val="Char4"/>
    <w:basedOn w:val="17"/>
    <w:qFormat/>
    <w:uiPriority w:val="0"/>
    <w:pPr>
      <w:widowControl/>
      <w:spacing w:afterLines="50" w:line="360" w:lineRule="auto"/>
      <w:ind w:firstLine="480"/>
      <w:jc w:val="left"/>
    </w:pPr>
  </w:style>
  <w:style w:type="paragraph" w:customStyle="1" w:styleId="224">
    <w:name w:val="p0"/>
    <w:basedOn w:val="1"/>
    <w:qFormat/>
    <w:uiPriority w:val="0"/>
    <w:pPr>
      <w:widowControl/>
    </w:pPr>
    <w:rPr>
      <w:kern w:val="0"/>
      <w:szCs w:val="21"/>
    </w:rPr>
  </w:style>
  <w:style w:type="paragraph" w:customStyle="1" w:styleId="225">
    <w:name w:val="Char Char4 Char Char Char Char1"/>
    <w:basedOn w:val="1"/>
    <w:qFormat/>
    <w:uiPriority w:val="0"/>
    <w:rPr>
      <w:rFonts w:eastAsia="仿宋_GB2312"/>
      <w:sz w:val="28"/>
    </w:rPr>
  </w:style>
  <w:style w:type="paragraph" w:customStyle="1" w:styleId="226">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227">
    <w:name w:val="Char Char Char Char Char Char Char1"/>
    <w:basedOn w:val="1"/>
    <w:qFormat/>
    <w:uiPriority w:val="0"/>
    <w:pPr>
      <w:tabs>
        <w:tab w:val="left" w:pos="432"/>
      </w:tabs>
      <w:ind w:left="432" w:hanging="432"/>
    </w:pPr>
    <w:rPr>
      <w:rFonts w:ascii="Tahoma" w:hAnsi="Tahoma"/>
      <w:sz w:val="24"/>
      <w:szCs w:val="20"/>
    </w:rPr>
  </w:style>
  <w:style w:type="paragraph" w:customStyle="1" w:styleId="228">
    <w:name w:val="p18"/>
    <w:basedOn w:val="1"/>
    <w:qFormat/>
    <w:uiPriority w:val="0"/>
    <w:pPr>
      <w:widowControl/>
      <w:ind w:firstLine="420"/>
    </w:pPr>
    <w:rPr>
      <w:kern w:val="0"/>
      <w:szCs w:val="21"/>
    </w:rPr>
  </w:style>
  <w:style w:type="paragraph" w:customStyle="1" w:styleId="229">
    <w:name w:val="xl76"/>
    <w:basedOn w:val="1"/>
    <w:qFormat/>
    <w:uiPriority w:val="0"/>
    <w:pPr>
      <w:widowControl/>
      <w:spacing w:before="100" w:beforeAutospacing="1" w:after="100" w:afterAutospacing="1"/>
      <w:jc w:val="left"/>
    </w:pPr>
    <w:rPr>
      <w:rFonts w:ascii="宋体" w:hAnsi="宋体" w:cs="宋体"/>
      <w:kern w:val="0"/>
      <w:sz w:val="24"/>
    </w:rPr>
  </w:style>
  <w:style w:type="paragraph" w:customStyle="1" w:styleId="230">
    <w:name w:val="列出段落2"/>
    <w:basedOn w:val="1"/>
    <w:qFormat/>
    <w:uiPriority w:val="34"/>
    <w:pPr>
      <w:adjustRightInd w:val="0"/>
      <w:ind w:firstLine="420" w:firstLineChars="200"/>
    </w:pPr>
  </w:style>
  <w:style w:type="paragraph" w:customStyle="1" w:styleId="231">
    <w:name w:val="列出段落1"/>
    <w:basedOn w:val="1"/>
    <w:qFormat/>
    <w:uiPriority w:val="1"/>
    <w:pPr>
      <w:ind w:firstLine="420" w:firstLineChars="200"/>
    </w:pPr>
    <w:rPr>
      <w:szCs w:val="21"/>
    </w:rPr>
  </w:style>
  <w:style w:type="paragraph" w:customStyle="1" w:styleId="232">
    <w:name w:val="p17"/>
    <w:basedOn w:val="1"/>
    <w:qFormat/>
    <w:uiPriority w:val="0"/>
    <w:pPr>
      <w:widowControl/>
      <w:jc w:val="center"/>
    </w:pPr>
    <w:rPr>
      <w:b/>
      <w:bCs/>
      <w:kern w:val="0"/>
      <w:sz w:val="72"/>
      <w:szCs w:val="72"/>
    </w:rPr>
  </w:style>
  <w:style w:type="paragraph" w:customStyle="1" w:styleId="23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4">
    <w:name w:val="TOC 标题2"/>
    <w:basedOn w:val="3"/>
    <w:next w:val="1"/>
    <w:unhideWhenUsed/>
    <w:qFormat/>
    <w:uiPriority w:val="39"/>
    <w:pPr>
      <w:keepLines/>
      <w:widowControl/>
      <w:spacing w:before="240" w:line="259" w:lineRule="auto"/>
      <w:jc w:val="left"/>
      <w:outlineLvl w:val="9"/>
    </w:pPr>
    <w:rPr>
      <w:rFonts w:ascii="Cambria" w:hAnsi="Cambria" w:cs="黑体"/>
      <w:b w:val="0"/>
      <w:color w:val="365F90"/>
      <w:kern w:val="0"/>
      <w:szCs w:val="32"/>
    </w:rPr>
  </w:style>
  <w:style w:type="paragraph" w:customStyle="1" w:styleId="235">
    <w:name w:val="p16"/>
    <w:basedOn w:val="1"/>
    <w:qFormat/>
    <w:uiPriority w:val="0"/>
    <w:pPr>
      <w:widowControl/>
      <w:spacing w:after="120" w:line="480" w:lineRule="auto"/>
      <w:ind w:left="420"/>
    </w:pPr>
    <w:rPr>
      <w:kern w:val="0"/>
      <w:szCs w:val="21"/>
    </w:rPr>
  </w:style>
  <w:style w:type="paragraph" w:customStyle="1" w:styleId="2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23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8">
    <w:name w:val="默3f认3f"/>
    <w:qFormat/>
    <w:uiPriority w:val="0"/>
    <w:pPr>
      <w:widowControl w:val="0"/>
      <w:autoSpaceDE w:val="0"/>
      <w:autoSpaceDN w:val="0"/>
      <w:adjustRightInd w:val="0"/>
    </w:pPr>
    <w:rPr>
      <w:rFonts w:ascii="DejaVu Serif Condensed" w:hAnsi="Calibri" w:eastAsia="DejaVu Serif Condensed" w:cs="Times New Roman"/>
      <w:sz w:val="24"/>
      <w:szCs w:val="24"/>
      <w:lang w:val="en-US" w:eastAsia="zh-CN" w:bidi="ar-SA"/>
    </w:rPr>
  </w:style>
  <w:style w:type="paragraph" w:customStyle="1" w:styleId="239">
    <w:name w:val="Char3"/>
    <w:basedOn w:val="1"/>
    <w:qFormat/>
    <w:uiPriority w:val="0"/>
    <w:rPr>
      <w:rFonts w:ascii="仿宋_GB2312" w:eastAsia="仿宋_GB2312"/>
      <w:b/>
      <w:sz w:val="32"/>
      <w:szCs w:val="32"/>
    </w:rPr>
  </w:style>
  <w:style w:type="paragraph" w:customStyle="1" w:styleId="24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1">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242">
    <w:name w:val="标准中文版式_正文"/>
    <w:basedOn w:val="1"/>
    <w:qFormat/>
    <w:uiPriority w:val="0"/>
    <w:pPr>
      <w:spacing w:before="30" w:line="360" w:lineRule="auto"/>
      <w:ind w:firstLine="200" w:firstLineChars="200"/>
    </w:pPr>
    <w:rPr>
      <w:rFonts w:ascii="Arial" w:hAnsi="Arial"/>
      <w:sz w:val="24"/>
    </w:rPr>
  </w:style>
  <w:style w:type="paragraph" w:customStyle="1" w:styleId="243">
    <w:name w:val="Char3 Char Char Char"/>
    <w:basedOn w:val="1"/>
    <w:qFormat/>
    <w:uiPriority w:val="0"/>
    <w:pPr>
      <w:widowControl/>
      <w:spacing w:after="160" w:line="240" w:lineRule="exact"/>
      <w:jc w:val="left"/>
    </w:pPr>
    <w:rPr>
      <w:rFonts w:ascii="Arial" w:hAnsi="Arial" w:cs="Arial"/>
      <w:szCs w:val="20"/>
    </w:rPr>
  </w:style>
  <w:style w:type="paragraph" w:customStyle="1" w:styleId="244">
    <w:name w:val="xl7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45">
    <w:name w:val="普通(网站)1"/>
    <w:basedOn w:val="1"/>
    <w:qFormat/>
    <w:uiPriority w:val="0"/>
    <w:pPr>
      <w:widowControl/>
      <w:jc w:val="left"/>
    </w:pPr>
    <w:rPr>
      <w:rFonts w:ascii="ˎ̥" w:hAnsi="ˎ̥" w:cs="宋体"/>
      <w:color w:val="000000"/>
      <w:kern w:val="0"/>
      <w:sz w:val="13"/>
      <w:szCs w:val="13"/>
    </w:rPr>
  </w:style>
  <w:style w:type="paragraph" w:customStyle="1" w:styleId="246">
    <w:name w:val="Char11"/>
    <w:basedOn w:val="1"/>
    <w:qFormat/>
    <w:uiPriority w:val="0"/>
    <w:rPr>
      <w:kern w:val="0"/>
      <w:sz w:val="20"/>
      <w:szCs w:val="20"/>
    </w:rPr>
  </w:style>
  <w:style w:type="paragraph" w:customStyle="1" w:styleId="247">
    <w:name w:val="样式 样式 样式1 + 首行缩进:  2 字符 + 左侧:  0.74 厘米"/>
    <w:basedOn w:val="1"/>
    <w:qFormat/>
    <w:uiPriority w:val="0"/>
    <w:pPr>
      <w:spacing w:line="360" w:lineRule="exact"/>
      <w:ind w:firstLine="200" w:firstLineChars="200"/>
    </w:pPr>
    <w:rPr>
      <w:rFonts w:ascii="Arial" w:hAnsi="Arial" w:cs="宋体"/>
      <w:szCs w:val="20"/>
    </w:rPr>
  </w:style>
  <w:style w:type="paragraph" w:customStyle="1" w:styleId="248">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249">
    <w:name w:val="正文－恩普"/>
    <w:basedOn w:val="17"/>
    <w:qFormat/>
    <w:uiPriority w:val="0"/>
    <w:pPr>
      <w:widowControl/>
      <w:spacing w:afterLines="50" w:line="360" w:lineRule="auto"/>
      <w:ind w:firstLine="480"/>
      <w:jc w:val="left"/>
    </w:pPr>
    <w:rPr>
      <w:kern w:val="0"/>
      <w:sz w:val="24"/>
      <w:szCs w:val="20"/>
    </w:rPr>
  </w:style>
  <w:style w:type="paragraph" w:customStyle="1" w:styleId="250">
    <w:name w:val="xl38"/>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251">
    <w:name w:val="样式4"/>
    <w:basedOn w:val="35"/>
    <w:qFormat/>
    <w:uiPriority w:val="0"/>
    <w:pPr>
      <w:pBdr>
        <w:bottom w:val="single" w:color="auto" w:sz="4" w:space="1"/>
      </w:pBdr>
      <w:tabs>
        <w:tab w:val="right" w:pos="9901"/>
        <w:tab w:val="clear" w:pos="4153"/>
        <w:tab w:val="clear" w:pos="8306"/>
      </w:tabs>
    </w:pPr>
    <w:rPr>
      <w:sz w:val="21"/>
    </w:rPr>
  </w:style>
  <w:style w:type="paragraph" w:customStyle="1" w:styleId="252">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53">
    <w:name w:val="带上框线页脚"/>
    <w:basedOn w:val="1"/>
    <w:qFormat/>
    <w:uiPriority w:val="0"/>
    <w:pPr>
      <w:widowControl/>
      <w:pBdr>
        <w:top w:val="single" w:color="auto" w:sz="4" w:space="1"/>
      </w:pBdr>
      <w:spacing w:afterLines="50"/>
      <w:jc w:val="left"/>
    </w:pPr>
    <w:rPr>
      <w:kern w:val="0"/>
      <w:sz w:val="18"/>
      <w:szCs w:val="20"/>
    </w:rPr>
  </w:style>
  <w:style w:type="paragraph" w:customStyle="1" w:styleId="254">
    <w:name w:val="样式 样式 样式 首行缩进:  2 字符1 + 首行缩进:  2 字符 + 首行缩进:  2 字符"/>
    <w:basedOn w:val="1"/>
    <w:qFormat/>
    <w:uiPriority w:val="0"/>
    <w:pPr>
      <w:spacing w:before="6" w:after="6" w:line="460" w:lineRule="exact"/>
      <w:ind w:firstLine="440" w:firstLineChars="200"/>
    </w:pPr>
    <w:rPr>
      <w:rFonts w:ascii="宋体" w:hAnsi="宋体" w:cs="宋体"/>
      <w:sz w:val="24"/>
      <w:szCs w:val="20"/>
    </w:rPr>
  </w:style>
  <w:style w:type="paragraph" w:customStyle="1" w:styleId="255">
    <w:name w:val="_Style 78"/>
    <w:basedOn w:val="1"/>
    <w:qFormat/>
    <w:uiPriority w:val="0"/>
    <w:rPr>
      <w:rFonts w:ascii="Tahoma" w:hAnsi="Tahoma"/>
      <w:sz w:val="24"/>
      <w:szCs w:val="20"/>
    </w:rPr>
  </w:style>
  <w:style w:type="paragraph" w:customStyle="1" w:styleId="256">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7">
    <w:name w:val="普通文字"/>
    <w:basedOn w:val="1"/>
    <w:qFormat/>
    <w:uiPriority w:val="0"/>
    <w:pPr>
      <w:widowControl/>
      <w:spacing w:line="351" w:lineRule="atLeast"/>
      <w:ind w:firstLine="419"/>
      <w:textAlignment w:val="baseline"/>
    </w:pPr>
    <w:rPr>
      <w:rFonts w:ascii="宋体"/>
      <w:color w:val="000000"/>
      <w:kern w:val="0"/>
      <w:szCs w:val="20"/>
      <w:u w:color="000000"/>
    </w:rPr>
  </w:style>
  <w:style w:type="paragraph" w:customStyle="1" w:styleId="258">
    <w:name w:val="默认段落字体 Para Char Char Char Char"/>
    <w:basedOn w:val="1"/>
    <w:qFormat/>
    <w:uiPriority w:val="0"/>
    <w:rPr>
      <w:snapToGrid w:val="0"/>
      <w:kern w:val="0"/>
      <w:szCs w:val="20"/>
    </w:rPr>
  </w:style>
  <w:style w:type="paragraph" w:customStyle="1" w:styleId="259">
    <w:name w:val="样式 纯文本普通文字 Char纯文本 Char Char普通文字纯文本 Char Char Char Char Char...4"/>
    <w:basedOn w:val="6"/>
    <w:qFormat/>
    <w:uiPriority w:val="0"/>
    <w:pPr>
      <w:snapToGrid w:val="0"/>
      <w:spacing w:line="360" w:lineRule="auto"/>
      <w:ind w:firstLine="1922" w:firstLineChars="600"/>
      <w:jc w:val="left"/>
    </w:pPr>
    <w:rPr>
      <w:rFonts w:hAnsi="宋体" w:cs="宋体"/>
      <w:b/>
      <w:kern w:val="0"/>
      <w:sz w:val="32"/>
      <w:szCs w:val="32"/>
    </w:rPr>
  </w:style>
  <w:style w:type="paragraph" w:customStyle="1" w:styleId="260">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61">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262">
    <w:name w:val="Char Char1 Char Char Char Char1 Char Char Char"/>
    <w:basedOn w:val="1"/>
    <w:qFormat/>
    <w:uiPriority w:val="0"/>
    <w:rPr>
      <w:szCs w:val="20"/>
    </w:rPr>
  </w:style>
  <w:style w:type="paragraph" w:customStyle="1" w:styleId="26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6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65">
    <w:name w:val="_Style 5"/>
    <w:basedOn w:val="1"/>
    <w:qFormat/>
    <w:uiPriority w:val="0"/>
    <w:pPr>
      <w:jc w:val="center"/>
    </w:pPr>
    <w:rPr>
      <w:szCs w:val="20"/>
    </w:rPr>
  </w:style>
  <w:style w:type="paragraph" w:customStyle="1" w:styleId="266">
    <w:name w:val="_Style 51"/>
    <w:basedOn w:val="1"/>
    <w:qFormat/>
    <w:uiPriority w:val="0"/>
    <w:pPr>
      <w:tabs>
        <w:tab w:val="left" w:pos="720"/>
      </w:tabs>
      <w:ind w:left="720" w:hanging="720"/>
    </w:pPr>
    <w:rPr>
      <w:sz w:val="24"/>
    </w:rPr>
  </w:style>
  <w:style w:type="paragraph" w:customStyle="1" w:styleId="267">
    <w:name w:val="TOC 标题3"/>
    <w:basedOn w:val="3"/>
    <w:next w:val="1"/>
    <w:unhideWhenUsed/>
    <w:qFormat/>
    <w:uiPriority w:val="39"/>
    <w:pPr>
      <w:keepLines/>
      <w:widowControl/>
      <w:spacing w:before="240" w:after="120" w:line="259" w:lineRule="auto"/>
      <w:jc w:val="left"/>
      <w:outlineLvl w:val="9"/>
    </w:pPr>
    <w:rPr>
      <w:rFonts w:ascii="Calibri Light" w:hAnsi="Calibri Light"/>
      <w:b w:val="0"/>
      <w:color w:val="2E74B5"/>
      <w:kern w:val="0"/>
      <w:szCs w:val="32"/>
    </w:rPr>
  </w:style>
  <w:style w:type="paragraph" w:customStyle="1" w:styleId="268">
    <w:name w:val="zbzw1"/>
    <w:qFormat/>
    <w:uiPriority w:val="0"/>
    <w:pPr>
      <w:tabs>
        <w:tab w:val="left" w:pos="720"/>
      </w:tabs>
      <w:spacing w:line="360" w:lineRule="exact"/>
      <w:ind w:firstLine="414" w:firstLineChars="200"/>
    </w:pPr>
    <w:rPr>
      <w:rFonts w:ascii="Times New Roman" w:hAnsi="Times New Roman" w:eastAsia="宋体" w:cs="Times New Roman"/>
      <w:spacing w:val="-2"/>
      <w:sz w:val="21"/>
      <w:szCs w:val="24"/>
      <w:lang w:val="en-US" w:eastAsia="zh-CN" w:bidi="ar-SA"/>
    </w:rPr>
  </w:style>
  <w:style w:type="paragraph" w:customStyle="1" w:styleId="269">
    <w:name w:val="_Style 36"/>
    <w:basedOn w:val="1"/>
    <w:qFormat/>
    <w:uiPriority w:val="0"/>
    <w:pPr>
      <w:jc w:val="center"/>
    </w:pPr>
    <w:rPr>
      <w:szCs w:val="20"/>
    </w:rPr>
  </w:style>
  <w:style w:type="paragraph" w:customStyle="1" w:styleId="270">
    <w:name w:val="1"/>
    <w:basedOn w:val="1"/>
    <w:next w:val="44"/>
    <w:qFormat/>
    <w:uiPriority w:val="0"/>
    <w:pPr>
      <w:widowControl/>
      <w:snapToGrid w:val="0"/>
      <w:spacing w:line="440" w:lineRule="atLeast"/>
      <w:ind w:firstLine="480"/>
    </w:pPr>
    <w:rPr>
      <w:kern w:val="0"/>
      <w:sz w:val="24"/>
      <w:szCs w:val="20"/>
    </w:rPr>
  </w:style>
  <w:style w:type="paragraph" w:customStyle="1" w:styleId="271">
    <w:name w:val="p20"/>
    <w:basedOn w:val="1"/>
    <w:qFormat/>
    <w:uiPriority w:val="0"/>
    <w:pPr>
      <w:widowControl/>
    </w:pPr>
    <w:rPr>
      <w:rFonts w:ascii="宋体" w:hAnsi="宋体" w:cs="宋体"/>
      <w:kern w:val="0"/>
      <w:szCs w:val="21"/>
    </w:rPr>
  </w:style>
  <w:style w:type="paragraph" w:customStyle="1" w:styleId="272">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273">
    <w:name w:val="正文缩进1"/>
    <w:basedOn w:val="1"/>
    <w:next w:val="26"/>
    <w:qFormat/>
    <w:uiPriority w:val="0"/>
    <w:pPr>
      <w:autoSpaceDE w:val="0"/>
      <w:autoSpaceDN w:val="0"/>
      <w:adjustRightInd w:val="0"/>
      <w:snapToGrid w:val="0"/>
      <w:spacing w:after="120" w:line="360" w:lineRule="auto"/>
      <w:ind w:left="420" w:leftChars="200" w:firstLine="480" w:firstLineChars="200"/>
    </w:pPr>
    <w:rPr>
      <w:sz w:val="24"/>
      <w:szCs w:val="20"/>
    </w:rPr>
  </w:style>
  <w:style w:type="paragraph" w:customStyle="1" w:styleId="274">
    <w:name w:val="正文文字格式"/>
    <w:basedOn w:val="1"/>
    <w:qFormat/>
    <w:uiPriority w:val="0"/>
    <w:pPr>
      <w:spacing w:line="460" w:lineRule="exact"/>
      <w:ind w:firstLine="505"/>
      <w:jc w:val="left"/>
    </w:pPr>
    <w:rPr>
      <w:rFonts w:ascii="Century Gothic" w:hAnsi="Arial" w:cs="Arial"/>
      <w:kern w:val="24"/>
      <w:sz w:val="24"/>
      <w:szCs w:val="20"/>
    </w:rPr>
  </w:style>
  <w:style w:type="paragraph" w:customStyle="1" w:styleId="275">
    <w:name w:val="Char Char Char Char Char Char Char"/>
    <w:basedOn w:val="1"/>
    <w:qFormat/>
    <w:uiPriority w:val="0"/>
    <w:pPr>
      <w:tabs>
        <w:tab w:val="left" w:pos="432"/>
      </w:tabs>
      <w:ind w:left="432" w:hanging="432"/>
    </w:pPr>
    <w:rPr>
      <w:szCs w:val="20"/>
    </w:rPr>
  </w:style>
  <w:style w:type="paragraph" w:customStyle="1" w:styleId="276">
    <w:name w:val="样式 标题 3 + 小三"/>
    <w:basedOn w:val="5"/>
    <w:qFormat/>
    <w:uiPriority w:val="0"/>
    <w:pPr>
      <w:keepNext/>
      <w:keepLines/>
      <w:widowControl w:val="0"/>
      <w:tabs>
        <w:tab w:val="left" w:pos="420"/>
      </w:tabs>
      <w:autoSpaceDE/>
      <w:autoSpaceDN/>
      <w:adjustRightInd w:val="0"/>
      <w:snapToGrid w:val="0"/>
      <w:spacing w:beforeLines="200" w:after="0" w:line="408" w:lineRule="auto"/>
      <w:jc w:val="center"/>
    </w:pPr>
    <w:rPr>
      <w:rFonts w:ascii="宋体"/>
      <w:b/>
      <w:sz w:val="30"/>
    </w:rPr>
  </w:style>
  <w:style w:type="paragraph" w:customStyle="1" w:styleId="277">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78">
    <w:name w:val="样式2"/>
    <w:basedOn w:val="1"/>
    <w:qFormat/>
    <w:uiPriority w:val="0"/>
    <w:pPr>
      <w:widowControl/>
      <w:spacing w:line="360" w:lineRule="auto"/>
      <w:jc w:val="left"/>
    </w:pPr>
    <w:rPr>
      <w:rFonts w:ascii="仿宋_GB2312" w:hAnsi="仿宋_GB2312" w:eastAsia="仿宋_GB2312"/>
      <w:snapToGrid w:val="0"/>
      <w:kern w:val="0"/>
      <w:sz w:val="28"/>
      <w:szCs w:val="30"/>
    </w:rPr>
  </w:style>
  <w:style w:type="paragraph" w:customStyle="1" w:styleId="279">
    <w:name w:val="Char Char2 Char"/>
    <w:basedOn w:val="1"/>
    <w:qFormat/>
    <w:uiPriority w:val="0"/>
    <w:pPr>
      <w:keepNext/>
      <w:keepLines/>
      <w:pageBreakBefore/>
      <w:tabs>
        <w:tab w:val="left" w:pos="845"/>
      </w:tabs>
      <w:ind w:left="845" w:hanging="420"/>
    </w:pPr>
    <w:rPr>
      <w:rFonts w:ascii="Tahoma" w:hAnsi="Tahoma"/>
      <w:sz w:val="24"/>
      <w:szCs w:val="20"/>
    </w:rPr>
  </w:style>
  <w:style w:type="paragraph" w:customStyle="1" w:styleId="280">
    <w:name w:val="p15"/>
    <w:basedOn w:val="1"/>
    <w:qFormat/>
    <w:uiPriority w:val="0"/>
    <w:pPr>
      <w:widowControl/>
      <w:snapToGrid w:val="0"/>
      <w:spacing w:before="100" w:after="100"/>
      <w:ind w:left="360" w:right="360"/>
      <w:jc w:val="left"/>
    </w:pPr>
    <w:rPr>
      <w:kern w:val="0"/>
      <w:sz w:val="24"/>
    </w:rPr>
  </w:style>
  <w:style w:type="paragraph" w:customStyle="1" w:styleId="281">
    <w:name w:val="font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82">
    <w:name w:val="目录文字"/>
    <w:basedOn w:val="1"/>
    <w:qFormat/>
    <w:uiPriority w:val="0"/>
    <w:pPr>
      <w:widowControl/>
      <w:spacing w:line="480" w:lineRule="auto"/>
      <w:jc w:val="left"/>
    </w:pPr>
    <w:rPr>
      <w:rFonts w:ascii="宋体" w:hAnsi="宋体"/>
      <w:kern w:val="0"/>
      <w:sz w:val="24"/>
      <w:szCs w:val="20"/>
    </w:rPr>
  </w:style>
  <w:style w:type="paragraph" w:customStyle="1" w:styleId="28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4">
    <w:name w:val="Char1 Char Char Char1"/>
    <w:basedOn w:val="1"/>
    <w:qFormat/>
    <w:uiPriority w:val="0"/>
    <w:rPr>
      <w:szCs w:val="20"/>
    </w:rPr>
  </w:style>
  <w:style w:type="paragraph" w:customStyle="1" w:styleId="285">
    <w:name w:val="Char Char2 Char Char"/>
    <w:basedOn w:val="1"/>
    <w:qFormat/>
    <w:uiPriority w:val="0"/>
    <w:pPr>
      <w:jc w:val="center"/>
    </w:pPr>
    <w:rPr>
      <w:rFonts w:ascii="仿宋_GB2312" w:eastAsia="仿宋_GB2312"/>
      <w:b/>
      <w:kern w:val="0"/>
      <w:sz w:val="32"/>
      <w:szCs w:val="32"/>
      <w:lang w:val="en-GB"/>
    </w:rPr>
  </w:style>
  <w:style w:type="paragraph" w:customStyle="1" w:styleId="286">
    <w:name w:val="FA正文"/>
    <w:basedOn w:val="1"/>
    <w:qFormat/>
    <w:uiPriority w:val="0"/>
    <w:pPr>
      <w:spacing w:line="360" w:lineRule="auto"/>
      <w:ind w:right="210" w:rightChars="100" w:firstLine="360"/>
    </w:pPr>
    <w:rPr>
      <w:rFonts w:ascii="Verdana" w:hAnsi="Verdana" w:eastAsia="仿宋_GB2312"/>
      <w:sz w:val="22"/>
      <w:szCs w:val="22"/>
      <w:lang w:val="sv-SE"/>
    </w:rPr>
  </w:style>
  <w:style w:type="paragraph" w:customStyle="1" w:styleId="287">
    <w:name w:val="TOC 标题4"/>
    <w:basedOn w:val="3"/>
    <w:next w:val="1"/>
    <w:unhideWhenUsed/>
    <w:qFormat/>
    <w:uiPriority w:val="39"/>
    <w:pPr>
      <w:keepLines/>
      <w:widowControl/>
      <w:spacing w:before="240" w:line="259" w:lineRule="auto"/>
      <w:jc w:val="left"/>
      <w:outlineLvl w:val="9"/>
    </w:pPr>
    <w:rPr>
      <w:rFonts w:ascii="Calibri Light" w:hAnsi="Calibri Light"/>
      <w:b w:val="0"/>
      <w:color w:val="2E74B5"/>
      <w:kern w:val="0"/>
      <w:szCs w:val="32"/>
    </w:rPr>
  </w:style>
  <w:style w:type="paragraph" w:customStyle="1" w:styleId="288">
    <w:name w:val="Char Char Char Char Char Char Char2"/>
    <w:basedOn w:val="1"/>
    <w:qFormat/>
    <w:uiPriority w:val="0"/>
    <w:pPr>
      <w:tabs>
        <w:tab w:val="left" w:pos="432"/>
      </w:tabs>
      <w:ind w:left="432" w:hanging="432"/>
    </w:pPr>
    <w:rPr>
      <w:rFonts w:ascii="Tahoma" w:hAnsi="Tahoma"/>
      <w:sz w:val="24"/>
      <w:szCs w:val="20"/>
    </w:rPr>
  </w:style>
  <w:style w:type="paragraph" w:customStyle="1" w:styleId="289">
    <w:name w:val="Char1 Char Char Char Char Char Char"/>
    <w:basedOn w:val="1"/>
    <w:qFormat/>
    <w:uiPriority w:val="0"/>
    <w:rPr>
      <w:rFonts w:ascii="仿宋_GB2312" w:eastAsia="仿宋_GB2312"/>
      <w:b/>
      <w:sz w:val="32"/>
      <w:szCs w:val="32"/>
    </w:rPr>
  </w:style>
  <w:style w:type="paragraph" w:customStyle="1" w:styleId="29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291">
    <w:name w:val="font1"/>
    <w:basedOn w:val="1"/>
    <w:qFormat/>
    <w:uiPriority w:val="0"/>
    <w:pPr>
      <w:widowControl/>
      <w:spacing w:before="100" w:beforeAutospacing="1" w:after="100" w:afterAutospacing="1"/>
      <w:jc w:val="left"/>
    </w:pPr>
    <w:rPr>
      <w:rFonts w:ascii="Century Gothic" w:hAnsi="Century Gothic" w:cs="Arial"/>
      <w:kern w:val="0"/>
      <w:sz w:val="24"/>
      <w:szCs w:val="20"/>
    </w:rPr>
  </w:style>
  <w:style w:type="paragraph" w:customStyle="1" w:styleId="292">
    <w:name w:val="Char Char Char Char1"/>
    <w:basedOn w:val="1"/>
    <w:qFormat/>
    <w:uiPriority w:val="0"/>
    <w:pPr>
      <w:jc w:val="center"/>
    </w:pPr>
    <w:rPr>
      <w:rFonts w:ascii="仿宋_GB2312" w:eastAsia="仿宋_GB2312"/>
      <w:b/>
      <w:sz w:val="32"/>
      <w:szCs w:val="32"/>
    </w:rPr>
  </w:style>
  <w:style w:type="paragraph" w:customStyle="1" w:styleId="293">
    <w:name w:val="表内文字"/>
    <w:basedOn w:val="1"/>
    <w:qFormat/>
    <w:uiPriority w:val="0"/>
    <w:pPr>
      <w:snapToGrid w:val="0"/>
      <w:spacing w:before="50" w:after="50"/>
      <w:jc w:val="center"/>
    </w:pPr>
    <w:rPr>
      <w:rFonts w:ascii="宋体" w:hAnsi="宋体"/>
      <w:sz w:val="24"/>
      <w:szCs w:val="20"/>
    </w:rPr>
  </w:style>
  <w:style w:type="paragraph" w:customStyle="1" w:styleId="294">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29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6">
    <w:name w:val="p19"/>
    <w:basedOn w:val="1"/>
    <w:qFormat/>
    <w:uiPriority w:val="0"/>
    <w:pPr>
      <w:widowControl/>
      <w:jc w:val="center"/>
    </w:pPr>
    <w:rPr>
      <w:b/>
      <w:bCs/>
      <w:kern w:val="0"/>
      <w:sz w:val="72"/>
      <w:szCs w:val="72"/>
    </w:rPr>
  </w:style>
  <w:style w:type="paragraph" w:customStyle="1" w:styleId="29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8">
    <w:name w:val="表格格式"/>
    <w:basedOn w:val="1"/>
    <w:qFormat/>
    <w:uiPriority w:val="0"/>
    <w:pPr>
      <w:spacing w:line="360" w:lineRule="exact"/>
      <w:ind w:left="-91"/>
      <w:jc w:val="left"/>
    </w:pPr>
    <w:rPr>
      <w:rFonts w:ascii="宋体"/>
      <w:kern w:val="0"/>
      <w:sz w:val="24"/>
      <w:szCs w:val="11"/>
    </w:rPr>
  </w:style>
  <w:style w:type="paragraph" w:customStyle="1" w:styleId="299">
    <w:name w:val="Char Char Char2 Char Char Char Char"/>
    <w:basedOn w:val="1"/>
    <w:qFormat/>
    <w:uiPriority w:val="0"/>
    <w:rPr>
      <w:rFonts w:ascii="宋体"/>
      <w:sz w:val="28"/>
      <w:szCs w:val="20"/>
    </w:rPr>
  </w:style>
  <w:style w:type="paragraph" w:customStyle="1" w:styleId="300">
    <w:name w:val="文件标题"/>
    <w:basedOn w:val="1"/>
    <w:qFormat/>
    <w:uiPriority w:val="0"/>
    <w:pPr>
      <w:autoSpaceDE w:val="0"/>
      <w:autoSpaceDN w:val="0"/>
      <w:adjustRightInd w:val="0"/>
      <w:spacing w:after="240"/>
      <w:jc w:val="center"/>
    </w:pPr>
    <w:rPr>
      <w:rFonts w:ascii="Arial Black" w:hAnsi="Arial Black"/>
      <w:kern w:val="0"/>
      <w:sz w:val="48"/>
      <w:szCs w:val="20"/>
    </w:rPr>
  </w:style>
  <w:style w:type="paragraph" w:customStyle="1" w:styleId="301">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02">
    <w:name w:val="默认段落字体 Para Char"/>
    <w:basedOn w:val="1"/>
    <w:qFormat/>
    <w:uiPriority w:val="0"/>
    <w:pPr>
      <w:tabs>
        <w:tab w:val="left" w:pos="454"/>
        <w:tab w:val="left" w:pos="743"/>
        <w:tab w:val="left" w:pos="744"/>
      </w:tabs>
      <w:ind w:left="290" w:firstLine="420"/>
    </w:pPr>
  </w:style>
  <w:style w:type="paragraph" w:customStyle="1" w:styleId="303">
    <w:name w:val="节"/>
    <w:basedOn w:val="4"/>
    <w:qFormat/>
    <w:uiPriority w:val="0"/>
    <w:pPr>
      <w:spacing w:before="160" w:after="160" w:line="720" w:lineRule="exact"/>
      <w:ind w:firstLine="0" w:firstLineChars="0"/>
      <w:jc w:val="center"/>
    </w:pPr>
    <w:rPr>
      <w:rFonts w:eastAsia="楷体" w:cs="Arial"/>
      <w:b w:val="0"/>
      <w:color w:val="000000"/>
      <w:spacing w:val="14"/>
      <w:kern w:val="24"/>
      <w:sz w:val="28"/>
      <w:szCs w:val="20"/>
    </w:rPr>
  </w:style>
  <w:style w:type="paragraph" w:customStyle="1" w:styleId="30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05">
    <w:name w:val="Char Char1 Char Char Char Char Char Char"/>
    <w:basedOn w:val="1"/>
    <w:qFormat/>
    <w:uiPriority w:val="0"/>
    <w:pPr>
      <w:widowControl/>
      <w:spacing w:after="160" w:line="240" w:lineRule="exact"/>
      <w:jc w:val="left"/>
    </w:pPr>
    <w:rPr>
      <w:rFonts w:ascii="宋体" w:hAnsi="宋体" w:cs="宋体"/>
      <w:kern w:val="0"/>
      <w:szCs w:val="20"/>
    </w:rPr>
  </w:style>
  <w:style w:type="paragraph" w:customStyle="1" w:styleId="306">
    <w:name w:val="正文段"/>
    <w:basedOn w:val="1"/>
    <w:qFormat/>
    <w:uiPriority w:val="0"/>
    <w:pPr>
      <w:widowControl/>
      <w:snapToGrid w:val="0"/>
      <w:spacing w:afterLines="50"/>
      <w:ind w:firstLine="200" w:firstLineChars="200"/>
    </w:pPr>
    <w:rPr>
      <w:kern w:val="0"/>
      <w:sz w:val="24"/>
      <w:szCs w:val="20"/>
    </w:rPr>
  </w:style>
  <w:style w:type="paragraph" w:customStyle="1" w:styleId="307">
    <w:name w:val="样式3"/>
    <w:basedOn w:val="1"/>
    <w:qFormat/>
    <w:uiPriority w:val="0"/>
    <w:pPr>
      <w:tabs>
        <w:tab w:val="left" w:pos="840"/>
      </w:tabs>
      <w:spacing w:line="360" w:lineRule="auto"/>
      <w:ind w:left="840" w:hanging="360"/>
    </w:pPr>
    <w:rPr>
      <w:rFonts w:ascii="宋体"/>
      <w:sz w:val="24"/>
    </w:rPr>
  </w:style>
  <w:style w:type="paragraph" w:customStyle="1" w:styleId="308">
    <w:name w:val="Section #"/>
    <w:next w:val="1"/>
    <w:qFormat/>
    <w:uiPriority w:val="0"/>
    <w:pPr>
      <w:tabs>
        <w:tab w:val="left" w:pos="2636"/>
        <w:tab w:val="left" w:pos="3090"/>
      </w:tabs>
      <w:overflowPunct w:val="0"/>
      <w:autoSpaceDE w:val="0"/>
      <w:autoSpaceDN w:val="0"/>
      <w:adjustRightInd w:val="0"/>
      <w:spacing w:after="113" w:line="340" w:lineRule="atLeast"/>
      <w:jc w:val="center"/>
      <w:textAlignment w:val="baseline"/>
    </w:pPr>
    <w:rPr>
      <w:rFonts w:ascii="Optima" w:hAnsi="Optima" w:eastAsia="宋体" w:cs="Times New Roman"/>
      <w:b/>
      <w:sz w:val="30"/>
      <w:lang w:val="en-US" w:eastAsia="zh-CN" w:bidi="ar-SA"/>
    </w:rPr>
  </w:style>
  <w:style w:type="paragraph" w:customStyle="1" w:styleId="309">
    <w:name w:val="标题 3Chapter X.X.X. + 段后: 0.5 行 + 段后: 0.5 行 + 段后: 0.5 行1"/>
    <w:basedOn w:val="1"/>
    <w:qFormat/>
    <w:uiPriority w:val="0"/>
    <w:pPr>
      <w:keepNext/>
      <w:spacing w:before="120" w:afterLines="50"/>
      <w:jc w:val="left"/>
      <w:outlineLvl w:val="2"/>
    </w:pPr>
    <w:rPr>
      <w:rFonts w:ascii="宋体" w:cs="宋体"/>
      <w:b/>
      <w:bCs/>
      <w:snapToGrid w:val="0"/>
      <w:kern w:val="0"/>
      <w:sz w:val="24"/>
      <w:szCs w:val="20"/>
    </w:rPr>
  </w:style>
  <w:style w:type="paragraph" w:customStyle="1" w:styleId="310">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311">
    <w:name w:val="普通(网站)11"/>
    <w:basedOn w:val="1"/>
    <w:qFormat/>
    <w:uiPriority w:val="0"/>
    <w:pPr>
      <w:widowControl/>
      <w:jc w:val="left"/>
    </w:pPr>
    <w:rPr>
      <w:rFonts w:ascii="ˎ̥" w:hAnsi="ˎ̥" w:cs="宋体"/>
      <w:color w:val="000000"/>
      <w:kern w:val="0"/>
      <w:sz w:val="13"/>
      <w:szCs w:val="13"/>
    </w:rPr>
  </w:style>
  <w:style w:type="paragraph" w:customStyle="1" w:styleId="312">
    <w:name w:val="Char Char Char Char2"/>
    <w:basedOn w:val="1"/>
    <w:qFormat/>
    <w:uiPriority w:val="0"/>
    <w:rPr>
      <w:rFonts w:ascii="Tahoma" w:hAnsi="Tahoma"/>
      <w:sz w:val="24"/>
      <w:szCs w:val="20"/>
    </w:rPr>
  </w:style>
  <w:style w:type="paragraph" w:customStyle="1" w:styleId="313">
    <w:name w:val="Char Char Char1"/>
    <w:basedOn w:val="1"/>
    <w:qFormat/>
    <w:uiPriority w:val="0"/>
    <w:rPr>
      <w:snapToGrid w:val="0"/>
      <w:kern w:val="0"/>
      <w:szCs w:val="20"/>
    </w:rPr>
  </w:style>
  <w:style w:type="paragraph" w:customStyle="1" w:styleId="314">
    <w:name w:val="正文文本 21"/>
    <w:basedOn w:val="1"/>
    <w:qFormat/>
    <w:uiPriority w:val="0"/>
    <w:pPr>
      <w:adjustRightInd w:val="0"/>
      <w:spacing w:line="300" w:lineRule="auto"/>
      <w:jc w:val="center"/>
    </w:pPr>
    <w:rPr>
      <w:rFonts w:hint="eastAsia" w:ascii="Century Gothic" w:hAnsi="Century Gothic" w:cs="Arial"/>
      <w:sz w:val="24"/>
      <w:szCs w:val="20"/>
    </w:rPr>
  </w:style>
  <w:style w:type="paragraph" w:customStyle="1" w:styleId="315">
    <w:name w:val="Char1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16">
    <w:name w:val="文档正文"/>
    <w:basedOn w:val="1"/>
    <w:qFormat/>
    <w:uiPriority w:val="0"/>
    <w:pPr>
      <w:adjustRightInd w:val="0"/>
      <w:spacing w:line="480" w:lineRule="atLeast"/>
      <w:ind w:firstLine="567"/>
      <w:textAlignment w:val="baseline"/>
    </w:pPr>
    <w:rPr>
      <w:rFonts w:eastAsia="楷体_GB2312"/>
      <w:kern w:val="0"/>
      <w:sz w:val="28"/>
      <w:szCs w:val="20"/>
    </w:rPr>
  </w:style>
  <w:style w:type="paragraph" w:customStyle="1" w:styleId="317">
    <w:name w:val="样式 样式1 + 首行缩进:  2 字符"/>
    <w:basedOn w:val="1"/>
    <w:qFormat/>
    <w:uiPriority w:val="0"/>
    <w:pPr>
      <w:spacing w:line="360" w:lineRule="exact"/>
      <w:ind w:firstLine="420" w:firstLineChars="200"/>
    </w:pPr>
    <w:rPr>
      <w:rFonts w:ascii="Arial" w:hAnsi="Arial" w:cs="宋体"/>
      <w:szCs w:val="20"/>
    </w:rPr>
  </w:style>
  <w:style w:type="paragraph" w:customStyle="1" w:styleId="318">
    <w:name w:val="TOC 标题1"/>
    <w:basedOn w:val="3"/>
    <w:next w:val="1"/>
    <w:unhideWhenUsed/>
    <w:qFormat/>
    <w:uiPriority w:val="39"/>
    <w:pPr>
      <w:keepLines/>
      <w:widowControl/>
      <w:spacing w:before="240" w:line="259" w:lineRule="auto"/>
      <w:jc w:val="left"/>
      <w:outlineLvl w:val="9"/>
    </w:pPr>
    <w:rPr>
      <w:rFonts w:ascii="Calibri Light" w:hAnsi="Calibri Light"/>
      <w:b w:val="0"/>
      <w:color w:val="2E74B5"/>
      <w:kern w:val="0"/>
      <w:szCs w:val="32"/>
    </w:rPr>
  </w:style>
  <w:style w:type="paragraph" w:customStyle="1" w:styleId="319">
    <w:name w:val="简单回函地址"/>
    <w:basedOn w:val="1"/>
    <w:qFormat/>
    <w:uiPriority w:val="0"/>
  </w:style>
  <w:style w:type="paragraph" w:customStyle="1" w:styleId="320">
    <w:name w:val="内文正文"/>
    <w:basedOn w:val="6"/>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32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22">
    <w:name w:val="flName"/>
    <w:basedOn w:val="1"/>
    <w:qFormat/>
    <w:uiPriority w:val="0"/>
    <w:pPr>
      <w:adjustRightInd w:val="0"/>
      <w:spacing w:before="320" w:after="160" w:line="360" w:lineRule="atLeast"/>
      <w:ind w:firstLine="200" w:firstLineChars="200"/>
      <w:jc w:val="center"/>
    </w:pPr>
    <w:rPr>
      <w:rFonts w:ascii="Arial" w:eastAsia="黑体"/>
      <w:kern w:val="0"/>
      <w:sz w:val="32"/>
    </w:rPr>
  </w:style>
  <w:style w:type="paragraph" w:customStyle="1" w:styleId="32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Arial"/>
      <w:kern w:val="0"/>
      <w:sz w:val="20"/>
      <w:szCs w:val="20"/>
    </w:rPr>
  </w:style>
  <w:style w:type="paragraph" w:customStyle="1" w:styleId="324">
    <w:name w:val="Char Char"/>
    <w:basedOn w:val="1"/>
    <w:qFormat/>
    <w:uiPriority w:val="0"/>
    <w:rPr>
      <w:rFonts w:ascii="Tahoma" w:hAnsi="Tahoma"/>
      <w:sz w:val="24"/>
      <w:szCs w:val="20"/>
    </w:rPr>
  </w:style>
  <w:style w:type="paragraph" w:customStyle="1" w:styleId="325">
    <w:name w:val="_Style 20"/>
    <w:basedOn w:val="1"/>
    <w:qFormat/>
    <w:uiPriority w:val="0"/>
  </w:style>
  <w:style w:type="paragraph" w:customStyle="1" w:styleId="32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27">
    <w:name w:val="Char2"/>
    <w:basedOn w:val="1"/>
    <w:qFormat/>
    <w:uiPriority w:val="0"/>
    <w:rPr>
      <w:rFonts w:ascii="仿宋_GB2312" w:eastAsia="仿宋_GB2312"/>
      <w:b/>
      <w:sz w:val="32"/>
      <w:szCs w:val="32"/>
    </w:rPr>
  </w:style>
  <w:style w:type="paragraph" w:customStyle="1" w:styleId="328">
    <w:name w:val="xl3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329">
    <w:name w:val="标书标题2"/>
    <w:basedOn w:val="4"/>
    <w:qFormat/>
    <w:uiPriority w:val="0"/>
    <w:pPr>
      <w:keepLines w:val="0"/>
      <w:widowControl/>
      <w:tabs>
        <w:tab w:val="left" w:pos="1320"/>
      </w:tabs>
      <w:adjustRightInd w:val="0"/>
      <w:snapToGrid w:val="0"/>
      <w:spacing w:beforeLines="50" w:after="60" w:line="300" w:lineRule="auto"/>
      <w:ind w:left="1320" w:hanging="420" w:firstLineChars="0"/>
    </w:pPr>
    <w:rPr>
      <w:rFonts w:eastAsia="Courier New" w:cs="Arial"/>
      <w:color w:val="000000"/>
      <w:kern w:val="0"/>
      <w:sz w:val="28"/>
      <w:szCs w:val="20"/>
    </w:rPr>
  </w:style>
  <w:style w:type="paragraph" w:customStyle="1" w:styleId="330">
    <w:name w:val="样式 标题 2 + Times New Roman 四号 非加粗 段前: 5 磅 段后: 0 磅 行距: 固定值 20..."/>
    <w:basedOn w:val="4"/>
    <w:qFormat/>
    <w:uiPriority w:val="0"/>
    <w:pPr>
      <w:tabs>
        <w:tab w:val="left" w:pos="576"/>
      </w:tabs>
      <w:spacing w:before="100" w:line="400" w:lineRule="exact"/>
    </w:pPr>
    <w:rPr>
      <w:rFonts w:ascii="Times New Roman" w:hAnsi="Times New Roman" w:eastAsia="黑体" w:cs="宋体"/>
      <w:b w:val="0"/>
      <w:bCs w:val="0"/>
      <w:sz w:val="28"/>
      <w:szCs w:val="20"/>
    </w:rPr>
  </w:style>
  <w:style w:type="paragraph" w:customStyle="1" w:styleId="331">
    <w:name w:val="纯文本2"/>
    <w:basedOn w:val="1"/>
    <w:qFormat/>
    <w:uiPriority w:val="0"/>
    <w:rPr>
      <w:rFonts w:ascii="宋体" w:hAnsi="Courier New" w:cs="Courier New"/>
      <w:szCs w:val="21"/>
    </w:rPr>
  </w:style>
  <w:style w:type="paragraph" w:customStyle="1" w:styleId="332">
    <w:name w:val="Char Char Char Char Char Char Char Char"/>
    <w:basedOn w:val="1"/>
    <w:qFormat/>
    <w:uiPriority w:val="0"/>
    <w:pPr>
      <w:tabs>
        <w:tab w:val="left" w:pos="360"/>
      </w:tabs>
    </w:pPr>
    <w:rPr>
      <w:sz w:val="24"/>
    </w:rPr>
  </w:style>
  <w:style w:type="paragraph" w:customStyle="1" w:styleId="333">
    <w:name w:val="表格内容1"/>
    <w:basedOn w:val="1"/>
    <w:qFormat/>
    <w:uiPriority w:val="0"/>
    <w:rPr>
      <w:sz w:val="24"/>
      <w:szCs w:val="20"/>
    </w:rPr>
  </w:style>
  <w:style w:type="paragraph" w:styleId="334">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3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36">
    <w:name w:val="表格"/>
    <w:basedOn w:val="1"/>
    <w:qFormat/>
    <w:uiPriority w:val="0"/>
    <w:pPr>
      <w:spacing w:line="400" w:lineRule="exact"/>
    </w:pPr>
    <w:rPr>
      <w:sz w:val="24"/>
      <w:szCs w:val="20"/>
    </w:rPr>
  </w:style>
  <w:style w:type="paragraph" w:customStyle="1" w:styleId="337">
    <w:name w:val="彩色底纹 - 强调文字颜色 61"/>
    <w:basedOn w:val="3"/>
    <w:next w:val="1"/>
    <w:qFormat/>
    <w:uiPriority w:val="0"/>
    <w:pPr>
      <w:keepLines/>
      <w:widowControl/>
      <w:tabs>
        <w:tab w:val="left" w:pos="1820"/>
      </w:tabs>
      <w:spacing w:before="480" w:line="276" w:lineRule="auto"/>
      <w:jc w:val="left"/>
      <w:outlineLvl w:val="9"/>
    </w:pPr>
    <w:rPr>
      <w:rFonts w:ascii="Cambria" w:hAnsi="Cambria"/>
      <w:bCs/>
      <w:color w:val="365F91"/>
      <w:kern w:val="0"/>
      <w:sz w:val="28"/>
      <w:szCs w:val="28"/>
    </w:rPr>
  </w:style>
  <w:style w:type="paragraph" w:customStyle="1" w:styleId="338">
    <w:name w:val="Char1 Char Char Char Char Char Char1"/>
    <w:basedOn w:val="1"/>
    <w:qFormat/>
    <w:uiPriority w:val="0"/>
    <w:rPr>
      <w:rFonts w:ascii="仿宋_GB2312" w:eastAsia="仿宋_GB2312"/>
      <w:b/>
      <w:sz w:val="32"/>
      <w:szCs w:val="32"/>
    </w:rPr>
  </w:style>
  <w:style w:type="paragraph" w:customStyle="1" w:styleId="33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0">
    <w:name w:val="正文1"/>
    <w:qFormat/>
    <w:uiPriority w:val="0"/>
    <w:pPr>
      <w:widowControl w:val="0"/>
      <w:adjustRightInd w:val="0"/>
      <w:spacing w:line="312" w:lineRule="atLeast"/>
      <w:jc w:val="both"/>
      <w:textAlignment w:val="baseline"/>
    </w:pPr>
    <w:rPr>
      <w:rFonts w:ascii="Times New Roman" w:hAnsi="Times New Roman" w:eastAsia="宋体" w:cs="Times New Roman"/>
      <w:lang w:val="en-US" w:eastAsia="zh-CN" w:bidi="ar-SA"/>
    </w:rPr>
  </w:style>
  <w:style w:type="paragraph" w:customStyle="1" w:styleId="341">
    <w:name w:val="附件文字"/>
    <w:basedOn w:val="6"/>
    <w:qFormat/>
    <w:uiPriority w:val="0"/>
    <w:pPr>
      <w:adjustRightInd w:val="0"/>
      <w:snapToGrid w:val="0"/>
    </w:pPr>
    <w:rPr>
      <w:rFonts w:hAnsi="Times New Roman"/>
      <w:sz w:val="24"/>
    </w:rPr>
  </w:style>
  <w:style w:type="paragraph" w:customStyle="1" w:styleId="342">
    <w:name w:val="6"/>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43">
    <w:name w:val="Char21"/>
    <w:basedOn w:val="1"/>
    <w:qFormat/>
    <w:uiPriority w:val="0"/>
    <w:rPr>
      <w:rFonts w:ascii="仿宋_GB2312" w:eastAsia="仿宋_GB2312"/>
      <w:b/>
      <w:sz w:val="32"/>
      <w:szCs w:val="32"/>
    </w:rPr>
  </w:style>
  <w:style w:type="paragraph" w:customStyle="1" w:styleId="344">
    <w:name w:val="样式 标题 3 + 段前: 7.8 磅"/>
    <w:basedOn w:val="5"/>
    <w:qFormat/>
    <w:uiPriority w:val="0"/>
    <w:pPr>
      <w:widowControl w:val="0"/>
      <w:tabs>
        <w:tab w:val="left" w:pos="821"/>
      </w:tabs>
      <w:autoSpaceDE/>
      <w:autoSpaceDN/>
      <w:spacing w:before="156" w:after="0" w:line="360" w:lineRule="auto"/>
      <w:ind w:left="821" w:hanging="360"/>
    </w:pPr>
    <w:rPr>
      <w:rFonts w:cs="宋体"/>
    </w:rPr>
  </w:style>
  <w:style w:type="paragraph" w:customStyle="1" w:styleId="345">
    <w:name w:val="纯文本1"/>
    <w:basedOn w:val="1"/>
    <w:qFormat/>
    <w:uiPriority w:val="0"/>
    <w:rPr>
      <w:rFonts w:hint="eastAsia" w:ascii="宋体" w:hAnsi="Courier New"/>
      <w:szCs w:val="20"/>
    </w:rPr>
  </w:style>
  <w:style w:type="paragraph" w:customStyle="1" w:styleId="346">
    <w:name w:val="Char41"/>
    <w:basedOn w:val="17"/>
    <w:qFormat/>
    <w:uiPriority w:val="0"/>
    <w:pPr>
      <w:widowControl/>
      <w:spacing w:afterLines="50" w:line="360" w:lineRule="auto"/>
      <w:ind w:firstLine="480"/>
      <w:jc w:val="left"/>
    </w:pPr>
  </w:style>
  <w:style w:type="paragraph" w:customStyle="1" w:styleId="347">
    <w:name w:val="彩色列表 - 强调文字颜色 12"/>
    <w:basedOn w:val="1"/>
    <w:qFormat/>
    <w:uiPriority w:val="34"/>
    <w:pPr>
      <w:ind w:firstLine="420" w:firstLineChars="200"/>
    </w:pPr>
  </w:style>
  <w:style w:type="paragraph" w:customStyle="1" w:styleId="348">
    <w:name w:val="样式5"/>
    <w:basedOn w:val="8"/>
    <w:qFormat/>
    <w:uiPriority w:val="0"/>
    <w:pPr>
      <w:jc w:val="center"/>
    </w:pPr>
    <w:rPr>
      <w:rFonts w:ascii="Century Gothic" w:hAnsi="Century Gothic" w:eastAsia="Century Gothic" w:cs="Arial"/>
      <w:sz w:val="32"/>
      <w:szCs w:val="32"/>
    </w:rPr>
  </w:style>
  <w:style w:type="paragraph" w:customStyle="1" w:styleId="349">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350">
    <w:name w:val="标书标题3"/>
    <w:basedOn w:val="5"/>
    <w:qFormat/>
    <w:uiPriority w:val="0"/>
    <w:pPr>
      <w:keepNext/>
      <w:autoSpaceDE/>
      <w:autoSpaceDN/>
      <w:adjustRightInd w:val="0"/>
      <w:snapToGrid w:val="0"/>
      <w:spacing w:after="60"/>
      <w:jc w:val="left"/>
    </w:pPr>
    <w:rPr>
      <w:rFonts w:eastAsia="Courier New"/>
      <w:color w:val="000000"/>
      <w:kern w:val="0"/>
      <w:sz w:val="28"/>
      <w:szCs w:val="32"/>
    </w:rPr>
  </w:style>
  <w:style w:type="paragraph" w:customStyle="1" w:styleId="351">
    <w:name w:val="排列"/>
    <w:basedOn w:val="1"/>
    <w:qFormat/>
    <w:uiPriority w:val="0"/>
    <w:pPr>
      <w:jc w:val="center"/>
    </w:pPr>
    <w:rPr>
      <w:rFonts w:ascii="楷体_GB2312" w:hAnsi="Courier New" w:eastAsia="楷体_GB2312"/>
      <w:szCs w:val="20"/>
    </w:rPr>
  </w:style>
  <w:style w:type="paragraph" w:customStyle="1" w:styleId="352">
    <w:name w:val="Char1 Char Char Char Char Char1 Char Char Char Char Char Char1 Char"/>
    <w:basedOn w:val="1"/>
    <w:qFormat/>
    <w:uiPriority w:val="0"/>
    <w:pPr>
      <w:tabs>
        <w:tab w:val="left" w:pos="743"/>
      </w:tabs>
      <w:ind w:left="289" w:firstLine="420"/>
    </w:pPr>
    <w:rPr>
      <w:sz w:val="24"/>
    </w:rPr>
  </w:style>
  <w:style w:type="paragraph" w:customStyle="1" w:styleId="353">
    <w:name w:val="默认段落字体 Para Char Char Char Char Char Char Char"/>
    <w:basedOn w:val="1"/>
    <w:qFormat/>
    <w:uiPriority w:val="0"/>
    <w:rPr>
      <w:rFonts w:eastAsia="仿宋_GB2312"/>
      <w:sz w:val="28"/>
    </w:rPr>
  </w:style>
  <w:style w:type="paragraph" w:customStyle="1" w:styleId="354">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355">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56">
    <w:name w:val="修订版本号"/>
    <w:semiHidden/>
    <w:qFormat/>
    <w:uiPriority w:val="99"/>
    <w:rPr>
      <w:rFonts w:ascii="Arial" w:hAnsi="Arial" w:eastAsia="宋体" w:cs="Arial"/>
      <w:kern w:val="2"/>
      <w:sz w:val="21"/>
      <w:szCs w:val="24"/>
      <w:lang w:val="en-US" w:eastAsia="zh-CN" w:bidi="ar-SA"/>
    </w:rPr>
  </w:style>
  <w:style w:type="paragraph" w:customStyle="1" w:styleId="357">
    <w:name w:val="Char Char Char1 Char Char Char Char Char Char Char Char Char Char Char Char Char Char Char Char Char Char Char Char Char Char"/>
    <w:basedOn w:val="1"/>
    <w:qFormat/>
    <w:uiPriority w:val="0"/>
    <w:pPr>
      <w:spacing w:line="360" w:lineRule="auto"/>
      <w:ind w:firstLine="200" w:firstLineChars="200"/>
    </w:pPr>
  </w:style>
  <w:style w:type="paragraph" w:customStyle="1" w:styleId="358">
    <w:name w:val="xl30"/>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359">
    <w:name w:val="默认段落字体 Para Char Char Char Char Char Char Char Char Char1 Char Char Char Char"/>
    <w:basedOn w:val="1"/>
    <w:qFormat/>
    <w:uiPriority w:val="0"/>
    <w:rPr>
      <w:rFonts w:ascii="Tahoma" w:hAnsi="Tahoma"/>
      <w:sz w:val="24"/>
      <w:szCs w:val="20"/>
    </w:rPr>
  </w:style>
  <w:style w:type="paragraph" w:customStyle="1" w:styleId="360">
    <w:name w:val="列出段落3"/>
    <w:basedOn w:val="1"/>
    <w:qFormat/>
    <w:uiPriority w:val="34"/>
    <w:pPr>
      <w:ind w:firstLine="420" w:firstLineChars="200"/>
    </w:pPr>
    <w:rPr>
      <w:rFonts w:ascii="Calibri" w:hAnsi="Calibri" w:cs="黑体"/>
      <w:szCs w:val="22"/>
    </w:rPr>
  </w:style>
  <w:style w:type="paragraph" w:customStyle="1" w:styleId="361">
    <w:name w:val="标书标题4"/>
    <w:basedOn w:val="8"/>
    <w:qFormat/>
    <w:uiPriority w:val="0"/>
    <w:pPr>
      <w:keepLines w:val="0"/>
      <w:adjustRightInd w:val="0"/>
      <w:snapToGrid w:val="0"/>
      <w:spacing w:before="0" w:after="0" w:line="300" w:lineRule="auto"/>
    </w:pPr>
    <w:rPr>
      <w:rFonts w:eastAsia="Courier New" w:cs="Arial"/>
      <w:bCs w:val="0"/>
      <w:color w:val="000000"/>
      <w:kern w:val="0"/>
      <w:szCs w:val="32"/>
    </w:rPr>
  </w:style>
  <w:style w:type="paragraph" w:customStyle="1" w:styleId="362">
    <w:name w:val="xl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0"/>
      <w:szCs w:val="20"/>
    </w:rPr>
  </w:style>
  <w:style w:type="paragraph" w:customStyle="1" w:styleId="363">
    <w:name w:val="中等深浅网格 1 - 强调文字颜色 21"/>
    <w:basedOn w:val="1"/>
    <w:qFormat/>
    <w:uiPriority w:val="34"/>
    <w:pPr>
      <w:ind w:firstLine="420" w:firstLineChars="200"/>
    </w:pPr>
  </w:style>
  <w:style w:type="paragraph" w:customStyle="1" w:styleId="364">
    <w:name w:val="小节"/>
    <w:basedOn w:val="5"/>
    <w:qFormat/>
    <w:uiPriority w:val="0"/>
    <w:pPr>
      <w:keepNext/>
      <w:keepLines/>
      <w:widowControl w:val="0"/>
      <w:autoSpaceDE/>
      <w:autoSpaceDN/>
      <w:spacing w:before="200" w:after="200" w:line="560" w:lineRule="exact"/>
      <w:jc w:val="left"/>
    </w:pPr>
    <w:rPr>
      <w:rFonts w:ascii="Century Gothic" w:hAnsi="Century Gothic" w:eastAsia="仿宋_GB2312"/>
      <w:b/>
      <w:color w:val="000000"/>
      <w:spacing w:val="10"/>
      <w:kern w:val="24"/>
      <w:sz w:val="28"/>
      <w:szCs w:val="32"/>
    </w:rPr>
  </w:style>
  <w:style w:type="paragraph" w:customStyle="1" w:styleId="365">
    <w:name w:val="列出段落11"/>
    <w:qFormat/>
    <w:uiPriority w:val="0"/>
    <w:pPr>
      <w:ind w:firstLine="420" w:firstLineChars="200"/>
    </w:pPr>
    <w:rPr>
      <w:rFonts w:ascii="Times New Roman" w:hAnsi="Times New Roman" w:eastAsia="宋体" w:cs="Times New Roman"/>
      <w:lang w:val="en-US" w:eastAsia="zh-CN" w:bidi="ar-SA"/>
    </w:rPr>
  </w:style>
  <w:style w:type="paragraph" w:customStyle="1" w:styleId="366">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367">
    <w:name w:val="彩色底纹1"/>
    <w:unhideWhenUsed/>
    <w:qFormat/>
    <w:uiPriority w:val="99"/>
    <w:rPr>
      <w:rFonts w:ascii="Times New Roman" w:hAnsi="Times New Roman" w:eastAsia="宋体" w:cs="Times New Roman"/>
      <w:kern w:val="2"/>
      <w:sz w:val="21"/>
      <w:szCs w:val="24"/>
      <w:lang w:val="en-US" w:eastAsia="zh-CN" w:bidi="ar-SA"/>
    </w:rPr>
  </w:style>
  <w:style w:type="paragraph" w:customStyle="1" w:styleId="368">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369">
    <w:name w:val="样式 标题 3 + (中文) 黑体 小四 非加粗 段前: 7.8 磅 段后: 0 磅 行距: 固定值 20 磅"/>
    <w:basedOn w:val="5"/>
    <w:qFormat/>
    <w:uiPriority w:val="0"/>
    <w:pPr>
      <w:keepNext/>
      <w:keepLines/>
      <w:widowControl w:val="0"/>
      <w:autoSpaceDE/>
      <w:autoSpaceDN/>
      <w:spacing w:before="0" w:after="0" w:line="400" w:lineRule="exact"/>
    </w:pPr>
    <w:rPr>
      <w:rFonts w:eastAsia="黑体" w:cs="宋体"/>
    </w:rPr>
  </w:style>
  <w:style w:type="paragraph" w:customStyle="1" w:styleId="370">
    <w:name w:val="正文文字缩进"/>
    <w:basedOn w:val="1"/>
    <w:qFormat/>
    <w:uiPriority w:val="0"/>
    <w:pPr>
      <w:widowControl/>
      <w:spacing w:line="748" w:lineRule="atLeast"/>
      <w:ind w:left="-521" w:firstLine="527"/>
      <w:textAlignment w:val="baseline"/>
    </w:pPr>
    <w:rPr>
      <w:rFonts w:ascii="Romantic" w:hAnsi="微软大黑体" w:cs="微软大黑体"/>
      <w:color w:val="000000"/>
      <w:kern w:val="0"/>
      <w:sz w:val="24"/>
      <w:szCs w:val="20"/>
      <w:u w:color="000000"/>
    </w:rPr>
  </w:style>
  <w:style w:type="paragraph" w:customStyle="1" w:styleId="371">
    <w:name w:val="Char22"/>
    <w:basedOn w:val="1"/>
    <w:qFormat/>
    <w:uiPriority w:val="0"/>
    <w:rPr>
      <w:rFonts w:ascii="仿宋_GB2312" w:eastAsia="仿宋_GB2312"/>
      <w:b/>
      <w:sz w:val="32"/>
      <w:szCs w:val="32"/>
    </w:rPr>
  </w:style>
  <w:style w:type="paragraph" w:customStyle="1" w:styleId="372">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table" w:customStyle="1" w:styleId="373">
    <w:name w:val="网格型11"/>
    <w:basedOn w:val="5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4">
    <w:name w:val="网格型1"/>
    <w:basedOn w:val="5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5">
    <w:name w:val="网格型2"/>
    <w:basedOn w:val="56"/>
    <w:qFormat/>
    <w:uiPriority w:val="0"/>
    <w:pPr>
      <w:widowControl w:val="0"/>
      <w:jc w:val="both"/>
    </w:pPr>
    <w:rPr>
      <w:rFonts w:ascii="Arial" w:hAnsi="Arial"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76">
    <w:name w:val="xl137"/>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kern w:val="0"/>
      <w:sz w:val="24"/>
    </w:rPr>
  </w:style>
  <w:style w:type="character" w:customStyle="1" w:styleId="377">
    <w:name w:val="font31"/>
    <w:qFormat/>
    <w:uiPriority w:val="0"/>
    <w:rPr>
      <w:rFonts w:hint="eastAsia" w:ascii="宋体" w:hAnsi="宋体" w:eastAsia="宋体" w:cs="宋体"/>
      <w:color w:val="000000"/>
      <w:sz w:val="18"/>
      <w:szCs w:val="18"/>
      <w:u w:val="none"/>
    </w:rPr>
  </w:style>
  <w:style w:type="character" w:customStyle="1" w:styleId="378">
    <w:name w:val="font21"/>
    <w:qFormat/>
    <w:uiPriority w:val="0"/>
    <w:rPr>
      <w:rFonts w:hint="eastAsia" w:ascii="宋体" w:hAnsi="宋体" w:eastAsia="宋体" w:cs="宋体"/>
      <w:color w:val="000000"/>
      <w:sz w:val="18"/>
      <w:szCs w:val="18"/>
      <w:u w:val="none"/>
    </w:rPr>
  </w:style>
  <w:style w:type="character" w:customStyle="1" w:styleId="379">
    <w:name w:val="font101"/>
    <w:qFormat/>
    <w:uiPriority w:val="0"/>
    <w:rPr>
      <w:rFonts w:hint="eastAsia" w:ascii="宋体" w:hAnsi="宋体" w:eastAsia="宋体" w:cs="宋体"/>
      <w:color w:val="000000"/>
      <w:sz w:val="18"/>
      <w:szCs w:val="18"/>
      <w:u w:val="none"/>
    </w:rPr>
  </w:style>
  <w:style w:type="character" w:customStyle="1" w:styleId="380">
    <w:name w:val="font71"/>
    <w:qFormat/>
    <w:uiPriority w:val="0"/>
    <w:rPr>
      <w:rFonts w:hint="eastAsia" w:ascii="宋体" w:hAnsi="宋体" w:eastAsia="宋体" w:cs="宋体"/>
      <w:color w:val="000000"/>
      <w:sz w:val="18"/>
      <w:szCs w:val="18"/>
      <w:u w:val="none"/>
    </w:rPr>
  </w:style>
  <w:style w:type="character" w:customStyle="1" w:styleId="381">
    <w:name w:val="font81"/>
    <w:qFormat/>
    <w:uiPriority w:val="0"/>
    <w:rPr>
      <w:rFonts w:hint="eastAsia" w:ascii="宋体" w:hAnsi="宋体" w:eastAsia="宋体" w:cs="宋体"/>
      <w:b/>
      <w:color w:val="000000"/>
      <w:sz w:val="18"/>
      <w:szCs w:val="18"/>
      <w:u w:val="none"/>
    </w:rPr>
  </w:style>
  <w:style w:type="character" w:customStyle="1" w:styleId="382">
    <w:name w:val="font41"/>
    <w:qFormat/>
    <w:uiPriority w:val="0"/>
    <w:rPr>
      <w:rFonts w:hint="eastAsia" w:ascii="宋体" w:hAnsi="宋体" w:eastAsia="宋体" w:cs="宋体"/>
      <w:b/>
      <w:color w:val="000000"/>
      <w:sz w:val="18"/>
      <w:szCs w:val="18"/>
      <w:u w:val="none"/>
    </w:rPr>
  </w:style>
  <w:style w:type="paragraph" w:customStyle="1" w:styleId="383">
    <w:name w:val="Normal Indent1"/>
    <w:basedOn w:val="1"/>
    <w:qFormat/>
    <w:uiPriority w:val="0"/>
    <w:pPr>
      <w:ind w:firstLine="420" w:firstLineChars="200"/>
    </w:pPr>
  </w:style>
  <w:style w:type="paragraph" w:customStyle="1" w:styleId="384">
    <w:name w:val="正文文本 22"/>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85">
    <w:name w:val="正文文本 23"/>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86">
    <w:name w:val="样式 标题 2 + 小四 段前: 0.5 行 段后: 0.5 行 行距: 1.5 倍行距"/>
    <w:basedOn w:val="4"/>
    <w:qFormat/>
    <w:uiPriority w:val="0"/>
    <w:pPr>
      <w:spacing w:beforeLines="50" w:afterLines="50"/>
      <w:ind w:right="113"/>
    </w:pPr>
    <w:rPr>
      <w:rFonts w:eastAsia="黑体" w:cs="宋体"/>
      <w:kern w:val="0"/>
      <w:lang w:val="zh-CN"/>
    </w:rPr>
  </w:style>
  <w:style w:type="paragraph" w:customStyle="1" w:styleId="387">
    <w:name w:val="BodyText"/>
    <w:basedOn w:val="1"/>
    <w:next w:val="1"/>
    <w:qFormat/>
    <w:uiPriority w:val="0"/>
    <w:pPr>
      <w:textAlignment w:val="baseline"/>
    </w:pPr>
    <w:rPr>
      <w:rFonts w:ascii="Calibri" w:hAnsi="Calibri"/>
      <w:b/>
      <w:sz w:val="30"/>
      <w:szCs w:val="22"/>
    </w:rPr>
  </w:style>
  <w:style w:type="paragraph" w:customStyle="1" w:styleId="388">
    <w:name w:val="DAS正文"/>
    <w:basedOn w:val="1"/>
    <w:qFormat/>
    <w:uiPriority w:val="0"/>
    <w:pPr>
      <w:spacing w:line="360" w:lineRule="auto"/>
      <w:ind w:right="181" w:firstLine="480" w:firstLineChars="200"/>
    </w:pPr>
    <w:rPr>
      <w:rFonts w:ascii="Verdana" w:hAnsi="Verdana"/>
    </w:rPr>
  </w:style>
  <w:style w:type="character" w:customStyle="1" w:styleId="389">
    <w:name w:val="标题 3 Char1"/>
    <w:qFormat/>
    <w:uiPriority w:val="0"/>
    <w:rPr>
      <w:rFonts w:ascii="Arial Unicode MS" w:hAnsi="Arial Unicode MS" w:eastAsia="宋体" w:cs="Times New Roman"/>
      <w:b/>
      <w:kern w:val="0"/>
      <w:sz w:val="27"/>
      <w:szCs w:val="20"/>
    </w:rPr>
  </w:style>
  <w:style w:type="character" w:customStyle="1" w:styleId="390">
    <w:name w:val="正文文本 Char3"/>
    <w:qFormat/>
    <w:uiPriority w:val="0"/>
    <w:rPr>
      <w:rFonts w:ascii="宋体" w:hAnsi="Times New Roman" w:eastAsia="宋体" w:cs="Times New Roman"/>
      <w:b/>
      <w:sz w:val="24"/>
      <w:szCs w:val="20"/>
    </w:rPr>
  </w:style>
  <w:style w:type="character" w:customStyle="1" w:styleId="391">
    <w:name w:val="页脚 Char2"/>
    <w:qFormat/>
    <w:uiPriority w:val="99"/>
    <w:rPr>
      <w:rFonts w:ascii="Times New Roman" w:hAnsi="Times New Roman" w:eastAsia="宋体" w:cs="Times New Roman"/>
      <w:kern w:val="0"/>
      <w:sz w:val="18"/>
      <w:szCs w:val="20"/>
    </w:rPr>
  </w:style>
  <w:style w:type="character" w:customStyle="1" w:styleId="392">
    <w:name w:val="页眉 Char2"/>
    <w:qFormat/>
    <w:uiPriority w:val="99"/>
    <w:rPr>
      <w:rFonts w:ascii="宋体" w:hAnsi="Times New Roman" w:eastAsia="宋体" w:cs="Times New Roman"/>
      <w:kern w:val="0"/>
      <w:sz w:val="18"/>
      <w:szCs w:val="20"/>
    </w:rPr>
  </w:style>
  <w:style w:type="paragraph" w:customStyle="1" w:styleId="393">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394">
    <w:name w:val="zhang"/>
    <w:basedOn w:val="1"/>
    <w:qFormat/>
    <w:uiPriority w:val="0"/>
    <w:pPr>
      <w:widowControl/>
      <w:spacing w:before="100" w:beforeAutospacing="1" w:after="100" w:afterAutospacing="1"/>
      <w:jc w:val="left"/>
    </w:pPr>
    <w:rPr>
      <w:rFonts w:ascii="宋体" w:hAnsi="宋体" w:cs="宋体"/>
      <w:b/>
      <w:bCs/>
      <w:smallCaps/>
      <w:color w:val="000000"/>
      <w:kern w:val="0"/>
      <w:sz w:val="20"/>
      <w:szCs w:val="20"/>
    </w:rPr>
  </w:style>
  <w:style w:type="paragraph" w:customStyle="1" w:styleId="395">
    <w:name w:val="正文5"/>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96">
    <w:name w:val="纯文本3"/>
    <w:basedOn w:val="1"/>
    <w:qFormat/>
    <w:uiPriority w:val="0"/>
    <w:pPr>
      <w:adjustRightInd w:val="0"/>
      <w:snapToGrid w:val="0"/>
      <w:spacing w:line="288" w:lineRule="auto"/>
      <w:ind w:firstLine="200" w:firstLineChars="200"/>
      <w:textAlignment w:val="baseline"/>
    </w:pPr>
    <w:rPr>
      <w:rFonts w:ascii="Calibri Light" w:hAnsi="Calibri Light" w:cs="HP Simplified Light"/>
      <w:szCs w:val="20"/>
    </w:rPr>
  </w:style>
  <w:style w:type="character" w:customStyle="1" w:styleId="397">
    <w:name w:val="正文首行缩进 Char2"/>
    <w:qFormat/>
    <w:uiPriority w:val="0"/>
    <w:rPr>
      <w:kern w:val="2"/>
      <w:sz w:val="21"/>
    </w:rPr>
  </w:style>
  <w:style w:type="paragraph" w:customStyle="1" w:styleId="398">
    <w:name w:val="UserStyle_0"/>
    <w:basedOn w:val="1"/>
    <w:next w:val="1"/>
    <w:qFormat/>
    <w:uiPriority w:val="0"/>
    <w:pPr>
      <w:keepNext/>
      <w:jc w:val="center"/>
    </w:pPr>
    <w:rPr>
      <w:b/>
      <w:bCs/>
      <w:kern w:val="0"/>
      <w:sz w:val="24"/>
    </w:rPr>
  </w:style>
  <w:style w:type="paragraph" w:customStyle="1" w:styleId="399">
    <w:name w:val="索引 11"/>
    <w:basedOn w:val="1"/>
    <w:next w:val="1"/>
    <w:qFormat/>
    <w:uiPriority w:val="99"/>
    <w:pPr>
      <w:spacing w:line="360" w:lineRule="auto"/>
    </w:pPr>
    <w:rPr>
      <w:rFonts w:ascii="仿宋_GB2312" w:eastAsia="仿宋_GB2312"/>
      <w:sz w:val="24"/>
      <w:szCs w:val="20"/>
    </w:rPr>
  </w:style>
  <w:style w:type="character" w:customStyle="1" w:styleId="400">
    <w:name w:val="UserStyle_7"/>
    <w:qFormat/>
    <w:uiPriority w:val="0"/>
  </w:style>
  <w:style w:type="paragraph" w:customStyle="1" w:styleId="401">
    <w:name w:val="无间隔4"/>
    <w:qFormat/>
    <w:uiPriority w:val="0"/>
    <w:rPr>
      <w:rFonts w:ascii="Calibri" w:hAnsi="Calibri" w:eastAsia="宋体" w:cs="Times New Roman"/>
      <w:sz w:val="22"/>
      <w:szCs w:val="22"/>
      <w:lang w:val="en-US" w:eastAsia="en-US" w:bidi="ar-SA"/>
    </w:rPr>
  </w:style>
  <w:style w:type="paragraph" w:customStyle="1" w:styleId="402">
    <w:name w:val="表格样式"/>
    <w:basedOn w:val="1"/>
    <w:next w:val="1"/>
    <w:qFormat/>
    <w:uiPriority w:val="0"/>
  </w:style>
  <w:style w:type="character" w:customStyle="1" w:styleId="403">
    <w:name w:val="NormalCharacter"/>
    <w:semiHidden/>
    <w:qFormat/>
    <w:uiPriority w:val="0"/>
    <w:rPr>
      <w:rFonts w:ascii="等线" w:hAnsi="等线"/>
      <w:kern w:val="2"/>
      <w:sz w:val="21"/>
      <w:szCs w:val="24"/>
      <w:lang w:val="en-US" w:eastAsia="zh-CN" w:bidi="ar-SA"/>
    </w:rPr>
  </w:style>
  <w:style w:type="paragraph" w:customStyle="1" w:styleId="404">
    <w:name w:val="msolistparagraph"/>
    <w:basedOn w:val="1"/>
    <w:qFormat/>
    <w:uiPriority w:val="0"/>
    <w:pPr>
      <w:keepNext w:val="0"/>
      <w:keepLines w:val="0"/>
      <w:widowControl w:val="0"/>
      <w:suppressLineNumbers w:val="0"/>
      <w:autoSpaceDE w:val="0"/>
      <w:autoSpaceDN w:val="0"/>
      <w:adjustRightInd w:val="0"/>
      <w:spacing w:before="0" w:beforeAutospacing="0" w:after="0" w:afterAutospacing="0"/>
      <w:ind w:left="0" w:right="0" w:firstLine="420" w:firstLineChars="20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file:///D:\Program%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0Files%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0(x86)\Tencent\ACER\Documents\Tencent%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0Files\731289318\Image\Group\JIEF%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5bIF7A8MK059L~WLO%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25H0.jpg" TargetMode="Externa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http://schemas.openxmlformats.org/officeDocument/2006/bibliography" xmlns:b="http://schemas.openxmlformats.org/officeDocument/2006/bibliography" StyleName="APA" Version="6"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C6D571-829E-4E62-A347-343F10C90E96}">
  <ds:schemaRefs/>
</ds:datastoreItem>
</file>

<file path=docProps/app.xml><?xml version="1.0" encoding="utf-8"?>
<Properties xmlns="http://schemas.openxmlformats.org/officeDocument/2006/extended-properties" xmlns:vt="http://schemas.openxmlformats.org/officeDocument/2006/docPropsVTypes">
  <Company>微软中国</Company>
  <Pages>83</Pages>
  <Words>50217</Words>
  <Characters>52991</Characters>
  <Lines>1</Lines>
  <Paragraphs>1</Paragraphs>
  <TotalTime>23</TotalTime>
  <ScaleCrop>false</ScaleCrop>
  <LinksUpToDate>false</LinksUpToDate>
  <CharactersWithSpaces>54835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2023-05-26T10:39:00Z</dcterms:created>
  <dc:creator>包杰</dc:creator>
  <cp:lastModifiedBy>旺  旺</cp:lastModifiedBy>
  <cp:lastPrinted>2020-05-29T17:25:00Z</cp:lastPrinted>
  <dcterms:modified xsi:type="dcterms:W3CDTF">2024-04-26T09:34:37Z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E37CFB992A8D47B4AAC052FDD1A7BF25_13</vt:lpwstr>
  </property>
</Properties>
</file>