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both"/>
        <w:rPr>
          <w:rFonts w:ascii="仿宋" w:hAnsi="仿宋" w:eastAsia="仿宋" w:cs="仿宋_GB2312"/>
          <w:b/>
          <w:sz w:val="44"/>
          <w:szCs w:val="44"/>
        </w:rPr>
      </w:pPr>
    </w:p>
    <w:p>
      <w:pPr>
        <w:adjustRightInd/>
        <w:spacing w:line="360" w:lineRule="auto"/>
        <w:jc w:val="center"/>
        <w:rPr>
          <w:rFonts w:hint="eastAsia" w:ascii="宋体" w:hAnsi="宋体" w:eastAsia="宋体" w:cs="宋体"/>
          <w:b/>
          <w:bCs/>
          <w:sz w:val="56"/>
          <w:szCs w:val="56"/>
          <w:lang w:eastAsia="zh-CN"/>
        </w:rPr>
      </w:pPr>
      <w:r>
        <w:rPr>
          <w:rFonts w:hint="eastAsia" w:ascii="宋体" w:hAnsi="宋体" w:cs="宋体"/>
          <w:b/>
          <w:bCs/>
          <w:sz w:val="56"/>
          <w:szCs w:val="56"/>
          <w:lang w:eastAsia="zh-CN"/>
        </w:rPr>
        <w:t>白杨街道特保服务外包项目</w:t>
      </w:r>
    </w:p>
    <w:p>
      <w:pPr>
        <w:rPr>
          <w:rFonts w:hint="eastAsia"/>
        </w:rPr>
      </w:pPr>
    </w:p>
    <w:p>
      <w:pPr>
        <w:pStyle w:val="24"/>
        <w:rPr>
          <w:rFonts w:hint="eastAsia"/>
        </w:rPr>
      </w:pPr>
    </w:p>
    <w:p>
      <w:pPr>
        <w:adjustRightInd/>
        <w:spacing w:line="360" w:lineRule="auto"/>
        <w:jc w:val="center"/>
        <w:rPr>
          <w:rFonts w:hint="eastAsia" w:ascii="宋体" w:hAnsi="宋体" w:eastAsia="宋体" w:cs="宋体"/>
          <w:b/>
          <w:bCs/>
          <w:sz w:val="56"/>
          <w:szCs w:val="56"/>
        </w:rPr>
      </w:pPr>
      <w:r>
        <w:rPr>
          <w:rFonts w:hint="eastAsia" w:ascii="宋体" w:hAnsi="宋体" w:cs="宋体"/>
          <w:b/>
          <w:bCs/>
          <w:sz w:val="52"/>
          <w:szCs w:val="52"/>
          <w:lang w:val="en-US" w:eastAsia="zh-CN"/>
        </w:rPr>
        <w:t>公开招标</w:t>
      </w:r>
      <w:r>
        <w:rPr>
          <w:rFonts w:hint="eastAsia" w:ascii="宋体" w:hAnsi="宋体" w:eastAsia="宋体" w:cs="宋体"/>
          <w:b/>
          <w:bCs/>
          <w:sz w:val="52"/>
          <w:szCs w:val="52"/>
        </w:rPr>
        <w:t>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b/>
          <w:bCs/>
          <w:sz w:val="30"/>
          <w:szCs w:val="30"/>
          <w:highlight w:val="none"/>
          <w:lang w:val="en-US" w:eastAsia="zh-CN"/>
        </w:rPr>
      </w:pPr>
      <w:r>
        <w:rPr>
          <w:rFonts w:hint="default" w:ascii="Arial" w:hAnsi="Arial" w:cs="Arial"/>
          <w:color w:val="auto"/>
          <w:sz w:val="24"/>
        </w:rPr>
        <w:drawing>
          <wp:inline distT="0" distB="0" distL="0" distR="0">
            <wp:extent cx="2343150" cy="1935480"/>
            <wp:effectExtent l="0" t="0" r="6350" b="762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noChangeArrowheads="1"/>
                    </pic:cNvPicPr>
                  </pic:nvPicPr>
                  <pic:blipFill>
                    <a:blip r:embed="rId30" cstate="print">
                      <a:extLst>
                        <a:ext uri="{28A0092B-C50C-407E-A947-70E740481C1C}">
                          <a14:useLocalDpi xmlns:a14="http://schemas.microsoft.com/office/drawing/2010/main" val="0"/>
                        </a:ext>
                      </a:extLst>
                    </a:blip>
                    <a:srcRect l="10294" t="7677" r="13889" b="8034"/>
                    <a:stretch>
                      <a:fillRect/>
                    </a:stretch>
                  </pic:blipFill>
                  <pic:spPr>
                    <a:xfrm>
                      <a:off x="0" y="0"/>
                      <a:ext cx="2343150" cy="1935480"/>
                    </a:xfrm>
                    <a:prstGeom prst="rect">
                      <a:avLst/>
                    </a:prstGeom>
                    <a:noFill/>
                    <a:ln>
                      <a:noFill/>
                    </a:ln>
                  </pic:spPr>
                </pic:pic>
              </a:graphicData>
            </a:graphic>
          </wp:inline>
        </w:drawing>
      </w:r>
    </w:p>
    <w:p>
      <w:pPr>
        <w:snapToGrid w:val="0"/>
        <w:spacing w:line="360" w:lineRule="auto"/>
        <w:jc w:val="center"/>
        <w:rPr>
          <w:rFonts w:hint="eastAsia" w:ascii="仿宋" w:hAnsi="仿宋" w:eastAsia="仿宋" w:cs="仿宋_GB2312"/>
          <w:b/>
          <w:bCs/>
          <w:sz w:val="40"/>
          <w:szCs w:val="40"/>
          <w:highlight w:val="cyan"/>
          <w:lang w:eastAsia="zh-CN"/>
        </w:rPr>
      </w:pPr>
      <w:r>
        <w:rPr>
          <w:rFonts w:hint="eastAsia" w:ascii="仿宋" w:hAnsi="仿宋" w:eastAsia="仿宋" w:cs="仿宋_GB2312"/>
          <w:b/>
          <w:bCs/>
          <w:sz w:val="40"/>
          <w:szCs w:val="40"/>
          <w:highlight w:val="none"/>
          <w:lang w:val="en-US" w:eastAsia="zh-CN"/>
        </w:rPr>
        <w:t>项目</w:t>
      </w:r>
      <w:r>
        <w:rPr>
          <w:rFonts w:hint="eastAsia" w:ascii="仿宋" w:hAnsi="仿宋" w:eastAsia="仿宋" w:cs="仿宋_GB2312"/>
          <w:b/>
          <w:bCs/>
          <w:sz w:val="40"/>
          <w:szCs w:val="40"/>
          <w:highlight w:val="none"/>
        </w:rPr>
        <w:t>编号</w:t>
      </w:r>
      <w:r>
        <w:rPr>
          <w:rFonts w:ascii="仿宋" w:hAnsi="仿宋" w:eastAsia="仿宋" w:cs="仿宋_GB2312"/>
          <w:b/>
          <w:bCs/>
          <w:sz w:val="40"/>
          <w:szCs w:val="40"/>
          <w:highlight w:val="none"/>
        </w:rPr>
        <w:t>:</w:t>
      </w:r>
      <w:r>
        <w:rPr>
          <w:rFonts w:hint="eastAsia" w:ascii="仿宋" w:hAnsi="仿宋" w:eastAsia="仿宋" w:cs="仿宋_GB2312"/>
          <w:b/>
          <w:bCs/>
          <w:sz w:val="40"/>
          <w:szCs w:val="40"/>
          <w:highlight w:val="none"/>
          <w:lang w:eastAsia="zh-CN"/>
        </w:rPr>
        <w:t>QTCG-GK-2022-213</w:t>
      </w:r>
    </w:p>
    <w:p>
      <w:pPr>
        <w:spacing w:line="360" w:lineRule="auto"/>
        <w:jc w:val="both"/>
        <w:outlineLvl w:val="9"/>
        <w:rPr>
          <w:rFonts w:ascii="仿宋" w:hAnsi="仿宋" w:eastAsia="仿宋" w:cs="仿宋_GB2312"/>
          <w:sz w:val="24"/>
        </w:rPr>
      </w:pPr>
    </w:p>
    <w:p>
      <w:pPr>
        <w:tabs>
          <w:tab w:val="left" w:pos="432"/>
        </w:tabs>
        <w:outlineLvl w:val="9"/>
        <w:rPr>
          <w:rFonts w:ascii="仿宋" w:hAnsi="仿宋" w:eastAsia="仿宋" w:cs="仿宋_GB2312"/>
          <w:sz w:val="24"/>
        </w:rPr>
      </w:pPr>
    </w:p>
    <w:p/>
    <w:p>
      <w:pPr>
        <w:pStyle w:val="23"/>
      </w:pPr>
    </w:p>
    <w:p>
      <w:pPr>
        <w:pStyle w:val="23"/>
      </w:pPr>
    </w:p>
    <w:p>
      <w:pPr>
        <w:tabs>
          <w:tab w:val="left" w:pos="432"/>
        </w:tabs>
        <w:ind w:left="0" w:leftChars="0" w:firstLine="0" w:firstLineChars="0"/>
        <w:outlineLvl w:val="9"/>
        <w:rPr>
          <w:rFonts w:ascii="仿宋" w:hAnsi="仿宋" w:eastAsia="仿宋" w:cs="仿宋_GB2312"/>
          <w:sz w:val="24"/>
        </w:rPr>
      </w:pPr>
    </w:p>
    <w:p>
      <w:pPr>
        <w:tabs>
          <w:tab w:val="left" w:pos="432"/>
        </w:tabs>
        <w:ind w:left="0" w:leftChars="0" w:firstLine="0" w:firstLineChars="0"/>
        <w:outlineLvl w:val="9"/>
      </w:pPr>
    </w:p>
    <w:p>
      <w:pPr>
        <w:spacing w:line="360" w:lineRule="auto"/>
        <w:jc w:val="center"/>
        <w:rPr>
          <w:rFonts w:hint="eastAsia" w:ascii="宋体" w:hAnsi="宋体"/>
          <w:b/>
          <w:color w:val="000000"/>
          <w:sz w:val="32"/>
          <w:szCs w:val="32"/>
          <w:lang w:eastAsia="zh-CN"/>
        </w:rPr>
      </w:pPr>
      <w:r>
        <w:rPr>
          <w:rFonts w:hint="eastAsia" w:ascii="宋体" w:hAnsi="宋体"/>
          <w:b/>
          <w:color w:val="000000"/>
          <w:sz w:val="32"/>
          <w:szCs w:val="32"/>
          <w:lang w:val="en-US" w:eastAsia="zh-CN"/>
        </w:rPr>
        <w:t xml:space="preserve"> </w:t>
      </w:r>
      <w:r>
        <w:rPr>
          <w:rFonts w:hint="eastAsia" w:ascii="宋体" w:hAnsi="宋体"/>
          <w:b/>
          <w:color w:val="000000"/>
          <w:sz w:val="32"/>
          <w:szCs w:val="32"/>
        </w:rPr>
        <w:t>采</w:t>
      </w:r>
      <w:r>
        <w:rPr>
          <w:rFonts w:hint="eastAsia" w:ascii="宋体" w:hAnsi="宋体"/>
          <w:b/>
          <w:color w:val="000000"/>
          <w:sz w:val="32"/>
          <w:szCs w:val="32"/>
          <w:lang w:val="en-US" w:eastAsia="zh-CN"/>
        </w:rPr>
        <w:t xml:space="preserve">   </w:t>
      </w:r>
      <w:r>
        <w:rPr>
          <w:rFonts w:hint="eastAsia" w:ascii="宋体" w:hAnsi="宋体"/>
          <w:b/>
          <w:color w:val="000000"/>
          <w:sz w:val="32"/>
          <w:szCs w:val="32"/>
        </w:rPr>
        <w:t>购</w:t>
      </w:r>
      <w:r>
        <w:rPr>
          <w:rFonts w:hint="eastAsia" w:ascii="宋体" w:hAnsi="宋体"/>
          <w:b/>
          <w:color w:val="000000"/>
          <w:sz w:val="32"/>
          <w:szCs w:val="32"/>
          <w:lang w:val="en-US" w:eastAsia="zh-CN"/>
        </w:rPr>
        <w:t xml:space="preserve">  </w:t>
      </w:r>
      <w:r>
        <w:rPr>
          <w:rFonts w:hint="eastAsia" w:ascii="宋体" w:hAnsi="宋体"/>
          <w:b/>
          <w:color w:val="000000"/>
          <w:sz w:val="32"/>
          <w:szCs w:val="32"/>
        </w:rPr>
        <w:t>人</w:t>
      </w:r>
      <w:r>
        <w:rPr>
          <w:rFonts w:ascii="宋体" w:hAnsi="宋体"/>
          <w:b/>
          <w:color w:val="000000"/>
          <w:sz w:val="32"/>
          <w:szCs w:val="32"/>
        </w:rPr>
        <w:t>：</w:t>
      </w:r>
      <w:r>
        <w:rPr>
          <w:rFonts w:hint="eastAsia" w:ascii="宋体" w:hAnsi="宋体"/>
          <w:b/>
          <w:color w:val="000000"/>
          <w:sz w:val="32"/>
          <w:szCs w:val="32"/>
          <w:highlight w:val="none"/>
          <w:lang w:eastAsia="zh-CN"/>
        </w:rPr>
        <w:t>杭州市钱塘区人民政府白杨街道办事处</w:t>
      </w:r>
    </w:p>
    <w:p>
      <w:pPr>
        <w:spacing w:line="360" w:lineRule="auto"/>
        <w:ind w:firstLine="964" w:firstLineChars="300"/>
        <w:jc w:val="both"/>
        <w:rPr>
          <w:rFonts w:hint="eastAsia" w:ascii="宋体" w:hAnsi="宋体"/>
          <w:b/>
          <w:color w:val="000000"/>
          <w:sz w:val="32"/>
          <w:szCs w:val="32"/>
        </w:rPr>
      </w:pPr>
      <w:r>
        <w:rPr>
          <w:rFonts w:hint="eastAsia" w:ascii="宋体" w:hAnsi="宋体"/>
          <w:b/>
          <w:color w:val="000000"/>
          <w:sz w:val="32"/>
          <w:szCs w:val="32"/>
        </w:rPr>
        <w:t>采购</w:t>
      </w:r>
      <w:r>
        <w:rPr>
          <w:rFonts w:ascii="宋体" w:hAnsi="宋体"/>
          <w:b/>
          <w:color w:val="000000"/>
          <w:sz w:val="32"/>
          <w:szCs w:val="32"/>
        </w:rPr>
        <w:t>代理</w:t>
      </w:r>
      <w:r>
        <w:rPr>
          <w:rFonts w:hint="eastAsia" w:ascii="宋体" w:hAnsi="宋体"/>
          <w:b/>
          <w:color w:val="000000"/>
          <w:sz w:val="32"/>
          <w:szCs w:val="32"/>
        </w:rPr>
        <w:t>机构</w:t>
      </w:r>
      <w:r>
        <w:rPr>
          <w:rFonts w:ascii="宋体" w:hAnsi="宋体"/>
          <w:b/>
          <w:color w:val="000000"/>
          <w:sz w:val="32"/>
          <w:szCs w:val="32"/>
        </w:rPr>
        <w:t>：</w:t>
      </w:r>
      <w:r>
        <w:rPr>
          <w:rFonts w:hint="eastAsia" w:ascii="宋体" w:hAnsi="宋体"/>
          <w:b/>
          <w:color w:val="000000"/>
          <w:sz w:val="32"/>
          <w:szCs w:val="32"/>
        </w:rPr>
        <w:t>浙江省成套招标代理有限公司</w:t>
      </w:r>
    </w:p>
    <w:p>
      <w:pPr>
        <w:spacing w:line="360" w:lineRule="auto"/>
        <w:ind w:firstLine="2409" w:firstLineChars="750"/>
        <w:rPr>
          <w:rFonts w:hint="eastAsia" w:ascii="宋体" w:hAnsi="宋体"/>
          <w:b/>
          <w:color w:val="000000"/>
          <w:sz w:val="32"/>
          <w:szCs w:val="32"/>
        </w:rPr>
      </w:pPr>
    </w:p>
    <w:p>
      <w:pPr>
        <w:pStyle w:val="43"/>
        <w:spacing w:line="360" w:lineRule="auto"/>
        <w:jc w:val="center"/>
        <w:rPr>
          <w:rFonts w:ascii="宋体" w:hAnsi="宋体"/>
          <w:color w:val="000000"/>
          <w:sz w:val="32"/>
        </w:rPr>
        <w:sectPr>
          <w:headerReference r:id="rId5" w:type="first"/>
          <w:footerReference r:id="rId7" w:type="first"/>
          <w:headerReference r:id="rId3" w:type="default"/>
          <w:headerReference r:id="rId4" w:type="even"/>
          <w:footerReference r:id="rId6" w:type="even"/>
          <w:pgSz w:w="11905" w:h="16838"/>
          <w:pgMar w:top="1440" w:right="1247" w:bottom="1440" w:left="1247" w:header="850" w:footer="992" w:gutter="0"/>
          <w:pgBorders>
            <w:top w:val="none" w:sz="0" w:space="0"/>
            <w:left w:val="none" w:sz="0" w:space="0"/>
            <w:bottom w:val="none" w:sz="0" w:space="0"/>
            <w:right w:val="none" w:sz="0" w:space="0"/>
          </w:pgBorders>
          <w:pgNumType w:fmt="decimal" w:start="0"/>
          <w:cols w:space="0" w:num="1"/>
          <w:titlePg/>
          <w:rtlGutter w:val="0"/>
          <w:docGrid w:linePitch="312" w:charSpace="0"/>
        </w:sectPr>
      </w:pPr>
      <w:r>
        <w:rPr>
          <w:rFonts w:hint="eastAsia" w:ascii="宋体" w:hAnsi="宋体"/>
          <w:b/>
          <w:color w:val="000000"/>
          <w:sz w:val="32"/>
        </w:rPr>
        <w:t>二〇二</w:t>
      </w:r>
      <w:r>
        <w:rPr>
          <w:rFonts w:hint="eastAsia" w:ascii="宋体" w:hAnsi="宋体"/>
          <w:b/>
          <w:color w:val="000000"/>
          <w:sz w:val="32"/>
          <w:lang w:val="en-US" w:eastAsia="zh-CN"/>
        </w:rPr>
        <w:t>二</w:t>
      </w:r>
      <w:r>
        <w:rPr>
          <w:rFonts w:hint="eastAsia" w:ascii="宋体" w:hAnsi="宋体"/>
          <w:b/>
          <w:color w:val="000000"/>
          <w:sz w:val="32"/>
        </w:rPr>
        <w:t>年</w:t>
      </w:r>
      <w:r>
        <w:rPr>
          <w:rFonts w:hint="eastAsia" w:ascii="宋体" w:hAnsi="宋体"/>
          <w:b/>
          <w:color w:val="000000"/>
          <w:sz w:val="32"/>
          <w:lang w:val="en-US" w:eastAsia="zh-CN"/>
        </w:rPr>
        <w:t>八</w:t>
      </w:r>
      <w:r>
        <w:rPr>
          <w:rFonts w:hint="eastAsia" w:ascii="宋体" w:hAnsi="宋体"/>
          <w:b/>
          <w:color w:val="000000"/>
          <w:sz w:val="32"/>
        </w:rPr>
        <w:t>月</w:t>
      </w:r>
    </w:p>
    <w:p>
      <w:pPr>
        <w:pStyle w:val="23"/>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rPr>
          <w:rFonts w:ascii="仿宋" w:hAnsi="仿宋" w:eastAsia="仿宋" w:cs="仿宋_GB2312"/>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bookmarkEnd w:id="1"/>
    <w:p>
      <w:pPr>
        <w:adjustRightInd/>
        <w:spacing w:line="360" w:lineRule="auto"/>
        <w:jc w:val="center"/>
        <w:outlineLvl w:val="0"/>
        <w:rPr>
          <w:rFonts w:hint="eastAsia" w:ascii="仿宋" w:hAnsi="仿宋" w:eastAsia="仿宋" w:cs="仿宋_GB2312"/>
          <w:b/>
          <w:color w:val="auto"/>
          <w:sz w:val="36"/>
          <w:szCs w:val="20"/>
          <w:highlight w:val="none"/>
        </w:rPr>
        <w:sectPr>
          <w:footerReference r:id="rId10" w:type="first"/>
          <w:headerReference r:id="rId8" w:type="default"/>
          <w:footerReference r:id="rId9"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pPr>
        <w:jc w:val="center"/>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白杨街道特保服务外包项目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06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u w:val="single"/>
          <w:lang w:val="en-US" w:eastAsia="zh-CN"/>
        </w:rPr>
        <w:t>00秒</w:t>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QTCG-GK-2022-213</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rPr>
        <w:t>白杨街道特保服务外包项目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7580000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7580000</w:t>
      </w:r>
      <w:r>
        <w:rPr>
          <w:rFonts w:hint="eastAsia" w:ascii="仿宋_GB2312" w:hAnsi="仿宋" w:eastAsia="仿宋_GB2312"/>
          <w:color w:val="auto"/>
          <w:sz w:val="24"/>
          <w:highlight w:val="none"/>
        </w:rPr>
        <w:t xml:space="preserve"> </w:t>
      </w:r>
    </w:p>
    <w:p>
      <w:pPr>
        <w:pStyle w:val="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cs="仿宋_GB2312"/>
          <w:color w:val="auto"/>
          <w:sz w:val="24"/>
          <w:highlight w:val="none"/>
        </w:rPr>
        <w:t>白杨街道特保服务外包项目</w:t>
      </w:r>
      <w:r>
        <w:rPr>
          <w:rFonts w:hint="eastAsia" w:ascii="仿宋_GB2312" w:hAnsi="仿宋" w:eastAsia="仿宋_GB2312"/>
          <w:bCs/>
          <w:snapToGrid/>
          <w:color w:val="auto"/>
          <w:kern w:val="2"/>
          <w:sz w:val="24"/>
          <w:szCs w:val="24"/>
          <w:highlight w:val="none"/>
        </w:rPr>
        <w:t>主要内容：本次特保服务外包人员共</w:t>
      </w:r>
      <w:r>
        <w:rPr>
          <w:rFonts w:hint="eastAsia" w:ascii="仿宋_GB2312" w:hAnsi="仿宋" w:eastAsia="仿宋_GB2312"/>
          <w:bCs/>
          <w:snapToGrid/>
          <w:color w:val="auto"/>
          <w:kern w:val="2"/>
          <w:sz w:val="24"/>
          <w:szCs w:val="24"/>
          <w:highlight w:val="none"/>
          <w:lang w:val="en-US" w:eastAsia="zh-CN"/>
        </w:rPr>
        <w:t>7</w:t>
      </w:r>
      <w:r>
        <w:rPr>
          <w:rFonts w:hint="eastAsia" w:ascii="仿宋_GB2312" w:hAnsi="仿宋" w:eastAsia="仿宋_GB2312"/>
          <w:bCs/>
          <w:snapToGrid/>
          <w:color w:val="auto"/>
          <w:kern w:val="2"/>
          <w:sz w:val="24"/>
          <w:szCs w:val="24"/>
          <w:highlight w:val="none"/>
        </w:rPr>
        <w:t>0名派至杭州市公安局钱塘新区分局白</w:t>
      </w:r>
      <w:r>
        <w:rPr>
          <w:rFonts w:hint="eastAsia" w:ascii="仿宋_GB2312" w:hAnsi="仿宋_GB2312" w:eastAsia="仿宋_GB2312" w:cs="仿宋_GB2312"/>
          <w:bCs/>
          <w:snapToGrid/>
          <w:color w:val="auto"/>
          <w:kern w:val="2"/>
          <w:sz w:val="24"/>
          <w:szCs w:val="24"/>
          <w:highlight w:val="none"/>
        </w:rPr>
        <w:t>杨***</w:t>
      </w:r>
      <w:r>
        <w:rPr>
          <w:rFonts w:hint="eastAsia" w:ascii="仿宋_GB2312" w:hAnsi="仿宋_GB2312" w:eastAsia="仿宋_GB2312" w:cs="仿宋_GB2312"/>
          <w:bCs/>
          <w:snapToGrid/>
          <w:color w:val="auto"/>
          <w:kern w:val="2"/>
          <w:sz w:val="24"/>
          <w:szCs w:val="24"/>
          <w:highlight w:val="none"/>
          <w:lang w:eastAsia="zh-CN"/>
        </w:rPr>
        <w:t>、</w:t>
      </w:r>
      <w:r>
        <w:rPr>
          <w:rFonts w:hint="eastAsia" w:ascii="仿宋_GB2312" w:hAnsi="仿宋_GB2312" w:eastAsia="仿宋_GB2312" w:cs="仿宋_GB2312"/>
          <w:bCs/>
          <w:snapToGrid/>
          <w:color w:val="auto"/>
          <w:kern w:val="2"/>
          <w:sz w:val="24"/>
          <w:szCs w:val="24"/>
          <w:highlight w:val="none"/>
          <w:lang w:val="en-US" w:eastAsia="zh-CN"/>
        </w:rPr>
        <w:t>配备10辆用车及全体人员单警装备，服务内容主要包括但不限于</w:t>
      </w:r>
      <w:r>
        <w:rPr>
          <w:rFonts w:hint="eastAsia" w:ascii="仿宋_GB2312" w:hAnsi="仿宋_GB2312" w:eastAsia="仿宋_GB2312" w:cs="仿宋_GB2312"/>
          <w:bCs/>
          <w:snapToGrid/>
          <w:color w:val="auto"/>
          <w:kern w:val="2"/>
          <w:sz w:val="24"/>
          <w:szCs w:val="24"/>
          <w:highlight w:val="none"/>
        </w:rPr>
        <w:t>辖区社会面巡查防控、重点部位巡查值守、街面巡防、综合防治等</w:t>
      </w:r>
      <w:r>
        <w:rPr>
          <w:rFonts w:hint="eastAsia" w:ascii="仿宋_GB2312" w:hAnsi="仿宋" w:eastAsia="仿宋_GB2312"/>
          <w:bCs/>
          <w:snapToGrid/>
          <w:color w:val="auto"/>
          <w:kern w:val="2"/>
          <w:sz w:val="24"/>
          <w:szCs w:val="24"/>
          <w:highlight w:val="none"/>
        </w:rPr>
        <w:t>工作</w:t>
      </w:r>
      <w:r>
        <w:rPr>
          <w:rFonts w:hint="eastAsia" w:ascii="仿宋_GB2312" w:hAnsi="仿宋" w:eastAsia="仿宋_GB2312"/>
          <w:bCs/>
          <w:snapToGrid/>
          <w:color w:val="auto"/>
          <w:kern w:val="2"/>
          <w:sz w:val="24"/>
          <w:szCs w:val="24"/>
          <w:highlight w:val="none"/>
          <w:lang w:eastAsia="zh-CN"/>
        </w:rPr>
        <w:t>；</w:t>
      </w:r>
      <w:r>
        <w:rPr>
          <w:rFonts w:hint="eastAsia" w:ascii="仿宋_GB2312" w:hAnsi="仿宋" w:eastAsia="仿宋_GB2312"/>
          <w:bCs/>
          <w:snapToGrid/>
          <w:color w:val="auto"/>
          <w:kern w:val="2"/>
          <w:sz w:val="24"/>
          <w:szCs w:val="24"/>
          <w:highlight w:val="none"/>
        </w:rPr>
        <w:t>详见招标文件第三部分采购需求。</w:t>
      </w:r>
    </w:p>
    <w:p>
      <w:pPr>
        <w:pStyle w:val="128"/>
        <w:ind w:firstLine="482"/>
        <w:outlineLvl w:val="2"/>
        <w:rPr>
          <w:rFonts w:hint="eastAsia" w:ascii="仿宋_GB2312" w:hAnsi="仿宋" w:eastAsia="仿宋_GB2312"/>
          <w:color w:val="auto"/>
          <w:highlight w:val="none"/>
          <w:lang w:eastAsia="zh-CN"/>
        </w:rPr>
      </w:pPr>
      <w:r>
        <w:rPr>
          <w:rFonts w:hint="eastAsia" w:ascii="仿宋_GB2312" w:hAnsi="仿宋" w:eastAsia="仿宋_GB2312"/>
          <w:b/>
          <w:color w:val="auto"/>
          <w:highlight w:val="none"/>
        </w:rPr>
        <w:t>合同履约期限：</w:t>
      </w:r>
      <w:r>
        <w:rPr>
          <w:rFonts w:hint="eastAsia" w:ascii="仿宋_GB2312" w:hAnsi="仿宋" w:eastAsia="仿宋_GB2312"/>
          <w:b/>
          <w:color w:val="auto"/>
          <w:highlight w:val="none"/>
          <w:lang w:val="en-US" w:eastAsia="zh-CN"/>
        </w:rPr>
        <w:t>自</w:t>
      </w:r>
      <w:r>
        <w:rPr>
          <w:rFonts w:hint="eastAsia" w:ascii="仿宋_GB2312" w:hAnsi="仿宋" w:eastAsia="仿宋_GB2312"/>
          <w:b/>
          <w:color w:val="auto"/>
          <w:highlight w:val="none"/>
        </w:rPr>
        <w:t>合同签订并生效之日起一年</w:t>
      </w:r>
      <w:r>
        <w:rPr>
          <w:rFonts w:hint="eastAsia" w:ascii="仿宋_GB2312" w:hAnsi="仿宋" w:eastAsia="仿宋_GB2312"/>
          <w:b/>
          <w:color w:val="auto"/>
          <w:highlight w:val="none"/>
          <w:lang w:eastAsia="zh-CN"/>
        </w:rPr>
        <w:t>。</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snapToGrid w:val="0"/>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2" w:firstLineChars="200"/>
        <w:rPr>
          <w:rFonts w:ascii="仿宋_GB2312" w:hAnsi="仿宋" w:eastAsia="仿宋_GB2312"/>
          <w:b/>
          <w:bCs/>
          <w:color w:val="auto"/>
          <w:sz w:val="24"/>
          <w:highlight w:val="none"/>
        </w:rPr>
      </w:pPr>
      <w:sdt>
        <w:sdtPr>
          <w:rPr>
            <w:rFonts w:hint="eastAsia" w:ascii="仿宋_GB2312" w:hAnsi="仿宋" w:eastAsia="仿宋_GB2312" w:cs="Arial"/>
            <w:b/>
            <w:bCs/>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hint="eastAsia" w:ascii="Wingdings" w:hAnsi="Wingdings" w:eastAsia="MS Gothic" w:cs="Arial"/>
              <w:b/>
              <w:bCs/>
              <w:color w:val="auto"/>
              <w:kern w:val="0"/>
              <w:sz w:val="24"/>
              <w:szCs w:val="24"/>
              <w:highlight w:val="none"/>
              <w:lang w:val="en-US" w:eastAsia="zh-CN" w:bidi="ar-SA"/>
            </w:rPr>
            <w:t>þ</w:t>
          </w:r>
        </w:sdtContent>
      </w:sdt>
      <w:sdt>
        <w:sdtPr>
          <w:rPr>
            <w:rFonts w:hint="eastAsia" w:ascii="仿宋_GB2312" w:hAnsi="仿宋" w:eastAsia="仿宋_GB2312" w:cs="Arial"/>
            <w:b/>
            <w:bCs/>
            <w:color w:val="auto"/>
            <w:kern w:val="0"/>
            <w:sz w:val="24"/>
            <w:highlight w:val="none"/>
          </w:rPr>
          <w:id w:val="-924730588"/>
          <w:showingPlcHdr/>
        </w:sdtPr>
        <w:sdtEndPr>
          <w:rPr>
            <w:rFonts w:hint="eastAsia" w:ascii="仿宋_GB2312" w:hAnsi="仿宋" w:eastAsia="仿宋_GB2312" w:cs="Arial"/>
            <w:b/>
            <w:bCs/>
            <w:color w:val="auto"/>
            <w:kern w:val="0"/>
            <w:sz w:val="24"/>
            <w:highlight w:val="none"/>
          </w:rPr>
        </w:sdtEndPr>
        <w:sdtContent/>
      </w:sdt>
      <w:sdt>
        <w:sdtPr>
          <w:rPr>
            <w:rFonts w:hint="eastAsia" w:ascii="仿宋_GB2312" w:hAnsi="仿宋" w:eastAsia="仿宋_GB2312" w:cs="Arial"/>
            <w:b/>
            <w:bCs/>
            <w:color w:val="auto"/>
            <w:kern w:val="0"/>
            <w:sz w:val="24"/>
            <w:highlight w:val="none"/>
          </w:rPr>
          <w:id w:val="-1024704304"/>
        </w:sdtPr>
        <w:sdtEndPr>
          <w:rPr>
            <w:rFonts w:hint="eastAsia" w:ascii="仿宋_GB2312" w:hAnsi="仿宋" w:eastAsia="仿宋_GB2312" w:cs="Arial"/>
            <w:b/>
            <w:bCs/>
            <w:color w:val="auto"/>
            <w:kern w:val="0"/>
            <w:sz w:val="24"/>
            <w:highlight w:val="none"/>
          </w:rPr>
        </w:sdtEndPr>
        <w:sdtContent/>
      </w:sdt>
      <w:r>
        <w:rPr>
          <w:rFonts w:hint="eastAsia" w:ascii="仿宋_GB2312" w:hAnsi="仿宋" w:eastAsia="仿宋_GB2312" w:cs="Arial"/>
          <w:b/>
          <w:bCs/>
          <w:color w:val="auto"/>
          <w:kern w:val="0"/>
          <w:sz w:val="24"/>
          <w:highlight w:val="none"/>
        </w:rPr>
        <w:t>专</w:t>
      </w:r>
      <w:r>
        <w:rPr>
          <w:rFonts w:hint="eastAsia" w:ascii="仿宋_GB2312" w:hAnsi="仿宋" w:eastAsia="仿宋_GB2312"/>
          <w:b/>
          <w:bCs/>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901" w:firstLineChars="374"/>
        <w:rPr>
          <w:rFonts w:ascii="仿宋_GB2312" w:hAnsi="仿宋" w:eastAsia="仿宋_GB2312"/>
          <w:b/>
          <w:bCs/>
          <w:color w:val="auto"/>
          <w:sz w:val="24"/>
          <w:highlight w:val="none"/>
        </w:rPr>
      </w:pPr>
      <w:sdt>
        <w:sdtPr>
          <w:rPr>
            <w:rFonts w:hint="eastAsia" w:ascii="仿宋_GB2312" w:hAnsi="仿宋" w:eastAsia="仿宋_GB2312" w:cs="Arial"/>
            <w:b/>
            <w:bCs/>
            <w:color w:val="auto"/>
            <w:kern w:val="0"/>
            <w:sz w:val="24"/>
            <w:highlight w:val="none"/>
          </w:rPr>
          <w:id w:val="-333685401"/>
        </w:sdtPr>
        <w:sdtEndPr>
          <w:rPr>
            <w:rFonts w:hint="eastAsia" w:ascii="仿宋_GB2312" w:hAnsi="仿宋" w:eastAsia="仿宋_GB2312" w:cs="Arial"/>
            <w:b/>
            <w:bCs/>
            <w:color w:val="auto"/>
            <w:kern w:val="0"/>
            <w:sz w:val="24"/>
            <w:highlight w:val="none"/>
          </w:rPr>
        </w:sdtEndPr>
        <w:sdtContent>
          <w:sdt>
            <w:sdtPr>
              <w:rPr>
                <w:rFonts w:hint="eastAsia" w:ascii="仿宋_GB2312" w:hAnsi="仿宋" w:eastAsia="仿宋_GB2312" w:cs="Arial"/>
                <w:b/>
                <w:bCs/>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hint="eastAsia" w:ascii="Wingdings" w:hAnsi="Wingdings" w:eastAsia="MS Gothic" w:cs="Arial"/>
                  <w:b/>
                  <w:bCs/>
                  <w:color w:val="auto"/>
                  <w:kern w:val="0"/>
                  <w:sz w:val="24"/>
                  <w:szCs w:val="24"/>
                  <w:highlight w:val="none"/>
                  <w:lang w:val="en-US" w:eastAsia="zh-CN" w:bidi="ar-SA"/>
                </w:rPr>
                <w:t>þ</w:t>
              </w:r>
            </w:sdtContent>
          </w:sdt>
          <w:sdt>
            <w:sdtPr>
              <w:rPr>
                <w:rFonts w:hint="eastAsia" w:ascii="仿宋_GB2312" w:hAnsi="仿宋" w:eastAsia="仿宋_GB2312" w:cs="Arial"/>
                <w:b/>
                <w:bCs/>
                <w:color w:val="auto"/>
                <w:kern w:val="0"/>
                <w:sz w:val="24"/>
                <w:highlight w:val="none"/>
              </w:rPr>
              <w:id w:val="-924730588"/>
              <w:showingPlcHdr/>
            </w:sdtPr>
            <w:sdtEndPr>
              <w:rPr>
                <w:rFonts w:hint="eastAsia" w:ascii="仿宋_GB2312" w:hAnsi="仿宋" w:eastAsia="仿宋_GB2312" w:cs="Arial"/>
                <w:b/>
                <w:bCs/>
                <w:color w:val="auto"/>
                <w:kern w:val="0"/>
                <w:sz w:val="24"/>
                <w:highlight w:val="none"/>
              </w:rPr>
            </w:sdtEndPr>
            <w:sdtContent/>
          </w:sdt>
        </w:sdtContent>
      </w:sdt>
      <w:r>
        <w:rPr>
          <w:rFonts w:hint="eastAsia" w:ascii="仿宋_GB2312" w:hAnsi="仿宋" w:eastAsia="仿宋_GB2312"/>
          <w:b/>
          <w:bCs/>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w:t>
      </w:r>
      <w:r>
        <w:rPr>
          <w:rFonts w:hint="eastAsia" w:ascii="仿宋" w:hAnsi="仿宋" w:eastAsia="仿宋" w:cs="宋体"/>
          <w:color w:val="auto"/>
          <w:spacing w:val="8"/>
          <w:kern w:val="0"/>
          <w:sz w:val="24"/>
          <w:highlight w:val="none"/>
          <w:lang w:eastAsia="zh-CN"/>
        </w:rPr>
        <w:t>投标人</w:t>
      </w:r>
      <w:r>
        <w:rPr>
          <w:rFonts w:hint="eastAsia" w:ascii="仿宋" w:hAnsi="仿宋" w:eastAsia="仿宋" w:cs="宋体"/>
          <w:color w:val="auto"/>
          <w:spacing w:val="8"/>
          <w:kern w:val="0"/>
          <w:sz w:val="24"/>
          <w:highlight w:val="none"/>
        </w:rPr>
        <w:t>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w:t>
      </w:r>
      <w:r>
        <w:rPr>
          <w:rFonts w:hint="eastAsia" w:ascii="仿宋" w:hAnsi="仿宋" w:eastAsia="仿宋" w:cs="宋体"/>
          <w:color w:val="auto"/>
          <w:spacing w:val="8"/>
          <w:kern w:val="0"/>
          <w:sz w:val="24"/>
          <w:highlight w:val="none"/>
          <w:lang w:eastAsia="zh-CN"/>
        </w:rPr>
        <w:t>投标人</w:t>
      </w:r>
      <w:r>
        <w:rPr>
          <w:rFonts w:hint="eastAsia" w:ascii="仿宋" w:hAnsi="仿宋" w:eastAsia="仿宋" w:cs="宋体"/>
          <w:color w:val="auto"/>
          <w:spacing w:val="8"/>
          <w:kern w:val="0"/>
          <w:sz w:val="24"/>
          <w:highlight w:val="none"/>
        </w:rPr>
        <w:t>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b/>
          <w:bCs/>
          <w:color w:val="auto"/>
          <w:sz w:val="24"/>
          <w:highlight w:val="none"/>
        </w:rPr>
        <w:t>具有公安机关核发且在有效期内的《保安服务许可证》</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09</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06</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登录政采云平台</w:t>
      </w:r>
      <w:r>
        <w:rPr>
          <w:rFonts w:ascii="仿宋_GB2312" w:hAnsi="仿宋" w:eastAsia="仿宋_GB2312"/>
          <w:color w:val="auto"/>
          <w:sz w:val="24"/>
          <w:highlight w:val="none"/>
        </w:rPr>
        <w:t>https://www.zcygov.cn/在线申请获取</w:t>
      </w:r>
      <w:r>
        <w:rPr>
          <w:rFonts w:hint="eastAsia" w:ascii="仿宋_GB2312" w:hAnsi="仿宋" w:eastAsia="仿宋_GB2312"/>
          <w:color w:val="auto"/>
          <w:sz w:val="24"/>
          <w:highlight w:val="none"/>
          <w:lang w:eastAsia="zh-CN"/>
        </w:rPr>
        <w:t>招标文件</w:t>
      </w:r>
      <w:r>
        <w:rPr>
          <w:rFonts w:ascii="仿宋_GB2312" w:hAnsi="仿宋" w:eastAsia="仿宋_GB2312"/>
          <w:color w:val="auto"/>
          <w:sz w:val="24"/>
          <w:highlight w:val="none"/>
        </w:rPr>
        <w:t>（进入“项目采购”应用，在获取</w:t>
      </w:r>
      <w:r>
        <w:rPr>
          <w:rFonts w:hint="eastAsia" w:ascii="仿宋_GB2312" w:hAnsi="仿宋" w:eastAsia="仿宋_GB2312"/>
          <w:color w:val="auto"/>
          <w:sz w:val="24"/>
          <w:highlight w:val="none"/>
          <w:lang w:eastAsia="zh-CN"/>
        </w:rPr>
        <w:t>招标文件</w:t>
      </w:r>
      <w:r>
        <w:rPr>
          <w:rFonts w:ascii="仿宋_GB2312" w:hAnsi="仿宋" w:eastAsia="仿宋_GB2312"/>
          <w:color w:val="auto"/>
          <w:sz w:val="24"/>
          <w:highlight w:val="none"/>
        </w:rPr>
        <w:t>菜单中选择项目，申请获取</w:t>
      </w:r>
      <w:r>
        <w:rPr>
          <w:rFonts w:hint="eastAsia" w:ascii="仿宋_GB2312" w:hAnsi="仿宋" w:eastAsia="仿宋_GB2312"/>
          <w:color w:val="auto"/>
          <w:sz w:val="24"/>
          <w:highlight w:val="none"/>
          <w:lang w:eastAsia="zh-CN"/>
        </w:rPr>
        <w:t>招标文件</w:t>
      </w:r>
      <w:r>
        <w:rPr>
          <w:rFonts w:ascii="仿宋_GB2312" w:hAnsi="仿宋" w:eastAsia="仿宋_GB2312"/>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06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lang w:val="en-US" w:eastAsia="zh-CN"/>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06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lang w:val="en-US" w:eastAsia="zh-CN"/>
        </w:rPr>
        <w:t>00秒</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五、</w:t>
      </w:r>
      <w:r>
        <w:rPr>
          <w:rFonts w:hint="eastAsia" w:ascii="仿宋_GB2312" w:hAnsi="仿宋" w:eastAsia="仿宋_GB2312"/>
          <w:b/>
          <w:sz w:val="24"/>
          <w:highlight w:val="none"/>
        </w:rPr>
        <w:t>采购意向公开链接</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https://zfcg.czt.zj.gov.cn/innerUsed_noticeDetails/index.html?noticeId=8799239</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lang w:val="en-US" w:eastAsia="zh-CN"/>
        </w:rPr>
        <w:t>六、</w:t>
      </w:r>
      <w:r>
        <w:rPr>
          <w:rFonts w:hint="eastAsia" w:ascii="仿宋_GB2312" w:hAnsi="仿宋" w:eastAsia="仿宋_GB2312"/>
          <w:b/>
          <w:color w:val="auto"/>
          <w:sz w:val="24"/>
          <w:highlight w:val="none"/>
        </w:rPr>
        <w:t>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七</w:t>
      </w:r>
      <w:r>
        <w:rPr>
          <w:rFonts w:hint="eastAsia" w:ascii="仿宋_GB2312" w:hAnsi="仿宋" w:eastAsia="仿宋_GB2312"/>
          <w:b/>
          <w:color w:val="auto"/>
          <w:sz w:val="24"/>
          <w:highlight w:val="none"/>
        </w:rPr>
        <w:t>、其他补充事宜</w:t>
      </w:r>
    </w:p>
    <w:p>
      <w:pPr>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1.</w:t>
      </w:r>
      <w:r>
        <w:rPr>
          <w:rFonts w:hint="eastAsia" w:ascii="仿宋_GB2312" w:hAnsi="仿宋" w:eastAsia="仿宋_GB2312"/>
          <w:sz w:val="24"/>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_GB2312" w:hAnsi="仿宋" w:eastAsia="仿宋_GB2312"/>
          <w:sz w:val="24"/>
          <w:lang w:eastAsia="zh-CN"/>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在线提起询问，路径为：政采云-项目采购-询问质疑投诉-询问列表</w:t>
      </w:r>
      <w:r>
        <w:rPr>
          <w:rFonts w:hint="eastAsia" w:ascii="仿宋_GB2312" w:hAnsi="仿宋" w:eastAsia="仿宋_GB2312"/>
          <w:color w:val="auto"/>
          <w:sz w:val="24"/>
          <w:highlight w:val="none"/>
        </w:rPr>
        <w:t>。</w:t>
      </w:r>
      <w:r>
        <w:rPr>
          <w:rFonts w:ascii="仿宋_GB2312" w:hAnsi="仿宋" w:eastAsia="仿宋_GB2312"/>
          <w:color w:val="auto"/>
          <w:sz w:val="24"/>
          <w:highlight w:val="none"/>
        </w:rPr>
        <w:t>鼓励</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在线提起质疑，路径为：政采云-项目采购-询问质疑投诉-质疑列表。质疑</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w:t>
      </w:r>
      <w:r>
        <w:rPr>
          <w:rFonts w:hint="eastAsia" w:ascii="仿宋_GB2312" w:hAnsi="仿宋" w:eastAsia="仿宋_GB2312" w:cs="仿宋_GB2312"/>
          <w:color w:val="auto"/>
          <w:sz w:val="24"/>
          <w:highlight w:val="none"/>
          <w:lang w:eastAsia="zh-CN"/>
        </w:rPr>
        <w:t>投标人</w:t>
      </w:r>
      <w:r>
        <w:rPr>
          <w:rFonts w:ascii="仿宋_GB2312" w:hAnsi="仿宋" w:eastAsia="仿宋_GB2312" w:cs="仿宋_GB2312"/>
          <w:color w:val="auto"/>
          <w:sz w:val="24"/>
          <w:highlight w:val="none"/>
        </w:rPr>
        <w:t>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w:t>
      </w:r>
      <w:r>
        <w:rPr>
          <w:rFonts w:hint="eastAsia" w:ascii="仿宋_GB2312" w:hAnsi="仿宋" w:eastAsia="仿宋_GB2312" w:cs="仿宋_GB2312"/>
          <w:color w:val="auto"/>
          <w:sz w:val="24"/>
          <w:highlight w:val="none"/>
          <w:lang w:eastAsia="zh-CN"/>
        </w:rPr>
        <w:t>招标文件</w:t>
      </w:r>
      <w:r>
        <w:rPr>
          <w:rFonts w:hint="eastAsia" w:ascii="仿宋_GB2312" w:hAnsi="仿宋" w:eastAsia="仿宋_GB2312" w:cs="仿宋_GB2312"/>
          <w:color w:val="auto"/>
          <w:sz w:val="24"/>
          <w:highlight w:val="none"/>
        </w:rPr>
        <w:t>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w:t>
      </w:r>
      <w:r>
        <w:rPr>
          <w:rFonts w:hint="eastAsia" w:ascii="仿宋_GB2312" w:hAnsi="仿宋" w:eastAsia="仿宋_GB2312" w:cs="仿宋_GB2312"/>
          <w:color w:val="auto"/>
          <w:sz w:val="24"/>
          <w:highlight w:val="none"/>
          <w:lang w:eastAsia="zh-CN"/>
        </w:rPr>
        <w:t>投标人</w:t>
      </w:r>
      <w:r>
        <w:rPr>
          <w:rFonts w:hint="eastAsia" w:ascii="仿宋_GB2312" w:hAnsi="仿宋" w:eastAsia="仿宋_GB2312" w:cs="仿宋_GB2312"/>
          <w:color w:val="auto"/>
          <w:sz w:val="24"/>
          <w:highlight w:val="none"/>
        </w:rPr>
        <w:t>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w:t>
      </w:r>
      <w:r>
        <w:rPr>
          <w:rFonts w:hint="eastAsia" w:ascii="仿宋_GB2312" w:hAnsi="仿宋" w:eastAsia="仿宋_GB2312" w:cs="仿宋_GB2312"/>
          <w:color w:val="auto"/>
          <w:sz w:val="24"/>
          <w:highlight w:val="none"/>
          <w:lang w:eastAsia="zh-CN"/>
        </w:rPr>
        <w:t>投标人</w:t>
      </w:r>
      <w:r>
        <w:rPr>
          <w:rFonts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八</w:t>
      </w:r>
      <w:r>
        <w:rPr>
          <w:rFonts w:hint="eastAsia" w:ascii="仿宋_GB2312" w:hAnsi="仿宋" w:eastAsia="仿宋_GB2312"/>
          <w:b/>
          <w:color w:val="auto"/>
          <w:sz w:val="24"/>
          <w:highlight w:val="none"/>
        </w:rPr>
        <w:t>、对本次采购提出询问、质疑、投诉，请按以下方式联系</w:t>
      </w:r>
    </w:p>
    <w:p>
      <w:pPr>
        <w:pStyle w:val="58"/>
        <w:snapToGrid w:val="0"/>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1.采购人信息</w:t>
      </w:r>
    </w:p>
    <w:p>
      <w:pPr>
        <w:pStyle w:val="58"/>
        <w:snapToGrid w:val="0"/>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名    称：</w:t>
      </w:r>
      <w:r>
        <w:rPr>
          <w:rFonts w:hint="eastAsia" w:ascii="仿宋" w:hAnsi="仿宋" w:eastAsia="仿宋" w:cs="仿宋"/>
          <w:highlight w:val="none"/>
          <w:lang w:eastAsia="zh-CN"/>
        </w:rPr>
        <w:t>杭州市钱塘区人民政府白杨街道办事处</w:t>
      </w:r>
      <w:r>
        <w:rPr>
          <w:rFonts w:hint="eastAsia" w:ascii="仿宋" w:hAnsi="仿宋" w:eastAsia="仿宋" w:cs="仿宋"/>
          <w:highlight w:val="none"/>
        </w:rPr>
        <w:t xml:space="preserve"> </w:t>
      </w:r>
    </w:p>
    <w:p>
      <w:pPr>
        <w:pStyle w:val="58"/>
        <w:snapToGrid w:val="0"/>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地    址：杭州</w:t>
      </w:r>
      <w:r>
        <w:rPr>
          <w:rFonts w:hint="eastAsia" w:ascii="仿宋" w:hAnsi="仿宋" w:eastAsia="仿宋" w:cs="仿宋"/>
          <w:highlight w:val="none"/>
          <w:lang w:eastAsia="zh-CN"/>
        </w:rPr>
        <w:t>市</w:t>
      </w:r>
      <w:r>
        <w:rPr>
          <w:rFonts w:hint="eastAsia" w:ascii="仿宋" w:hAnsi="仿宋" w:eastAsia="仿宋" w:cs="仿宋"/>
          <w:highlight w:val="none"/>
        </w:rPr>
        <w:t xml:space="preserve">钱塘区下沙四号大街17-6       </w:t>
      </w:r>
    </w:p>
    <w:p>
      <w:pPr>
        <w:pStyle w:val="58"/>
        <w:snapToGrid w:val="0"/>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传    真：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张</w:t>
      </w:r>
      <w:r>
        <w:rPr>
          <w:rFonts w:hint="eastAsia" w:ascii="仿宋" w:hAnsi="仿宋" w:eastAsia="仿宋" w:cs="仿宋"/>
          <w:sz w:val="24"/>
          <w:highlight w:val="none"/>
          <w:lang w:val="en-US" w:eastAsia="zh-CN"/>
        </w:rPr>
        <w:t>工</w:t>
      </w:r>
      <w:r>
        <w:rPr>
          <w:rFonts w:hint="eastAsia" w:ascii="仿宋" w:hAnsi="仿宋" w:eastAsia="仿宋" w:cs="仿宋"/>
          <w:sz w:val="24"/>
          <w:highlight w:val="none"/>
        </w:rPr>
        <w:t xml:space="preserve">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项目联系方式（询问）：0571-86840947</w:t>
      </w:r>
    </w:p>
    <w:p>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 xml:space="preserve">刘工             </w:t>
      </w:r>
    </w:p>
    <w:p>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 xml:space="preserve">0571-87283131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称：浙江省成套招标代理有限公司</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址：杭州市文晖路42号现代置业大厦西楼1</w:t>
      </w:r>
      <w:r>
        <w:rPr>
          <w:rFonts w:hint="eastAsia" w:ascii="仿宋_GB2312" w:hAnsi="仿宋" w:eastAsia="仿宋_GB2312"/>
          <w:sz w:val="24"/>
          <w:lang w:val="en-US" w:eastAsia="zh-CN"/>
        </w:rPr>
        <w:t>8</w:t>
      </w:r>
      <w:r>
        <w:rPr>
          <w:rFonts w:hint="eastAsia" w:ascii="仿宋_GB2312" w:hAnsi="仿宋" w:eastAsia="仿宋_GB2312"/>
          <w:sz w:val="24"/>
        </w:rPr>
        <w:t>楼</w:t>
      </w:r>
      <w:r>
        <w:rPr>
          <w:rFonts w:hint="eastAsia" w:ascii="仿宋_GB2312" w:hAnsi="仿宋" w:eastAsia="仿宋_GB2312"/>
          <w:sz w:val="24"/>
          <w:lang w:val="en-US" w:eastAsia="zh-CN"/>
        </w:rPr>
        <w:t>1806室</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洪小雨</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18768473226</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冯东东</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质疑联系方式：0571-85331293</w:t>
      </w:r>
    </w:p>
    <w:p>
      <w:pPr>
        <w:spacing w:line="360" w:lineRule="auto"/>
        <w:ind w:firstLine="480"/>
      </w:pP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杭州市钱塘区财政局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杭州市钱塘区青六北路499号钱塘中心5号楼</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真：0571-82988295</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：任女士</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监督投诉电话：0571-82987260</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3"/>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6"/>
      <w:r>
        <w:rPr>
          <w:rFonts w:ascii="仿宋" w:hAnsi="仿宋" w:eastAsia="仿宋" w:cs="仿宋_GB2312"/>
          <w:b/>
          <w:color w:val="auto"/>
          <w:sz w:val="36"/>
          <w:szCs w:val="20"/>
          <w:highlight w:val="none"/>
        </w:rPr>
        <w:t xml:space="preserve"> 投标人须知</w:t>
      </w:r>
      <w:bookmarkEnd w:id="7"/>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95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57"/>
        <w:gridCol w:w="1571"/>
        <w:gridCol w:w="73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5" w:hRule="atLeast"/>
          <w:tblHeader/>
          <w:jc w:val="center"/>
        </w:trPr>
        <w:tc>
          <w:tcPr>
            <w:tcW w:w="657" w:type="dxa"/>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35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305"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351" w:type="dxa"/>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响应</w:t>
            </w:r>
            <w:r>
              <w:rPr>
                <w:rFonts w:hint="eastAsia" w:ascii="仿宋_GB2312" w:hAnsi="仿宋" w:eastAsia="仿宋_GB2312" w:cs="仿宋_GB2312"/>
                <w:kern w:val="0"/>
                <w:sz w:val="24"/>
                <w:lang w:val="zh-CN"/>
              </w:rPr>
              <w:t>文件中价格全部采用人民币报价。</w:t>
            </w:r>
            <w:r>
              <w:rPr>
                <w:rFonts w:hint="eastAsia" w:ascii="仿宋_GB2312" w:hAnsi="仿宋" w:eastAsia="仿宋_GB2312" w:cs="仿宋_GB2312"/>
                <w:kern w:val="0"/>
                <w:sz w:val="24"/>
                <w:lang w:val="en-US" w:eastAsia="zh-CN"/>
              </w:rPr>
              <w:t>招标文件</w:t>
            </w:r>
            <w:r>
              <w:rPr>
                <w:rFonts w:hint="eastAsia" w:ascii="仿宋_GB2312" w:hAnsi="仿宋" w:eastAsia="仿宋_GB2312" w:cs="仿宋_GB2312"/>
                <w:kern w:val="0"/>
                <w:sz w:val="24"/>
                <w:lang w:val="zh-CN"/>
              </w:rPr>
              <w:t>未列明，而</w:t>
            </w:r>
            <w:r>
              <w:rPr>
                <w:rFonts w:hint="eastAsia" w:ascii="仿宋_GB2312" w:hAnsi="仿宋" w:eastAsia="仿宋_GB2312" w:cs="仿宋_GB2312"/>
                <w:kern w:val="0"/>
                <w:sz w:val="24"/>
                <w:lang w:val="en-US" w:eastAsia="zh-CN"/>
              </w:rPr>
              <w:t>投标人</w:t>
            </w:r>
            <w:r>
              <w:rPr>
                <w:rFonts w:hint="eastAsia" w:ascii="仿宋_GB2312" w:hAnsi="仿宋" w:eastAsia="仿宋_GB2312" w:cs="仿宋_GB2312"/>
                <w:kern w:val="0"/>
                <w:sz w:val="24"/>
                <w:lang w:val="zh-CN"/>
              </w:rPr>
              <w:t>认为必需的费用也需列入报价。</w:t>
            </w:r>
            <w:r>
              <w:rPr>
                <w:rFonts w:hint="eastAsia" w:ascii="仿宋_GB2312" w:hAnsi="仿宋" w:eastAsia="仿宋_GB2312" w:cs="仿宋_GB2312"/>
                <w:b/>
                <w:bCs w:val="0"/>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投标</w:t>
            </w:r>
            <w:r>
              <w:rPr>
                <w:rFonts w:hint="eastAsia" w:ascii="仿宋_GB2312" w:hAnsi="仿宋" w:eastAsia="仿宋_GB2312" w:cs="仿宋_GB2312"/>
                <w:b/>
                <w:kern w:val="0"/>
                <w:sz w:val="24"/>
                <w:lang w:val="zh-CN"/>
              </w:rPr>
              <w:t>报价出现下列情形的，</w:t>
            </w:r>
            <w:r>
              <w:rPr>
                <w:rFonts w:hint="eastAsia" w:ascii="仿宋_GB2312" w:hAnsi="仿宋" w:eastAsia="仿宋_GB2312" w:cs="仿宋_GB2312"/>
                <w:b/>
                <w:kern w:val="0"/>
                <w:sz w:val="24"/>
                <w:lang w:val="en-US" w:eastAsia="zh-CN"/>
              </w:rPr>
              <w:t>投标</w:t>
            </w:r>
            <w:r>
              <w:rPr>
                <w:rFonts w:hint="eastAsia" w:ascii="仿宋_GB2312" w:hAnsi="仿宋" w:eastAsia="仿宋_GB2312" w:cs="仿宋_GB2312"/>
                <w:b/>
                <w:kern w:val="0"/>
                <w:sz w:val="24"/>
                <w:lang w:val="zh-CN"/>
              </w:rPr>
              <w:t>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响应</w:t>
            </w:r>
            <w:r>
              <w:rPr>
                <w:rFonts w:hint="eastAsia" w:ascii="仿宋_GB2312" w:hAnsi="仿宋" w:eastAsia="仿宋_GB2312" w:cs="仿宋_GB2312"/>
                <w:b/>
                <w:kern w:val="0"/>
                <w:sz w:val="24"/>
                <w:lang w:val="zh-CN"/>
              </w:rPr>
              <w:t>文件出现不是唯一的、有选择性</w:t>
            </w:r>
            <w:r>
              <w:rPr>
                <w:rFonts w:hint="eastAsia" w:ascii="仿宋_GB2312" w:hAnsi="仿宋" w:eastAsia="仿宋_GB2312" w:cs="仿宋_GB2312"/>
                <w:b/>
                <w:kern w:val="0"/>
                <w:sz w:val="24"/>
                <w:lang w:val="en-US" w:eastAsia="zh-CN"/>
              </w:rPr>
              <w:t>磋商</w:t>
            </w:r>
            <w:r>
              <w:rPr>
                <w:rFonts w:hint="eastAsia" w:ascii="仿宋_GB2312" w:hAnsi="仿宋" w:eastAsia="仿宋_GB2312" w:cs="仿宋_GB2312"/>
                <w:b/>
                <w:kern w:val="0"/>
                <w:sz w:val="24"/>
                <w:lang w:val="zh-CN"/>
              </w:rPr>
              <w:t>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en-US" w:eastAsia="zh-CN"/>
              </w:rPr>
              <w:t>投标</w:t>
            </w:r>
            <w:r>
              <w:rPr>
                <w:rFonts w:hint="eastAsia" w:ascii="仿宋_GB2312" w:hAnsi="仿宋" w:eastAsia="仿宋_GB2312" w:cs="仿宋_GB2312"/>
                <w:b/>
                <w:kern w:val="0"/>
                <w:sz w:val="24"/>
                <w:lang w:val="zh-CN"/>
              </w:rPr>
              <w:t>报价超过</w:t>
            </w:r>
            <w:r>
              <w:rPr>
                <w:rFonts w:hint="eastAsia" w:ascii="仿宋_GB2312" w:hAnsi="仿宋" w:eastAsia="仿宋_GB2312" w:cs="仿宋_GB2312"/>
                <w:b/>
                <w:kern w:val="0"/>
                <w:sz w:val="24"/>
                <w:lang w:val="en-US" w:eastAsia="zh-CN"/>
              </w:rPr>
              <w:t>招标文件</w:t>
            </w:r>
            <w:r>
              <w:rPr>
                <w:rFonts w:hint="eastAsia" w:ascii="仿宋_GB2312" w:hAnsi="仿宋" w:eastAsia="仿宋_GB2312" w:cs="仿宋_GB2312"/>
                <w:b/>
                <w:kern w:val="0"/>
                <w:sz w:val="24"/>
                <w:lang w:val="zh-CN"/>
              </w:rPr>
              <w:t>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w:t>
            </w:r>
            <w:r>
              <w:rPr>
                <w:rFonts w:hint="eastAsia" w:ascii="仿宋_GB2312" w:hAnsi="仿宋" w:eastAsia="仿宋_GB2312" w:cs="Arial"/>
                <w:b/>
                <w:kern w:val="0"/>
                <w:sz w:val="24"/>
                <w:lang w:val="en-US" w:eastAsia="zh-CN"/>
              </w:rPr>
              <w:t>投标人</w:t>
            </w:r>
            <w:r>
              <w:rPr>
                <w:rFonts w:hint="eastAsia" w:ascii="仿宋_GB2312" w:hAnsi="仿宋" w:eastAsia="仿宋_GB2312" w:cs="Arial"/>
                <w:b/>
                <w:kern w:val="0"/>
                <w:sz w:val="24"/>
              </w:rPr>
              <w:t>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lang w:val="en-US" w:eastAsia="zh-CN"/>
              </w:rPr>
              <w:t>投标人</w:t>
            </w:r>
            <w:r>
              <w:rPr>
                <w:rFonts w:hint="eastAsia" w:ascii="仿宋_GB2312" w:hAnsi="仿宋" w:eastAsia="仿宋_GB2312" w:cs="Arial"/>
                <w:b/>
                <w:kern w:val="0"/>
                <w:sz w:val="24"/>
              </w:rPr>
              <w:t>对根据修正原则修正后的报价不确认的</w:t>
            </w:r>
            <w:r>
              <w:rPr>
                <w:rFonts w:hint="eastAsia" w:ascii="仿宋_GB2312" w:hAnsi="仿宋" w:eastAsia="仿宋_GB2312"/>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62"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71" w:type="dxa"/>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351" w:type="dxa"/>
            <w:vAlign w:val="center"/>
          </w:tcPr>
          <w:p>
            <w:pPr>
              <w:snapToGrid w:val="0"/>
              <w:spacing w:line="400" w:lineRule="exact"/>
              <w:rPr>
                <w:rFonts w:hint="eastAsia" w:ascii="仿宋_GB2312" w:hAnsi="仿宋" w:eastAsia="仿宋_GB2312"/>
                <w:b/>
                <w:bCs/>
                <w:color w:val="auto"/>
                <w:sz w:val="24"/>
                <w:highlight w:val="yellow"/>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highlight w:val="none"/>
                </w:rPr>
              </w:sdtEndPr>
              <w:sdtContent>
                <w:r>
                  <w:rPr>
                    <w:rFonts w:hint="eastAsia" w:ascii="Wingdings" w:hAnsi="Wingdings" w:eastAsia="MS Gothic" w:cs="Arial"/>
                    <w:b/>
                    <w:bCs/>
                    <w:kern w:val="0"/>
                    <w:sz w:val="24"/>
                    <w:szCs w:val="24"/>
                    <w:highlight w:val="none"/>
                    <w:lang w:val="en-US" w:eastAsia="zh-CN" w:bidi="ar-SA"/>
                  </w:rPr>
                  <w:t>þ</w:t>
                </w:r>
              </w:sdtContent>
            </w:sdt>
            <w:sdt>
              <w:sdtPr>
                <w:rPr>
                  <w:rFonts w:hint="eastAsia" w:ascii="仿宋_GB2312" w:hAnsi="仿宋" w:eastAsia="仿宋_GB2312" w:cs="Arial"/>
                  <w:b/>
                  <w:bCs/>
                  <w:kern w:val="0"/>
                  <w:sz w:val="24"/>
                  <w:highlight w:val="none"/>
                </w:rPr>
                <w:id w:val="-924730588"/>
                <w:showingPlcHdr/>
              </w:sdtPr>
              <w:sdtEndPr>
                <w:rPr>
                  <w:rFonts w:hint="eastAsia" w:ascii="仿宋_GB2312" w:hAnsi="仿宋" w:eastAsia="仿宋_GB2312" w:cs="Arial"/>
                  <w:b/>
                  <w:bCs/>
                  <w:kern w:val="0"/>
                  <w:sz w:val="24"/>
                  <w:highlight w:val="none"/>
                </w:rPr>
              </w:sdtEndPr>
              <w:sdtContent/>
            </w:sdt>
            <w:r>
              <w:rPr>
                <w:rFonts w:ascii="仿宋_GB2312" w:hAnsi="仿宋" w:eastAsia="仿宋_GB2312" w:cs="Arial"/>
                <w:b/>
                <w:bCs/>
                <w:color w:val="auto"/>
                <w:kern w:val="0"/>
                <w:sz w:val="24"/>
                <w:highlight w:val="none"/>
              </w:rPr>
              <w:t xml:space="preserve"> A</w:t>
            </w:r>
            <w:r>
              <w:rPr>
                <w:rFonts w:hint="eastAsia" w:ascii="仿宋_GB2312" w:hAnsi="仿宋" w:eastAsia="仿宋_GB2312"/>
                <w:b/>
                <w:bCs/>
                <w:color w:val="auto"/>
                <w:sz w:val="24"/>
                <w:highlight w:val="none"/>
              </w:rPr>
              <w:t>同意将非主体、非关键性的</w:t>
            </w:r>
            <w:r>
              <w:rPr>
                <w:rFonts w:ascii="仿宋_GB2312" w:hAnsi="仿宋" w:eastAsia="仿宋_GB2312"/>
                <w:b/>
                <w:bCs/>
                <w:color w:val="auto"/>
                <w:sz w:val="24"/>
                <w:highlight w:val="none"/>
                <w:u w:val="single"/>
              </w:rPr>
              <w:t xml:space="preserve">  </w:t>
            </w:r>
            <w:r>
              <w:rPr>
                <w:rFonts w:hint="eastAsia" w:ascii="仿宋_GB2312" w:hAnsi="仿宋" w:eastAsia="仿宋_GB2312"/>
                <w:b/>
                <w:bCs/>
                <w:color w:val="auto"/>
                <w:sz w:val="24"/>
                <w:highlight w:val="none"/>
                <w:u w:val="single"/>
                <w:lang w:val="en-US" w:eastAsia="zh-CN"/>
              </w:rPr>
              <w:t>装备配备</w:t>
            </w:r>
            <w:r>
              <w:rPr>
                <w:rFonts w:ascii="仿宋_GB2312" w:hAnsi="仿宋" w:eastAsia="仿宋_GB2312"/>
                <w:b/>
                <w:bCs/>
                <w:color w:val="auto"/>
                <w:sz w:val="24"/>
                <w:highlight w:val="none"/>
                <w:u w:val="single"/>
              </w:rPr>
              <w:t xml:space="preserve"> </w:t>
            </w:r>
            <w:r>
              <w:rPr>
                <w:rFonts w:hint="eastAsia" w:ascii="仿宋_GB2312" w:hAnsi="仿宋" w:eastAsia="仿宋_GB2312"/>
                <w:b/>
                <w:bCs/>
                <w:color w:val="auto"/>
                <w:sz w:val="24"/>
                <w:highlight w:val="none"/>
              </w:rPr>
              <w:t>工作分包。</w:t>
            </w:r>
          </w:p>
          <w:p>
            <w:pPr>
              <w:snapToGrid w:val="0"/>
              <w:spacing w:line="400" w:lineRule="exact"/>
              <w:rPr>
                <w:rFonts w:hint="eastAsia" w:ascii="仿宋_GB2312" w:hAnsi="仿宋" w:eastAsia="仿宋_GB2312"/>
                <w:b/>
                <w:bCs/>
                <w:color w:val="auto"/>
                <w:sz w:val="24"/>
                <w:highlight w:val="none"/>
              </w:rPr>
            </w:pPr>
            <w:sdt>
              <w:sdtPr>
                <w:rPr>
                  <w:rFonts w:hint="eastAsia" w:ascii="仿宋_GB2312" w:hAnsi="仿宋" w:eastAsia="仿宋_GB2312" w:cs="Arial"/>
                  <w:b/>
                  <w:bCs/>
                  <w:color w:val="auto"/>
                  <w:kern w:val="0"/>
                  <w:sz w:val="24"/>
                  <w:highlight w:val="none"/>
                </w:rPr>
                <w:id w:val="-1477286927"/>
              </w:sdtPr>
              <w:sdtEndPr>
                <w:rPr>
                  <w:rFonts w:hint="eastAsia" w:ascii="仿宋_GB2312" w:hAnsi="仿宋" w:eastAsia="仿宋_GB2312" w:cs="Arial"/>
                  <w:b/>
                  <w:bCs/>
                  <w:color w:val="auto"/>
                  <w:kern w:val="0"/>
                  <w:sz w:val="24"/>
                  <w:highlight w:val="none"/>
                </w:rPr>
              </w:sdtEndPr>
              <w:sdtContent>
                <w:sdt>
                  <w:sdtPr>
                    <w:rPr>
                      <w:rFonts w:hint="eastAsia" w:ascii="仿宋_GB2312" w:hAnsi="仿宋" w:eastAsia="仿宋_GB2312" w:cs="Arial"/>
                      <w:b/>
                      <w:bCs/>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highlight w:val="none"/>
                    </w:rPr>
                  </w:sdtEndPr>
                  <w:sdtContent>
                    <w:r>
                      <w:rPr>
                        <w:rFonts w:hint="eastAsia" w:ascii="Wingdings" w:hAnsi="Wingdings" w:eastAsia="MS Gothic" w:cs="Arial"/>
                        <w:b/>
                        <w:bCs/>
                        <w:kern w:val="0"/>
                        <w:sz w:val="24"/>
                        <w:szCs w:val="24"/>
                        <w:highlight w:val="none"/>
                        <w:lang w:val="en-US" w:eastAsia="zh-CN" w:bidi="ar-SA"/>
                      </w:rPr>
                      <w:t>þ</w:t>
                    </w:r>
                  </w:sdtContent>
                </w:sdt>
                <w:sdt>
                  <w:sdtPr>
                    <w:rPr>
                      <w:rFonts w:hint="eastAsia" w:ascii="仿宋_GB2312" w:hAnsi="仿宋" w:eastAsia="仿宋_GB2312" w:cs="Arial"/>
                      <w:b/>
                      <w:bCs/>
                      <w:kern w:val="0"/>
                      <w:sz w:val="24"/>
                      <w:highlight w:val="none"/>
                    </w:rPr>
                    <w:id w:val="-924730588"/>
                    <w:showingPlcHdr/>
                  </w:sdtPr>
                  <w:sdtEndPr>
                    <w:rPr>
                      <w:rFonts w:hint="eastAsia" w:ascii="仿宋_GB2312" w:hAnsi="仿宋" w:eastAsia="仿宋_GB2312" w:cs="Arial"/>
                      <w:b/>
                      <w:bCs/>
                      <w:kern w:val="0"/>
                      <w:sz w:val="24"/>
                      <w:highlight w:val="none"/>
                    </w:rPr>
                  </w:sdtEndPr>
                  <w:sdtContent/>
                </w:sdt>
              </w:sdtContent>
            </w:sdt>
            <w:r>
              <w:rPr>
                <w:rFonts w:ascii="仿宋_GB2312" w:hAnsi="仿宋" w:eastAsia="仿宋_GB2312" w:cs="Arial"/>
                <w:b/>
                <w:bCs/>
                <w:color w:val="auto"/>
                <w:kern w:val="0"/>
                <w:sz w:val="24"/>
                <w:highlight w:val="none"/>
              </w:rPr>
              <w:t xml:space="preserve"> </w:t>
            </w:r>
            <w:r>
              <w:rPr>
                <w:rFonts w:ascii="仿宋_GB2312" w:hAnsi="仿宋" w:eastAsia="仿宋_GB2312" w:cs="Arial"/>
                <w:b/>
                <w:bCs/>
                <w:kern w:val="0"/>
                <w:sz w:val="24"/>
                <w:highlight w:val="none"/>
              </w:rPr>
              <w:t>B</w:t>
            </w:r>
            <w:r>
              <w:rPr>
                <w:rFonts w:hint="eastAsia" w:ascii="仿宋_GB2312" w:hAnsi="仿宋" w:eastAsia="仿宋_GB2312"/>
                <w:b/>
                <w:bCs/>
                <w:sz w:val="24"/>
                <w:highlight w:val="none"/>
              </w:rPr>
              <w:t>同意</w:t>
            </w:r>
            <w:r>
              <w:rPr>
                <w:rFonts w:hint="eastAsia" w:ascii="仿宋_GB2312" w:hAnsi="仿宋" w:eastAsia="仿宋_GB2312"/>
                <w:b/>
                <w:bCs/>
                <w:sz w:val="24"/>
                <w:highlight w:val="none"/>
                <w:lang w:eastAsia="zh-CN"/>
              </w:rPr>
              <w:t>大型</w:t>
            </w:r>
            <w:r>
              <w:rPr>
                <w:rFonts w:hint="eastAsia" w:ascii="仿宋_GB2312" w:hAnsi="仿宋" w:eastAsia="仿宋_GB2312"/>
                <w:b/>
                <w:bCs/>
                <w:sz w:val="24"/>
                <w:highlight w:val="none"/>
                <w:lang w:val="en-US" w:eastAsia="zh-CN"/>
              </w:rPr>
              <w:t>企业向小微企业、中型企业向小微企业、小微企业向小微企业合理分包</w:t>
            </w:r>
            <w:r>
              <w:rPr>
                <w:rFonts w:hint="eastAsia" w:ascii="仿宋_GB2312" w:hAnsi="仿宋" w:eastAsia="仿宋_GB2312"/>
                <w:b/>
                <w:bCs/>
                <w:sz w:val="24"/>
                <w:highlight w:val="none"/>
              </w:rPr>
              <w:t>。</w:t>
            </w:r>
          </w:p>
          <w:p>
            <w:pPr>
              <w:spacing w:line="360" w:lineRule="auto"/>
              <w:rPr>
                <w:rFonts w:ascii="仿宋_GB2312" w:hAnsi="仿宋" w:eastAsia="仿宋_GB2312" w:cs="仿宋_GB2312"/>
                <w:sz w:val="24"/>
              </w:rPr>
            </w:pPr>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07" w:hRule="atLeast"/>
          <w:tblHeader/>
          <w:jc w:val="center"/>
        </w:trPr>
        <w:tc>
          <w:tcPr>
            <w:tcW w:w="657"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571"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eastAsia="zh-CN"/>
              </w:rPr>
              <w:t>投标人</w:t>
            </w:r>
            <w:r>
              <w:rPr>
                <w:rFonts w:hint="eastAsia" w:ascii="仿宋_GB2312" w:hAnsi="仿宋" w:eastAsia="仿宋_GB2312" w:cs="仿宋_GB2312"/>
                <w:b/>
                <w:sz w:val="24"/>
              </w:rPr>
              <w:t>应当提供的资格、资信证明文件</w:t>
            </w:r>
          </w:p>
        </w:tc>
        <w:tc>
          <w:tcPr>
            <w:tcW w:w="7351" w:type="dxa"/>
            <w:vAlign w:val="center"/>
          </w:tcPr>
          <w:p>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napToGrid w:val="0"/>
              <w:spacing w:line="400" w:lineRule="exact"/>
              <w:rPr>
                <w:rFonts w:ascii="Arial" w:hAnsi="Arial" w:eastAsia="黑体" w:cs="Arial"/>
                <w:snapToGrid w:val="0"/>
                <w:kern w:val="0"/>
                <w:szCs w:val="21"/>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w:t>
            </w:r>
            <w:r>
              <w:rPr>
                <w:rFonts w:hint="eastAsia" w:ascii="仿宋_GB2312" w:hAnsi="仿宋" w:eastAsia="仿宋_GB2312" w:cs="仿宋_GB2312"/>
                <w:color w:val="auto"/>
                <w:sz w:val="24"/>
                <w:highlight w:val="none"/>
                <w:lang w:val="zh-CN"/>
              </w:rPr>
              <w:t>投标</w:t>
            </w:r>
            <w:r>
              <w:rPr>
                <w:rFonts w:hint="eastAsia" w:ascii="仿宋_GB2312" w:hAnsi="仿宋" w:eastAsia="仿宋_GB2312"/>
                <w:color w:val="auto"/>
                <w:kern w:val="0"/>
                <w:sz w:val="24"/>
                <w:highlight w:val="none"/>
                <w:lang w:val="zh-CN"/>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69" w:hRule="atLeast"/>
          <w:tblHeader/>
          <w:jc w:val="center"/>
        </w:trPr>
        <w:tc>
          <w:tcPr>
            <w:tcW w:w="657" w:type="dxa"/>
            <w:vMerge w:val="continue"/>
          </w:tcPr>
          <w:p>
            <w:pPr>
              <w:snapToGrid w:val="0"/>
              <w:spacing w:line="360" w:lineRule="auto"/>
              <w:jc w:val="center"/>
              <w:rPr>
                <w:rFonts w:ascii="仿宋_GB2312" w:hAnsi="仿宋" w:eastAsia="仿宋_GB2312" w:cs="仿宋_GB2312"/>
                <w:sz w:val="24"/>
              </w:rPr>
            </w:pPr>
          </w:p>
        </w:tc>
        <w:tc>
          <w:tcPr>
            <w:tcW w:w="1571" w:type="dxa"/>
            <w:vMerge w:val="continue"/>
            <w:vAlign w:val="center"/>
          </w:tcPr>
          <w:p>
            <w:pPr>
              <w:snapToGrid w:val="0"/>
              <w:spacing w:line="360" w:lineRule="auto"/>
              <w:jc w:val="center"/>
              <w:rPr>
                <w:rFonts w:ascii="仿宋_GB2312" w:hAnsi="仿宋" w:eastAsia="仿宋_GB2312" w:cs="仿宋_GB2312"/>
                <w:b/>
                <w:sz w:val="24"/>
              </w:rPr>
            </w:pPr>
          </w:p>
        </w:tc>
        <w:tc>
          <w:tcPr>
            <w:tcW w:w="7351" w:type="dxa"/>
            <w:vAlign w:val="center"/>
          </w:tcPr>
          <w:p>
            <w:pPr>
              <w:snapToGrid w:val="0"/>
              <w:spacing w:line="400" w:lineRule="exact"/>
              <w:rPr>
                <w:rFonts w:ascii="仿宋_GB2312" w:hAnsi="仿宋" w:eastAsia="仿宋_GB2312"/>
                <w:sz w:val="24"/>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17" w:hRule="atLeast"/>
          <w:tblHeader/>
          <w:jc w:val="center"/>
        </w:trPr>
        <w:tc>
          <w:tcPr>
            <w:tcW w:w="657" w:type="dxa"/>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351" w:type="dxa"/>
            <w:vAlign w:val="center"/>
          </w:tcPr>
          <w:p>
            <w:pPr>
              <w:snapToGrid w:val="0"/>
              <w:spacing w:line="400" w:lineRule="exact"/>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sdtPr>
              <w:sdtEndPr>
                <w:rPr>
                  <w:rFonts w:hint="eastAsia" w:ascii="仿宋_GB2312" w:hAnsi="仿宋" w:eastAsia="仿宋_GB2312" w:cs="Arial"/>
                  <w:b/>
                  <w:bCs/>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rPr>
                  </w:sdtEndPr>
                  <w:sdtContent>
                    <w:r>
                      <w:rPr>
                        <w:rFonts w:hint="eastAsia" w:ascii="Wingdings" w:hAnsi="Wingdings" w:eastAsia="MS Gothic" w:cs="Arial"/>
                        <w:b/>
                        <w:bCs/>
                        <w:kern w:val="0"/>
                        <w:sz w:val="24"/>
                        <w:szCs w:val="24"/>
                        <w:lang w:val="en-US" w:eastAsia="zh-CN" w:bidi="ar-SA"/>
                      </w:rPr>
                      <w:t>þ</w:t>
                    </w:r>
                  </w:sdtContent>
                </w:sdt>
                <w:sdt>
                  <w:sdtPr>
                    <w:rPr>
                      <w:rFonts w:hint="eastAsia" w:ascii="仿宋_GB2312" w:hAnsi="仿宋" w:eastAsia="仿宋_GB2312" w:cs="Arial"/>
                      <w:b/>
                      <w:bCs/>
                      <w:kern w:val="0"/>
                      <w:sz w:val="24"/>
                    </w:rPr>
                    <w:id w:val="-924730588"/>
                    <w:showingPlcHdr/>
                  </w:sdtPr>
                  <w:sdtEndPr>
                    <w:rPr>
                      <w:rFonts w:hint="eastAsia" w:ascii="仿宋_GB2312" w:hAnsi="仿宋" w:eastAsia="仿宋_GB2312" w:cs="Arial"/>
                      <w:b/>
                      <w:bCs/>
                      <w:kern w:val="0"/>
                      <w:sz w:val="24"/>
                    </w:rPr>
                  </w:sdtEndPr>
                  <w:sdtContent/>
                </w:sdt>
              </w:sdtContent>
            </w:sdt>
            <w:r>
              <w:rPr>
                <w:rFonts w:ascii="仿宋_GB2312" w:hAnsi="仿宋" w:eastAsia="仿宋_GB2312" w:cs="Arial"/>
                <w:b/>
                <w:bCs/>
                <w:color w:val="auto"/>
                <w:kern w:val="0"/>
                <w:sz w:val="24"/>
                <w:highlight w:val="none"/>
              </w:rPr>
              <w:t>A</w:t>
            </w:r>
            <w:r>
              <w:rPr>
                <w:rFonts w:hint="eastAsia" w:ascii="仿宋_GB2312" w:hAnsi="仿宋" w:eastAsia="仿宋_GB2312"/>
                <w:b/>
                <w:bCs/>
                <w:color w:val="auto"/>
                <w:sz w:val="24"/>
                <w:highlight w:val="none"/>
              </w:rPr>
              <w:t>不组织。</w:t>
            </w:r>
          </w:p>
          <w:p>
            <w:pPr>
              <w:snapToGrid w:val="0"/>
              <w:spacing w:line="400" w:lineRule="exact"/>
              <w:rPr>
                <w:rFonts w:hint="eastAsia" w:ascii="仿宋_GB2312" w:hAnsi="仿宋" w:eastAsia="仿宋_GB2312"/>
                <w:sz w:val="24"/>
                <w:szCs w:val="20"/>
                <w:lang w:eastAsia="zh-CN"/>
              </w:rPr>
            </w:pPr>
            <w:sdt>
              <w:sdtPr>
                <w:rPr>
                  <w:rFonts w:hint="eastAsia" w:ascii="仿宋_GB2312" w:hAnsi="仿宋" w:eastAsia="仿宋_GB2312" w:cs="Arial"/>
                  <w:color w:val="auto"/>
                  <w:kern w:val="0"/>
                  <w:sz w:val="24"/>
                  <w:highlight w:val="none"/>
                </w:rPr>
                <w:id w:val="-99980297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402"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351" w:type="dxa"/>
            <w:vAlign w:val="center"/>
          </w:tcPr>
          <w:p>
            <w:pPr>
              <w:snapToGrid w:val="0"/>
              <w:spacing w:line="400" w:lineRule="exact"/>
              <w:rPr>
                <w:rFonts w:ascii="仿宋_GB2312" w:hAnsi="仿宋" w:eastAsia="仿宋_GB2312"/>
                <w:color w:val="auto"/>
                <w:sz w:val="24"/>
                <w:highlight w:val="none"/>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rPr>
              </w:sdtEndPr>
              <w:sdtContent>
                <w:r>
                  <w:rPr>
                    <w:rFonts w:hint="eastAsia" w:ascii="Wingdings" w:hAnsi="Wingdings" w:eastAsia="MS Gothic" w:cs="Arial"/>
                    <w:b/>
                    <w:bCs/>
                    <w:kern w:val="0"/>
                    <w:sz w:val="24"/>
                    <w:szCs w:val="24"/>
                    <w:lang w:val="en-US" w:eastAsia="zh-CN" w:bidi="ar-SA"/>
                  </w:rPr>
                  <w:t>þ</w:t>
                </w:r>
              </w:sdtContent>
            </w:sdt>
            <w:sdt>
              <w:sdtPr>
                <w:rPr>
                  <w:rFonts w:hint="eastAsia" w:ascii="仿宋_GB2312" w:hAnsi="仿宋" w:eastAsia="仿宋_GB2312" w:cs="Arial"/>
                  <w:b/>
                  <w:bCs/>
                  <w:kern w:val="0"/>
                  <w:sz w:val="24"/>
                </w:rPr>
                <w:id w:val="-924730588"/>
                <w:showingPlcHdr/>
              </w:sdtPr>
              <w:sdtEndPr>
                <w:rPr>
                  <w:rFonts w:hint="eastAsia" w:ascii="仿宋_GB2312" w:hAnsi="仿宋" w:eastAsia="仿宋_GB2312" w:cs="Arial"/>
                  <w:b/>
                  <w:bCs/>
                  <w:kern w:val="0"/>
                  <w:sz w:val="24"/>
                </w:rPr>
              </w:sdtEndPr>
              <w:sdtContent/>
            </w:sdt>
            <w:r>
              <w:rPr>
                <w:rFonts w:ascii="仿宋_GB2312" w:hAnsi="仿宋" w:eastAsia="仿宋_GB2312" w:cs="Arial"/>
                <w:b/>
                <w:bCs/>
                <w:color w:val="auto"/>
                <w:kern w:val="0"/>
                <w:sz w:val="24"/>
                <w:highlight w:val="none"/>
              </w:rPr>
              <w:t>A</w:t>
            </w:r>
            <w:r>
              <w:rPr>
                <w:rFonts w:hint="eastAsia" w:ascii="仿宋_GB2312" w:hAnsi="仿宋" w:eastAsia="仿宋_GB2312"/>
                <w:b/>
                <w:bCs/>
                <w:color w:val="auto"/>
                <w:sz w:val="24"/>
                <w:highlight w:val="none"/>
              </w:rPr>
              <w:t>不要求提供。</w:t>
            </w:r>
          </w:p>
          <w:p>
            <w:pPr>
              <w:snapToGrid w:val="0"/>
              <w:spacing w:line="400" w:lineRule="exact"/>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napToGrid w:val="0"/>
              <w:spacing w:line="400" w:lineRule="exact"/>
              <w:rPr>
                <w:rFonts w:hint="eastAsia" w:ascii="仿宋_GB2312" w:hAnsi="仿宋" w:eastAsia="仿宋_GB2312"/>
                <w:b/>
                <w:sz w:val="24"/>
                <w:lang w:val="en-US" w:eastAsia="zh-CN"/>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napToGrid w:val="0"/>
              <w:spacing w:line="400" w:lineRule="exact"/>
              <w:rPr>
                <w:rFonts w:hint="eastAsia" w:ascii="仿宋_GB2312" w:hAnsi="仿宋" w:eastAsia="仿宋_GB2312"/>
                <w:b/>
                <w:sz w:val="24"/>
                <w:lang w:val="en-US" w:eastAsia="zh-CN"/>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24"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571" w:type="dxa"/>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351" w:type="dxa"/>
            <w:vAlign w:val="center"/>
          </w:tcPr>
          <w:p>
            <w:pPr>
              <w:snapToGrid w:val="0"/>
              <w:spacing w:line="400" w:lineRule="exact"/>
              <w:rPr>
                <w:rFonts w:ascii="仿宋_GB2312" w:hAnsi="仿宋" w:eastAsia="仿宋_GB2312"/>
                <w:b/>
                <w:bCs/>
                <w:color w:val="auto"/>
                <w:sz w:val="24"/>
                <w:highlight w:val="none"/>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rPr>
              </w:sdtEndPr>
              <w:sdtContent>
                <w:r>
                  <w:rPr>
                    <w:rFonts w:hint="eastAsia" w:ascii="Wingdings" w:hAnsi="Wingdings" w:eastAsia="MS Gothic" w:cs="Arial"/>
                    <w:b/>
                    <w:bCs/>
                    <w:kern w:val="0"/>
                    <w:sz w:val="24"/>
                    <w:szCs w:val="24"/>
                    <w:lang w:val="en-US" w:eastAsia="zh-CN" w:bidi="ar-SA"/>
                  </w:rPr>
                  <w:t>þ</w:t>
                </w:r>
              </w:sdtContent>
            </w:sdt>
            <w:sdt>
              <w:sdtPr>
                <w:rPr>
                  <w:rFonts w:hint="eastAsia" w:ascii="仿宋_GB2312" w:hAnsi="仿宋" w:eastAsia="仿宋_GB2312" w:cs="Arial"/>
                  <w:b/>
                  <w:bCs/>
                  <w:kern w:val="0"/>
                  <w:sz w:val="24"/>
                </w:rPr>
                <w:id w:val="-924730588"/>
                <w:showingPlcHdr/>
              </w:sdtPr>
              <w:sdtEndPr>
                <w:rPr>
                  <w:rFonts w:hint="eastAsia" w:ascii="仿宋_GB2312" w:hAnsi="仿宋" w:eastAsia="仿宋_GB2312" w:cs="Arial"/>
                  <w:b/>
                  <w:bCs/>
                  <w:kern w:val="0"/>
                  <w:sz w:val="24"/>
                </w:rPr>
              </w:sdtEndPr>
              <w:sdtContent/>
            </w:sdt>
            <w:r>
              <w:rPr>
                <w:rFonts w:ascii="仿宋_GB2312" w:hAnsi="仿宋" w:eastAsia="仿宋_GB2312" w:cs="Arial"/>
                <w:b/>
                <w:bCs/>
                <w:color w:val="auto"/>
                <w:kern w:val="0"/>
                <w:sz w:val="24"/>
                <w:highlight w:val="none"/>
              </w:rPr>
              <w:t>A</w:t>
            </w:r>
            <w:r>
              <w:rPr>
                <w:rFonts w:hint="eastAsia" w:ascii="仿宋_GB2312" w:hAnsi="仿宋" w:eastAsia="仿宋_GB2312"/>
                <w:b/>
                <w:bCs/>
                <w:color w:val="auto"/>
                <w:sz w:val="24"/>
                <w:highlight w:val="none"/>
              </w:rPr>
              <w:t>不组织。</w:t>
            </w:r>
          </w:p>
          <w:p>
            <w:pPr>
              <w:snapToGrid w:val="0"/>
              <w:spacing w:line="400" w:lineRule="exact"/>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B组织。</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400" w:lineRule="exac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400" w:lineRule="exact"/>
              <w:rPr>
                <w:rFonts w:ascii="仿宋_GB2312" w:hAnsi="仿宋" w:eastAsia="仿宋_GB2312" w:cs="仿宋_GB2312"/>
                <w:b/>
                <w:kern w:val="0"/>
                <w:sz w:val="24"/>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07"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7351" w:type="dxa"/>
            <w:vAlign w:val="center"/>
          </w:tcPr>
          <w:p>
            <w:pPr>
              <w:snapToGrid w:val="0"/>
              <w:spacing w:line="400" w:lineRule="exact"/>
              <w:rPr>
                <w:rFonts w:ascii="仿宋_GB2312" w:hAnsi="仿宋" w:eastAsia="仿宋_GB2312" w:cs="Arial"/>
                <w:b/>
                <w:bCs/>
                <w:color w:val="auto"/>
                <w:kern w:val="0"/>
                <w:sz w:val="24"/>
                <w:highlight w:val="none"/>
              </w:rPr>
            </w:pPr>
            <w:sdt>
              <w:sdtPr>
                <w:rPr>
                  <w:rFonts w:hint="eastAsia" w:ascii="仿宋_GB2312" w:hAnsi="仿宋" w:eastAsia="仿宋_GB2312" w:cs="Arial"/>
                  <w:color w:val="auto"/>
                  <w:kern w:val="0"/>
                  <w:sz w:val="24"/>
                  <w:highlight w:val="none"/>
                </w:rPr>
                <w:id w:val="-1828425707"/>
              </w:sdtPr>
              <w:sdtEndPr>
                <w:rPr>
                  <w:rFonts w:hint="eastAsia" w:ascii="仿宋_GB2312" w:hAnsi="仿宋" w:eastAsia="仿宋_GB2312" w:cs="Arial"/>
                  <w:b/>
                  <w:bCs/>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rPr>
                  </w:sdtEndPr>
                  <w:sdtContent>
                    <w:r>
                      <w:rPr>
                        <w:rFonts w:hint="eastAsia" w:ascii="Wingdings" w:hAnsi="Wingdings" w:eastAsia="MS Gothic" w:cs="Arial"/>
                        <w:b/>
                        <w:bCs/>
                        <w:kern w:val="0"/>
                        <w:sz w:val="24"/>
                        <w:szCs w:val="24"/>
                        <w:lang w:val="en-US" w:eastAsia="zh-CN" w:bidi="ar-SA"/>
                      </w:rPr>
                      <w:t>þ</w:t>
                    </w:r>
                  </w:sdtContent>
                </w:sdt>
                <w:sdt>
                  <w:sdtPr>
                    <w:rPr>
                      <w:rFonts w:hint="eastAsia" w:ascii="仿宋_GB2312" w:hAnsi="仿宋" w:eastAsia="仿宋_GB2312" w:cs="Arial"/>
                      <w:b/>
                      <w:bCs/>
                      <w:kern w:val="0"/>
                      <w:sz w:val="24"/>
                    </w:rPr>
                    <w:id w:val="-924730588"/>
                    <w:showingPlcHdr/>
                  </w:sdtPr>
                  <w:sdtEndPr>
                    <w:rPr>
                      <w:rFonts w:hint="eastAsia" w:ascii="仿宋_GB2312" w:hAnsi="仿宋" w:eastAsia="仿宋_GB2312" w:cs="Arial"/>
                      <w:b/>
                      <w:bCs/>
                      <w:kern w:val="0"/>
                      <w:sz w:val="24"/>
                    </w:rPr>
                  </w:sdtEndPr>
                  <w:sdtContent/>
                </w:sdt>
              </w:sdtContent>
            </w:sdt>
            <w:r>
              <w:rPr>
                <w:rFonts w:hint="eastAsia" w:ascii="仿宋_GB2312" w:hAnsi="仿宋" w:eastAsia="仿宋_GB2312" w:cs="Arial"/>
                <w:b/>
                <w:bCs/>
                <w:color w:val="auto"/>
                <w:kern w:val="0"/>
                <w:sz w:val="24"/>
                <w:highlight w:val="none"/>
              </w:rPr>
              <w:t>本项目不允许采购进口产品。</w:t>
            </w:r>
          </w:p>
          <w:p>
            <w:pPr>
              <w:snapToGrid w:val="0"/>
              <w:spacing w:line="400" w:lineRule="exact"/>
            </w:pPr>
            <w:sdt>
              <w:sdtPr>
                <w:rPr>
                  <w:rFonts w:hint="eastAsia" w:ascii="仿宋_GB2312" w:hAnsi="仿宋" w:eastAsia="仿宋_GB2312" w:cs="Arial"/>
                  <w:color w:val="auto"/>
                  <w:kern w:val="0"/>
                  <w:sz w:val="24"/>
                  <w:highlight w:val="none"/>
                </w:rPr>
                <w:id w:val="-5285282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w:t>
            </w:r>
            <w:r>
              <w:rPr>
                <w:rFonts w:hint="eastAsia" w:ascii="仿宋_GB2312" w:hAnsi="仿宋" w:eastAsia="仿宋_GB2312" w:cs="Arial"/>
                <w:color w:val="auto"/>
                <w:kern w:val="0"/>
                <w:sz w:val="24"/>
                <w:highlight w:val="none"/>
                <w:lang w:eastAsia="zh-CN"/>
              </w:rPr>
              <w:t>投标人</w:t>
            </w:r>
            <w:r>
              <w:rPr>
                <w:rFonts w:hint="eastAsia" w:ascii="仿宋_GB2312" w:hAnsi="仿宋" w:eastAsia="仿宋_GB2312" w:cs="Arial"/>
                <w:color w:val="auto"/>
                <w:kern w:val="0"/>
                <w:sz w:val="24"/>
                <w:highlight w:val="none"/>
              </w:rPr>
              <w:t>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51" w:hRule="atLeast"/>
          <w:tblHeader/>
          <w:jc w:val="center"/>
        </w:trPr>
        <w:tc>
          <w:tcPr>
            <w:tcW w:w="657" w:type="dxa"/>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351" w:type="dxa"/>
            <w:vAlign w:val="center"/>
          </w:tcPr>
          <w:p>
            <w:pPr>
              <w:snapToGrid w:val="0"/>
              <w:spacing w:line="400" w:lineRule="exact"/>
              <w:rPr>
                <w:rFonts w:ascii="仿宋_GB2312" w:hAnsi="仿宋" w:eastAsia="仿宋_GB2312"/>
                <w:color w:val="auto"/>
                <w:sz w:val="24"/>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rPr>
              </w:sdtEndPr>
              <w:sdtContent>
                <w:r>
                  <w:rPr>
                    <w:rFonts w:hint="eastAsia" w:ascii="Wingdings" w:hAnsi="Wingdings" w:eastAsia="MS Gothic" w:cs="Arial"/>
                    <w:b/>
                    <w:bCs/>
                    <w:kern w:val="0"/>
                    <w:sz w:val="24"/>
                    <w:szCs w:val="24"/>
                    <w:lang w:val="en-US" w:eastAsia="zh-CN" w:bidi="ar-SA"/>
                  </w:rPr>
                  <w:t>þ</w:t>
                </w:r>
              </w:sdtContent>
            </w:sdt>
            <w:sdt>
              <w:sdtPr>
                <w:rPr>
                  <w:rFonts w:hint="eastAsia" w:ascii="仿宋_GB2312" w:hAnsi="仿宋" w:eastAsia="仿宋_GB2312" w:cs="Arial"/>
                  <w:b/>
                  <w:bCs/>
                  <w:kern w:val="0"/>
                  <w:sz w:val="24"/>
                </w:rPr>
                <w:id w:val="-924730588"/>
                <w:showingPlcHdr/>
              </w:sdtPr>
              <w:sdtEndPr>
                <w:rPr>
                  <w:rFonts w:hint="eastAsia" w:ascii="仿宋_GB2312" w:hAnsi="仿宋" w:eastAsia="仿宋_GB2312" w:cs="Arial"/>
                  <w:b/>
                  <w:bCs/>
                  <w:kern w:val="0"/>
                  <w:sz w:val="24"/>
                </w:rPr>
              </w:sdtEndPr>
              <w:sdtContent/>
            </w:sdt>
            <w:r>
              <w:rPr>
                <w:rFonts w:ascii="仿宋_GB2312" w:hAnsi="仿宋" w:eastAsia="仿宋_GB2312" w:cs="Arial"/>
                <w:b/>
                <w:bCs/>
                <w:color w:val="auto"/>
                <w:kern w:val="0"/>
                <w:sz w:val="24"/>
                <w:highlight w:val="none"/>
              </w:rPr>
              <w:t>B</w:t>
            </w:r>
            <w:r>
              <w:rPr>
                <w:rFonts w:hint="eastAsia" w:ascii="仿宋_GB2312" w:hAnsi="仿宋" w:eastAsia="仿宋_GB2312"/>
                <w:b/>
                <w:bCs/>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03"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7351" w:type="dxa"/>
            <w:vAlign w:val="center"/>
          </w:tcPr>
          <w:p>
            <w:pPr>
              <w:spacing w:line="360" w:lineRule="auto"/>
              <w:rPr>
                <w:rFonts w:hint="eastAsia" w:ascii="仿宋_GB2312" w:hAnsi="仿宋" w:eastAsia="仿宋_GB2312"/>
                <w:b/>
                <w:bCs/>
                <w:sz w:val="24"/>
                <w:lang w:val="en-US" w:eastAsia="zh-CN"/>
              </w:rPr>
            </w:pPr>
            <w:r>
              <w:rPr>
                <w:rFonts w:hint="eastAsia" w:ascii="仿宋_GB2312" w:hAnsi="仿宋" w:eastAsia="仿宋_GB2312"/>
                <w:b/>
                <w:bCs/>
                <w:sz w:val="24"/>
                <w:lang w:val="en-US" w:eastAsia="zh-CN"/>
              </w:rPr>
              <w:t>（1）采购标的</w:t>
            </w:r>
            <w:r>
              <w:rPr>
                <w:rFonts w:hint="eastAsia" w:ascii="仿宋_GB2312" w:hAnsi="仿宋" w:eastAsia="仿宋_GB2312"/>
                <w:b/>
                <w:bCs/>
                <w:sz w:val="24"/>
                <w:u w:val="single"/>
                <w:lang w:val="en-US" w:eastAsia="zh-CN"/>
              </w:rPr>
              <w:t xml:space="preserve"> 特保服务外包</w:t>
            </w:r>
            <w:r>
              <w:rPr>
                <w:rFonts w:hint="eastAsia" w:ascii="仿宋_GB2312" w:hAnsi="仿宋" w:eastAsia="仿宋_GB2312"/>
                <w:b/>
                <w:bCs/>
                <w:sz w:val="24"/>
                <w:lang w:val="en-US" w:eastAsia="zh-CN"/>
              </w:rPr>
              <w:t xml:space="preserve"> ；所属行业：</w:t>
            </w:r>
            <w:r>
              <w:rPr>
                <w:rFonts w:hint="eastAsia" w:ascii="仿宋_GB2312" w:hAnsi="仿宋" w:eastAsia="仿宋_GB2312"/>
                <w:b/>
                <w:bCs/>
                <w:sz w:val="24"/>
                <w:u w:val="single"/>
                <w:lang w:val="en-US" w:eastAsia="zh-CN"/>
              </w:rPr>
              <w:t xml:space="preserve"> 租赁和商务服务 </w:t>
            </w:r>
            <w:r>
              <w:rPr>
                <w:rFonts w:hint="eastAsia" w:ascii="仿宋_GB2312" w:hAnsi="仿宋" w:eastAsia="仿宋_GB2312"/>
                <w:b/>
                <w:bCs/>
                <w:sz w:val="24"/>
                <w:lang w:val="en-US" w:eastAsia="zh-CN"/>
              </w:rPr>
              <w:t xml:space="preserve">。 </w:t>
            </w:r>
          </w:p>
          <w:p>
            <w:pPr>
              <w:snapToGrid w:val="0"/>
              <w:spacing w:line="360" w:lineRule="auto"/>
              <w:rPr>
                <w:lang w:val="en-US"/>
              </w:rPr>
            </w:pPr>
            <w:r>
              <w:rPr>
                <w:rFonts w:hint="eastAsia" w:ascii="仿宋_GB2312" w:hAnsi="仿宋" w:eastAsia="仿宋_GB2312" w:cs="Arial"/>
                <w:kern w:val="0"/>
                <w:sz w:val="24"/>
              </w:rPr>
              <w:t>【说明：</w:t>
            </w:r>
            <w:r>
              <w:rPr>
                <w:rFonts w:hint="eastAsia" w:ascii="仿宋_GB2312" w:hAnsi="仿宋" w:eastAsia="仿宋_GB2312" w:cs="Arial"/>
                <w:kern w:val="0"/>
                <w:sz w:val="24"/>
                <w:lang w:val="en-US" w:eastAsia="zh-CN"/>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_GB2312" w:hAnsi="仿宋" w:eastAsia="仿宋_GB2312" w:cs="Arial"/>
                <w:kern w:val="0"/>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38"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7351" w:type="dxa"/>
            <w:vAlign w:val="center"/>
          </w:tcPr>
          <w:p>
            <w:pPr>
              <w:snapToGrid w:val="0"/>
              <w:spacing w:line="400" w:lineRule="exact"/>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400" w:lineRule="exact"/>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b/>
                  <w:bCs/>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b/>
                      <w:bCs/>
                      <w:kern w:val="0"/>
                      <w:sz w:val="24"/>
                    </w:rPr>
                  </w:sdtEndPr>
                  <w:sdtContent>
                    <w:r>
                      <w:rPr>
                        <w:rFonts w:hint="eastAsia" w:ascii="Wingdings" w:hAnsi="Wingdings" w:eastAsia="MS Gothic" w:cs="Arial"/>
                        <w:b/>
                        <w:bCs/>
                        <w:kern w:val="0"/>
                        <w:sz w:val="24"/>
                        <w:szCs w:val="24"/>
                        <w:lang w:val="en-US" w:eastAsia="zh-CN" w:bidi="ar-SA"/>
                      </w:rPr>
                      <w:t>þ</w:t>
                    </w:r>
                  </w:sdtContent>
                </w:sdt>
                <w:sdt>
                  <w:sdtPr>
                    <w:rPr>
                      <w:rFonts w:hint="eastAsia" w:ascii="仿宋_GB2312" w:hAnsi="仿宋" w:eastAsia="仿宋_GB2312" w:cs="Arial"/>
                      <w:b/>
                      <w:bCs/>
                      <w:kern w:val="0"/>
                      <w:sz w:val="24"/>
                    </w:rPr>
                    <w:id w:val="-924730588"/>
                    <w:showingPlcHdr/>
                  </w:sdtPr>
                  <w:sdtEndPr>
                    <w:rPr>
                      <w:rFonts w:hint="eastAsia" w:ascii="仿宋_GB2312" w:hAnsi="仿宋" w:eastAsia="仿宋_GB2312" w:cs="Arial"/>
                      <w:b/>
                      <w:bCs/>
                      <w:kern w:val="0"/>
                      <w:sz w:val="24"/>
                    </w:rPr>
                  </w:sdtEndPr>
                  <w:sdtContent/>
                </w:sdt>
              </w:sdtContent>
            </w:sdt>
            <w:r>
              <w:rPr>
                <w:rFonts w:ascii="仿宋_GB2312" w:hAnsi="仿宋" w:eastAsia="仿宋_GB2312" w:cs="Arial"/>
                <w:b/>
                <w:bCs/>
                <w:color w:val="auto"/>
                <w:kern w:val="0"/>
                <w:sz w:val="24"/>
                <w:highlight w:val="none"/>
              </w:rPr>
              <w:t>A</w:t>
            </w:r>
            <w:r>
              <w:rPr>
                <w:rFonts w:hint="eastAsia" w:ascii="仿宋_GB2312" w:hAnsi="仿宋" w:eastAsia="仿宋_GB2312" w:cs="Arial"/>
                <w:b/>
                <w:bCs/>
                <w:color w:val="auto"/>
                <w:kern w:val="0"/>
                <w:sz w:val="24"/>
                <w:highlight w:val="none"/>
              </w:rPr>
              <w:t>无</w:t>
            </w:r>
          </w:p>
          <w:p>
            <w:pPr>
              <w:snapToGrid w:val="0"/>
              <w:spacing w:line="400" w:lineRule="exact"/>
              <w:rPr>
                <w:rFonts w:ascii="仿宋_GB2312" w:hAnsi="仿宋" w:eastAsia="仿宋_GB2312"/>
                <w:color w:val="auto"/>
                <w:kern w:val="0"/>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B</w:t>
            </w:r>
            <w:r>
              <w:rPr>
                <w:rFonts w:hint="eastAsia" w:ascii="仿宋_GB2312" w:hAnsi="仿宋" w:eastAsia="仿宋_GB2312" w:cs="Arial"/>
                <w:color w:val="auto"/>
                <w:kern w:val="0"/>
                <w:sz w:val="24"/>
                <w:highlight w:val="none"/>
                <w:lang w:val="en-US"/>
              </w:rPr>
              <w:t xml:space="preserve"> 政府强制采购节能产品</w:t>
            </w:r>
            <w:r>
              <w:rPr>
                <w:rFonts w:hint="eastAsia" w:ascii="仿宋_GB2312" w:hAnsi="仿宋" w:eastAsia="仿宋_GB2312" w:cs="Arial"/>
                <w:color w:val="auto"/>
                <w:kern w:val="0"/>
                <w:sz w:val="24"/>
                <w:highlight w:val="none"/>
              </w:rPr>
              <w:t>：</w:t>
            </w:r>
          </w:p>
          <w:p>
            <w:pPr>
              <w:pStyle w:val="23"/>
              <w:ind w:firstLine="480" w:firstLineChars="200"/>
              <w:jc w:val="both"/>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3"/>
              <w:ind w:firstLine="480" w:firstLineChars="200"/>
              <w:jc w:val="both"/>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3"/>
              <w:jc w:val="both"/>
              <w:rPr>
                <w:rFonts w:ascii="仿宋_GB2312" w:hAnsi="仿宋" w:eastAsia="仿宋_GB2312"/>
                <w:color w:val="auto"/>
                <w:kern w:val="0"/>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pPr>
              <w:pStyle w:val="23"/>
              <w:ind w:firstLine="480" w:firstLineChars="200"/>
              <w:jc w:val="both"/>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3"/>
              <w:ind w:firstLine="480" w:firstLineChars="200"/>
              <w:jc w:val="both"/>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3"/>
              <w:jc w:val="both"/>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pPr>
              <w:pStyle w:val="23"/>
              <w:ind w:firstLine="480" w:firstLineChars="200"/>
              <w:jc w:val="both"/>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3"/>
              <w:ind w:firstLine="480" w:firstLineChars="200"/>
              <w:jc w:val="both"/>
              <w:rPr>
                <w:rFonts w:hint="eastAsia" w:eastAsia="仿宋_GB2312"/>
                <w:lang w:eastAsia="zh-CN"/>
              </w:rPr>
            </w:pPr>
            <w:r>
              <w:rPr>
                <w:rFonts w:hint="eastAsia" w:ascii="仿宋_GB2312" w:hAnsi="仿宋" w:eastAsia="仿宋_GB2312"/>
                <w:color w:val="auto"/>
                <w:highlight w:val="none"/>
                <w:lang w:val="en-US"/>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813" w:hRule="atLeast"/>
          <w:tblHeader/>
          <w:jc w:val="center"/>
        </w:trPr>
        <w:tc>
          <w:tcPr>
            <w:tcW w:w="657"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571"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351" w:type="dxa"/>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为支持和促进中小企业发展，进一步发挥政府采购政策功能，杭州市钱塘区财政局发布了《关于钱塘新区政府采购支持中小企业信用融资有关事项的通知》，</w:t>
            </w:r>
            <w:r>
              <w:rPr>
                <w:rFonts w:hint="eastAsia" w:ascii="仿宋_GB2312" w:hAnsi="仿宋" w:eastAsia="仿宋_GB2312"/>
                <w:snapToGrid w:val="0"/>
                <w:kern w:val="28"/>
                <w:sz w:val="24"/>
                <w:lang w:eastAsia="zh-CN"/>
              </w:rPr>
              <w:t>投标人</w:t>
            </w:r>
            <w:r>
              <w:rPr>
                <w:rFonts w:hint="eastAsia" w:ascii="仿宋_GB2312" w:hAnsi="仿宋" w:eastAsia="仿宋_GB2312"/>
                <w:snapToGrid w:val="0"/>
                <w:kern w:val="28"/>
                <w:sz w:val="24"/>
              </w:rPr>
              <w:t>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52" w:hRule="atLeast"/>
          <w:tblHeader/>
          <w:jc w:val="center"/>
        </w:trPr>
        <w:tc>
          <w:tcPr>
            <w:tcW w:w="657" w:type="dxa"/>
            <w:vMerge w:val="continue"/>
          </w:tcPr>
          <w:p>
            <w:pPr>
              <w:spacing w:line="360" w:lineRule="auto"/>
              <w:ind w:firstLine="420" w:firstLineChars="200"/>
            </w:pPr>
          </w:p>
        </w:tc>
        <w:tc>
          <w:tcPr>
            <w:tcW w:w="1571" w:type="dxa"/>
            <w:vMerge w:val="continue"/>
            <w:vAlign w:val="center"/>
          </w:tcPr>
          <w:p>
            <w:pPr>
              <w:spacing w:line="360" w:lineRule="auto"/>
              <w:ind w:firstLine="420" w:firstLineChars="200"/>
            </w:pPr>
          </w:p>
        </w:tc>
        <w:tc>
          <w:tcPr>
            <w:tcW w:w="7351" w:type="dxa"/>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lang w:eastAsia="zh-CN"/>
              </w:rPr>
              <w:t>投标人</w:t>
            </w:r>
            <w:r>
              <w:rPr>
                <w:rFonts w:hint="eastAsia" w:ascii="仿宋_GB2312" w:hAnsi="仿宋" w:eastAsia="仿宋_GB2312"/>
                <w:snapToGrid w:val="0"/>
                <w:kern w:val="28"/>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759"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eastAsia="zh-CN"/>
              </w:rPr>
              <w:t>备份响应文件</w:t>
            </w:r>
            <w:r>
              <w:rPr>
                <w:rFonts w:hint="eastAsia" w:ascii="仿宋_GB2312" w:hAnsi="仿宋" w:eastAsia="仿宋_GB2312" w:cs="仿宋_GB2312"/>
                <w:b/>
                <w:sz w:val="24"/>
              </w:rPr>
              <w:t>送达地点和签收人员</w:t>
            </w:r>
            <w:r>
              <w:rPr>
                <w:rFonts w:ascii="仿宋_GB2312" w:hAnsi="仿宋" w:eastAsia="仿宋_GB2312" w:cs="仿宋_GB2312"/>
                <w:b/>
                <w:sz w:val="24"/>
              </w:rPr>
              <w:t xml:space="preserve"> </w:t>
            </w:r>
          </w:p>
        </w:tc>
        <w:tc>
          <w:tcPr>
            <w:tcW w:w="7351" w:type="dxa"/>
            <w:vAlign w:val="center"/>
          </w:tcPr>
          <w:p>
            <w:pPr>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w:t>
            </w:r>
            <w:r>
              <w:rPr>
                <w:rFonts w:hint="eastAsia" w:ascii="仿宋_GB2312" w:hAnsi="仿宋" w:eastAsia="仿宋_GB2312" w:cs="Times New Roman"/>
                <w:kern w:val="28"/>
                <w:sz w:val="24"/>
                <w:szCs w:val="24"/>
                <w:lang w:val="en-US" w:eastAsia="zh-CN"/>
              </w:rPr>
              <w:t>响应</w:t>
            </w:r>
            <w:r>
              <w:rPr>
                <w:rFonts w:hint="eastAsia" w:ascii="仿宋_GB2312" w:hAnsi="仿宋" w:eastAsia="仿宋_GB2312" w:cs="Times New Roman"/>
                <w:kern w:val="28"/>
                <w:sz w:val="24"/>
                <w:szCs w:val="24"/>
              </w:rPr>
              <w:t>文件送达地点：</w:t>
            </w:r>
            <w:r>
              <w:rPr>
                <w:rFonts w:hint="eastAsia" w:ascii="仿宋_GB2312" w:hAnsi="仿宋" w:eastAsia="仿宋_GB2312" w:cs="Times New Roman"/>
                <w:b/>
                <w:bCs/>
                <w:kern w:val="28"/>
                <w:sz w:val="24"/>
                <w:szCs w:val="24"/>
                <w:u w:val="single"/>
              </w:rPr>
              <w:t>邮寄送达的：</w:t>
            </w:r>
            <w:r>
              <w:rPr>
                <w:rFonts w:hint="eastAsia" w:ascii="仿宋_GB2312" w:hAnsi="仿宋" w:eastAsia="仿宋_GB2312" w:cs="Times New Roman"/>
                <w:kern w:val="28"/>
                <w:sz w:val="24"/>
                <w:szCs w:val="24"/>
                <w:u w:val="single"/>
              </w:rPr>
              <w:t>邮寄的备份投标文件请在投标截止时间前一个工作日送达</w:t>
            </w:r>
            <w:r>
              <w:rPr>
                <w:rFonts w:hint="eastAsia" w:ascii="仿宋_GB2312" w:hAnsi="仿宋" w:eastAsia="仿宋_GB2312" w:cs="Times New Roman"/>
                <w:kern w:val="28"/>
                <w:sz w:val="24"/>
                <w:szCs w:val="24"/>
                <w:u w:val="single"/>
                <w:lang w:eastAsia="zh-CN"/>
              </w:rPr>
              <w:t>；（</w:t>
            </w:r>
            <w:r>
              <w:rPr>
                <w:rFonts w:hint="eastAsia" w:ascii="仿宋_GB2312" w:hAnsi="仿宋" w:eastAsia="仿宋_GB2312" w:cs="Times New Roman"/>
                <w:kern w:val="28"/>
                <w:sz w:val="24"/>
                <w:szCs w:val="24"/>
                <w:u w:val="single"/>
              </w:rPr>
              <w:t>邮寄地址: 杭州市文晖路42号现代置业大厦西楼</w:t>
            </w:r>
            <w:r>
              <w:rPr>
                <w:rFonts w:hint="eastAsia" w:ascii="仿宋_GB2312" w:hAnsi="仿宋" w:eastAsia="仿宋_GB2312" w:cs="Times New Roman"/>
                <w:kern w:val="28"/>
                <w:sz w:val="24"/>
                <w:szCs w:val="24"/>
                <w:u w:val="single"/>
                <w:lang w:val="en-US" w:eastAsia="zh-CN"/>
              </w:rPr>
              <w:t>18楼1806</w:t>
            </w:r>
            <w:r>
              <w:rPr>
                <w:rFonts w:hint="eastAsia" w:ascii="仿宋_GB2312" w:hAnsi="仿宋" w:eastAsia="仿宋_GB2312" w:cs="Times New Roman"/>
                <w:kern w:val="28"/>
                <w:sz w:val="24"/>
                <w:szCs w:val="24"/>
                <w:u w:val="single"/>
              </w:rPr>
              <w:t>室</w:t>
            </w:r>
            <w:r>
              <w:rPr>
                <w:rFonts w:hint="eastAsia" w:ascii="仿宋_GB2312" w:hAnsi="仿宋" w:eastAsia="仿宋_GB2312" w:cs="Times New Roman"/>
                <w:kern w:val="28"/>
                <w:sz w:val="24"/>
                <w:szCs w:val="24"/>
                <w:u w:val="single"/>
                <w:lang w:val="en-US" w:eastAsia="zh-CN"/>
              </w:rPr>
              <w:t>洪小雨</w:t>
            </w:r>
            <w:r>
              <w:rPr>
                <w:rFonts w:hint="eastAsia" w:ascii="仿宋_GB2312" w:hAnsi="仿宋" w:eastAsia="仿宋_GB2312" w:cs="Times New Roman"/>
                <w:kern w:val="28"/>
                <w:sz w:val="24"/>
                <w:szCs w:val="24"/>
                <w:u w:val="single"/>
              </w:rPr>
              <w:t>收）</w:t>
            </w:r>
            <w:r>
              <w:rPr>
                <w:rFonts w:hint="eastAsia" w:ascii="仿宋_GB2312" w:hAnsi="仿宋" w:eastAsia="仿宋_GB2312" w:cs="Times New Roman"/>
                <w:kern w:val="28"/>
                <w:sz w:val="24"/>
                <w:szCs w:val="24"/>
                <w:u w:val="single"/>
                <w:lang w:eastAsia="zh-CN"/>
              </w:rPr>
              <w:t>；</w:t>
            </w:r>
            <w:r>
              <w:rPr>
                <w:rFonts w:hint="eastAsia" w:ascii="仿宋_GB2312" w:hAnsi="仿宋" w:eastAsia="仿宋_GB2312" w:cs="Times New Roman"/>
                <w:b/>
                <w:bCs/>
                <w:kern w:val="28"/>
                <w:sz w:val="24"/>
                <w:szCs w:val="24"/>
                <w:u w:val="single"/>
              </w:rPr>
              <w:t>直接送达的：</w:t>
            </w:r>
            <w:r>
              <w:rPr>
                <w:rFonts w:hint="eastAsia" w:ascii="仿宋_GB2312" w:hAnsi="仿宋" w:eastAsia="仿宋_GB2312" w:cs="Times New Roman"/>
                <w:kern w:val="28"/>
                <w:sz w:val="24"/>
                <w:szCs w:val="24"/>
                <w:u w:val="single"/>
              </w:rPr>
              <w:t>在开标当天的投标截止时间前送至</w:t>
            </w:r>
            <w:r>
              <w:rPr>
                <w:rFonts w:hint="eastAsia" w:ascii="仿宋_GB2312" w:hAnsi="仿宋" w:eastAsia="仿宋_GB2312"/>
                <w:sz w:val="24"/>
                <w:u w:val="single"/>
              </w:rPr>
              <w:t>杭州钱塘区和茂大厦</w:t>
            </w:r>
            <w:r>
              <w:rPr>
                <w:rFonts w:hint="eastAsia" w:ascii="仿宋_GB2312" w:hAnsi="仿宋" w:eastAsia="仿宋_GB2312"/>
                <w:sz w:val="24"/>
                <w:highlight w:val="none"/>
                <w:u w:val="single"/>
              </w:rPr>
              <w:t>四楼</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号开标室（幸福南路1116号）</w:t>
            </w:r>
            <w:r>
              <w:rPr>
                <w:rFonts w:hint="eastAsia" w:ascii="仿宋_GB2312" w:hAnsi="仿宋" w:eastAsia="仿宋_GB2312" w:cs="Times New Roman"/>
                <w:kern w:val="28"/>
                <w:sz w:val="24"/>
                <w:szCs w:val="24"/>
                <w:highlight w:val="none"/>
              </w:rPr>
              <w:t>；</w:t>
            </w:r>
            <w:r>
              <w:rPr>
                <w:rFonts w:hint="eastAsia" w:ascii="仿宋_GB2312" w:hAnsi="仿宋" w:eastAsia="仿宋_GB2312" w:cs="Times New Roman"/>
                <w:kern w:val="28"/>
                <w:sz w:val="24"/>
                <w:szCs w:val="24"/>
              </w:rPr>
              <w:t>备份</w:t>
            </w:r>
            <w:r>
              <w:rPr>
                <w:rFonts w:hint="eastAsia" w:ascii="仿宋_GB2312" w:hAnsi="仿宋" w:eastAsia="仿宋_GB2312" w:cs="Times New Roman"/>
                <w:kern w:val="28"/>
                <w:sz w:val="24"/>
                <w:szCs w:val="24"/>
                <w:lang w:val="en-US" w:eastAsia="zh-CN"/>
              </w:rPr>
              <w:t>响应</w:t>
            </w:r>
            <w:r>
              <w:rPr>
                <w:rFonts w:hint="eastAsia" w:ascii="仿宋_GB2312" w:hAnsi="仿宋" w:eastAsia="仿宋_GB2312" w:cs="Times New Roman"/>
                <w:kern w:val="28"/>
                <w:sz w:val="24"/>
                <w:szCs w:val="24"/>
              </w:rPr>
              <w:t>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洪小雨 18768473226</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w:t>
            </w:r>
            <w:r>
              <w:rPr>
                <w:rFonts w:hint="eastAsia" w:ascii="仿宋_GB2312" w:hAnsi="仿宋" w:eastAsia="仿宋_GB2312" w:cs="仿宋_GB2312"/>
                <w:b/>
                <w:sz w:val="24"/>
                <w:szCs w:val="24"/>
                <w:lang w:eastAsia="zh-CN"/>
              </w:rPr>
              <w:t>投标人</w:t>
            </w:r>
            <w:r>
              <w:rPr>
                <w:rFonts w:hint="eastAsia" w:ascii="仿宋_GB2312" w:hAnsi="仿宋" w:eastAsia="仿宋_GB2312" w:cs="仿宋_GB2312"/>
                <w:b/>
                <w:sz w:val="24"/>
                <w:szCs w:val="24"/>
              </w:rPr>
              <w:t>提交备份</w:t>
            </w:r>
            <w:r>
              <w:rPr>
                <w:rFonts w:hint="eastAsia" w:ascii="仿宋_GB2312" w:hAnsi="仿宋" w:eastAsia="仿宋_GB2312" w:cs="仿宋_GB2312"/>
                <w:b/>
                <w:sz w:val="24"/>
                <w:szCs w:val="24"/>
                <w:lang w:val="en-US" w:eastAsia="zh-CN"/>
              </w:rPr>
              <w:t>响应</w:t>
            </w:r>
            <w:r>
              <w:rPr>
                <w:rFonts w:hint="eastAsia" w:ascii="仿宋_GB2312" w:hAnsi="仿宋" w:eastAsia="仿宋_GB2312" w:cs="仿宋_GB2312"/>
                <w:b/>
                <w:sz w:val="24"/>
                <w:szCs w:val="24"/>
              </w:rPr>
              <w:t>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975" w:hRule="atLeast"/>
          <w:tblHeader/>
          <w:jc w:val="center"/>
        </w:trPr>
        <w:tc>
          <w:tcPr>
            <w:tcW w:w="657"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13</w:t>
            </w:r>
          </w:p>
        </w:tc>
        <w:tc>
          <w:tcPr>
            <w:tcW w:w="157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val="en-US" w:eastAsia="zh-CN"/>
              </w:rPr>
              <w:t>采购代理服务费</w:t>
            </w:r>
          </w:p>
        </w:tc>
        <w:tc>
          <w:tcPr>
            <w:tcW w:w="7351" w:type="dxa"/>
            <w:vAlign w:val="center"/>
          </w:tcPr>
          <w:p>
            <w:pPr>
              <w:spacing w:line="360" w:lineRule="auto"/>
              <w:rPr>
                <w:rFonts w:hint="default" w:ascii="仿宋_GB2312" w:hAnsi="仿宋" w:eastAsia="仿宋_GB2312" w:cs="宋体"/>
                <w:b/>
                <w:bCs w:val="0"/>
                <w:kern w:val="0"/>
                <w:sz w:val="24"/>
                <w:highlight w:val="none"/>
              </w:rPr>
            </w:pPr>
            <w:r>
              <w:rPr>
                <w:rFonts w:hint="default" w:ascii="仿宋_GB2312" w:hAnsi="仿宋" w:eastAsia="仿宋_GB2312" w:cs="宋体"/>
                <w:b/>
                <w:bCs w:val="0"/>
                <w:kern w:val="0"/>
                <w:sz w:val="24"/>
                <w:highlight w:val="none"/>
              </w:rPr>
              <w:t>以</w:t>
            </w:r>
            <w:r>
              <w:rPr>
                <w:rFonts w:hint="eastAsia" w:ascii="仿宋_GB2312" w:hAnsi="仿宋" w:eastAsia="仿宋_GB2312" w:cs="宋体"/>
                <w:b/>
                <w:bCs w:val="0"/>
                <w:kern w:val="0"/>
                <w:sz w:val="24"/>
                <w:highlight w:val="none"/>
                <w:lang w:val="en-US" w:eastAsia="zh-CN"/>
              </w:rPr>
              <w:t>中标</w:t>
            </w:r>
            <w:r>
              <w:rPr>
                <w:rFonts w:hint="default" w:ascii="仿宋_GB2312" w:hAnsi="仿宋" w:eastAsia="仿宋_GB2312" w:cs="宋体"/>
                <w:b/>
                <w:bCs w:val="0"/>
                <w:kern w:val="0"/>
                <w:sz w:val="24"/>
                <w:highlight w:val="none"/>
              </w:rPr>
              <w:t>金额为计算基数</w:t>
            </w:r>
            <w:r>
              <w:rPr>
                <w:rFonts w:hint="default" w:ascii="仿宋_GB2312" w:hAnsi="仿宋" w:eastAsia="仿宋_GB2312" w:cs="宋体"/>
                <w:b/>
                <w:bCs w:val="0"/>
                <w:kern w:val="0"/>
                <w:sz w:val="24"/>
                <w:highlight w:val="none"/>
                <w:lang w:val="en-US" w:eastAsia="zh-CN"/>
              </w:rPr>
              <w:t>,</w:t>
            </w:r>
            <w:r>
              <w:rPr>
                <w:rFonts w:hint="default" w:ascii="仿宋_GB2312" w:hAnsi="仿宋" w:eastAsia="仿宋_GB2312" w:cs="宋体"/>
                <w:b/>
                <w:bCs w:val="0"/>
                <w:kern w:val="0"/>
                <w:sz w:val="24"/>
                <w:highlight w:val="none"/>
              </w:rPr>
              <w:t>计费标准按《计价格［2002］1980号》文件中采购代理服务费收费标准规定的服务类收费标准计取。</w:t>
            </w:r>
          </w:p>
          <w:p>
            <w:pPr>
              <w:spacing w:line="360" w:lineRule="auto"/>
              <w:rPr>
                <w:rFonts w:hint="default" w:ascii="仿宋_GB2312" w:hAnsi="仿宋" w:eastAsia="仿宋_GB2312" w:cs="宋体"/>
                <w:b/>
                <w:bCs w:val="0"/>
                <w:kern w:val="0"/>
                <w:sz w:val="24"/>
              </w:rPr>
            </w:pPr>
            <w:r>
              <w:rPr>
                <w:rFonts w:hint="default" w:ascii="仿宋_GB2312" w:hAnsi="仿宋" w:eastAsia="仿宋_GB2312" w:cs="宋体"/>
                <w:b/>
                <w:bCs w:val="0"/>
                <w:kern w:val="0"/>
                <w:sz w:val="24"/>
              </w:rPr>
              <w:t>上述费用由</w:t>
            </w:r>
            <w:r>
              <w:rPr>
                <w:rFonts w:hint="eastAsia" w:ascii="仿宋_GB2312" w:hAnsi="仿宋" w:eastAsia="仿宋_GB2312" w:cs="宋体"/>
                <w:b/>
                <w:bCs w:val="0"/>
                <w:kern w:val="0"/>
                <w:sz w:val="24"/>
                <w:u w:val="single"/>
                <w:lang w:val="en-US" w:eastAsia="zh-CN"/>
              </w:rPr>
              <w:t>中标</w:t>
            </w:r>
            <w:r>
              <w:rPr>
                <w:rFonts w:hint="default" w:ascii="仿宋_GB2312" w:hAnsi="仿宋" w:eastAsia="仿宋_GB2312" w:cs="宋体"/>
                <w:b/>
                <w:bCs w:val="0"/>
                <w:kern w:val="0"/>
                <w:sz w:val="24"/>
                <w:u w:val="single"/>
                <w:lang w:val="en-US" w:eastAsia="zh-CN"/>
              </w:rPr>
              <w:t>人</w:t>
            </w:r>
            <w:r>
              <w:rPr>
                <w:rFonts w:hint="default" w:ascii="仿宋_GB2312" w:hAnsi="仿宋" w:eastAsia="仿宋_GB2312" w:cs="宋体"/>
                <w:b/>
                <w:bCs w:val="0"/>
                <w:kern w:val="0"/>
                <w:sz w:val="24"/>
              </w:rPr>
              <w:t>在领取</w:t>
            </w:r>
            <w:r>
              <w:rPr>
                <w:rFonts w:hint="eastAsia" w:ascii="仿宋_GB2312" w:hAnsi="仿宋" w:eastAsia="仿宋_GB2312" w:cs="宋体"/>
                <w:b/>
                <w:bCs w:val="0"/>
                <w:kern w:val="0"/>
                <w:sz w:val="24"/>
                <w:lang w:val="en-US" w:eastAsia="zh-CN"/>
              </w:rPr>
              <w:t>成交</w:t>
            </w:r>
            <w:r>
              <w:rPr>
                <w:rFonts w:hint="default" w:ascii="仿宋_GB2312" w:hAnsi="仿宋" w:eastAsia="仿宋_GB2312" w:cs="宋体"/>
                <w:b/>
                <w:bCs w:val="0"/>
                <w:kern w:val="0"/>
                <w:sz w:val="24"/>
              </w:rPr>
              <w:t>通知书时支付给</w:t>
            </w:r>
            <w:r>
              <w:rPr>
                <w:rFonts w:hint="default" w:ascii="仿宋_GB2312" w:hAnsi="仿宋" w:eastAsia="仿宋_GB2312" w:cs="宋体"/>
                <w:b/>
                <w:bCs w:val="0"/>
                <w:kern w:val="0"/>
                <w:sz w:val="24"/>
                <w:lang w:val="en-US" w:eastAsia="zh-CN"/>
              </w:rPr>
              <w:t>采购</w:t>
            </w:r>
            <w:r>
              <w:rPr>
                <w:rFonts w:hint="default" w:ascii="仿宋_GB2312" w:hAnsi="仿宋" w:eastAsia="仿宋_GB2312" w:cs="宋体"/>
                <w:b/>
                <w:bCs w:val="0"/>
                <w:kern w:val="0"/>
                <w:sz w:val="24"/>
              </w:rPr>
              <w:t>代理机构</w:t>
            </w:r>
          </w:p>
          <w:p>
            <w:pPr>
              <w:spacing w:line="360" w:lineRule="auto"/>
              <w:rPr>
                <w:rFonts w:hint="default" w:ascii="仿宋_GB2312" w:hAnsi="仿宋" w:eastAsia="仿宋_GB2312" w:cs="宋体"/>
                <w:b w:val="0"/>
                <w:bCs/>
                <w:kern w:val="0"/>
                <w:sz w:val="24"/>
              </w:rPr>
            </w:pPr>
            <w:r>
              <w:rPr>
                <w:rFonts w:hint="default" w:ascii="仿宋_GB2312" w:hAnsi="仿宋" w:eastAsia="仿宋_GB2312" w:cs="宋体"/>
                <w:b w:val="0"/>
                <w:bCs/>
                <w:kern w:val="0"/>
                <w:sz w:val="24"/>
              </w:rPr>
              <w:t>汇入以下账户：</w:t>
            </w:r>
          </w:p>
          <w:p>
            <w:pPr>
              <w:spacing w:line="360" w:lineRule="auto"/>
              <w:rPr>
                <w:rFonts w:hint="default" w:ascii="仿宋_GB2312" w:hAnsi="仿宋" w:eastAsia="仿宋_GB2312" w:cs="宋体"/>
                <w:b w:val="0"/>
                <w:bCs/>
                <w:kern w:val="0"/>
                <w:sz w:val="24"/>
              </w:rPr>
            </w:pPr>
            <w:r>
              <w:rPr>
                <w:rFonts w:hint="default" w:ascii="仿宋_GB2312" w:hAnsi="仿宋" w:eastAsia="仿宋_GB2312" w:cs="宋体"/>
                <w:b w:val="0"/>
                <w:bCs/>
                <w:kern w:val="0"/>
                <w:sz w:val="24"/>
              </w:rPr>
              <w:t>户 名：浙江省成套招标代理有限公司</w:t>
            </w:r>
          </w:p>
          <w:p>
            <w:pPr>
              <w:spacing w:line="360" w:lineRule="auto"/>
              <w:rPr>
                <w:rFonts w:hint="default" w:ascii="仿宋_GB2312" w:hAnsi="仿宋" w:eastAsia="仿宋_GB2312" w:cs="宋体"/>
                <w:b w:val="0"/>
                <w:bCs/>
                <w:kern w:val="0"/>
                <w:sz w:val="24"/>
              </w:rPr>
            </w:pPr>
            <w:r>
              <w:rPr>
                <w:rFonts w:hint="default" w:ascii="仿宋_GB2312" w:hAnsi="仿宋" w:eastAsia="仿宋_GB2312" w:cs="宋体"/>
                <w:b w:val="0"/>
                <w:bCs/>
                <w:kern w:val="0"/>
                <w:sz w:val="24"/>
              </w:rPr>
              <w:t xml:space="preserve">开 户：中信银行杭州西湖支行 </w:t>
            </w:r>
          </w:p>
          <w:p>
            <w:pPr>
              <w:spacing w:line="360" w:lineRule="auto"/>
              <w:rPr>
                <w:rFonts w:ascii="仿宋_GB2312" w:hAnsi="仿宋" w:eastAsia="仿宋_GB2312"/>
                <w:snapToGrid w:val="0"/>
                <w:kern w:val="28"/>
                <w:sz w:val="24"/>
              </w:rPr>
            </w:pPr>
            <w:r>
              <w:rPr>
                <w:rFonts w:hint="default" w:ascii="仿宋_GB2312" w:hAnsi="仿宋" w:eastAsia="仿宋_GB2312" w:cs="宋体"/>
                <w:b w:val="0"/>
                <w:bCs/>
                <w:kern w:val="0"/>
                <w:sz w:val="24"/>
              </w:rPr>
              <w:t>账 号：7331610182600126385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51" w:hRule="atLeast"/>
          <w:tblHeader/>
          <w:jc w:val="center"/>
        </w:trPr>
        <w:tc>
          <w:tcPr>
            <w:tcW w:w="657" w:type="dxa"/>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571" w:type="dxa"/>
            <w:vAlign w:val="center"/>
          </w:tcPr>
          <w:p>
            <w:pPr>
              <w:snapToGrid w:val="0"/>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cs="仿宋_GB2312"/>
                <w:b/>
                <w:sz w:val="24"/>
              </w:rPr>
              <w:t>特别说明</w:t>
            </w:r>
          </w:p>
        </w:tc>
        <w:tc>
          <w:tcPr>
            <w:tcW w:w="7351" w:type="dxa"/>
            <w:vAlign w:val="center"/>
          </w:tcPr>
          <w:p>
            <w:pPr>
              <w:spacing w:line="360" w:lineRule="auto"/>
              <w:rPr>
                <w:rFonts w:hint="eastAsia" w:ascii="仿宋_GB2312" w:hAnsi="仿宋" w:eastAsia="仿宋_GB2312" w:cs="仿宋_GB2312"/>
                <w:b/>
                <w:sz w:val="24"/>
                <w:lang w:val="en-US" w:eastAsia="zh-CN"/>
              </w:rPr>
            </w:pPr>
            <w:r>
              <w:rPr>
                <w:rFonts w:hint="eastAsia" w:ascii="仿宋_GB2312" w:hAnsi="仿宋" w:eastAsia="仿宋_GB2312"/>
                <w:snapToGrid w:val="0"/>
                <w:kern w:val="28"/>
                <w:sz w:val="24"/>
              </w:rPr>
              <w:t>中标人在收到中标通知后</w:t>
            </w:r>
            <w:r>
              <w:rPr>
                <w:rFonts w:hint="eastAsia" w:ascii="仿宋_GB2312" w:hAnsi="仿宋" w:eastAsia="仿宋_GB2312"/>
                <w:snapToGrid w:val="0"/>
                <w:kern w:val="28"/>
                <w:sz w:val="24"/>
                <w:lang w:val="en-US" w:eastAsia="zh-CN"/>
              </w:rPr>
              <w:t>3</w:t>
            </w:r>
            <w:r>
              <w:rPr>
                <w:rFonts w:hint="eastAsia" w:ascii="仿宋_GB2312" w:hAnsi="仿宋" w:eastAsia="仿宋_GB2312"/>
                <w:snapToGrid w:val="0"/>
                <w:kern w:val="28"/>
                <w:sz w:val="24"/>
              </w:rPr>
              <w:t>个工作日内提交纸质版响应文件（内容同电子响应文件）一正</w:t>
            </w:r>
            <w:r>
              <w:rPr>
                <w:rFonts w:hint="eastAsia" w:ascii="仿宋_GB2312" w:hAnsi="仿宋" w:eastAsia="仿宋_GB2312"/>
                <w:snapToGrid w:val="0"/>
                <w:kern w:val="28"/>
                <w:sz w:val="24"/>
                <w:lang w:val="en-US" w:eastAsia="zh-CN"/>
              </w:rPr>
              <w:t>一</w:t>
            </w:r>
            <w:r>
              <w:rPr>
                <w:rFonts w:hint="eastAsia" w:ascii="仿宋_GB2312" w:hAnsi="仿宋" w:eastAsia="仿宋_GB2312"/>
                <w:snapToGrid w:val="0"/>
                <w:kern w:val="28"/>
                <w:sz w:val="24"/>
              </w:rPr>
              <w:t>副，用于项目资料存档。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1" w:hRule="atLeast"/>
          <w:tblHeader/>
          <w:jc w:val="center"/>
        </w:trPr>
        <w:tc>
          <w:tcPr>
            <w:tcW w:w="657" w:type="dxa"/>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571" w:type="dxa"/>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lang w:val="en-US" w:eastAsia="zh-CN"/>
              </w:rPr>
              <w:t>招标文件</w:t>
            </w:r>
            <w:r>
              <w:rPr>
                <w:rFonts w:hint="eastAsia" w:ascii="仿宋_GB2312" w:hAnsi="仿宋" w:eastAsia="仿宋_GB2312" w:cs="仿宋_GB2312"/>
                <w:b/>
                <w:sz w:val="24"/>
              </w:rPr>
              <w:t>解释权</w:t>
            </w:r>
          </w:p>
        </w:tc>
        <w:tc>
          <w:tcPr>
            <w:tcW w:w="7351" w:type="dxa"/>
            <w:vAlign w:val="center"/>
          </w:tcPr>
          <w:p>
            <w:pPr>
              <w:spacing w:line="360" w:lineRule="auto"/>
              <w:rPr>
                <w:rFonts w:hint="eastAsia" w:ascii="仿宋_GB2312" w:hAnsi="仿宋" w:eastAsia="仿宋_GB2312"/>
                <w:snapToGrid w:val="0"/>
                <w:kern w:val="28"/>
                <w:sz w:val="24"/>
              </w:rPr>
            </w:pPr>
            <w:r>
              <w:rPr>
                <w:rFonts w:hint="eastAsia" w:ascii="仿宋" w:hAnsi="仿宋" w:eastAsia="仿宋" w:cs="Arial"/>
                <w:bCs/>
                <w:color w:val="000000"/>
                <w:sz w:val="24"/>
              </w:rPr>
              <w:t>本文件</w:t>
            </w:r>
            <w:r>
              <w:rPr>
                <w:rFonts w:ascii="仿宋" w:hAnsi="仿宋" w:eastAsia="仿宋" w:cs="Arial"/>
                <w:bCs/>
                <w:color w:val="000000"/>
                <w:sz w:val="24"/>
              </w:rPr>
              <w:t>的解释权</w:t>
            </w:r>
            <w:r>
              <w:rPr>
                <w:rFonts w:hint="eastAsia" w:ascii="仿宋" w:hAnsi="仿宋" w:eastAsia="仿宋" w:cs="Arial"/>
                <w:bCs/>
                <w:color w:val="000000"/>
                <w:sz w:val="24"/>
                <w:lang w:val="en-US" w:eastAsia="zh-CN"/>
              </w:rPr>
              <w:t>归</w:t>
            </w:r>
            <w:r>
              <w:rPr>
                <w:rFonts w:hint="eastAsia" w:ascii="仿宋" w:hAnsi="仿宋" w:eastAsia="仿宋" w:cs="Arial"/>
                <w:bCs/>
                <w:color w:val="000000"/>
                <w:sz w:val="24"/>
              </w:rPr>
              <w:t>浙江省成套招标代理有限公</w:t>
            </w:r>
            <w:r>
              <w:rPr>
                <w:rFonts w:hint="eastAsia" w:ascii="仿宋" w:hAnsi="仿宋" w:eastAsia="仿宋" w:cs="Arial"/>
                <w:bCs/>
                <w:color w:val="000000"/>
                <w:sz w:val="24"/>
                <w:highlight w:val="none"/>
              </w:rPr>
              <w:t>司</w:t>
            </w:r>
            <w:r>
              <w:rPr>
                <w:rFonts w:hint="eastAsia" w:ascii="仿宋" w:hAnsi="仿宋" w:eastAsia="仿宋" w:cs="Arial"/>
                <w:bCs/>
                <w:color w:val="000000"/>
                <w:sz w:val="24"/>
                <w:lang w:val="en-US" w:eastAsia="zh-CN"/>
              </w:rPr>
              <w:t>和</w:t>
            </w:r>
            <w:r>
              <w:rPr>
                <w:rFonts w:hint="eastAsia" w:ascii="仿宋" w:hAnsi="仿宋" w:eastAsia="仿宋" w:cs="Arial"/>
                <w:bCs/>
                <w:color w:val="000000"/>
                <w:sz w:val="24"/>
                <w:lang w:eastAsia="zh-CN"/>
              </w:rPr>
              <w:t>杭州市钱塘区人民政府白杨街道办事处</w:t>
            </w:r>
            <w:r>
              <w:rPr>
                <w:rFonts w:hint="eastAsia" w:ascii="仿宋" w:hAnsi="仿宋" w:eastAsia="仿宋" w:cs="Arial"/>
                <w:bCs/>
                <w:color w:val="000000"/>
                <w:sz w:val="24"/>
              </w:rPr>
              <w:t>所有。</w:t>
            </w:r>
          </w:p>
        </w:tc>
      </w:tr>
    </w:tbl>
    <w:p>
      <w:pPr>
        <w:snapToGrid w:val="0"/>
        <w:spacing w:line="360" w:lineRule="auto"/>
        <w:jc w:val="center"/>
        <w:rPr>
          <w:rFonts w:ascii="仿宋" w:hAnsi="仿宋" w:eastAsia="仿宋" w:cs="仿宋_GB2312"/>
          <w:b/>
          <w:color w:val="auto"/>
          <w:sz w:val="32"/>
          <w:szCs w:val="20"/>
          <w:highlight w:val="none"/>
        </w:rPr>
      </w:pPr>
    </w:p>
    <w:bookmarkEnd w:id="8"/>
    <w:p>
      <w:pPr>
        <w:rPr>
          <w:rFonts w:hint="eastAsia" w:ascii="仿宋_GB2312" w:hAnsi="仿宋" w:eastAsia="仿宋_GB2312" w:cs="仿宋_GB2312"/>
          <w:b/>
          <w:color w:val="auto"/>
          <w:sz w:val="32"/>
          <w:szCs w:val="20"/>
          <w:highlight w:val="none"/>
        </w:rPr>
      </w:pPr>
      <w:bookmarkStart w:id="9" w:name="第三部分"/>
      <w:bookmarkStart w:id="10" w:name="_Toc164416483"/>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3.4.1采购人优先采购被认定</w:t>
      </w:r>
      <w:r>
        <w:rPr>
          <w:rFonts w:hint="eastAsia" w:ascii="仿宋_GB2312" w:hAnsi="仿宋" w:eastAsia="仿宋_GB2312"/>
          <w:color w:val="auto"/>
          <w:sz w:val="24"/>
          <w:highlight w:val="none"/>
        </w:rPr>
        <w:t>为首台套产品和“制造精品”的自主创新产品。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w:t>
      </w:r>
      <w:r>
        <w:rPr>
          <w:rFonts w:hint="eastAsia" w:ascii="仿宋_GB2312" w:hAnsi="仿宋" w:eastAsia="仿宋_GB2312"/>
          <w:snapToGrid w:val="0"/>
          <w:color w:val="auto"/>
          <w:kern w:val="28"/>
          <w:sz w:val="24"/>
          <w:highlight w:val="none"/>
          <w:lang w:eastAsia="zh-CN"/>
        </w:rPr>
        <w:t>投标人</w:t>
      </w:r>
      <w:r>
        <w:rPr>
          <w:rFonts w:hint="eastAsia" w:ascii="仿宋_GB2312" w:hAnsi="仿宋" w:eastAsia="仿宋_GB2312"/>
          <w:snapToGrid w:val="0"/>
          <w:color w:val="auto"/>
          <w:kern w:val="28"/>
          <w:sz w:val="24"/>
          <w:highlight w:val="none"/>
        </w:rPr>
        <w:t>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w:t>
      </w:r>
      <w:r>
        <w:rPr>
          <w:rFonts w:hint="eastAsia" w:ascii="仿宋_GB2312" w:hAnsi="仿宋" w:eastAsia="仿宋_GB2312" w:cs="微软雅黑"/>
          <w:color w:val="auto"/>
          <w:kern w:val="0"/>
          <w:sz w:val="24"/>
          <w:highlight w:val="none"/>
          <w:lang w:val="zh-CN"/>
        </w:rPr>
        <w:t>投标人</w:t>
      </w:r>
      <w:r>
        <w:rPr>
          <w:rFonts w:ascii="仿宋_GB2312" w:hAnsi="仿宋" w:eastAsia="仿宋_GB2312" w:cs="微软雅黑"/>
          <w:color w:val="auto"/>
          <w:kern w:val="0"/>
          <w:sz w:val="24"/>
          <w:highlight w:val="none"/>
          <w:lang w:val="zh-CN"/>
        </w:rPr>
        <w:t>询问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投标人对政府采购活动事项有疑问的，可以提出询问，采购人或者采购代理机构应当在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w:t>
      </w:r>
      <w:r>
        <w:rPr>
          <w:rFonts w:hint="eastAsia" w:ascii="仿宋_GB2312" w:hAnsi="仿宋" w:eastAsia="仿宋_GB2312" w:cs="微软雅黑"/>
          <w:color w:val="auto"/>
          <w:kern w:val="0"/>
          <w:sz w:val="24"/>
          <w:highlight w:val="none"/>
          <w:lang w:val="zh-CN"/>
        </w:rPr>
        <w:t>投标人依法提出的询问作出答复，但答复的内容不得涉及商业秘密。投标人提出的询问超出采购人对采购代理机构委托授权范围的，采购代理机构应当告知投标人向采购人提出。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w:t>
      </w:r>
      <w:r>
        <w:rPr>
          <w:rFonts w:hint="eastAsia" w:ascii="仿宋_GB2312" w:hAnsi="仿宋" w:eastAsia="仿宋_GB2312" w:cs="微软雅黑"/>
          <w:color w:val="auto"/>
          <w:kern w:val="0"/>
          <w:sz w:val="24"/>
          <w:highlight w:val="none"/>
          <w:lang w:val="zh-CN"/>
        </w:rPr>
        <w:t>投标人</w:t>
      </w:r>
      <w:r>
        <w:rPr>
          <w:rFonts w:ascii="仿宋_GB2312" w:hAnsi="仿宋" w:eastAsia="仿宋_GB2312" w:cs="微软雅黑"/>
          <w:color w:val="auto"/>
          <w:kern w:val="0"/>
          <w:sz w:val="24"/>
          <w:highlight w:val="none"/>
          <w:lang w:val="zh-CN"/>
        </w:rPr>
        <w:t>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应当是参与所质疑项目采购活动的</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。潜在</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已依法获取其可质疑的招标文件的，可以对该文件提出质疑。</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w:t>
      </w:r>
      <w:r>
        <w:rPr>
          <w:rFonts w:hint="eastAsia" w:ascii="仿宋_GB2312" w:hAnsi="仿宋" w:eastAsia="仿宋_GB2312"/>
          <w:snapToGrid/>
          <w:color w:val="auto"/>
          <w:kern w:val="2"/>
          <w:sz w:val="24"/>
          <w:highlight w:val="none"/>
          <w:lang w:eastAsia="zh-CN"/>
        </w:rPr>
        <w:t>投标人</w:t>
      </w:r>
      <w:r>
        <w:rPr>
          <w:rFonts w:ascii="仿宋_GB2312" w:hAnsi="仿宋" w:eastAsia="仿宋_GB2312"/>
          <w:snapToGrid/>
          <w:color w:val="auto"/>
          <w:kern w:val="2"/>
          <w:sz w:val="24"/>
          <w:highlight w:val="none"/>
        </w:rPr>
        <w:t>获得招标文件之日或者招标文件公告期限届满之日起计算。</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须一次性提出。</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提出质疑应当提交质疑函和必要的证明材料。质疑函应当包括下列内容：</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投标人的姓名或者名称、地址、邮编、联系人及联系电话；</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3"/>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提交的质疑函需一式三份。</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为自然人的，应当由本人签字；</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为法人或者其他组织的，应当由法定代表人、主要负责人，或者其授权代表签字或者盖章，并加盖公章。</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质疑函范本及制作说明详见附件2。</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zh-CN" w:eastAsia="zh-CN"/>
        </w:rPr>
        <w:t>4.2</w:t>
      </w:r>
      <w:r>
        <w:rPr>
          <w:rFonts w:hint="eastAsia" w:ascii="仿宋_GB2312" w:hAnsi="仿宋" w:eastAsia="仿宋_GB2312"/>
          <w:color w:val="auto"/>
          <w:sz w:val="24"/>
          <w:highlight w:val="none"/>
          <w:lang w:val="en-US" w:eastAsia="zh-CN"/>
        </w:rPr>
        <w:t>.4采购人或者采购机构应当在收到投标人的书面质疑后七个工作日内作出答复，并以书面形式通知质疑投标人和其</w:t>
      </w:r>
      <w:r>
        <w:rPr>
          <w:rFonts w:hint="eastAsia" w:ascii="仿宋_GB2312" w:hAnsi="仿宋" w:eastAsia="仿宋_GB2312"/>
          <w:color w:val="auto"/>
          <w:sz w:val="24"/>
          <w:highlight w:val="none"/>
        </w:rPr>
        <w:t>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zh-CN"/>
        </w:rPr>
        <w:t>4.2</w:t>
      </w:r>
      <w:r>
        <w:rPr>
          <w:rFonts w:hint="eastAsia" w:ascii="仿宋_GB2312" w:hAnsi="仿宋" w:eastAsia="仿宋_GB2312"/>
          <w:color w:val="auto"/>
          <w:sz w:val="24"/>
          <w:highlight w:val="none"/>
        </w:rPr>
        <w:t>.5询问或者质疑事项可能影响采购结果的，采购人应当暂停签订合同，已经签订合同的，应当中止履行合同。</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4.3投标人投诉</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4.3.1质疑</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对采购人、采购机构的答复不满意或者采购人、采购机构未在规定的时间内作出答复的，可以在答复期满后十五个工作日内向同级政府采购监督管理部门提出投诉。</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w:t>
      </w:r>
      <w:r>
        <w:rPr>
          <w:rFonts w:hint="eastAsia" w:ascii="仿宋_GB2312" w:hAnsi="仿宋" w:eastAsia="仿宋_GB2312"/>
          <w:color w:val="auto"/>
          <w:sz w:val="24"/>
          <w:highlight w:val="none"/>
          <w:lang w:val="zh-CN"/>
        </w:rPr>
        <w:t>2</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投诉的事项不得超出已质疑事项的范围，基于质疑答复内容提出的投诉事项除外。</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4.3.3</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投诉应当有明确的请求和必要的证明材料。</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4.3.5 以联合体形式参加政府采购活动的，其投诉应当由组成联合体的所有</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共同提出。</w:t>
      </w:r>
    </w:p>
    <w:p>
      <w:pPr>
        <w:pStyle w:val="33"/>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投诉书范本及制作说明详见附件3。</w:t>
      </w:r>
    </w:p>
    <w:p>
      <w:pPr>
        <w:pStyle w:val="33"/>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仿宋_GB2312" w:hAnsi="仿宋" w:eastAsia="仿宋_GB2312"/>
          <w:color w:val="auto"/>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仅联合体投标须提供</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cyan"/>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仅分包须提供</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政府采购投标人廉洁自律承诺书；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snapToGrid w:val="0"/>
        <w:spacing w:line="360" w:lineRule="auto"/>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lang w:eastAsia="zh-CN"/>
        </w:rPr>
        <w:t>投标人</w:t>
      </w:r>
      <w:r>
        <w:rPr>
          <w:rFonts w:hint="eastAsia" w:ascii="仿宋_GB2312" w:hAnsi="仿宋" w:eastAsia="仿宋_GB2312" w:cs="仿宋_GB2312"/>
          <w:color w:val="auto"/>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w:t>
      </w:r>
      <w:r>
        <w:rPr>
          <w:rFonts w:hint="eastAsia" w:ascii="仿宋_GB2312" w:hAnsi="仿宋" w:eastAsia="仿宋_GB2312" w:cs="仿宋_GB2312"/>
          <w:color w:val="auto"/>
          <w:szCs w:val="24"/>
          <w:highlight w:val="none"/>
          <w:lang w:eastAsia="zh-CN"/>
        </w:rPr>
        <w:t>投标人</w:t>
      </w:r>
      <w:r>
        <w:rPr>
          <w:rFonts w:ascii="仿宋_GB2312" w:hAnsi="仿宋" w:eastAsia="仿宋_GB2312" w:cs="仿宋_GB2312"/>
          <w:color w:val="auto"/>
          <w:szCs w:val="24"/>
          <w:highlight w:val="none"/>
        </w:rPr>
        <w:t>发出确认回执通知。在投标截止时间前，除</w:t>
      </w:r>
      <w:r>
        <w:rPr>
          <w:rFonts w:hint="eastAsia" w:ascii="仿宋_GB2312" w:hAnsi="仿宋" w:eastAsia="仿宋_GB2312" w:cs="仿宋_GB2312"/>
          <w:color w:val="auto"/>
          <w:szCs w:val="24"/>
          <w:highlight w:val="none"/>
          <w:lang w:eastAsia="zh-CN"/>
        </w:rPr>
        <w:t>投标人</w:t>
      </w:r>
      <w:r>
        <w:rPr>
          <w:rFonts w:ascii="仿宋_GB2312" w:hAnsi="仿宋" w:eastAsia="仿宋_GB2312" w:cs="仿宋_GB2312"/>
          <w:color w:val="auto"/>
          <w:szCs w:val="24"/>
          <w:highlight w:val="none"/>
        </w:rPr>
        <w:t>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7" w:firstLineChars="199"/>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0"/>
          <w:highlight w:val="none"/>
        </w:rPr>
        <w:t>▲</w:t>
      </w: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5"/>
        <w:spacing w:line="360" w:lineRule="auto"/>
        <w:ind w:firstLine="360" w:firstLineChars="150"/>
        <w:rPr>
          <w:rFonts w:hint="eastAsia" w:ascii="仿宋_GB2312" w:hAnsi="仿宋" w:eastAsia="仿宋_GB2312" w:cs="仿宋_GB2312"/>
          <w:color w:val="auto"/>
          <w:szCs w:val="21"/>
          <w:highlight w:val="none"/>
          <w:lang w:eastAsia="zh-CN"/>
        </w:rPr>
      </w:pPr>
      <w:r>
        <w:rPr>
          <w:rFonts w:ascii="仿宋_GB2312" w:hAnsi="仿宋" w:eastAsia="仿宋_GB2312" w:cs="仿宋_GB2312"/>
          <w:color w:val="auto"/>
          <w:sz w:val="24"/>
          <w:szCs w:val="20"/>
          <w:highlight w:val="none"/>
        </w:rPr>
        <w:t>▲</w:t>
      </w: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r>
        <w:rPr>
          <w:rFonts w:hint="eastAsia" w:ascii="仿宋_GB2312" w:hAnsi="仿宋" w:eastAsia="仿宋_GB2312" w:cs="仿宋_GB2312"/>
          <w:color w:val="auto"/>
          <w:szCs w:val="21"/>
          <w:highlight w:val="none"/>
          <w:lang w:eastAsia="zh-CN"/>
        </w:rPr>
        <w:t>；</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仿宋_GB2312" w:hAnsi="仿宋" w:eastAsia="仿宋_GB2312" w:cs="仿宋_GB2312"/>
          <w:color w:val="auto"/>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 w:val="24"/>
          <w:szCs w:val="24"/>
          <w:highlight w:val="none"/>
        </w:rPr>
        <w:t>18.</w:t>
      </w:r>
      <w:r>
        <w:rPr>
          <w:rFonts w:ascii="仿宋_GB2312" w:hAnsi="仿宋" w:eastAsia="仿宋_GB2312" w:cs="仿宋_GB2312"/>
          <w:b/>
          <w:color w:val="auto"/>
          <w:szCs w:val="24"/>
          <w:highlight w:val="none"/>
        </w:rPr>
        <w:t xml:space="preserve">开标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b/>
          <w:bCs/>
          <w:color w:val="auto"/>
          <w:sz w:val="24"/>
          <w:highlight w:val="none"/>
        </w:rPr>
        <w:t>18.3</w:t>
      </w:r>
      <w:r>
        <w:rPr>
          <w:rFonts w:hint="eastAsia" w:ascii="仿宋_GB2312" w:hAnsi="仿宋" w:eastAsia="仿宋_GB2312" w:cs="仿宋_GB2312"/>
          <w:b/>
          <w:bCs/>
          <w:color w:val="auto"/>
          <w:sz w:val="24"/>
          <w:highlight w:val="none"/>
        </w:rPr>
        <w:t>投标文</w:t>
      </w:r>
      <w:r>
        <w:rPr>
          <w:rFonts w:hint="eastAsia" w:ascii="仿宋_GB2312" w:hAnsi="仿宋" w:eastAsia="仿宋_GB2312" w:cs="仿宋_GB2312"/>
          <w:b/>
          <w:color w:val="auto"/>
          <w:sz w:val="24"/>
          <w:highlight w:val="none"/>
        </w:rPr>
        <w:t>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_GB2312" w:hAnsi="仿宋" w:eastAsia="仿宋_GB2312" w:cs="仿宋_GB2312"/>
          <w:b/>
          <w:color w:val="auto"/>
          <w:sz w:val="24"/>
          <w:szCs w:val="20"/>
          <w:highlight w:val="none"/>
        </w:rPr>
      </w:pPr>
      <w:r>
        <w:rPr>
          <w:rFonts w:ascii="仿宋_GB2312" w:hAnsi="仿宋" w:eastAsia="仿宋_GB2312" w:cs="仿宋_GB2312"/>
          <w:b/>
          <w:color w:val="auto"/>
          <w:sz w:val="24"/>
          <w:szCs w:val="20"/>
          <w:highlight w:val="none"/>
        </w:rPr>
        <w:t>19、资格审查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w:t>
      </w:r>
      <w:r>
        <w:rPr>
          <w:rFonts w:hint="eastAsia" w:ascii="仿宋_GB2312" w:hAnsi="仿宋" w:eastAsia="仿宋_GB2312" w:cs="Arial"/>
          <w:color w:val="auto"/>
          <w:kern w:val="0"/>
          <w:szCs w:val="24"/>
          <w:highlight w:val="none"/>
          <w:lang w:eastAsia="zh-CN"/>
        </w:rPr>
        <w:t>招标文件</w:t>
      </w:r>
      <w:r>
        <w:rPr>
          <w:rFonts w:ascii="仿宋_GB2312" w:hAnsi="仿宋" w:eastAsia="仿宋_GB2312" w:cs="Arial"/>
          <w:color w:val="auto"/>
          <w:kern w:val="0"/>
          <w:szCs w:val="24"/>
          <w:highlight w:val="none"/>
        </w:rPr>
        <w:t>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w:t>
      </w:r>
      <w:r>
        <w:rPr>
          <w:rFonts w:hint="eastAsia" w:ascii="仿宋_GB2312" w:hAnsi="仿宋" w:eastAsia="仿宋_GB2312" w:cs="Arial"/>
          <w:color w:val="auto"/>
          <w:kern w:val="0"/>
          <w:szCs w:val="24"/>
          <w:highlight w:val="none"/>
          <w:lang w:eastAsia="zh-CN"/>
        </w:rPr>
        <w:t>投标人</w:t>
      </w:r>
      <w:r>
        <w:rPr>
          <w:rFonts w:ascii="仿宋_GB2312" w:hAnsi="仿宋" w:eastAsia="仿宋_GB2312" w:cs="Arial"/>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1"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5"/>
        <w:spacing w:line="360" w:lineRule="auto"/>
        <w:ind w:left="479" w:hanging="479" w:hangingChars="199"/>
        <w:rPr>
          <w:rFonts w:hint="eastAsia" w:ascii="仿宋_GB2312" w:hAnsi="仿宋" w:eastAsia="仿宋_GB2312" w:cs="仿宋_GB2312"/>
          <w:b/>
          <w:color w:val="auto"/>
          <w:highlight w:val="none"/>
          <w:lang w:eastAsia="zh-CN"/>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w:t>
      </w:r>
      <w:r>
        <w:rPr>
          <w:rFonts w:hint="eastAsia" w:ascii="仿宋_GB2312" w:hAnsi="仿宋" w:eastAsia="仿宋_GB2312" w:cs="仿宋_GB2312"/>
          <w:b/>
          <w:color w:val="auto"/>
          <w:highlight w:val="none"/>
          <w:lang w:eastAsia="zh-CN"/>
        </w:rPr>
        <w:t>投标人</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w:t>
      </w:r>
      <w:r>
        <w:rPr>
          <w:rFonts w:hint="eastAsia" w:ascii="仿宋_GB2312" w:hAnsi="仿宋" w:eastAsia="仿宋_GB2312" w:cs="仿宋_GB2312"/>
          <w:color w:val="auto"/>
          <w:szCs w:val="24"/>
          <w:highlight w:val="none"/>
          <w:lang w:eastAsia="zh-CN"/>
        </w:rPr>
        <w:t>人</w:t>
      </w:r>
      <w:r>
        <w:rPr>
          <w:rFonts w:ascii="仿宋_GB2312" w:hAnsi="仿宋" w:eastAsia="仿宋_GB2312" w:cs="仿宋_GB2312"/>
          <w:color w:val="auto"/>
          <w:szCs w:val="24"/>
          <w:highlight w:val="none"/>
        </w:rPr>
        <w:t>。</w:t>
      </w:r>
    </w:p>
    <w:p>
      <w:pPr>
        <w:pStyle w:val="128"/>
        <w:numPr>
          <w:ilvl w:val="0"/>
          <w:numId w:val="1"/>
        </w:numPr>
        <w:snapToGrid w:val="0"/>
        <w:spacing w:before="0"/>
        <w:ind w:firstLine="0" w:firstLineChars="0"/>
        <w:rPr>
          <w:rFonts w:hint="eastAsia"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中标通知与中标结果公告</w:t>
      </w:r>
    </w:p>
    <w:p>
      <w:pPr>
        <w:pStyle w:val="128"/>
        <w:snapToGrid w:val="0"/>
        <w:spacing w:before="0"/>
        <w:ind w:firstLine="48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pStyle w:val="128"/>
        <w:snapToGrid w:val="0"/>
        <w:spacing w:before="0"/>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8"/>
        <w:snapToGrid w:val="0"/>
        <w:spacing w:before="0"/>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23.3公告期限为1个工作日。</w:t>
      </w:r>
    </w:p>
    <w:p>
      <w:pPr>
        <w:pStyle w:val="128"/>
        <w:snapToGrid w:val="0"/>
        <w:spacing w:before="0"/>
        <w:ind w:firstLine="480"/>
        <w:rPr>
          <w:rFonts w:hint="eastAsia" w:ascii="仿宋_GB2312" w:hAnsi="仿宋" w:eastAsia="仿宋_GB2312" w:cs="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pStyle w:val="128"/>
        <w:snapToGrid w:val="0"/>
        <w:spacing w:before="0"/>
        <w:ind w:firstLine="480"/>
        <w:rPr>
          <w:rFonts w:ascii="仿宋_GB2312" w:hAnsi="仿宋" w:eastAsia="仿宋_GB2312" w:cs="仿宋_GB2312"/>
          <w:color w:val="auto"/>
          <w:kern w:val="0"/>
          <w:highlight w:val="none"/>
          <w:lang w:val="zh-CN"/>
        </w:rPr>
      </w:pPr>
      <w:r>
        <w:rPr>
          <w:rFonts w:hint="eastAsia" w:ascii="仿宋_GB2312" w:hAnsi="仿宋" w:eastAsia="仿宋_GB2312" w:cs="仿宋_GB2312"/>
          <w:color w:val="auto"/>
          <w:kern w:val="0"/>
          <w:highlight w:val="none"/>
          <w:lang w:val="zh-CN"/>
        </w:rPr>
        <w:t>25.1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w:t>
      </w:r>
      <w:r>
        <w:rPr>
          <w:rFonts w:hint="eastAsia" w:ascii="仿宋_GB2312" w:hAnsi="仿宋" w:eastAsia="仿宋_GB2312" w:cs="仿宋_GB2312"/>
          <w:color w:val="auto"/>
          <w:highlight w:val="none"/>
          <w:lang w:eastAsia="zh-CN"/>
        </w:rPr>
        <w:t>投标人</w:t>
      </w:r>
      <w:r>
        <w:rPr>
          <w:rFonts w:ascii="仿宋_GB2312" w:hAnsi="仿宋" w:eastAsia="仿宋_GB2312" w:cs="仿宋_GB2312"/>
          <w:color w:val="auto"/>
          <w:highlight w:val="none"/>
        </w:rPr>
        <w:t>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w:t>
      </w:r>
      <w:r>
        <w:rPr>
          <w:rFonts w:hint="eastAsia" w:ascii="仿宋_GB2312" w:hAnsi="仿宋" w:eastAsia="仿宋_GB2312" w:cs="仿宋_GB2312"/>
          <w:color w:val="auto"/>
          <w:highlight w:val="none"/>
          <w:lang w:eastAsia="zh-CN"/>
        </w:rPr>
        <w:t>投标人</w:t>
      </w:r>
      <w:r>
        <w:rPr>
          <w:rFonts w:hint="eastAsia" w:ascii="仿宋_GB2312" w:hAnsi="仿宋" w:eastAsia="仿宋_GB2312" w:cs="仿宋_GB2312"/>
          <w:color w:val="auto"/>
          <w:highlight w:val="none"/>
        </w:rPr>
        <w:t>拒绝与采购人签订合同的，采购人可以按照评审报告推荐的中标或者成交候选人名单排序，确定下一候选人为中标</w:t>
      </w:r>
      <w:r>
        <w:rPr>
          <w:rFonts w:hint="eastAsia" w:ascii="仿宋_GB2312" w:hAnsi="仿宋" w:eastAsia="仿宋_GB2312" w:cs="仿宋_GB2312"/>
          <w:color w:val="auto"/>
          <w:highlight w:val="none"/>
          <w:lang w:eastAsia="zh-CN"/>
        </w:rPr>
        <w:t>投标人</w:t>
      </w:r>
      <w:r>
        <w:rPr>
          <w:rFonts w:hint="eastAsia" w:ascii="仿宋_GB2312" w:hAnsi="仿宋" w:eastAsia="仿宋_GB2312" w:cs="仿宋_GB2312"/>
          <w:color w:val="auto"/>
          <w:highlight w:val="none"/>
        </w:rPr>
        <w:t>，也可以重新开展政府采购活动。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w:t>
      </w:r>
      <w:r>
        <w:rPr>
          <w:rFonts w:hint="eastAsia" w:ascii="仿宋_GB2312" w:hAnsi="仿宋" w:eastAsia="仿宋_GB2312" w:cs="仿宋_GB2312"/>
          <w:color w:val="auto"/>
          <w:highlight w:val="none"/>
          <w:lang w:eastAsia="zh-CN"/>
        </w:rPr>
        <w:t>投标人</w:t>
      </w:r>
      <w:r>
        <w:rPr>
          <w:rFonts w:ascii="仿宋_GB2312" w:hAnsi="仿宋" w:eastAsia="仿宋_GB2312" w:cs="仿宋_GB2312"/>
          <w:color w:val="auto"/>
          <w:highlight w:val="none"/>
        </w:rPr>
        <w:t>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hint="eastAsia"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w:t>
      </w:r>
      <w:r>
        <w:rPr>
          <w:rFonts w:hint="eastAsia" w:ascii="仿宋_GB2312" w:hAnsi="仿宋" w:eastAsia="仿宋_GB2312" w:cs="仿宋_GB2312"/>
          <w:color w:val="auto"/>
          <w:sz w:val="24"/>
          <w:szCs w:val="20"/>
          <w:highlight w:val="none"/>
          <w:lang w:eastAsia="zh-CN"/>
        </w:rPr>
        <w:t>投标人</w:t>
      </w:r>
      <w:r>
        <w:rPr>
          <w:rFonts w:hint="eastAsia" w:ascii="仿宋_GB2312" w:hAnsi="仿宋" w:eastAsia="仿宋_GB2312" w:cs="仿宋_GB2312"/>
          <w:color w:val="auto"/>
          <w:sz w:val="24"/>
          <w:szCs w:val="20"/>
          <w:highlight w:val="none"/>
        </w:rPr>
        <w:t>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hint="default" w:ascii="仿宋_GB2312" w:hAnsi="仿宋" w:eastAsia="仿宋_GB2312"/>
          <w:b/>
          <w:color w:val="auto"/>
          <w:sz w:val="24"/>
          <w:highlight w:val="yellow"/>
          <w:lang w:val="en-US" w:eastAsia="zh-CN"/>
        </w:rPr>
      </w:pPr>
      <w:r>
        <w:rPr>
          <w:rFonts w:hint="eastAsia" w:ascii="仿宋_GB2312" w:hAnsi="仿宋" w:eastAsia="仿宋_GB2312"/>
          <w:b/>
          <w:color w:val="auto"/>
          <w:sz w:val="24"/>
          <w:highlight w:val="none"/>
          <w:lang w:val="en-US" w:eastAsia="zh-CN"/>
        </w:rPr>
        <w:t>本项目履约保证金为合同总金额的1%。</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lang w:eastAsia="zh-CN"/>
        </w:rPr>
        <w:t>投标人</w:t>
      </w:r>
      <w:r>
        <w:rPr>
          <w:rFonts w:hint="eastAsia" w:ascii="仿宋_GB2312" w:hAnsi="仿宋" w:eastAsia="仿宋_GB2312" w:cs="仿宋_GB2312"/>
          <w:color w:val="auto"/>
          <w:sz w:val="24"/>
          <w:szCs w:val="20"/>
          <w:highlight w:val="none"/>
        </w:rPr>
        <w:t>可登录政采云平台-【金融服务】—【我的项目】—【已备案合同】以保函形式提供：1、</w:t>
      </w:r>
      <w:r>
        <w:rPr>
          <w:rFonts w:hint="eastAsia" w:ascii="仿宋_GB2312" w:hAnsi="仿宋" w:eastAsia="仿宋_GB2312" w:cs="仿宋_GB2312"/>
          <w:color w:val="auto"/>
          <w:sz w:val="24"/>
          <w:szCs w:val="20"/>
          <w:highlight w:val="none"/>
          <w:lang w:eastAsia="zh-CN"/>
        </w:rPr>
        <w:t>投标人</w:t>
      </w:r>
      <w:r>
        <w:rPr>
          <w:rFonts w:hint="eastAsia" w:ascii="仿宋_GB2312" w:hAnsi="仿宋" w:eastAsia="仿宋_GB2312" w:cs="仿宋_GB2312"/>
          <w:color w:val="auto"/>
          <w:sz w:val="24"/>
          <w:szCs w:val="20"/>
          <w:highlight w:val="none"/>
        </w:rPr>
        <w:t>在合同列表选择需要投保的合同，点击[保函推荐]。2、在弹框里查看推荐的保函产品，</w:t>
      </w:r>
      <w:r>
        <w:rPr>
          <w:rFonts w:hint="eastAsia" w:ascii="仿宋_GB2312" w:hAnsi="仿宋" w:eastAsia="仿宋_GB2312" w:cs="仿宋_GB2312"/>
          <w:color w:val="auto"/>
          <w:sz w:val="24"/>
          <w:szCs w:val="20"/>
          <w:highlight w:val="none"/>
          <w:lang w:eastAsia="zh-CN"/>
        </w:rPr>
        <w:t>投标人</w:t>
      </w:r>
      <w:r>
        <w:rPr>
          <w:rFonts w:hint="eastAsia" w:ascii="仿宋_GB2312" w:hAnsi="仿宋" w:eastAsia="仿宋_GB2312" w:cs="仿宋_GB2312"/>
          <w:color w:val="auto"/>
          <w:sz w:val="24"/>
          <w:szCs w:val="20"/>
          <w:highlight w:val="none"/>
        </w:rPr>
        <w:t>自行选择保函产品，点击[立即申请]。3、在弹框里填写保函申请信息。具体步骤：选择产品—填写</w:t>
      </w:r>
      <w:r>
        <w:rPr>
          <w:rFonts w:hint="eastAsia" w:ascii="仿宋_GB2312" w:hAnsi="仿宋" w:eastAsia="仿宋_GB2312" w:cs="仿宋_GB2312"/>
          <w:color w:val="auto"/>
          <w:sz w:val="24"/>
          <w:szCs w:val="20"/>
          <w:highlight w:val="none"/>
          <w:lang w:eastAsia="zh-CN"/>
        </w:rPr>
        <w:t>投标人</w:t>
      </w:r>
      <w:r>
        <w:rPr>
          <w:rFonts w:hint="eastAsia" w:ascii="仿宋_GB2312" w:hAnsi="仿宋" w:eastAsia="仿宋_GB2312" w:cs="仿宋_GB2312"/>
          <w:color w:val="auto"/>
          <w:sz w:val="24"/>
          <w:szCs w:val="20"/>
          <w:highlight w:val="none"/>
        </w:rPr>
        <w:t>信息—选择中标项目—确认信息—等待保险/保函受理—确认保单—支付保费—成功出单。政采云金融专线400-903-9583。</w:t>
      </w:r>
    </w:p>
    <w:p>
      <w:pPr>
        <w:tabs>
          <w:tab w:val="left" w:pos="0"/>
        </w:tabs>
        <w:spacing w:line="360" w:lineRule="auto"/>
        <w:ind w:firstLine="482"/>
        <w:rPr>
          <w:color w:val="auto"/>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2</w:t>
      </w:r>
      <w:r>
        <w:rPr>
          <w:rFonts w:ascii="仿宋_GB2312" w:hAnsi="仿宋" w:eastAsia="仿宋_GB2312" w:cs="仿宋_GB2312"/>
          <w:b/>
          <w:bCs/>
          <w:color w:val="auto"/>
          <w:szCs w:val="24"/>
          <w:highlight w:val="none"/>
        </w:rPr>
        <w:t>7</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128"/>
        <w:snapToGrid w:val="0"/>
        <w:spacing w:before="0"/>
        <w:ind w:firstLine="0" w:firstLineChars="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w:t>
      </w:r>
      <w:r>
        <w:rPr>
          <w:rFonts w:hint="eastAsia" w:ascii="仿宋_GB2312" w:hAnsi="仿宋" w:eastAsia="仿宋_GB2312" w:cs="Helvetica"/>
          <w:color w:val="auto"/>
          <w:kern w:val="0"/>
          <w:sz w:val="24"/>
          <w:highlight w:val="none"/>
          <w:lang w:eastAsia="zh-CN"/>
        </w:rPr>
        <w:t>投标人</w:t>
      </w:r>
      <w:r>
        <w:rPr>
          <w:rFonts w:ascii="仿宋_GB2312" w:hAnsi="仿宋" w:eastAsia="仿宋_GB2312" w:cs="Helvetica"/>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_GB2312" w:hAnsi="仿宋" w:eastAsia="仿宋_GB2312" w:cs="Helvetica"/>
          <w:color w:val="auto"/>
          <w:kern w:val="0"/>
          <w:sz w:val="24"/>
          <w:highlight w:val="none"/>
          <w:lang w:eastAsia="zh-CN"/>
        </w:rPr>
        <w:t>投标人</w:t>
      </w:r>
      <w:r>
        <w:rPr>
          <w:rFonts w:ascii="仿宋_GB2312" w:hAnsi="仿宋" w:eastAsia="仿宋_GB2312" w:cs="Helvetica"/>
          <w:color w:val="auto"/>
          <w:kern w:val="0"/>
          <w:sz w:val="24"/>
          <w:highlight w:val="none"/>
        </w:rPr>
        <w:t>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w:t>
      </w:r>
      <w:r>
        <w:rPr>
          <w:rFonts w:hint="eastAsia" w:ascii="仿宋_GB2312" w:hAnsi="仿宋" w:eastAsia="仿宋_GB2312" w:cs="Helvetica"/>
          <w:color w:val="auto"/>
          <w:kern w:val="0"/>
          <w:sz w:val="24"/>
          <w:highlight w:val="none"/>
          <w:lang w:eastAsia="zh-CN"/>
        </w:rPr>
        <w:t>投标人</w:t>
      </w:r>
      <w:r>
        <w:rPr>
          <w:rFonts w:ascii="仿宋_GB2312" w:hAnsi="仿宋" w:eastAsia="仿宋_GB2312" w:cs="Helvetica"/>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w:t>
      </w:r>
      <w:r>
        <w:rPr>
          <w:rFonts w:hint="eastAsia" w:ascii="仿宋_GB2312" w:hAnsi="仿宋" w:eastAsia="仿宋_GB2312" w:cs="Helvetica"/>
          <w:color w:val="auto"/>
          <w:kern w:val="0"/>
          <w:sz w:val="24"/>
          <w:highlight w:val="none"/>
          <w:lang w:eastAsia="zh-CN"/>
        </w:rPr>
        <w:t>投标人</w:t>
      </w:r>
      <w:r>
        <w:rPr>
          <w:rFonts w:ascii="仿宋_GB2312" w:hAnsi="仿宋" w:eastAsia="仿宋_GB2312" w:cs="Helvetica"/>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仿宋_GB2312" w:hAnsi="仿宋" w:eastAsia="仿宋_GB2312" w:cs="Helvetica"/>
          <w:color w:val="auto"/>
          <w:kern w:val="0"/>
          <w:sz w:val="24"/>
          <w:highlight w:val="none"/>
          <w:lang w:eastAsia="zh-CN"/>
        </w:rPr>
        <w:t>投标人</w:t>
      </w:r>
      <w:r>
        <w:rPr>
          <w:rFonts w:ascii="仿宋_GB2312" w:hAnsi="仿宋" w:eastAsia="仿宋_GB2312" w:cs="Helvetica"/>
          <w:color w:val="auto"/>
          <w:kern w:val="0"/>
          <w:sz w:val="24"/>
          <w:highlight w:val="none"/>
        </w:rPr>
        <w:t>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color w:val="auto"/>
          <w:kern w:val="0"/>
          <w:sz w:val="24"/>
          <w:highlight w:val="none"/>
        </w:rPr>
        <w:sectPr>
          <w:footerReference r:id="rId11"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3"/>
          <w:cols w:space="720" w:num="1"/>
          <w:docGrid w:linePitch="312" w:charSpace="0"/>
        </w:sectPr>
      </w:pPr>
      <w:bookmarkStart w:id="12" w:name="_Hlt74729768"/>
      <w:bookmarkEnd w:id="12"/>
      <w:bookmarkStart w:id="13" w:name="_Hlt68072990"/>
      <w:bookmarkEnd w:id="13"/>
      <w:bookmarkStart w:id="14" w:name="_Hlt68072998"/>
      <w:bookmarkEnd w:id="14"/>
      <w:bookmarkStart w:id="15" w:name="_Hlt75236101"/>
      <w:bookmarkEnd w:id="15"/>
      <w:bookmarkStart w:id="16" w:name="_Hlt75236011"/>
      <w:bookmarkEnd w:id="16"/>
      <w:bookmarkStart w:id="17" w:name="_Hlt74714665"/>
      <w:bookmarkEnd w:id="17"/>
      <w:bookmarkStart w:id="18" w:name="_Hlt68073093"/>
      <w:bookmarkEnd w:id="18"/>
      <w:bookmarkStart w:id="19" w:name="_Hlt75236290"/>
      <w:bookmarkEnd w:id="19"/>
      <w:bookmarkStart w:id="20" w:name="_Hlt68403820"/>
      <w:bookmarkEnd w:id="20"/>
      <w:bookmarkStart w:id="21" w:name="_Hlt68057669"/>
      <w:bookmarkEnd w:id="21"/>
      <w:bookmarkStart w:id="22" w:name="_Hlt74707468"/>
      <w:bookmarkEnd w:id="22"/>
      <w:bookmarkStart w:id="23" w:name="_Hlt74730295"/>
      <w:bookmarkEnd w:id="23"/>
    </w:p>
    <w:bookmarkEnd w:id="9"/>
    <w:bookmarkEnd w:id="10"/>
    <w:p>
      <w:pPr>
        <w:spacing w:line="360" w:lineRule="auto"/>
        <w:jc w:val="center"/>
        <w:outlineLvl w:val="0"/>
        <w:rPr>
          <w:rFonts w:ascii="仿宋" w:hAnsi="仿宋" w:eastAsia="仿宋" w:cs="仿宋_GB2312"/>
          <w:b/>
          <w:color w:val="auto"/>
          <w:sz w:val="36"/>
          <w:szCs w:val="36"/>
          <w:highlight w:val="none"/>
        </w:rPr>
      </w:pPr>
      <w:bookmarkStart w:id="24"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一、项目概况</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本采购项目为杭州市钱塘区人民政府白杨街道办事处特保服务外包项目，采购人为杭州市钱塘区人民政府白杨街道办事处，实际需求单位为杭州市公安局钱塘区分局白杨***。</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25" w:name="二、项目需求"/>
      <w:bookmarkEnd w:id="25"/>
      <w:r>
        <w:rPr>
          <w:rFonts w:hint="eastAsia" w:ascii="仿宋_GB2312" w:hAnsi="仿宋" w:eastAsia="仿宋_GB2312" w:cs="Helvetica"/>
          <w:b/>
          <w:bCs/>
          <w:snapToGrid/>
          <w:color w:val="auto"/>
          <w:kern w:val="0"/>
          <w:sz w:val="24"/>
          <w:szCs w:val="24"/>
          <w:highlight w:val="none"/>
          <w:lang w:val="en-US" w:eastAsia="zh-CN" w:bidi="ar-SA"/>
        </w:rPr>
        <w:t>二、项目需求</w:t>
      </w:r>
    </w:p>
    <w:tbl>
      <w:tblPr>
        <w:tblStyle w:val="62"/>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4"/>
        <w:gridCol w:w="1616"/>
        <w:gridCol w:w="1521"/>
        <w:gridCol w:w="4131"/>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exact"/>
          <w:jc w:val="center"/>
        </w:trPr>
        <w:tc>
          <w:tcPr>
            <w:tcW w:w="754"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序号</w:t>
            </w:r>
          </w:p>
        </w:tc>
        <w:tc>
          <w:tcPr>
            <w:tcW w:w="1616"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标项名称</w:t>
            </w:r>
          </w:p>
        </w:tc>
        <w:tc>
          <w:tcPr>
            <w:tcW w:w="1521"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预算金额</w:t>
            </w:r>
          </w:p>
        </w:tc>
        <w:tc>
          <w:tcPr>
            <w:tcW w:w="4131"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使用单位</w:t>
            </w:r>
          </w:p>
        </w:tc>
        <w:tc>
          <w:tcPr>
            <w:tcW w:w="1259"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拟需求人数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exact"/>
          <w:jc w:val="center"/>
        </w:trPr>
        <w:tc>
          <w:tcPr>
            <w:tcW w:w="754"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w:t>
            </w:r>
          </w:p>
        </w:tc>
        <w:tc>
          <w:tcPr>
            <w:tcW w:w="1616"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白杨街道特保服务外包项目</w:t>
            </w:r>
          </w:p>
        </w:tc>
        <w:tc>
          <w:tcPr>
            <w:tcW w:w="1521"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default"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758万元</w:t>
            </w:r>
          </w:p>
        </w:tc>
        <w:tc>
          <w:tcPr>
            <w:tcW w:w="4131"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杭州市公安局钱塘新区分局白杨***</w:t>
            </w:r>
          </w:p>
        </w:tc>
        <w:tc>
          <w:tcPr>
            <w:tcW w:w="1259" w:type="dxa"/>
            <w:vAlign w:val="center"/>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70 人</w:t>
            </w:r>
          </w:p>
        </w:tc>
      </w:tr>
    </w:tbl>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26" w:name="三、人员要求"/>
      <w:bookmarkEnd w:id="26"/>
      <w:r>
        <w:rPr>
          <w:rFonts w:hint="eastAsia" w:ascii="仿宋_GB2312" w:hAnsi="仿宋" w:eastAsia="仿宋_GB2312" w:cs="Helvetica"/>
          <w:b/>
          <w:bCs/>
          <w:snapToGrid/>
          <w:color w:val="auto"/>
          <w:kern w:val="0"/>
          <w:sz w:val="24"/>
          <w:szCs w:val="24"/>
          <w:highlight w:val="none"/>
          <w:lang w:val="en-US" w:eastAsia="zh-CN" w:bidi="ar-SA"/>
        </w:rPr>
        <w:t>三、人员要求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 w:hAnsi="仿宋" w:eastAsia="仿宋" w:cs="仿宋"/>
          <w:b/>
          <w:bCs/>
          <w:kern w:val="0"/>
          <w:sz w:val="24"/>
          <w:szCs w:val="20"/>
          <w:u w:val="none"/>
        </w:rPr>
        <w:t>▲</w:t>
      </w:r>
      <w:r>
        <w:rPr>
          <w:rFonts w:hint="eastAsia" w:ascii="仿宋_GB2312" w:hAnsi="仿宋" w:eastAsia="仿宋_GB2312" w:cs="Helvetica"/>
          <w:b/>
          <w:bCs/>
          <w:snapToGrid/>
          <w:color w:val="auto"/>
          <w:kern w:val="0"/>
          <w:sz w:val="24"/>
          <w:szCs w:val="24"/>
          <w:highlight w:val="none"/>
          <w:lang w:val="en-US" w:eastAsia="zh-CN" w:bidi="ar-SA"/>
        </w:rPr>
        <w:t>（一）特保人员数量需求：</w:t>
      </w:r>
      <w:r>
        <w:rPr>
          <w:rFonts w:hint="eastAsia" w:ascii="仿宋_GB2312" w:hAnsi="仿宋" w:eastAsia="仿宋_GB2312" w:cs="Helvetica"/>
          <w:snapToGrid/>
          <w:color w:val="auto"/>
          <w:kern w:val="0"/>
          <w:sz w:val="24"/>
          <w:szCs w:val="24"/>
          <w:highlight w:val="none"/>
          <w:lang w:val="en-US" w:eastAsia="zh-CN" w:bidi="ar-SA"/>
        </w:rPr>
        <w:t>70名。</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（二）特保队员素质要求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w:t>
      </w:r>
      <w:r>
        <w:rPr>
          <w:rFonts w:hint="eastAsia" w:ascii="仿宋" w:hAnsi="仿宋" w:eastAsia="仿宋" w:cs="仿宋"/>
          <w:kern w:val="0"/>
          <w:sz w:val="24"/>
          <w:szCs w:val="20"/>
        </w:rPr>
        <w:t>特保人员应知法</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懂法</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守法</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依法办事</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必须严格遵守从业规范，遵守相关部门的相关管理规定</w:t>
      </w:r>
      <w:r>
        <w:rPr>
          <w:rFonts w:hint="eastAsia" w:ascii="仿宋" w:hAnsi="仿宋" w:eastAsia="仿宋" w:cs="仿宋"/>
          <w:kern w:val="0"/>
          <w:sz w:val="24"/>
          <w:szCs w:val="20"/>
          <w:lang w:eastAsia="zh-CN"/>
        </w:rPr>
        <w:t>；</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特保人员户籍不限，面向全国；身高要求男性170CM及以上；任何一眼矫正视力不低于4.8或矫正度数不超过600度；年龄一般为35周岁以下；身体健康，体貌端正；没有传染病及精神病等不能控制自己行为能力的疾病病史。</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3、特保队员具备高中以上学历,无犯罪记录，具有省公安厅颁发的《保安员证》,应急小组成员具有一定的擒拿格斗经验技能；</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4、经三甲医院体检合格；</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5、退伍军人或有特保相关工作经验的可视情况适当放宽条件；</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6、特保队伍人员组成要求,退伍军人占比不少于总人数的30%；</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7、队长要从事特保工作3年以上,高中及以上学历，一般应担任过部队班长以上职务,持三级及以上保安员资格证书。</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（三）队伍结构要求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1、人员结构合理；</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2、人岗相适度高；</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3、储备队员充足。</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27" w:name="四、装备要求"/>
      <w:bookmarkEnd w:id="27"/>
      <w:r>
        <w:rPr>
          <w:rFonts w:hint="eastAsia" w:ascii="仿宋_GB2312" w:hAnsi="仿宋" w:eastAsia="仿宋_GB2312" w:cs="Helvetica"/>
          <w:b/>
          <w:bCs/>
          <w:snapToGrid/>
          <w:color w:val="auto"/>
          <w:kern w:val="0"/>
          <w:sz w:val="24"/>
          <w:szCs w:val="24"/>
          <w:highlight w:val="none"/>
          <w:lang w:val="en-US" w:eastAsia="zh-CN" w:bidi="ar-SA"/>
        </w:rPr>
        <w:t>四、装备要求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相关服装装备及车辆均由中标人配备齐全，相关费用包含在投标总价中。具体如下：</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（一）个人服装及装备</w:t>
      </w:r>
    </w:p>
    <w:tbl>
      <w:tblPr>
        <w:tblStyle w:val="62"/>
        <w:tblW w:w="0" w:type="auto"/>
        <w:jc w:val="center"/>
        <w:tblLayout w:type="fixed"/>
        <w:tblCellMar>
          <w:top w:w="0" w:type="dxa"/>
          <w:left w:w="0" w:type="dxa"/>
          <w:bottom w:w="0" w:type="dxa"/>
          <w:right w:w="0" w:type="dxa"/>
        </w:tblCellMar>
      </w:tblPr>
      <w:tblGrid>
        <w:gridCol w:w="835"/>
        <w:gridCol w:w="5561"/>
        <w:gridCol w:w="2582"/>
      </w:tblGrid>
      <w:tr>
        <w:tblPrEx>
          <w:tblCellMar>
            <w:top w:w="0" w:type="dxa"/>
            <w:left w:w="0" w:type="dxa"/>
            <w:bottom w:w="0" w:type="dxa"/>
            <w:right w:w="0" w:type="dxa"/>
          </w:tblCellMar>
        </w:tblPrEx>
        <w:trPr>
          <w:trHeight w:val="421"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序号</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品</w:t>
            </w:r>
            <w:r>
              <w:rPr>
                <w:rFonts w:hint="eastAsia" w:ascii="仿宋_GB2312" w:hAnsi="仿宋" w:eastAsia="仿宋_GB2312" w:cs="Helvetica"/>
                <w:b/>
                <w:bCs/>
                <w:snapToGrid/>
                <w:color w:val="auto"/>
                <w:kern w:val="0"/>
                <w:sz w:val="24"/>
                <w:szCs w:val="24"/>
                <w:highlight w:val="none"/>
                <w:lang w:val="en-US" w:eastAsia="zh-CN" w:bidi="ar-SA"/>
              </w:rPr>
              <w:tab/>
            </w:r>
            <w:r>
              <w:rPr>
                <w:rFonts w:hint="eastAsia" w:ascii="仿宋_GB2312" w:hAnsi="仿宋" w:eastAsia="仿宋_GB2312" w:cs="Helvetica"/>
                <w:b/>
                <w:bCs/>
                <w:snapToGrid/>
                <w:color w:val="auto"/>
                <w:kern w:val="0"/>
                <w:sz w:val="24"/>
                <w:szCs w:val="24"/>
                <w:highlight w:val="none"/>
                <w:lang w:val="en-US" w:eastAsia="zh-CN" w:bidi="ar-SA"/>
              </w:rPr>
              <w:t>名</w:t>
            </w:r>
          </w:p>
        </w:tc>
        <w:tc>
          <w:tcPr>
            <w:tcW w:w="2582"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default"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备</w:t>
            </w:r>
            <w:r>
              <w:rPr>
                <w:rFonts w:hint="eastAsia" w:ascii="仿宋_GB2312" w:hAnsi="仿宋" w:eastAsia="仿宋_GB2312" w:cs="Helvetica"/>
                <w:b/>
                <w:bCs/>
                <w:snapToGrid/>
                <w:color w:val="auto"/>
                <w:kern w:val="0"/>
                <w:sz w:val="24"/>
                <w:szCs w:val="24"/>
                <w:highlight w:val="none"/>
                <w:lang w:val="en-US" w:eastAsia="zh-CN" w:bidi="ar-SA"/>
              </w:rPr>
              <w:tab/>
            </w:r>
            <w:r>
              <w:rPr>
                <w:rFonts w:hint="eastAsia" w:ascii="仿宋_GB2312" w:hAnsi="仿宋" w:eastAsia="仿宋_GB2312" w:cs="Helvetica"/>
                <w:b/>
                <w:bCs/>
                <w:snapToGrid/>
                <w:color w:val="auto"/>
                <w:kern w:val="0"/>
                <w:sz w:val="24"/>
                <w:szCs w:val="24"/>
                <w:highlight w:val="none"/>
                <w:lang w:val="en-US" w:eastAsia="zh-CN" w:bidi="ar-SA"/>
              </w:rPr>
              <w:t>注</w:t>
            </w:r>
          </w:p>
        </w:tc>
      </w:tr>
      <w:tr>
        <w:tblPrEx>
          <w:tblCellMar>
            <w:top w:w="0" w:type="dxa"/>
            <w:left w:w="0" w:type="dxa"/>
            <w:bottom w:w="0" w:type="dxa"/>
            <w:right w:w="0" w:type="dxa"/>
          </w:tblCellMar>
        </w:tblPrEx>
        <w:trPr>
          <w:trHeight w:val="421"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left"/>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四件套（对讲机、强光手电、甩棍、防割手套）</w:t>
            </w:r>
          </w:p>
        </w:tc>
        <w:tc>
          <w:tcPr>
            <w:tcW w:w="258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eastAsia" w:ascii="仿宋_GB2312" w:hAnsi="仿宋" w:eastAsia="仿宋_GB2312" w:cs="Helvetica"/>
                <w:snapToGrid/>
                <w:color w:val="auto"/>
                <w:kern w:val="0"/>
                <w:sz w:val="24"/>
                <w:szCs w:val="24"/>
                <w:highlight w:val="none"/>
                <w:lang w:val="en-US" w:eastAsia="zh-CN" w:bidi="ar-SA"/>
              </w:rPr>
            </w:pPr>
          </w:p>
        </w:tc>
      </w:tr>
      <w:tr>
        <w:tblPrEx>
          <w:tblCellMar>
            <w:top w:w="0" w:type="dxa"/>
            <w:left w:w="0" w:type="dxa"/>
            <w:bottom w:w="0" w:type="dxa"/>
            <w:right w:w="0" w:type="dxa"/>
          </w:tblCellMar>
        </w:tblPrEx>
        <w:trPr>
          <w:trHeight w:val="421"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left"/>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特勤靴</w:t>
            </w:r>
          </w:p>
        </w:tc>
        <w:tc>
          <w:tcPr>
            <w:tcW w:w="2582"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p>
        </w:tc>
      </w:tr>
      <w:tr>
        <w:tblPrEx>
          <w:tblCellMar>
            <w:top w:w="0" w:type="dxa"/>
            <w:left w:w="0" w:type="dxa"/>
            <w:bottom w:w="0" w:type="dxa"/>
            <w:right w:w="0" w:type="dxa"/>
          </w:tblCellMar>
        </w:tblPrEx>
        <w:trPr>
          <w:trHeight w:val="421"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left"/>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特勤服(春、夏)各 2 套/人</w:t>
            </w:r>
          </w:p>
        </w:tc>
        <w:tc>
          <w:tcPr>
            <w:tcW w:w="2582"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center"/>
              <w:textAlignment w:val="auto"/>
              <w:rPr>
                <w:rFonts w:hint="eastAsia" w:ascii="仿宋_GB2312" w:hAnsi="仿宋" w:eastAsia="仿宋_GB2312" w:cs="Helvetica"/>
                <w:snapToGrid/>
                <w:color w:val="auto"/>
                <w:kern w:val="0"/>
                <w:sz w:val="24"/>
                <w:szCs w:val="24"/>
                <w:highlight w:val="none"/>
                <w:lang w:val="en-US" w:eastAsia="zh-CN" w:bidi="ar-SA"/>
              </w:rPr>
            </w:pPr>
          </w:p>
        </w:tc>
      </w:tr>
      <w:tr>
        <w:tblPrEx>
          <w:tblCellMar>
            <w:top w:w="0" w:type="dxa"/>
            <w:left w:w="0" w:type="dxa"/>
            <w:bottom w:w="0" w:type="dxa"/>
            <w:right w:w="0" w:type="dxa"/>
          </w:tblCellMar>
        </w:tblPrEx>
        <w:trPr>
          <w:trHeight w:val="421"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left"/>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警用肩灯</w:t>
            </w:r>
          </w:p>
        </w:tc>
        <w:tc>
          <w:tcPr>
            <w:tcW w:w="258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p>
        </w:tc>
      </w:tr>
      <w:tr>
        <w:tblPrEx>
          <w:tblCellMar>
            <w:top w:w="0" w:type="dxa"/>
            <w:left w:w="0" w:type="dxa"/>
            <w:bottom w:w="0" w:type="dxa"/>
            <w:right w:w="0" w:type="dxa"/>
          </w:tblCellMar>
        </w:tblPrEx>
        <w:trPr>
          <w:trHeight w:val="421"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5</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left"/>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雨衣</w:t>
            </w:r>
          </w:p>
        </w:tc>
        <w:tc>
          <w:tcPr>
            <w:tcW w:w="258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p>
        </w:tc>
      </w:tr>
      <w:tr>
        <w:tblPrEx>
          <w:tblCellMar>
            <w:top w:w="0" w:type="dxa"/>
            <w:left w:w="0" w:type="dxa"/>
            <w:bottom w:w="0" w:type="dxa"/>
            <w:right w:w="0" w:type="dxa"/>
          </w:tblCellMar>
        </w:tblPrEx>
        <w:trPr>
          <w:trHeight w:val="430" w:hRule="exact"/>
          <w:jc w:val="center"/>
        </w:trPr>
        <w:tc>
          <w:tcPr>
            <w:tcW w:w="83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6</w:t>
            </w:r>
          </w:p>
        </w:tc>
        <w:tc>
          <w:tcPr>
            <w:tcW w:w="5561"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left"/>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反光背心</w:t>
            </w:r>
          </w:p>
        </w:tc>
        <w:tc>
          <w:tcPr>
            <w:tcW w:w="258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0" w:line="360" w:lineRule="auto"/>
              <w:ind w:right="0"/>
              <w:jc w:val="center"/>
              <w:textAlignment w:val="auto"/>
              <w:rPr>
                <w:rFonts w:hint="eastAsia" w:ascii="仿宋_GB2312" w:hAnsi="仿宋" w:eastAsia="仿宋_GB2312" w:cs="Helvetica"/>
                <w:snapToGrid/>
                <w:color w:val="auto"/>
                <w:kern w:val="0"/>
                <w:sz w:val="24"/>
                <w:szCs w:val="24"/>
                <w:highlight w:val="none"/>
                <w:lang w:val="en-US" w:eastAsia="zh-CN" w:bidi="ar-SA"/>
              </w:rPr>
            </w:pPr>
          </w:p>
        </w:tc>
      </w:tr>
    </w:tbl>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28" w:name="五、工作职责"/>
      <w:bookmarkEnd w:id="28"/>
      <w:r>
        <w:rPr>
          <w:rFonts w:hint="eastAsia" w:ascii="仿宋_GB2312" w:hAnsi="仿宋" w:eastAsia="仿宋_GB2312" w:cs="Helvetica"/>
          <w:b/>
          <w:bCs/>
          <w:snapToGrid/>
          <w:color w:val="auto"/>
          <w:kern w:val="0"/>
          <w:sz w:val="24"/>
          <w:szCs w:val="24"/>
          <w:highlight w:val="none"/>
          <w:lang w:val="en-US" w:eastAsia="zh-CN" w:bidi="ar-SA"/>
        </w:rPr>
        <w:t>（二）车辆装备</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1、配备4辆燃油车，6辆4轮5座电动汽车，</w:t>
      </w:r>
      <w:r>
        <w:rPr>
          <w:rFonts w:hint="eastAsia" w:ascii="仿宋" w:hAnsi="仿宋" w:eastAsia="仿宋" w:cs="仿宋"/>
          <w:kern w:val="0"/>
          <w:sz w:val="24"/>
        </w:rPr>
        <w:t>由中标人负责提供</w:t>
      </w:r>
      <w:r>
        <w:rPr>
          <w:rFonts w:hint="eastAsia" w:ascii="仿宋_GB2312" w:hAnsi="仿宋" w:eastAsia="仿宋_GB2312" w:cs="Helvetica"/>
          <w:snapToGrid/>
          <w:color w:val="auto"/>
          <w:kern w:val="0"/>
          <w:sz w:val="24"/>
          <w:szCs w:val="24"/>
          <w:highlight w:val="none"/>
          <w:lang w:val="en-US" w:eastAsia="zh-CN" w:bidi="ar-SA"/>
        </w:rPr>
        <w:t>。</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2、新旧程度：全新</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default"/>
          <w:lang w:val="en-US" w:eastAsia="zh-CN"/>
        </w:rPr>
      </w:pPr>
      <w:r>
        <w:rPr>
          <w:rFonts w:hint="eastAsia" w:ascii="仿宋_GB2312" w:hAnsi="仿宋" w:eastAsia="仿宋_GB2312" w:cs="Helvetica"/>
          <w:snapToGrid/>
          <w:color w:val="auto"/>
          <w:kern w:val="0"/>
          <w:sz w:val="24"/>
          <w:szCs w:val="24"/>
          <w:highlight w:val="none"/>
          <w:lang w:val="en-US" w:eastAsia="zh-CN" w:bidi="ar-SA"/>
        </w:rPr>
        <w:t>3、</w:t>
      </w:r>
      <w:r>
        <w:rPr>
          <w:rFonts w:hint="eastAsia" w:ascii="仿宋" w:hAnsi="仿宋" w:eastAsia="仿宋" w:cs="仿宋"/>
          <w:kern w:val="0"/>
          <w:sz w:val="24"/>
        </w:rPr>
        <w:t>油费、修理费、保险等其他费用均由中标人负责，不得影响正常使用，交通工具以使用单位验收合格为准。</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五、工作职责</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1、对本辖区进行治安巡逻，预防、制止各类违法犯罪活动，维护治安秩序，确保一方平安。</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2、参与各类整治，配合做好社会面管控、重点部位巡查值守等工作。</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3、落实110应急联动，协助做好各类矛盾纠纷的排查、调解和化解工作。</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4、完成上级交办的其他工作任务。</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说明：特保人员具体的固定岗位及流动岗位设定、巡更点及路线、全天巡更次数等实施细则，必须按实际使用单位要求，由中标人无条件执行。</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六、培训制度及工作纪律</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1、培训制度</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（1）队员在上岗前必须经过专业培训，并以公安民警的标准严格要求自己。</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（2）培训包括政治思想、专业技能、理论知识等诸方面。</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（3）应根据特保队伍实际情况，制定出年度或阶段性培训计划。</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 xml:space="preserve">（4）特保队员应自觉接受专业培训，不得缺席，不迟到、不早退。 </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2、工作纪律</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（1）按时上下班，不得迟到、早退，严格执行请销假制度。</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（2）工作期间不办私事，不发生脱岗、串岗、睡岗现象。</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（3）工作期间按规定着装，携带装备。</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（4）上班前不得酗酒，上班期间不得饮酒，严禁酒后驾车。</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（5）文明执勤，实事就是，不包庇不纵容；严禁吃拿卡要和徇私舞弊。</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（6）严禁公车私用，或挪作他人使用。</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（7）严格遵守机关行为规范和工作职责。</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29" w:name="七、服务质量要求"/>
      <w:bookmarkEnd w:id="29"/>
      <w:r>
        <w:rPr>
          <w:rFonts w:hint="eastAsia" w:ascii="仿宋_GB2312" w:hAnsi="仿宋" w:eastAsia="仿宋_GB2312" w:cs="Helvetica"/>
          <w:b/>
          <w:bCs/>
          <w:snapToGrid/>
          <w:color w:val="auto"/>
          <w:kern w:val="0"/>
          <w:sz w:val="24"/>
          <w:szCs w:val="24"/>
          <w:highlight w:val="none"/>
          <w:lang w:val="en-US" w:eastAsia="zh-CN" w:bidi="ar-SA"/>
        </w:rPr>
        <w:t>七、服务要求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1、中标人应规范作业。相关人员配证上岗；执勤期内不做与执勤无关的事；须遵守相关行政执法部门的规章制度，执行相应的工作要求。</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中标人必须采取切实有效措施保持特保队伍的稳定，严格控制非违纪人员轮换岗比例，合同期限内轮换岗特保人数不得超过合同编制的10%；项目负责人或特保队长更换，应提前一个月以书面形式通知采购人，其他队员更换要提前三天告知采购人；确保服务质量不因人员变动而受影响。</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3、特保人员应聘、录用、离职等管理档案规范，手续齐全，相应资料必须报采购人备案。</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中标人负责提供特保人员值勤所需的防暑防雨用品、装备（含武装带、手电筒、巡逻包、反光背心等符合公安标准要求的装备）、器材、通讯设备、常用办公耗材、生活用水、电、通讯费用等；四季制服应按照采购人要求统一式样、标志标识，服装费用由中标人自行承担。</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snapToGrid/>
          <w:color w:val="auto"/>
          <w:kern w:val="0"/>
          <w:sz w:val="24"/>
          <w:szCs w:val="24"/>
          <w:highlight w:val="yellow"/>
          <w:lang w:val="en-US" w:eastAsia="zh-CN" w:bidi="ar-SA"/>
        </w:rPr>
      </w:pPr>
      <w:r>
        <w:rPr>
          <w:rFonts w:hint="eastAsia" w:ascii="仿宋" w:hAnsi="仿宋" w:eastAsia="仿宋" w:cs="仿宋"/>
          <w:b/>
          <w:bCs/>
          <w:sz w:val="24"/>
          <w:highlight w:val="none"/>
        </w:rPr>
        <w:t>特别提示：如采购文件中遗漏了必须具备的设备、配件、值勤所需品或服务，请投标人予以考虑在投标报价中，</w:t>
      </w:r>
      <w:r>
        <w:rPr>
          <w:rFonts w:hint="eastAsia" w:ascii="仿宋" w:hAnsi="仿宋" w:eastAsia="仿宋" w:cs="仿宋"/>
          <w:b/>
          <w:bCs/>
          <w:sz w:val="24"/>
          <w:highlight w:val="none"/>
          <w:lang w:eastAsia="zh-CN"/>
        </w:rPr>
        <w:t>合同总价</w:t>
      </w:r>
      <w:r>
        <w:rPr>
          <w:rFonts w:hint="eastAsia" w:ascii="仿宋" w:hAnsi="仿宋" w:eastAsia="仿宋" w:cs="仿宋"/>
          <w:b/>
          <w:bCs/>
          <w:sz w:val="24"/>
          <w:highlight w:val="none"/>
        </w:rPr>
        <w:t>包干，采购人不再另行支付其他费用。</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5、做好元旦、春节、清明节、劳动节、端午节、中秋节、国庆节等节假日及重大活动的配合和保障工作。</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6、配合做好防汛抗台、抗雪防冻、疫情防控等突发事件应急处理工作，确保突发事件及时处置得当。</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7、在服务期内采购人遇到突发事件时，中标人应无条件加班，服从采购人安排；一般情形下，应确保第一梯队不少于15人次能半小时内赶赴现场，第二梯队不少于25人次能1小时内赶赴现场保障到位。</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8、中标人确保服务响应时间及时。</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9、接到责任区域投拆电话和新闻舆论批</w:t>
      </w:r>
      <w:r>
        <w:rPr>
          <w:rFonts w:hint="eastAsia" w:ascii="仿宋" w:hAnsi="仿宋" w:eastAsia="仿宋" w:cs="仿宋"/>
          <w:kern w:val="0"/>
          <w:sz w:val="24"/>
          <w:szCs w:val="20"/>
        </w:rPr>
        <w:t>评，中标人应在24小时内处理完毕和及时进</w:t>
      </w:r>
      <w:r>
        <w:rPr>
          <w:rFonts w:hint="eastAsia" w:ascii="仿宋_GB2312" w:hAnsi="仿宋" w:eastAsia="仿宋_GB2312" w:cs="Helvetica"/>
          <w:snapToGrid/>
          <w:color w:val="auto"/>
          <w:kern w:val="0"/>
          <w:sz w:val="24"/>
          <w:szCs w:val="24"/>
          <w:highlight w:val="none"/>
          <w:lang w:val="en-US" w:eastAsia="zh-CN" w:bidi="ar-SA"/>
        </w:rPr>
        <w:t>行信息反馈。</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10、服务期间，如因中标人原因发生人身事故，由中标人承担全部责任，所产生费用由中标人全部承担；因中标人自身管理不善或使用不当造成的损失由中标人负责赔偿。</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 xml:space="preserve">11、如采购人检查发现中标人提供的特保服务不符合标准要求，中标人应立即进行整改，直到符合要求为止。采购人可根据考核标准从履约保证金中扣除中标人因检查不合格而应该扣罚的款项（扣罚款项在签订合同时明确），中标人需在扣除款项后的5日内及时补足履约保证金。 </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12、服务期内中标人应根据相关防疫主管部门的要求，做好相关防疫配合工作（包括但不仅限于健康码、行程码、核酸报告查验登记、现场消杀及防疫物资分发等）。中标人须提供详细的防疫方案，以便于做好防疫工作。</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13、各投标人须在对现场、周边环境全面了解的情况下编制科学合理、切实可行的组织实施计划以及具体的保障措施、工作程序。</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14、服务质量标准要求按采购人要求订立服务规程。投标人应制订具体的质量保证措施及质量保证和相关服务承诺。如因质量未达到目标，投标人应因此承担责任和经济赔偿。</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15、中标人须按现代企业制度运行，发挥自身优势，以热心、爱心、专心、贴心的服务，为采购人提供全方位、一体化的专业服务保障。确保采购人工作正常运转，各项重大活动顺利完成。</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16、采购人有权在需要时对相关人员做集中调配，此方式投标人必须认可。</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17、中标人达不到采购人要求及中标人投标时各项服务承诺，采购人有权要求其整改，直至扣款或终止合同。</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18、中标人所有的工作除应按中标人的内部流程实施外，还应接受采购人或采购人组织的检查组的检查。</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30" w:name="八、必要的考核"/>
      <w:bookmarkEnd w:id="30"/>
      <w:r>
        <w:rPr>
          <w:rFonts w:hint="eastAsia" w:ascii="仿宋_GB2312" w:hAnsi="仿宋" w:eastAsia="仿宋_GB2312" w:cs="Helvetica"/>
          <w:b/>
          <w:bCs/>
          <w:snapToGrid/>
          <w:color w:val="auto"/>
          <w:kern w:val="0"/>
          <w:sz w:val="24"/>
          <w:szCs w:val="24"/>
          <w:highlight w:val="none"/>
          <w:lang w:val="en-US" w:eastAsia="zh-CN" w:bidi="ar-SA"/>
        </w:rPr>
        <w:t>八、考核</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项目实施过程中，采购人有权对中标人的服务质量进行考核。考核频率为每月度一次，如达不到上述服务质量水平的，采购人将发出书面整改通知要求中标人予以整改,未及时整改扣当月考核分，连续两月考核未达标且未进行整改的，采购人有权提前终止合同。</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2、考虑到节假日或其他活动期间对特保人员的数量及服务区域、服务密度的要求，本项目应确保人员及时到位。</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所有人员均须持有合法有效身份证、健康证，无重大疾病史和传染病史，无残疾及其它生理缺陷。采购人对中标人派遣的服务人员进行考评，如素质不达标的，将予以劝退。同时，中标人有义务保证合格特保人员的稳定性（至少达到50%）。</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4、中标人必须严格按采购人要求做好各种工作报表、记录，如果未按要求做好工作报表与记录，被检查发现一次，则扣罚当月特保服务费10%。累计发现三次同类情况，扣罚特保服务费总额的20%。</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lang w:val="en-US" w:eastAsia="zh-CN"/>
        </w:rPr>
      </w:pPr>
      <w:r>
        <w:rPr>
          <w:rFonts w:hint="eastAsia" w:ascii="仿宋_GB2312" w:hAnsi="仿宋" w:eastAsia="仿宋_GB2312" w:cs="Helvetica"/>
          <w:snapToGrid/>
          <w:color w:val="auto"/>
          <w:kern w:val="0"/>
          <w:sz w:val="24"/>
          <w:szCs w:val="24"/>
          <w:highlight w:val="none"/>
          <w:lang w:val="en-US" w:eastAsia="zh-CN" w:bidi="ar-SA"/>
        </w:rPr>
        <w:t>5、中标人必须对下属服务人员严格管理，如发现服务人员有赌博、滋事、扰乱治安、偷盗物资等情况，发现一次则扣罚当月特保服务费10%。累计发现三次同类情况，扣罚特保服务费总额的20%。</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2" w:firstLineChars="20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b/>
          <w:bCs/>
          <w:snapToGrid/>
          <w:color w:val="auto"/>
          <w:kern w:val="0"/>
          <w:sz w:val="24"/>
          <w:szCs w:val="24"/>
          <w:highlight w:val="none"/>
          <w:lang w:val="en-US" w:eastAsia="zh-CN" w:bidi="ar-SA"/>
        </w:rPr>
        <w:t>说明：具体考核细则由实际使用单位制定。</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right="0"/>
        <w:jc w:val="both"/>
        <w:textAlignment w:val="auto"/>
        <w:rPr>
          <w:rFonts w:hint="eastAsia" w:ascii="仿宋_GB2312" w:hAnsi="仿宋" w:eastAsia="仿宋_GB2312" w:cs="Helvetica"/>
          <w:b/>
          <w:bCs/>
          <w:snapToGrid/>
          <w:color w:val="auto"/>
          <w:kern w:val="0"/>
          <w:sz w:val="24"/>
          <w:szCs w:val="24"/>
          <w:highlight w:val="none"/>
          <w:lang w:val="en-US" w:eastAsia="zh-CN" w:bidi="ar-SA"/>
        </w:rPr>
      </w:pPr>
      <w:bookmarkStart w:id="31" w:name="九、经费结算"/>
      <w:bookmarkEnd w:id="31"/>
      <w:r>
        <w:rPr>
          <w:rFonts w:hint="eastAsia" w:ascii="仿宋_GB2312" w:hAnsi="仿宋" w:eastAsia="仿宋_GB2312" w:cs="Helvetica"/>
          <w:b/>
          <w:bCs/>
          <w:snapToGrid/>
          <w:color w:val="auto"/>
          <w:kern w:val="0"/>
          <w:sz w:val="24"/>
          <w:szCs w:val="24"/>
          <w:highlight w:val="none"/>
          <w:lang w:val="en-US" w:eastAsia="zh-CN" w:bidi="ar-SA"/>
        </w:rPr>
        <w:t>九、服务期限</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b/>
          <w:bCs/>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自合同签订并生效之日起一年。</w:t>
      </w:r>
    </w:p>
    <w:p>
      <w:pPr>
        <w:pStyle w:val="4"/>
        <w:keepNext/>
        <w:keepLines/>
        <w:pageBreakBefore w:val="0"/>
        <w:widowControl w:val="0"/>
        <w:kinsoku/>
        <w:wordWrap/>
        <w:overflowPunct/>
        <w:topLinePunct w:val="0"/>
        <w:autoSpaceDE/>
        <w:autoSpaceDN/>
        <w:bidi w:val="0"/>
        <w:adjustRightInd/>
        <w:snapToGrid/>
        <w:spacing w:line="360" w:lineRule="auto"/>
        <w:ind w:left="0" w:firstLine="0"/>
        <w:textAlignment w:val="auto"/>
        <w:rPr>
          <w:rFonts w:hint="default" w:ascii="仿宋" w:hAnsi="仿宋" w:eastAsia="仿宋" w:cs="仿宋"/>
          <w:b/>
          <w:bCs/>
          <w:kern w:val="0"/>
          <w:sz w:val="24"/>
          <w:szCs w:val="24"/>
          <w:highlight w:val="none"/>
          <w:lang w:val="en-US" w:eastAsia="zh-CN"/>
        </w:rPr>
      </w:pPr>
      <w:bookmarkStart w:id="32" w:name="十二、其他要求"/>
      <w:bookmarkEnd w:id="32"/>
      <w:bookmarkStart w:id="33" w:name="十一、相关场地提供"/>
      <w:bookmarkEnd w:id="33"/>
      <w:bookmarkStart w:id="34" w:name="_Toc24940"/>
      <w:bookmarkStart w:id="35" w:name="_Toc19274"/>
      <w:bookmarkStart w:id="36" w:name="_Toc24056"/>
      <w:bookmarkStart w:id="37" w:name="_Toc17154"/>
      <w:bookmarkStart w:id="38" w:name="_Toc16266"/>
      <w:r>
        <w:rPr>
          <w:rFonts w:hint="eastAsia" w:ascii="仿宋" w:eastAsia="仿宋" w:cs="仿宋"/>
          <w:kern w:val="0"/>
          <w:sz w:val="24"/>
          <w:szCs w:val="24"/>
          <w:highlight w:val="none"/>
          <w:lang w:val="en-US" w:eastAsia="zh-CN"/>
        </w:rPr>
        <w:t>十</w:t>
      </w:r>
      <w:r>
        <w:rPr>
          <w:rFonts w:hint="eastAsia" w:ascii="仿宋" w:hAnsi="仿宋" w:eastAsia="仿宋" w:cs="仿宋"/>
          <w:kern w:val="0"/>
          <w:sz w:val="24"/>
          <w:szCs w:val="24"/>
          <w:highlight w:val="none"/>
        </w:rPr>
        <w:t>、</w:t>
      </w:r>
      <w:r>
        <w:rPr>
          <w:rFonts w:hint="eastAsia" w:ascii="仿宋" w:hAnsi="仿宋" w:eastAsia="仿宋" w:cs="仿宋"/>
          <w:b/>
          <w:bCs/>
          <w:kern w:val="0"/>
          <w:sz w:val="24"/>
          <w:szCs w:val="24"/>
          <w:highlight w:val="none"/>
          <w:lang w:val="en-US" w:eastAsia="zh-CN"/>
        </w:rPr>
        <w:t>商务要求</w:t>
      </w:r>
      <w:bookmarkEnd w:id="34"/>
      <w:bookmarkEnd w:id="35"/>
      <w:bookmarkEnd w:id="36"/>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_GB2312" w:hAnsi="仿宋" w:eastAsia="仿宋_GB2312" w:cs="Helvetica"/>
          <w:snapToGrid/>
          <w:color w:val="auto"/>
          <w:kern w:val="0"/>
          <w:sz w:val="24"/>
          <w:szCs w:val="24"/>
          <w:highlight w:val="none"/>
          <w:lang w:val="en-US" w:eastAsia="zh-CN" w:bidi="ar-SA"/>
        </w:rPr>
        <w:t>投标人应考虑企业自身实力、经验及项目实施过程中的各种因素，根据采购要求，详细说明所能提供的各项具体服务内容，在保证服务质量与最精简优化人员配备的前提下，</w:t>
      </w:r>
      <w:r>
        <w:rPr>
          <w:rFonts w:hint="eastAsia" w:ascii="仿宋_GB2312" w:hAnsi="仿宋" w:eastAsia="仿宋_GB2312" w:cs="Helvetica"/>
          <w:b/>
          <w:bCs/>
          <w:snapToGrid/>
          <w:color w:val="auto"/>
          <w:kern w:val="0"/>
          <w:sz w:val="24"/>
          <w:szCs w:val="24"/>
          <w:highlight w:val="none"/>
          <w:lang w:val="en-US" w:eastAsia="zh-CN" w:bidi="ar-SA"/>
        </w:rPr>
        <w:t>本项目实行总价包干</w:t>
      </w:r>
      <w:r>
        <w:rPr>
          <w:rFonts w:hint="eastAsia" w:ascii="仿宋_GB2312" w:hAnsi="仿宋" w:eastAsia="仿宋_GB2312" w:cs="Helvetica"/>
          <w:snapToGrid/>
          <w:color w:val="auto"/>
          <w:kern w:val="0"/>
          <w:sz w:val="24"/>
          <w:szCs w:val="24"/>
          <w:highlight w:val="none"/>
          <w:lang w:val="en-US" w:eastAsia="zh-CN" w:bidi="ar-SA"/>
        </w:rPr>
        <w:t>，并按服务的内容分别独立报价并提供报价组成与成本分析</w:t>
      </w: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本项目采用人民币报价。</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 w:hAnsi="仿宋" w:eastAsia="仿宋" w:cs="仿宋"/>
          <w:color w:val="auto"/>
          <w:sz w:val="24"/>
          <w:highlight w:val="none"/>
          <w:lang w:val="en-US" w:eastAsia="zh-CN"/>
        </w:rPr>
      </w:pPr>
      <w:r>
        <w:rPr>
          <w:rFonts w:hint="eastAsia" w:ascii="仿宋_GB2312" w:hAnsi="仿宋" w:eastAsia="仿宋_GB2312" w:cs="Helvetica"/>
          <w:snapToGrid/>
          <w:color w:val="auto"/>
          <w:kern w:val="0"/>
          <w:sz w:val="24"/>
          <w:szCs w:val="24"/>
          <w:highlight w:val="none"/>
          <w:lang w:val="en-US" w:eastAsia="zh-CN" w:bidi="ar-SA"/>
        </w:rPr>
        <w:t>2、所有特别人员的装备和服装费用由投标人自行负责配备，分类统一着装。</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3、</w:t>
      </w:r>
      <w:r>
        <w:rPr>
          <w:rFonts w:hint="eastAsia" w:ascii="仿宋_GB2312" w:hAnsi="仿宋" w:eastAsia="仿宋_GB2312" w:cs="Helvetica"/>
          <w:snapToGrid/>
          <w:color w:val="auto"/>
          <w:kern w:val="0"/>
          <w:sz w:val="24"/>
          <w:szCs w:val="24"/>
          <w:highlight w:val="none"/>
          <w:lang w:val="en-US" w:eastAsia="zh-CN" w:bidi="ar-SA"/>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r>
        <w:rPr>
          <w:rFonts w:hint="eastAsia" w:ascii="仿宋" w:hAnsi="仿宋" w:eastAsia="仿宋" w:cs="仿宋"/>
          <w:color w:val="auto"/>
          <w:sz w:val="24"/>
          <w:highlight w:val="none"/>
          <w:lang w:val="en-US" w:eastAsia="zh-CN"/>
        </w:rPr>
        <w:t>。</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完成本项目服务所涉及的一切费用由投标人承担。费用清单需详细列明，不详细的部分采购人有权按最好效果、最高标准执行。</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▲4、投标人员工基本工资最低不得低于当年杭州市</w:t>
      </w:r>
      <w:r>
        <w:rPr>
          <w:rFonts w:hint="eastAsia" w:ascii="仿宋_GB2312" w:hAnsi="仿宋" w:eastAsia="仿宋_GB2312" w:cs="Helvetica"/>
          <w:b/>
          <w:bCs/>
          <w:snapToGrid/>
          <w:color w:val="auto"/>
          <w:kern w:val="0"/>
          <w:sz w:val="24"/>
          <w:szCs w:val="24"/>
          <w:highlight w:val="none"/>
          <w:lang w:val="en-US" w:eastAsia="zh-CN" w:bidi="ar-SA"/>
        </w:rPr>
        <w:t>规定的</w:t>
      </w:r>
      <w:r>
        <w:rPr>
          <w:rFonts w:hint="eastAsia" w:ascii="仿宋" w:hAnsi="仿宋" w:eastAsia="仿宋" w:cs="仿宋"/>
          <w:b/>
          <w:bCs/>
          <w:color w:val="auto"/>
          <w:sz w:val="24"/>
          <w:highlight w:val="none"/>
          <w:lang w:val="en-US" w:eastAsia="zh-CN"/>
        </w:rPr>
        <w:t>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5、根据浙江省与杭州市相关文件规定，并结合本项目具体情况，投标人为服务人员缴纳基本社会保险，并承担企业承担部分（基本养老保险、基本医疗保险、失业保险、工伤保险、生育保险）。</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注：人员每人每月人工费用不得低于杭州市政府规定的最低工资及每名人员的社保均需正常缴纳及测算在内，否则评标委员可以认为低于成本价恶性竞争而判定为无效标。</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▲6、节假日补贴按年度11天计取，要求按最低发放工资标准的三倍发放节假日补贴。</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 xml:space="preserve">▲7、高温补贴共4个月（六、七、八、九共四月，逐月发放）按相关规定发放。 </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cyan"/>
          <w:lang w:val="en-US" w:eastAsia="zh-CN"/>
        </w:rPr>
      </w:pPr>
      <w:r>
        <w:rPr>
          <w:rFonts w:hint="eastAsia" w:ascii="仿宋_GB2312" w:hAnsi="仿宋" w:eastAsia="仿宋_GB2312" w:cs="Helvetica"/>
          <w:snapToGrid/>
          <w:color w:val="auto"/>
          <w:kern w:val="0"/>
          <w:sz w:val="24"/>
          <w:szCs w:val="24"/>
          <w:highlight w:val="none"/>
          <w:lang w:val="en-US" w:eastAsia="zh-CN" w:bidi="ar-SA"/>
        </w:rPr>
        <w:t>8、投标人拟派参与本项目的人数多于招标文件要求的人数时，须按拟派人员数量对上述几项进行报价。</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9、投标人应认真计算可能发生的各相关费用并计入报价内，在项目实施过程中不得借此要求增加任何费用，并不得出现选择性的报价。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10、采购代理费由中标人支付，计取标准详见前附表，相关成本支出由投标人自行考虑。</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宋体" w:hAnsi="宋体" w:cs="宋体"/>
          <w:b/>
          <w:bCs/>
          <w:szCs w:val="21"/>
          <w:highlight w:val="none"/>
        </w:rPr>
        <w:t>▲</w:t>
      </w:r>
      <w:r>
        <w:rPr>
          <w:rFonts w:hint="eastAsia" w:ascii="仿宋" w:hAnsi="仿宋" w:eastAsia="仿宋" w:cs="仿宋"/>
          <w:b/>
          <w:bCs/>
          <w:color w:val="auto"/>
          <w:sz w:val="24"/>
          <w:highlight w:val="none"/>
          <w:lang w:val="en-US" w:eastAsia="zh-CN"/>
        </w:rPr>
        <w:t>（二）采购预算及最高限价</w:t>
      </w:r>
    </w:p>
    <w:p>
      <w:pPr>
        <w:pStyle w:val="23"/>
        <w:adjustRightInd w:val="0"/>
        <w:snapToGrid w:val="0"/>
        <w:spacing w:after="0" w:line="360" w:lineRule="auto"/>
        <w:ind w:firstLine="482"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rPr>
        <w:t>采购预算为</w:t>
      </w:r>
      <w:r>
        <w:rPr>
          <w:rFonts w:hint="eastAsia" w:ascii="仿宋" w:hAnsi="仿宋" w:eastAsia="仿宋" w:cs="仿宋"/>
          <w:b/>
          <w:bCs/>
          <w:sz w:val="24"/>
          <w:highlight w:val="none"/>
          <w:lang w:val="en-US" w:eastAsia="zh-CN"/>
        </w:rPr>
        <w:t>：¥7580000</w:t>
      </w:r>
      <w:r>
        <w:rPr>
          <w:rFonts w:hint="eastAsia" w:ascii="仿宋" w:hAnsi="仿宋" w:eastAsia="仿宋" w:cs="仿宋"/>
          <w:b/>
          <w:bCs/>
          <w:sz w:val="24"/>
          <w:highlight w:val="none"/>
        </w:rPr>
        <w:t>元</w:t>
      </w:r>
    </w:p>
    <w:p>
      <w:pPr>
        <w:pStyle w:val="23"/>
        <w:adjustRightInd w:val="0"/>
        <w:snapToGrid w:val="0"/>
        <w:spacing w:after="0"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最高限价为</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¥7580000</w:t>
      </w:r>
      <w:r>
        <w:rPr>
          <w:rFonts w:hint="eastAsia" w:ascii="仿宋" w:hAnsi="仿宋" w:eastAsia="仿宋" w:cs="仿宋"/>
          <w:b/>
          <w:bCs/>
          <w:sz w:val="24"/>
          <w:highlight w:val="none"/>
        </w:rPr>
        <w:t>元</w:t>
      </w:r>
    </w:p>
    <w:p>
      <w:pPr>
        <w:pStyle w:val="23"/>
        <w:adjustRightInd w:val="0"/>
        <w:snapToGrid w:val="0"/>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sz w:val="24"/>
          <w:highlight w:val="none"/>
        </w:rPr>
        <w:t>超过最高</w:t>
      </w:r>
      <w:r>
        <w:rPr>
          <w:rFonts w:hint="eastAsia" w:ascii="仿宋" w:hAnsi="仿宋" w:eastAsia="仿宋" w:cs="仿宋"/>
          <w:b/>
          <w:bCs/>
          <w:sz w:val="24"/>
          <w:highlight w:val="none"/>
          <w:lang w:eastAsia="zh-CN"/>
        </w:rPr>
        <w:t>限价</w:t>
      </w:r>
      <w:r>
        <w:rPr>
          <w:rFonts w:hint="eastAsia" w:ascii="仿宋" w:hAnsi="仿宋" w:eastAsia="仿宋" w:cs="仿宋"/>
          <w:b/>
          <w:bCs/>
          <w:sz w:val="24"/>
          <w:highlight w:val="none"/>
        </w:rPr>
        <w:t>的投标将作无效标处理。</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（三）履约保证金</w:t>
      </w:r>
    </w:p>
    <w:p>
      <w:pPr>
        <w:pStyle w:val="23"/>
        <w:adjustRightInd w:val="0"/>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1、合同签</w:t>
      </w:r>
      <w:r>
        <w:rPr>
          <w:rFonts w:hint="eastAsia" w:ascii="仿宋" w:hAnsi="仿宋" w:eastAsia="仿宋" w:cs="仿宋"/>
          <w:bCs/>
          <w:sz w:val="24"/>
          <w:highlight w:val="none"/>
        </w:rPr>
        <w:t>订后</w:t>
      </w:r>
      <w:r>
        <w:rPr>
          <w:rFonts w:hint="eastAsia" w:ascii="仿宋" w:hAnsi="仿宋" w:eastAsia="仿宋" w:cs="仿宋"/>
          <w:sz w:val="24"/>
          <w:highlight w:val="none"/>
        </w:rPr>
        <w:t>5个工作日内，中标人向采购人支付</w:t>
      </w:r>
      <w:r>
        <w:rPr>
          <w:rFonts w:hint="eastAsia" w:ascii="仿宋" w:hAnsi="仿宋" w:eastAsia="仿宋" w:cs="仿宋"/>
          <w:sz w:val="24"/>
          <w:highlight w:val="none"/>
          <w:u w:val="single"/>
          <w:lang w:val="en-US" w:eastAsia="zh-CN"/>
        </w:rPr>
        <w:t>合同</w:t>
      </w:r>
      <w:r>
        <w:rPr>
          <w:rFonts w:hint="eastAsia" w:ascii="仿宋" w:hAnsi="仿宋" w:eastAsia="仿宋" w:cs="仿宋"/>
          <w:sz w:val="24"/>
          <w:highlight w:val="none"/>
          <w:u w:val="single"/>
        </w:rPr>
        <w:t>金额的</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w:t>
      </w:r>
      <w:r>
        <w:rPr>
          <w:rFonts w:hint="eastAsia" w:ascii="仿宋" w:hAnsi="仿宋" w:eastAsia="仿宋" w:cs="仿宋"/>
          <w:sz w:val="24"/>
          <w:highlight w:val="none"/>
        </w:rPr>
        <w:t>作为履约保证金。</w:t>
      </w:r>
    </w:p>
    <w:p>
      <w:pPr>
        <w:pStyle w:val="23"/>
        <w:adjustRightInd w:val="0"/>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2、接受</w:t>
      </w:r>
      <w:r>
        <w:rPr>
          <w:rFonts w:hint="eastAsia" w:ascii="仿宋" w:hAnsi="仿宋" w:eastAsia="仿宋" w:cs="仿宋"/>
          <w:sz w:val="24"/>
          <w:highlight w:val="none"/>
          <w:lang w:val="en-US" w:eastAsia="zh-CN"/>
        </w:rPr>
        <w:t>中标</w:t>
      </w:r>
      <w:r>
        <w:rPr>
          <w:rFonts w:hint="eastAsia" w:ascii="仿宋" w:hAnsi="仿宋" w:eastAsia="仿宋" w:cs="仿宋"/>
          <w:sz w:val="24"/>
          <w:highlight w:val="none"/>
        </w:rPr>
        <w:t>人以支票、汇票、本票、保函等非现金形式缴纳或提交履约保证金。</w:t>
      </w:r>
    </w:p>
    <w:p>
      <w:pPr>
        <w:pStyle w:val="23"/>
        <w:adjustRightInd w:val="0"/>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3、项目全部义务履约完毕，履约保证金无息退还。（如有违约款项，则扣除相应违约款项后无息退还）</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（四）付款方式</w:t>
      </w:r>
    </w:p>
    <w:p>
      <w:pPr>
        <w:adjustRightInd w:val="0"/>
        <w:snapToGrid w:val="0"/>
        <w:spacing w:line="360" w:lineRule="auto"/>
        <w:ind w:firstLine="480" w:firstLineChars="200"/>
        <w:rPr>
          <w:rFonts w:hint="eastAsia" w:ascii="仿宋" w:hAnsi="仿宋" w:eastAsia="仿宋" w:cs="仿宋"/>
          <w:sz w:val="24"/>
          <w:highlight w:val="none"/>
          <w:lang w:eastAsia="zh-CN"/>
        </w:rPr>
      </w:pPr>
      <w:bookmarkStart w:id="39" w:name="_Toc16131"/>
      <w:bookmarkStart w:id="40" w:name="_Toc132888838"/>
      <w:bookmarkStart w:id="41" w:name="_Toc223249716"/>
      <w:bookmarkStart w:id="42" w:name="_Toc418865233"/>
      <w:r>
        <w:rPr>
          <w:rFonts w:hint="eastAsia" w:ascii="仿宋" w:hAnsi="仿宋" w:eastAsia="仿宋" w:cs="仿宋"/>
          <w:sz w:val="24"/>
          <w:highlight w:val="none"/>
          <w:lang w:val="en-US" w:eastAsia="zh-CN"/>
        </w:rPr>
        <w:t>1、支付时间：按月支付</w:t>
      </w:r>
      <w:r>
        <w:rPr>
          <w:rFonts w:hint="eastAsia" w:ascii="仿宋" w:hAnsi="仿宋" w:eastAsia="仿宋" w:cs="仿宋"/>
          <w:sz w:val="24"/>
          <w:highlight w:val="none"/>
          <w:lang w:eastAsia="zh-CN"/>
        </w:rPr>
        <w:t>。</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2、支付方式：采购人</w:t>
      </w:r>
      <w:r>
        <w:rPr>
          <w:rFonts w:hint="eastAsia" w:ascii="仿宋_GB2312" w:hAnsi="仿宋" w:eastAsia="仿宋_GB2312" w:cs="Helvetica"/>
          <w:snapToGrid/>
          <w:color w:val="auto"/>
          <w:kern w:val="0"/>
          <w:sz w:val="24"/>
          <w:szCs w:val="24"/>
          <w:highlight w:val="none"/>
          <w:lang w:val="en-US" w:eastAsia="zh-CN" w:bidi="ar-SA"/>
        </w:rPr>
        <w:t>在每月25日前支付给中标人前一个月特保服务费用，中标人须于每月10日前给</w:t>
      </w:r>
      <w:r>
        <w:rPr>
          <w:rFonts w:hint="eastAsia" w:ascii="仿宋" w:hAnsi="仿宋" w:eastAsia="仿宋" w:cs="仿宋"/>
          <w:sz w:val="24"/>
          <w:highlight w:val="none"/>
          <w:lang w:val="en-US" w:eastAsia="zh-CN"/>
        </w:rPr>
        <w:t>采购人</w:t>
      </w:r>
      <w:r>
        <w:rPr>
          <w:rFonts w:hint="eastAsia" w:ascii="仿宋_GB2312" w:hAnsi="仿宋" w:eastAsia="仿宋_GB2312" w:cs="Helvetica"/>
          <w:snapToGrid/>
          <w:color w:val="auto"/>
          <w:kern w:val="0"/>
          <w:sz w:val="24"/>
          <w:szCs w:val="24"/>
          <w:highlight w:val="none"/>
          <w:lang w:val="en-US" w:eastAsia="zh-CN" w:bidi="ar-SA"/>
        </w:rPr>
        <w:t>正规、等额、合法、有效的发票和实际使用单位明确过的考勤表，</w:t>
      </w:r>
      <w:r>
        <w:rPr>
          <w:rFonts w:hint="eastAsia" w:ascii="仿宋_GB2312" w:hAnsi="仿宋_GB2312" w:eastAsia="仿宋_GB2312" w:cs="仿宋_GB2312"/>
          <w:sz w:val="24"/>
          <w:highlight w:val="none"/>
        </w:rPr>
        <w:t>否则</w:t>
      </w:r>
      <w:r>
        <w:rPr>
          <w:rFonts w:hint="eastAsia" w:ascii="仿宋" w:hAnsi="仿宋" w:eastAsia="仿宋" w:cs="仿宋"/>
          <w:sz w:val="24"/>
          <w:highlight w:val="none"/>
          <w:lang w:val="en-US" w:eastAsia="zh-CN"/>
        </w:rPr>
        <w:t>采购人</w:t>
      </w:r>
      <w:r>
        <w:rPr>
          <w:rFonts w:hint="eastAsia" w:ascii="仿宋_GB2312" w:hAnsi="仿宋_GB2312" w:eastAsia="仿宋_GB2312" w:cs="仿宋_GB2312"/>
          <w:sz w:val="24"/>
          <w:highlight w:val="none"/>
        </w:rPr>
        <w:t>有权延期付款，直至收到</w:t>
      </w:r>
      <w:r>
        <w:rPr>
          <w:rFonts w:hint="eastAsia" w:ascii="仿宋_GB2312" w:hAnsi="仿宋" w:eastAsia="仿宋_GB2312" w:cs="Helvetica"/>
          <w:snapToGrid/>
          <w:color w:val="auto"/>
          <w:kern w:val="0"/>
          <w:sz w:val="24"/>
          <w:szCs w:val="24"/>
          <w:highlight w:val="none"/>
          <w:lang w:val="en-US" w:eastAsia="zh-CN" w:bidi="ar-SA"/>
        </w:rPr>
        <w:t>中标人</w:t>
      </w:r>
      <w:r>
        <w:rPr>
          <w:rFonts w:hint="eastAsia" w:ascii="仿宋_GB2312" w:hAnsi="仿宋_GB2312" w:eastAsia="仿宋_GB2312" w:cs="仿宋_GB2312"/>
          <w:sz w:val="24"/>
          <w:highlight w:val="none"/>
        </w:rPr>
        <w:t>相应发票为止。</w:t>
      </w:r>
      <w:bookmarkEnd w:id="39"/>
      <w:bookmarkEnd w:id="40"/>
      <w:bookmarkEnd w:id="41"/>
      <w:bookmarkEnd w:id="42"/>
    </w:p>
    <w:p>
      <w:pPr>
        <w:pStyle w:val="4"/>
        <w:keepNext/>
        <w:keepLines/>
        <w:pageBreakBefore w:val="0"/>
        <w:widowControl w:val="0"/>
        <w:kinsoku/>
        <w:wordWrap/>
        <w:overflowPunct/>
        <w:topLinePunct w:val="0"/>
        <w:autoSpaceDE/>
        <w:autoSpaceDN/>
        <w:bidi w:val="0"/>
        <w:adjustRightInd/>
        <w:snapToGrid/>
        <w:spacing w:line="360" w:lineRule="auto"/>
        <w:ind w:left="0" w:firstLine="0"/>
        <w:textAlignment w:val="auto"/>
        <w:rPr>
          <w:rFonts w:hint="eastAsia" w:ascii="仿宋" w:eastAsia="仿宋" w:cs="仿宋"/>
          <w:kern w:val="0"/>
          <w:sz w:val="24"/>
          <w:szCs w:val="24"/>
          <w:highlight w:val="none"/>
          <w:lang w:eastAsia="zh-CN"/>
        </w:rPr>
      </w:pPr>
      <w:r>
        <w:rPr>
          <w:rFonts w:hint="eastAsia" w:ascii="仿宋" w:eastAsia="仿宋" w:cs="仿宋"/>
          <w:kern w:val="0"/>
          <w:sz w:val="24"/>
          <w:szCs w:val="24"/>
          <w:highlight w:val="none"/>
          <w:lang w:val="en-US" w:eastAsia="zh-CN"/>
        </w:rPr>
        <w:t>十一</w:t>
      </w:r>
      <w:r>
        <w:rPr>
          <w:rFonts w:hint="eastAsia" w:ascii="仿宋" w:eastAsia="仿宋" w:cs="仿宋"/>
          <w:kern w:val="0"/>
          <w:sz w:val="24"/>
          <w:szCs w:val="24"/>
          <w:highlight w:val="none"/>
          <w:lang w:eastAsia="zh-CN"/>
        </w:rPr>
        <w:t>、验收</w:t>
      </w:r>
      <w:bookmarkEnd w:id="37"/>
      <w:bookmarkEnd w:id="38"/>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1、验收主体：杭州市公安局钱塘区分局白杨***。</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2、采购人在中标人提供服务的过程中，有权不定期对服务内容和质量进行检查考核。中标人应当配合进行。</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3、最终验收时间：服务内容执行完毕、服务期截止后。</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4、验收程序：中标人向采购人提出申请验收，采购人按验收方案组织履约验收。中标人应将项目执行过程及时记录、收集、整理，向采购人递交验收申请资料。</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5、验收内容：中标人实际完成的情况是否符合招标文件要求和中标人在响应文件中的商务、技术承诺。</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6、验收标准：中标人已经按招标文件要求和中标人在响应文件中的商务、技术承诺完成项目执行。</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hint="eastAsia" w:ascii="仿宋_GB2312" w:hAnsi="仿宋" w:eastAsia="仿宋_GB2312" w:cs="Helvetica"/>
          <w:snapToGrid/>
          <w:color w:val="auto"/>
          <w:kern w:val="0"/>
          <w:sz w:val="24"/>
          <w:szCs w:val="24"/>
          <w:highlight w:val="none"/>
          <w:lang w:val="en-US" w:eastAsia="zh-CN" w:bidi="ar-SA"/>
        </w:rPr>
      </w:pPr>
      <w:r>
        <w:rPr>
          <w:rFonts w:hint="eastAsia" w:ascii="仿宋_GB2312" w:hAnsi="仿宋" w:eastAsia="仿宋_GB2312" w:cs="Helvetica"/>
          <w:snapToGrid/>
          <w:color w:val="auto"/>
          <w:kern w:val="0"/>
          <w:sz w:val="24"/>
          <w:szCs w:val="24"/>
          <w:highlight w:val="none"/>
          <w:lang w:val="en-US" w:eastAsia="zh-CN" w:bidi="ar-SA"/>
        </w:rPr>
        <w:t>7、验收时中标人应在现场，验收完毕后作出验收结果报告；验收产生的费用，由采购人承担。</w:t>
      </w:r>
    </w:p>
    <w:p>
      <w:pPr>
        <w:pStyle w:val="23"/>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jc w:val="both"/>
        <w:textAlignment w:val="auto"/>
        <w:rPr>
          <w:rFonts w:ascii="仿宋_GB2312" w:hAnsi="仿宋" w:eastAsia="仿宋_GB2312" w:cs="仿宋_GB2312"/>
          <w:b/>
          <w:color w:val="auto"/>
          <w:sz w:val="36"/>
          <w:szCs w:val="36"/>
          <w:highlight w:val="none"/>
        </w:rPr>
      </w:pPr>
      <w:r>
        <w:rPr>
          <w:rFonts w:hint="eastAsia" w:ascii="仿宋_GB2312" w:hAnsi="仿宋" w:eastAsia="仿宋_GB2312" w:cs="Helvetica"/>
          <w:snapToGrid/>
          <w:color w:val="auto"/>
          <w:kern w:val="0"/>
          <w:sz w:val="24"/>
          <w:szCs w:val="24"/>
          <w:highlight w:val="none"/>
          <w:lang w:val="en-US" w:eastAsia="zh-CN" w:bidi="ar-SA"/>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pPr>
        <w:widowControl/>
        <w:ind w:firstLine="720" w:firstLineChars="300"/>
        <w:jc w:val="left"/>
        <w:rPr>
          <w:rFonts w:ascii="仿宋" w:hAnsi="仿宋" w:eastAsia="仿宋"/>
          <w:bCs/>
          <w:color w:val="auto"/>
          <w:sz w:val="24"/>
          <w:highlight w:val="none"/>
        </w:rPr>
      </w:pPr>
    </w:p>
    <w:p>
      <w:pPr>
        <w:rPr>
          <w:rFonts w:ascii="仿宋" w:hAnsi="仿宋" w:eastAsia="仿宋" w:cs="Arial"/>
          <w:snapToGrid w:val="0"/>
          <w:color w:val="auto"/>
          <w:kern w:val="0"/>
          <w:sz w:val="24"/>
          <w:highlight w:val="none"/>
        </w:rPr>
      </w:pPr>
    </w:p>
    <w:p>
      <w:pP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43" w:name="_Toc184313281"/>
      <w:bookmarkEnd w:id="43"/>
      <w:bookmarkStart w:id="44" w:name="_Toc184313301"/>
      <w:bookmarkEnd w:id="44"/>
      <w:bookmarkStart w:id="45" w:name="_Toc184310331"/>
      <w:bookmarkEnd w:id="45"/>
      <w:bookmarkStart w:id="46" w:name="_Toc184312084"/>
      <w:bookmarkEnd w:id="46"/>
      <w:bookmarkStart w:id="47" w:name="_Toc184314422"/>
      <w:bookmarkEnd w:id="47"/>
      <w:bookmarkStart w:id="48" w:name="_Toc184308068"/>
      <w:bookmarkEnd w:id="48"/>
      <w:bookmarkStart w:id="49" w:name="_Toc184314436"/>
      <w:bookmarkEnd w:id="49"/>
      <w:bookmarkStart w:id="50" w:name="_Toc184314415"/>
      <w:bookmarkEnd w:id="50"/>
      <w:bookmarkStart w:id="51" w:name="_Toc184314425"/>
      <w:bookmarkEnd w:id="51"/>
      <w:bookmarkStart w:id="52" w:name="_Toc184313252"/>
      <w:bookmarkEnd w:id="52"/>
      <w:bookmarkStart w:id="53" w:name="_Toc184313240"/>
      <w:bookmarkEnd w:id="53"/>
      <w:bookmarkStart w:id="54" w:name="_Toc184312129"/>
      <w:bookmarkEnd w:id="54"/>
      <w:bookmarkStart w:id="55" w:name="_Toc184312071"/>
      <w:bookmarkEnd w:id="55"/>
      <w:bookmarkStart w:id="56" w:name="_Toc184314441"/>
      <w:bookmarkEnd w:id="56"/>
      <w:bookmarkStart w:id="57" w:name="_Toc184314464"/>
      <w:bookmarkEnd w:id="57"/>
      <w:bookmarkStart w:id="58" w:name="_Toc184314443"/>
      <w:bookmarkEnd w:id="58"/>
      <w:bookmarkStart w:id="59" w:name="_Toc184312109"/>
      <w:bookmarkEnd w:id="59"/>
      <w:bookmarkStart w:id="60" w:name="_Toc184314472"/>
      <w:bookmarkEnd w:id="60"/>
      <w:bookmarkStart w:id="61" w:name="_Toc184314451"/>
      <w:bookmarkEnd w:id="61"/>
      <w:bookmarkStart w:id="62" w:name="_Toc184308047"/>
      <w:bookmarkEnd w:id="62"/>
      <w:bookmarkStart w:id="63" w:name="_Toc184310273"/>
      <w:bookmarkEnd w:id="63"/>
      <w:bookmarkStart w:id="64" w:name="_Toc184310279"/>
      <w:bookmarkEnd w:id="64"/>
      <w:bookmarkStart w:id="65" w:name="_Toc184308095"/>
      <w:bookmarkEnd w:id="65"/>
      <w:bookmarkStart w:id="66" w:name="_Toc184313241"/>
      <w:bookmarkEnd w:id="66"/>
      <w:bookmarkStart w:id="67" w:name="_Toc184314444"/>
      <w:bookmarkEnd w:id="67"/>
      <w:bookmarkStart w:id="68" w:name="_Toc184313291"/>
      <w:bookmarkEnd w:id="68"/>
      <w:bookmarkStart w:id="69" w:name="_Toc184314424"/>
      <w:bookmarkEnd w:id="69"/>
      <w:bookmarkStart w:id="70" w:name="_Toc184310309"/>
      <w:bookmarkEnd w:id="70"/>
      <w:bookmarkStart w:id="71" w:name="_Toc184314456"/>
      <w:bookmarkEnd w:id="71"/>
      <w:bookmarkStart w:id="72" w:name="_Toc184312114"/>
      <w:bookmarkEnd w:id="72"/>
      <w:bookmarkStart w:id="73" w:name="_Toc184314417"/>
      <w:bookmarkEnd w:id="73"/>
      <w:bookmarkStart w:id="74" w:name="_Toc184308086"/>
      <w:bookmarkEnd w:id="74"/>
      <w:bookmarkStart w:id="75" w:name="_Toc184310328"/>
      <w:bookmarkEnd w:id="75"/>
      <w:bookmarkStart w:id="76" w:name="_Toc184310310"/>
      <w:bookmarkEnd w:id="76"/>
      <w:bookmarkStart w:id="77" w:name="_Toc184312136"/>
      <w:bookmarkEnd w:id="77"/>
      <w:bookmarkStart w:id="78" w:name="_Toc184314461"/>
      <w:bookmarkEnd w:id="78"/>
      <w:bookmarkStart w:id="79" w:name="_Toc184313289"/>
      <w:bookmarkEnd w:id="79"/>
      <w:bookmarkStart w:id="80" w:name="_Toc184313258"/>
      <w:bookmarkEnd w:id="80"/>
      <w:bookmarkStart w:id="81" w:name="_Toc184310302"/>
      <w:bookmarkEnd w:id="81"/>
      <w:bookmarkStart w:id="82" w:name="_Toc184310272"/>
      <w:bookmarkEnd w:id="82"/>
      <w:bookmarkStart w:id="83" w:name="_Toc184310284"/>
      <w:bookmarkEnd w:id="83"/>
      <w:bookmarkStart w:id="84" w:name="_Toc184308102"/>
      <w:bookmarkEnd w:id="84"/>
      <w:bookmarkStart w:id="85" w:name="_Toc184310291"/>
      <w:bookmarkEnd w:id="85"/>
      <w:bookmarkStart w:id="86" w:name="_Toc184310342"/>
      <w:bookmarkEnd w:id="86"/>
      <w:bookmarkStart w:id="87" w:name="_Toc184308064"/>
      <w:bookmarkEnd w:id="87"/>
      <w:bookmarkStart w:id="88" w:name="_Toc184313279"/>
      <w:bookmarkEnd w:id="88"/>
      <w:bookmarkStart w:id="89" w:name="_Toc184312068"/>
      <w:bookmarkEnd w:id="89"/>
      <w:bookmarkStart w:id="90" w:name="_Toc184310282"/>
      <w:bookmarkEnd w:id="90"/>
      <w:bookmarkStart w:id="91" w:name="_Toc184313270"/>
      <w:bookmarkEnd w:id="91"/>
      <w:bookmarkStart w:id="92" w:name="_Toc184313253"/>
      <w:bookmarkEnd w:id="92"/>
      <w:bookmarkStart w:id="93" w:name="_Toc184314474"/>
      <w:bookmarkEnd w:id="93"/>
      <w:bookmarkStart w:id="94" w:name="_Toc184308057"/>
      <w:bookmarkEnd w:id="94"/>
      <w:bookmarkStart w:id="95" w:name="_Toc184314432"/>
      <w:bookmarkEnd w:id="95"/>
      <w:bookmarkStart w:id="96" w:name="_Toc184314419"/>
      <w:bookmarkEnd w:id="96"/>
      <w:bookmarkStart w:id="97" w:name="_Toc184310306"/>
      <w:bookmarkEnd w:id="97"/>
      <w:bookmarkStart w:id="98" w:name="_Toc184314416"/>
      <w:bookmarkEnd w:id="98"/>
      <w:bookmarkStart w:id="99" w:name="_Toc184314410"/>
      <w:bookmarkEnd w:id="99"/>
      <w:bookmarkStart w:id="100" w:name="_Toc184308077"/>
      <w:bookmarkEnd w:id="100"/>
      <w:bookmarkStart w:id="101" w:name="_Toc184310337"/>
      <w:bookmarkEnd w:id="101"/>
      <w:bookmarkStart w:id="102" w:name="_Toc184308063"/>
      <w:bookmarkEnd w:id="102"/>
      <w:bookmarkStart w:id="103" w:name="_Toc184308073"/>
      <w:bookmarkEnd w:id="103"/>
      <w:bookmarkStart w:id="104" w:name="_Toc184312103"/>
      <w:bookmarkEnd w:id="104"/>
      <w:bookmarkStart w:id="105" w:name="_Toc184308072"/>
      <w:bookmarkEnd w:id="105"/>
      <w:bookmarkStart w:id="106" w:name="_Toc184314440"/>
      <w:bookmarkEnd w:id="106"/>
      <w:bookmarkStart w:id="107" w:name="_Toc184312083"/>
      <w:bookmarkEnd w:id="107"/>
      <w:bookmarkStart w:id="108" w:name="_Toc184310326"/>
      <w:bookmarkEnd w:id="108"/>
      <w:bookmarkStart w:id="109" w:name="_Toc184313246"/>
      <w:bookmarkEnd w:id="109"/>
      <w:bookmarkStart w:id="110" w:name="_Toc184314423"/>
      <w:bookmarkEnd w:id="110"/>
      <w:bookmarkStart w:id="111" w:name="_Toc184313259"/>
      <w:bookmarkEnd w:id="111"/>
      <w:bookmarkStart w:id="112" w:name="_Toc184312081"/>
      <w:bookmarkEnd w:id="112"/>
      <w:bookmarkStart w:id="113" w:name="_Toc184310320"/>
      <w:bookmarkEnd w:id="113"/>
      <w:bookmarkStart w:id="114" w:name="_Toc184308074"/>
      <w:bookmarkEnd w:id="114"/>
      <w:bookmarkStart w:id="115" w:name="_Toc184314481"/>
      <w:bookmarkEnd w:id="115"/>
      <w:bookmarkStart w:id="116" w:name="_Toc184308083"/>
      <w:bookmarkEnd w:id="116"/>
      <w:bookmarkStart w:id="117" w:name="_Toc184308065"/>
      <w:bookmarkEnd w:id="117"/>
      <w:bookmarkStart w:id="118" w:name="_Toc184308078"/>
      <w:bookmarkEnd w:id="118"/>
      <w:bookmarkStart w:id="119" w:name="_Toc184314475"/>
      <w:bookmarkEnd w:id="119"/>
      <w:bookmarkStart w:id="120" w:name="_Toc184312080"/>
      <w:bookmarkEnd w:id="120"/>
      <w:bookmarkStart w:id="121" w:name="_Toc184310290"/>
      <w:bookmarkEnd w:id="121"/>
      <w:bookmarkStart w:id="122" w:name="_Toc184312108"/>
      <w:bookmarkEnd w:id="122"/>
      <w:bookmarkStart w:id="123" w:name="_Toc184310324"/>
      <w:bookmarkEnd w:id="123"/>
      <w:bookmarkStart w:id="124" w:name="_Toc184308085"/>
      <w:bookmarkEnd w:id="124"/>
      <w:bookmarkStart w:id="125" w:name="_Toc184312106"/>
      <w:bookmarkEnd w:id="125"/>
      <w:bookmarkStart w:id="126" w:name="_Toc184314420"/>
      <w:bookmarkEnd w:id="126"/>
      <w:bookmarkStart w:id="127" w:name="_Toc184314468"/>
      <w:bookmarkEnd w:id="127"/>
      <w:bookmarkStart w:id="128" w:name="_Toc184308108"/>
      <w:bookmarkEnd w:id="128"/>
      <w:bookmarkStart w:id="129" w:name="_Toc184312100"/>
      <w:bookmarkEnd w:id="129"/>
      <w:bookmarkStart w:id="130" w:name="_Toc184314482"/>
      <w:bookmarkEnd w:id="130"/>
      <w:bookmarkStart w:id="131" w:name="_Toc184313295"/>
      <w:bookmarkEnd w:id="131"/>
      <w:bookmarkStart w:id="132" w:name="_Toc184313238"/>
      <w:bookmarkEnd w:id="132"/>
      <w:bookmarkStart w:id="133" w:name="_Toc184314446"/>
      <w:bookmarkEnd w:id="133"/>
      <w:bookmarkStart w:id="134" w:name="_Toc184308104"/>
      <w:bookmarkEnd w:id="134"/>
      <w:bookmarkStart w:id="135" w:name="_Toc184313293"/>
      <w:bookmarkEnd w:id="135"/>
      <w:bookmarkStart w:id="136" w:name="_Toc184313271"/>
      <w:bookmarkEnd w:id="136"/>
      <w:bookmarkStart w:id="137" w:name="_Toc184312076"/>
      <w:bookmarkEnd w:id="137"/>
      <w:bookmarkStart w:id="138" w:name="_Toc184310315"/>
      <w:bookmarkEnd w:id="138"/>
      <w:bookmarkStart w:id="139" w:name="_Toc184312074"/>
      <w:bookmarkEnd w:id="139"/>
      <w:bookmarkStart w:id="140" w:name="_Toc184310283"/>
      <w:bookmarkEnd w:id="140"/>
      <w:bookmarkStart w:id="141" w:name="_Toc184312104"/>
      <w:bookmarkEnd w:id="141"/>
      <w:bookmarkStart w:id="142" w:name="_Toc184310339"/>
      <w:bookmarkEnd w:id="142"/>
      <w:bookmarkStart w:id="143" w:name="_Toc184310313"/>
      <w:bookmarkEnd w:id="143"/>
      <w:bookmarkStart w:id="144" w:name="_Toc184310293"/>
      <w:bookmarkEnd w:id="144"/>
      <w:bookmarkStart w:id="145" w:name="_Toc184313239"/>
      <w:bookmarkEnd w:id="145"/>
      <w:bookmarkStart w:id="146" w:name="_Toc184313267"/>
      <w:bookmarkEnd w:id="146"/>
      <w:bookmarkStart w:id="147" w:name="_Toc184312138"/>
      <w:bookmarkEnd w:id="147"/>
      <w:bookmarkStart w:id="148" w:name="_Toc184308092"/>
      <w:bookmarkEnd w:id="148"/>
      <w:bookmarkStart w:id="149" w:name="_Toc184314465"/>
      <w:bookmarkEnd w:id="149"/>
      <w:bookmarkStart w:id="150" w:name="_Toc184310303"/>
      <w:bookmarkEnd w:id="150"/>
      <w:bookmarkStart w:id="151" w:name="_Toc184312099"/>
      <w:bookmarkEnd w:id="151"/>
      <w:bookmarkStart w:id="152" w:name="_Toc184312072"/>
      <w:bookmarkEnd w:id="152"/>
      <w:bookmarkStart w:id="153" w:name="_Toc184308058"/>
      <w:bookmarkEnd w:id="153"/>
      <w:bookmarkStart w:id="154" w:name="_Toc184314480"/>
      <w:bookmarkEnd w:id="154"/>
      <w:bookmarkStart w:id="155" w:name="_Toc184310311"/>
      <w:bookmarkEnd w:id="155"/>
      <w:bookmarkStart w:id="156" w:name="_Toc184314462"/>
      <w:bookmarkEnd w:id="156"/>
      <w:bookmarkStart w:id="157" w:name="_Toc184308071"/>
      <w:bookmarkEnd w:id="157"/>
      <w:bookmarkStart w:id="158" w:name="_Toc184308041"/>
      <w:bookmarkEnd w:id="158"/>
      <w:bookmarkStart w:id="159" w:name="_Toc184312124"/>
      <w:bookmarkEnd w:id="159"/>
      <w:bookmarkStart w:id="160" w:name="_Toc184308070"/>
      <w:bookmarkEnd w:id="160"/>
      <w:bookmarkStart w:id="161" w:name="_Toc184313269"/>
      <w:bookmarkEnd w:id="161"/>
      <w:bookmarkStart w:id="162" w:name="_Toc184310340"/>
      <w:bookmarkEnd w:id="162"/>
      <w:bookmarkStart w:id="163" w:name="_Toc184308084"/>
      <w:bookmarkEnd w:id="163"/>
      <w:bookmarkStart w:id="164" w:name="_Toc184310343"/>
      <w:bookmarkEnd w:id="164"/>
      <w:bookmarkStart w:id="165" w:name="_Toc184308038"/>
      <w:bookmarkEnd w:id="165"/>
      <w:bookmarkStart w:id="166" w:name="_Toc184313254"/>
      <w:bookmarkEnd w:id="166"/>
      <w:bookmarkStart w:id="167" w:name="_Toc184312101"/>
      <w:bookmarkEnd w:id="167"/>
      <w:bookmarkStart w:id="168" w:name="_Toc184308042"/>
      <w:bookmarkEnd w:id="168"/>
      <w:bookmarkStart w:id="169" w:name="_Toc184313302"/>
      <w:bookmarkEnd w:id="169"/>
      <w:bookmarkStart w:id="170" w:name="_Toc184313276"/>
      <w:bookmarkEnd w:id="170"/>
      <w:bookmarkStart w:id="171" w:name="_Toc184312132"/>
      <w:bookmarkEnd w:id="171"/>
      <w:bookmarkStart w:id="172" w:name="_Toc184310338"/>
      <w:bookmarkEnd w:id="172"/>
      <w:bookmarkStart w:id="173" w:name="_Toc184310308"/>
      <w:bookmarkEnd w:id="173"/>
      <w:bookmarkStart w:id="174" w:name="_Toc184308105"/>
      <w:bookmarkEnd w:id="174"/>
      <w:bookmarkStart w:id="175" w:name="_Toc184314473"/>
      <w:bookmarkEnd w:id="175"/>
      <w:bookmarkStart w:id="176" w:name="_Toc184310300"/>
      <w:bookmarkEnd w:id="176"/>
      <w:bookmarkStart w:id="177" w:name="_Toc184314455"/>
      <w:bookmarkEnd w:id="177"/>
      <w:bookmarkStart w:id="178" w:name="_Toc184313304"/>
      <w:bookmarkEnd w:id="178"/>
      <w:bookmarkStart w:id="179" w:name="_Toc184314460"/>
      <w:bookmarkEnd w:id="179"/>
      <w:bookmarkStart w:id="180" w:name="_Toc184314442"/>
      <w:bookmarkEnd w:id="180"/>
      <w:bookmarkStart w:id="181" w:name="_Toc184313242"/>
      <w:bookmarkEnd w:id="181"/>
      <w:bookmarkStart w:id="182" w:name="_Toc184313308"/>
      <w:bookmarkEnd w:id="182"/>
      <w:bookmarkStart w:id="183" w:name="_Toc184313257"/>
      <w:bookmarkEnd w:id="183"/>
      <w:bookmarkStart w:id="184" w:name="_Toc184312087"/>
      <w:bookmarkEnd w:id="184"/>
      <w:bookmarkStart w:id="185" w:name="_Toc184308067"/>
      <w:bookmarkEnd w:id="185"/>
      <w:bookmarkStart w:id="186" w:name="_Toc184310325"/>
      <w:bookmarkEnd w:id="186"/>
      <w:bookmarkStart w:id="187" w:name="_Toc184312067"/>
      <w:bookmarkEnd w:id="187"/>
      <w:bookmarkStart w:id="188" w:name="_Toc184310305"/>
      <w:bookmarkEnd w:id="188"/>
      <w:bookmarkStart w:id="189" w:name="_Toc184313300"/>
      <w:bookmarkEnd w:id="189"/>
      <w:bookmarkStart w:id="190" w:name="_Toc184314447"/>
      <w:bookmarkEnd w:id="190"/>
      <w:bookmarkStart w:id="191" w:name="_Toc184308066"/>
      <w:bookmarkEnd w:id="191"/>
      <w:bookmarkStart w:id="192" w:name="_Toc184312134"/>
      <w:bookmarkEnd w:id="192"/>
      <w:bookmarkStart w:id="193" w:name="_Toc184312088"/>
      <w:bookmarkEnd w:id="193"/>
      <w:bookmarkStart w:id="194" w:name="_Toc184313255"/>
      <w:bookmarkEnd w:id="194"/>
      <w:bookmarkStart w:id="195" w:name="_Toc184312105"/>
      <w:bookmarkEnd w:id="195"/>
      <w:bookmarkStart w:id="196" w:name="_Toc184314429"/>
      <w:bookmarkEnd w:id="196"/>
      <w:bookmarkStart w:id="197" w:name="_Toc184313284"/>
      <w:bookmarkEnd w:id="197"/>
      <w:bookmarkStart w:id="198" w:name="_Toc184308069"/>
      <w:bookmarkEnd w:id="198"/>
      <w:bookmarkStart w:id="199" w:name="_Toc184312139"/>
      <w:bookmarkEnd w:id="199"/>
      <w:bookmarkStart w:id="200" w:name="_Toc184308094"/>
      <w:bookmarkEnd w:id="200"/>
      <w:bookmarkStart w:id="201" w:name="_Toc184314463"/>
      <w:bookmarkEnd w:id="201"/>
      <w:bookmarkStart w:id="202" w:name="_Toc184308106"/>
      <w:bookmarkEnd w:id="202"/>
      <w:bookmarkStart w:id="203" w:name="_Toc184310329"/>
      <w:bookmarkEnd w:id="203"/>
      <w:bookmarkStart w:id="204" w:name="_Toc184312098"/>
      <w:bookmarkEnd w:id="204"/>
      <w:bookmarkStart w:id="205" w:name="_Toc184314457"/>
      <w:bookmarkEnd w:id="205"/>
      <w:bookmarkStart w:id="206" w:name="_Toc184312078"/>
      <w:bookmarkEnd w:id="206"/>
      <w:bookmarkStart w:id="207" w:name="_Toc184313244"/>
      <w:bookmarkEnd w:id="207"/>
      <w:bookmarkStart w:id="208" w:name="_Toc184313273"/>
      <w:bookmarkEnd w:id="208"/>
      <w:bookmarkStart w:id="209" w:name="_Toc184314470"/>
      <w:bookmarkEnd w:id="209"/>
      <w:bookmarkStart w:id="210" w:name="_Toc184310274"/>
      <w:bookmarkEnd w:id="210"/>
      <w:bookmarkStart w:id="211" w:name="_Toc184308040"/>
      <w:bookmarkEnd w:id="211"/>
      <w:bookmarkStart w:id="212" w:name="_Toc184308052"/>
      <w:bookmarkEnd w:id="212"/>
      <w:bookmarkStart w:id="213" w:name="_Toc184314448"/>
      <w:bookmarkEnd w:id="213"/>
      <w:bookmarkStart w:id="214" w:name="_Toc184308061"/>
      <w:bookmarkEnd w:id="214"/>
      <w:bookmarkStart w:id="215" w:name="_Toc184313268"/>
      <w:bookmarkEnd w:id="215"/>
      <w:bookmarkStart w:id="216" w:name="_Toc184310278"/>
      <w:bookmarkEnd w:id="216"/>
      <w:bookmarkStart w:id="217" w:name="_Toc184310286"/>
      <w:bookmarkEnd w:id="217"/>
      <w:bookmarkStart w:id="218" w:name="_Toc184313245"/>
      <w:bookmarkEnd w:id="218"/>
      <w:bookmarkStart w:id="219" w:name="_Toc184314467"/>
      <w:bookmarkEnd w:id="219"/>
      <w:bookmarkStart w:id="220" w:name="_Toc184314418"/>
      <w:bookmarkEnd w:id="220"/>
      <w:bookmarkStart w:id="221" w:name="_Toc184313264"/>
      <w:bookmarkEnd w:id="221"/>
      <w:bookmarkStart w:id="222" w:name="_Toc184312122"/>
      <w:bookmarkEnd w:id="222"/>
      <w:bookmarkStart w:id="223" w:name="_Toc184313272"/>
      <w:bookmarkEnd w:id="223"/>
      <w:bookmarkStart w:id="224" w:name="_Toc184310335"/>
      <w:bookmarkEnd w:id="224"/>
      <w:bookmarkStart w:id="225" w:name="_Toc184312119"/>
      <w:bookmarkEnd w:id="225"/>
      <w:bookmarkStart w:id="226" w:name="_Toc184313297"/>
      <w:bookmarkEnd w:id="226"/>
      <w:bookmarkStart w:id="227" w:name="_Toc184312128"/>
      <w:bookmarkEnd w:id="227"/>
      <w:bookmarkStart w:id="228" w:name="_Toc184310321"/>
      <w:bookmarkEnd w:id="228"/>
      <w:bookmarkStart w:id="229" w:name="_Toc184308044"/>
      <w:bookmarkEnd w:id="229"/>
      <w:bookmarkStart w:id="230" w:name="_Toc184313299"/>
      <w:bookmarkEnd w:id="230"/>
      <w:bookmarkStart w:id="231" w:name="_Toc184313286"/>
      <w:bookmarkEnd w:id="231"/>
      <w:bookmarkStart w:id="232" w:name="_Toc184310318"/>
      <w:bookmarkEnd w:id="232"/>
      <w:bookmarkStart w:id="233" w:name="_Toc184313260"/>
      <w:bookmarkEnd w:id="233"/>
      <w:bookmarkStart w:id="234" w:name="_Toc184314471"/>
      <w:bookmarkEnd w:id="234"/>
      <w:bookmarkStart w:id="235" w:name="_Toc184313294"/>
      <w:bookmarkEnd w:id="235"/>
      <w:bookmarkStart w:id="236" w:name="_Toc184308060"/>
      <w:bookmarkEnd w:id="236"/>
      <w:bookmarkStart w:id="237" w:name="_Toc184313261"/>
      <w:bookmarkEnd w:id="237"/>
      <w:bookmarkStart w:id="238" w:name="_Toc184312097"/>
      <w:bookmarkEnd w:id="238"/>
      <w:bookmarkStart w:id="239" w:name="_Toc184308097"/>
      <w:bookmarkEnd w:id="239"/>
      <w:bookmarkStart w:id="240" w:name="_Toc184312120"/>
      <w:bookmarkEnd w:id="240"/>
      <w:bookmarkStart w:id="241" w:name="_Toc184308050"/>
      <w:bookmarkEnd w:id="241"/>
      <w:bookmarkStart w:id="242" w:name="_Toc184314477"/>
      <w:bookmarkEnd w:id="242"/>
      <w:bookmarkStart w:id="243" w:name="_Toc184312121"/>
      <w:bookmarkEnd w:id="243"/>
      <w:bookmarkStart w:id="244" w:name="_Toc184310334"/>
      <w:bookmarkEnd w:id="244"/>
      <w:bookmarkStart w:id="245" w:name="_Toc184308100"/>
      <w:bookmarkEnd w:id="245"/>
      <w:bookmarkStart w:id="246" w:name="_Toc184312095"/>
      <w:bookmarkEnd w:id="246"/>
      <w:bookmarkStart w:id="247" w:name="_Toc184313305"/>
      <w:bookmarkEnd w:id="247"/>
      <w:bookmarkStart w:id="248" w:name="_Toc184312091"/>
      <w:bookmarkEnd w:id="248"/>
      <w:bookmarkStart w:id="249" w:name="_Toc184313243"/>
      <w:bookmarkEnd w:id="249"/>
      <w:bookmarkStart w:id="250" w:name="_Toc184312089"/>
      <w:bookmarkEnd w:id="250"/>
      <w:bookmarkStart w:id="251" w:name="_Toc184308054"/>
      <w:bookmarkEnd w:id="251"/>
      <w:bookmarkStart w:id="252" w:name="_Toc184310336"/>
      <w:bookmarkEnd w:id="252"/>
      <w:bookmarkStart w:id="253" w:name="_Toc184310314"/>
      <w:bookmarkEnd w:id="253"/>
      <w:bookmarkStart w:id="254" w:name="_Toc184312092"/>
      <w:bookmarkEnd w:id="254"/>
      <w:bookmarkStart w:id="255" w:name="_Toc184308096"/>
      <w:bookmarkEnd w:id="255"/>
      <w:bookmarkStart w:id="256" w:name="_Toc184310275"/>
      <w:bookmarkEnd w:id="256"/>
      <w:bookmarkStart w:id="257" w:name="_Toc184313256"/>
      <w:bookmarkEnd w:id="257"/>
      <w:bookmarkStart w:id="258" w:name="_Toc184308099"/>
      <w:bookmarkEnd w:id="258"/>
      <w:bookmarkStart w:id="259" w:name="_Toc184312111"/>
      <w:bookmarkEnd w:id="259"/>
      <w:bookmarkStart w:id="260" w:name="_Toc184314428"/>
      <w:bookmarkEnd w:id="260"/>
      <w:bookmarkStart w:id="261" w:name="_Toc184310330"/>
      <w:bookmarkEnd w:id="261"/>
      <w:bookmarkStart w:id="262" w:name="_Toc184313266"/>
      <w:bookmarkEnd w:id="262"/>
      <w:bookmarkStart w:id="263" w:name="_Toc184310276"/>
      <w:bookmarkEnd w:id="263"/>
      <w:bookmarkStart w:id="264" w:name="_Toc184314466"/>
      <w:bookmarkEnd w:id="264"/>
      <w:bookmarkStart w:id="265" w:name="_Toc184312082"/>
      <w:bookmarkEnd w:id="265"/>
      <w:bookmarkStart w:id="266" w:name="_Toc184314433"/>
      <w:bookmarkEnd w:id="266"/>
      <w:bookmarkStart w:id="267" w:name="_Toc184312127"/>
      <w:bookmarkEnd w:id="267"/>
      <w:bookmarkStart w:id="268" w:name="_Toc184314411"/>
      <w:bookmarkEnd w:id="268"/>
      <w:bookmarkStart w:id="269" w:name="_Toc184313282"/>
      <w:bookmarkEnd w:id="269"/>
      <w:bookmarkStart w:id="270" w:name="_Toc184310298"/>
      <w:bookmarkEnd w:id="270"/>
      <w:bookmarkStart w:id="271" w:name="_Toc184313306"/>
      <w:bookmarkEnd w:id="271"/>
      <w:bookmarkStart w:id="272" w:name="_Toc184312075"/>
      <w:bookmarkEnd w:id="272"/>
      <w:bookmarkStart w:id="273" w:name="_Toc184308075"/>
      <w:bookmarkEnd w:id="273"/>
      <w:bookmarkStart w:id="274" w:name="_Toc184308046"/>
      <w:bookmarkEnd w:id="274"/>
      <w:bookmarkStart w:id="275" w:name="_Toc184312069"/>
      <w:bookmarkEnd w:id="275"/>
      <w:bookmarkStart w:id="276" w:name="_Toc184310280"/>
      <w:bookmarkEnd w:id="276"/>
      <w:bookmarkStart w:id="277" w:name="_Toc184308080"/>
      <w:bookmarkEnd w:id="277"/>
      <w:bookmarkStart w:id="278" w:name="_Toc184308081"/>
      <w:bookmarkEnd w:id="278"/>
      <w:bookmarkStart w:id="279" w:name="_Toc184312133"/>
      <w:bookmarkEnd w:id="279"/>
      <w:bookmarkStart w:id="280" w:name="_Toc184314412"/>
      <w:bookmarkEnd w:id="280"/>
      <w:bookmarkStart w:id="281" w:name="_Toc184308049"/>
      <w:bookmarkEnd w:id="281"/>
      <w:bookmarkStart w:id="282" w:name="_Toc184308039"/>
      <w:bookmarkEnd w:id="282"/>
      <w:bookmarkStart w:id="283" w:name="_Toc184310289"/>
      <w:bookmarkEnd w:id="283"/>
      <w:bookmarkStart w:id="284" w:name="_Toc184308091"/>
      <w:bookmarkEnd w:id="284"/>
      <w:bookmarkStart w:id="285" w:name="_Toc184312070"/>
      <w:bookmarkEnd w:id="285"/>
      <w:bookmarkStart w:id="286" w:name="_Toc184313263"/>
      <w:bookmarkEnd w:id="286"/>
      <w:bookmarkStart w:id="287" w:name="_Toc184313248"/>
      <w:bookmarkEnd w:id="287"/>
      <w:bookmarkStart w:id="288" w:name="_Toc184314449"/>
      <w:bookmarkEnd w:id="288"/>
      <w:bookmarkStart w:id="289" w:name="_Toc184310332"/>
      <w:bookmarkEnd w:id="289"/>
      <w:bookmarkStart w:id="290" w:name="_Toc184314469"/>
      <w:bookmarkEnd w:id="290"/>
      <w:bookmarkStart w:id="291" w:name="_Toc184310344"/>
      <w:bookmarkEnd w:id="291"/>
      <w:bookmarkStart w:id="292" w:name="_Toc184314413"/>
      <w:bookmarkEnd w:id="292"/>
      <w:bookmarkStart w:id="293" w:name="_Toc184310296"/>
      <w:bookmarkEnd w:id="293"/>
      <w:bookmarkStart w:id="294" w:name="_Toc184312077"/>
      <w:bookmarkEnd w:id="294"/>
      <w:bookmarkStart w:id="295" w:name="_Toc184312079"/>
      <w:bookmarkEnd w:id="295"/>
      <w:bookmarkStart w:id="296" w:name="_Toc184312123"/>
      <w:bookmarkEnd w:id="296"/>
      <w:bookmarkStart w:id="297" w:name="_Toc184314427"/>
      <w:bookmarkEnd w:id="297"/>
      <w:bookmarkStart w:id="298" w:name="_Toc184312117"/>
      <w:bookmarkEnd w:id="298"/>
      <w:bookmarkStart w:id="299" w:name="_Toc184314479"/>
      <w:bookmarkEnd w:id="299"/>
      <w:bookmarkStart w:id="300" w:name="_Toc184313280"/>
      <w:bookmarkEnd w:id="300"/>
      <w:bookmarkStart w:id="301" w:name="_Toc184314414"/>
      <w:bookmarkEnd w:id="301"/>
      <w:bookmarkStart w:id="302" w:name="_Toc184308045"/>
      <w:bookmarkEnd w:id="302"/>
      <w:bookmarkStart w:id="303" w:name="_Toc184312096"/>
      <w:bookmarkEnd w:id="303"/>
      <w:bookmarkStart w:id="304" w:name="_Toc184308082"/>
      <w:bookmarkEnd w:id="304"/>
      <w:bookmarkStart w:id="305" w:name="_Toc184312116"/>
      <w:bookmarkEnd w:id="305"/>
      <w:bookmarkStart w:id="306" w:name="_Toc184310333"/>
      <w:bookmarkEnd w:id="306"/>
      <w:bookmarkStart w:id="307" w:name="_Toc184314435"/>
      <w:bookmarkEnd w:id="307"/>
      <w:bookmarkStart w:id="308" w:name="_Toc184313283"/>
      <w:bookmarkEnd w:id="308"/>
      <w:bookmarkStart w:id="309" w:name="_Toc184314438"/>
      <w:bookmarkEnd w:id="309"/>
      <w:bookmarkStart w:id="310" w:name="_Toc184310297"/>
      <w:bookmarkEnd w:id="310"/>
      <w:bookmarkStart w:id="311" w:name="_Toc184308036"/>
      <w:bookmarkEnd w:id="311"/>
      <w:bookmarkStart w:id="312" w:name="_Toc184312125"/>
      <w:bookmarkEnd w:id="312"/>
      <w:bookmarkStart w:id="313" w:name="_Toc184314430"/>
      <w:bookmarkEnd w:id="313"/>
      <w:bookmarkStart w:id="314" w:name="_Toc184313287"/>
      <w:bookmarkEnd w:id="314"/>
      <w:bookmarkStart w:id="315" w:name="_Toc184312126"/>
      <w:bookmarkEnd w:id="315"/>
      <w:bookmarkStart w:id="316" w:name="_Toc184313303"/>
      <w:bookmarkEnd w:id="316"/>
      <w:bookmarkStart w:id="317" w:name="_Toc184312085"/>
      <w:bookmarkEnd w:id="317"/>
      <w:bookmarkStart w:id="318" w:name="_Toc184310323"/>
      <w:bookmarkEnd w:id="318"/>
      <w:bookmarkStart w:id="319" w:name="_Toc184312131"/>
      <w:bookmarkEnd w:id="319"/>
      <w:bookmarkStart w:id="320" w:name="_Toc184308062"/>
      <w:bookmarkEnd w:id="320"/>
      <w:bookmarkStart w:id="321" w:name="_Toc184313250"/>
      <w:bookmarkEnd w:id="321"/>
      <w:bookmarkStart w:id="322" w:name="_Toc184313278"/>
      <w:bookmarkEnd w:id="322"/>
      <w:bookmarkStart w:id="323" w:name="_Toc184314459"/>
      <w:bookmarkEnd w:id="323"/>
      <w:bookmarkStart w:id="324" w:name="_Toc184310304"/>
      <w:bookmarkEnd w:id="324"/>
      <w:bookmarkStart w:id="325" w:name="_Toc184312107"/>
      <w:bookmarkEnd w:id="325"/>
      <w:bookmarkStart w:id="326" w:name="_Toc184312090"/>
      <w:bookmarkEnd w:id="326"/>
      <w:bookmarkStart w:id="327" w:name="_Toc184312086"/>
      <w:bookmarkEnd w:id="327"/>
      <w:bookmarkStart w:id="328" w:name="_Toc184312112"/>
      <w:bookmarkEnd w:id="328"/>
      <w:bookmarkStart w:id="329" w:name="_Toc184314476"/>
      <w:bookmarkEnd w:id="329"/>
      <w:bookmarkStart w:id="330" w:name="_Toc184310295"/>
      <w:bookmarkEnd w:id="330"/>
      <w:bookmarkStart w:id="331" w:name="_Toc184310287"/>
      <w:bookmarkEnd w:id="331"/>
      <w:bookmarkStart w:id="332" w:name="_Toc184313290"/>
      <w:bookmarkEnd w:id="332"/>
      <w:bookmarkStart w:id="333" w:name="_Toc184313262"/>
      <w:bookmarkEnd w:id="333"/>
      <w:bookmarkStart w:id="334" w:name="_Toc184310292"/>
      <w:bookmarkEnd w:id="334"/>
      <w:bookmarkStart w:id="335" w:name="_Toc184313275"/>
      <w:bookmarkEnd w:id="335"/>
      <w:bookmarkStart w:id="336" w:name="_Toc184308101"/>
      <w:bookmarkEnd w:id="336"/>
      <w:bookmarkStart w:id="337" w:name="_Toc184313298"/>
      <w:bookmarkEnd w:id="337"/>
      <w:bookmarkStart w:id="338" w:name="_Toc184308088"/>
      <w:bookmarkEnd w:id="338"/>
      <w:bookmarkStart w:id="339" w:name="_Toc184308093"/>
      <w:bookmarkEnd w:id="339"/>
      <w:bookmarkStart w:id="340" w:name="_Toc184310288"/>
      <w:bookmarkEnd w:id="340"/>
      <w:bookmarkStart w:id="341" w:name="_Toc184314452"/>
      <w:bookmarkEnd w:id="341"/>
      <w:bookmarkStart w:id="342" w:name="_Toc184308089"/>
      <w:bookmarkEnd w:id="342"/>
      <w:bookmarkStart w:id="343" w:name="_Toc184313265"/>
      <w:bookmarkEnd w:id="343"/>
      <w:bookmarkStart w:id="344" w:name="_Toc184308103"/>
      <w:bookmarkEnd w:id="344"/>
      <w:bookmarkStart w:id="345" w:name="_Toc184312094"/>
      <w:bookmarkEnd w:id="345"/>
      <w:bookmarkStart w:id="346" w:name="_Toc184310299"/>
      <w:bookmarkEnd w:id="346"/>
      <w:bookmarkStart w:id="347" w:name="_Toc184314450"/>
      <w:bookmarkEnd w:id="347"/>
      <w:bookmarkStart w:id="348" w:name="_Toc184310294"/>
      <w:bookmarkEnd w:id="348"/>
      <w:bookmarkStart w:id="349" w:name="_Toc184310281"/>
      <w:bookmarkEnd w:id="349"/>
      <w:bookmarkStart w:id="350" w:name="_Toc184314431"/>
      <w:bookmarkEnd w:id="350"/>
      <w:bookmarkStart w:id="351" w:name="_Toc184313277"/>
      <w:bookmarkEnd w:id="351"/>
      <w:bookmarkStart w:id="352" w:name="_Toc184314439"/>
      <w:bookmarkEnd w:id="352"/>
      <w:bookmarkStart w:id="353" w:name="_Toc184310307"/>
      <w:bookmarkEnd w:id="353"/>
      <w:bookmarkStart w:id="354" w:name="_Toc184308056"/>
      <w:bookmarkEnd w:id="354"/>
      <w:bookmarkStart w:id="355" w:name="_Toc184313251"/>
      <w:bookmarkEnd w:id="355"/>
      <w:bookmarkStart w:id="356" w:name="_Toc184310322"/>
      <w:bookmarkEnd w:id="356"/>
      <w:bookmarkStart w:id="357" w:name="_Toc184312130"/>
      <w:bookmarkEnd w:id="357"/>
      <w:bookmarkStart w:id="358" w:name="_Toc184312135"/>
      <w:bookmarkEnd w:id="358"/>
      <w:bookmarkStart w:id="359" w:name="_Toc184312110"/>
      <w:bookmarkEnd w:id="359"/>
      <w:bookmarkStart w:id="360" w:name="_Toc184314478"/>
      <w:bookmarkEnd w:id="360"/>
      <w:bookmarkStart w:id="361" w:name="_Toc184308055"/>
      <w:bookmarkEnd w:id="361"/>
      <w:bookmarkStart w:id="362" w:name="_Toc184312118"/>
      <w:bookmarkEnd w:id="362"/>
      <w:bookmarkStart w:id="363" w:name="_Toc184308053"/>
      <w:bookmarkEnd w:id="363"/>
      <w:bookmarkStart w:id="364" w:name="_Toc184314445"/>
      <w:bookmarkEnd w:id="364"/>
      <w:bookmarkStart w:id="365" w:name="_Toc184314453"/>
      <w:bookmarkEnd w:id="365"/>
      <w:bookmarkStart w:id="366" w:name="_Toc184310285"/>
      <w:bookmarkEnd w:id="366"/>
      <w:bookmarkStart w:id="367" w:name="_Toc184310327"/>
      <w:bookmarkEnd w:id="367"/>
      <w:bookmarkStart w:id="368" w:name="_Toc184313296"/>
      <w:bookmarkEnd w:id="368"/>
      <w:bookmarkStart w:id="369" w:name="_Toc184314437"/>
      <w:bookmarkEnd w:id="369"/>
      <w:bookmarkStart w:id="370" w:name="_Toc184308037"/>
      <w:bookmarkEnd w:id="370"/>
      <w:bookmarkStart w:id="371" w:name="_Toc184308079"/>
      <w:bookmarkEnd w:id="371"/>
      <w:bookmarkStart w:id="372" w:name="_Toc184314454"/>
      <w:bookmarkEnd w:id="372"/>
      <w:bookmarkStart w:id="373" w:name="_Toc184313249"/>
      <w:bookmarkEnd w:id="373"/>
      <w:bookmarkStart w:id="374" w:name="_Toc184312093"/>
      <w:bookmarkEnd w:id="374"/>
      <w:bookmarkStart w:id="375" w:name="_Toc184308098"/>
      <w:bookmarkEnd w:id="375"/>
      <w:bookmarkStart w:id="376" w:name="_Toc184310341"/>
      <w:bookmarkEnd w:id="376"/>
      <w:bookmarkStart w:id="377" w:name="_Toc184314458"/>
      <w:bookmarkEnd w:id="377"/>
      <w:bookmarkStart w:id="378" w:name="_Toc184313274"/>
      <w:bookmarkEnd w:id="378"/>
      <w:bookmarkStart w:id="379" w:name="_Toc184308107"/>
      <w:bookmarkEnd w:id="379"/>
      <w:bookmarkStart w:id="380" w:name="_Toc184308090"/>
      <w:bookmarkEnd w:id="380"/>
      <w:bookmarkStart w:id="381" w:name="_Toc184312102"/>
      <w:bookmarkEnd w:id="381"/>
      <w:bookmarkStart w:id="382" w:name="_Toc184308059"/>
      <w:bookmarkEnd w:id="382"/>
      <w:bookmarkStart w:id="383" w:name="_Toc184313288"/>
      <w:bookmarkEnd w:id="383"/>
      <w:bookmarkStart w:id="384" w:name="_Toc184313307"/>
      <w:bookmarkEnd w:id="384"/>
      <w:bookmarkStart w:id="385" w:name="_Toc184310316"/>
      <w:bookmarkEnd w:id="385"/>
      <w:bookmarkStart w:id="386" w:name="_Toc184312115"/>
      <w:bookmarkEnd w:id="386"/>
      <w:bookmarkStart w:id="387" w:name="_Toc184308048"/>
      <w:bookmarkEnd w:id="387"/>
      <w:bookmarkStart w:id="388" w:name="_Toc184314421"/>
      <w:bookmarkEnd w:id="388"/>
      <w:bookmarkStart w:id="389" w:name="_Toc184310317"/>
      <w:bookmarkEnd w:id="389"/>
      <w:bookmarkStart w:id="390" w:name="_Toc184308076"/>
      <w:bookmarkEnd w:id="390"/>
      <w:bookmarkStart w:id="391" w:name="_Toc184310277"/>
      <w:bookmarkEnd w:id="391"/>
      <w:bookmarkStart w:id="392" w:name="_Toc184310312"/>
      <w:bookmarkEnd w:id="392"/>
      <w:bookmarkStart w:id="393" w:name="_Toc184314434"/>
      <w:bookmarkEnd w:id="393"/>
      <w:bookmarkStart w:id="394" w:name="_Toc184313247"/>
      <w:bookmarkEnd w:id="394"/>
      <w:bookmarkStart w:id="395" w:name="_Toc184310319"/>
      <w:bookmarkEnd w:id="395"/>
      <w:bookmarkStart w:id="396" w:name="_Toc184310301"/>
      <w:bookmarkEnd w:id="396"/>
      <w:bookmarkStart w:id="397" w:name="_Toc184312113"/>
      <w:bookmarkEnd w:id="397"/>
      <w:bookmarkStart w:id="398" w:name="_Toc184314426"/>
      <w:bookmarkEnd w:id="398"/>
      <w:bookmarkStart w:id="399" w:name="_Toc184313292"/>
      <w:bookmarkEnd w:id="399"/>
      <w:bookmarkStart w:id="400" w:name="_Toc184308087"/>
      <w:bookmarkEnd w:id="400"/>
      <w:bookmarkStart w:id="401" w:name="_Toc184312073"/>
      <w:bookmarkEnd w:id="401"/>
      <w:bookmarkStart w:id="402" w:name="_Toc184313285"/>
      <w:bookmarkEnd w:id="402"/>
      <w:bookmarkStart w:id="403" w:name="_Toc184312137"/>
      <w:bookmarkEnd w:id="403"/>
      <w:bookmarkStart w:id="404" w:name="_Toc184308043"/>
      <w:bookmarkEnd w:id="404"/>
      <w:bookmarkStart w:id="405" w:name="_Toc184313309"/>
      <w:bookmarkEnd w:id="405"/>
      <w:bookmarkStart w:id="406" w:name="_Toc184308051"/>
      <w:bookmarkEnd w:id="406"/>
      <w:bookmarkStart w:id="407" w:name="_Toc184313310"/>
      <w:bookmarkEnd w:id="407"/>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6170"/>
        <w:gridCol w:w="96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jc w:val="center"/>
              <w:outlineLvl w:val="5"/>
              <w:rPr>
                <w:vertAlign w:val="baseline"/>
              </w:rPr>
            </w:pPr>
            <w:r>
              <w:rPr>
                <w:rFonts w:hint="eastAsia" w:ascii="仿宋" w:hAnsi="仿宋" w:eastAsia="仿宋" w:cs="仿宋_GB2312"/>
                <w:bCs/>
                <w:color w:val="auto"/>
                <w:sz w:val="24"/>
                <w:highlight w:val="none"/>
              </w:rPr>
              <w:t>序号</w:t>
            </w:r>
          </w:p>
        </w:tc>
        <w:tc>
          <w:tcPr>
            <w:tcW w:w="6170" w:type="dxa"/>
            <w:vAlign w:val="center"/>
          </w:tcPr>
          <w:p>
            <w:pPr>
              <w:spacing w:line="360" w:lineRule="auto"/>
              <w:jc w:val="center"/>
              <w:outlineLvl w:val="5"/>
              <w:rPr>
                <w:vertAlign w:val="baseline"/>
              </w:rPr>
            </w:pPr>
            <w:r>
              <w:rPr>
                <w:rFonts w:hint="eastAsia" w:ascii="仿宋" w:hAnsi="仿宋" w:eastAsia="仿宋" w:cs="仿宋_GB2312"/>
                <w:bCs/>
                <w:color w:val="auto"/>
                <w:sz w:val="24"/>
                <w:highlight w:val="none"/>
              </w:rPr>
              <w:t>评标标准</w:t>
            </w:r>
          </w:p>
        </w:tc>
        <w:tc>
          <w:tcPr>
            <w:tcW w:w="960" w:type="dxa"/>
            <w:vAlign w:val="center"/>
          </w:tcPr>
          <w:p>
            <w:pPr>
              <w:spacing w:line="360" w:lineRule="auto"/>
              <w:jc w:val="center"/>
              <w:outlineLvl w:val="5"/>
              <w:rPr>
                <w:vertAlign w:val="baseline"/>
              </w:rPr>
            </w:pPr>
            <w:r>
              <w:rPr>
                <w:rFonts w:hint="eastAsia" w:ascii="仿宋" w:hAnsi="仿宋" w:eastAsia="仿宋" w:cs="仿宋_GB2312"/>
                <w:bCs/>
                <w:color w:val="auto"/>
                <w:sz w:val="24"/>
                <w:highlight w:val="none"/>
              </w:rPr>
              <w:t>权重</w:t>
            </w:r>
          </w:p>
        </w:tc>
        <w:tc>
          <w:tcPr>
            <w:tcW w:w="1583" w:type="dxa"/>
            <w:vAlign w:val="center"/>
          </w:tcPr>
          <w:p>
            <w:pPr>
              <w:snapToGrid w:val="0"/>
              <w:jc w:val="center"/>
              <w:rPr>
                <w:vertAlign w:val="baseli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360" w:firstLineChars="150"/>
              <w:jc w:val="left"/>
              <w:outlineLvl w:val="5"/>
              <w:rPr>
                <w:vertAlign w:val="baseline"/>
              </w:rPr>
            </w:pPr>
            <w:r>
              <w:rPr>
                <w:rFonts w:hint="eastAsia" w:ascii="仿宋" w:hAnsi="仿宋" w:eastAsia="仿宋" w:cs="仿宋_GB2312"/>
                <w:color w:val="auto"/>
                <w:sz w:val="24"/>
                <w:highlight w:val="none"/>
                <w:lang w:val="en-US" w:eastAsia="zh-CN"/>
              </w:rPr>
              <w:t>1</w:t>
            </w:r>
          </w:p>
        </w:tc>
        <w:tc>
          <w:tcPr>
            <w:tcW w:w="6170" w:type="dxa"/>
            <w:vAlign w:val="center"/>
          </w:tcPr>
          <w:p>
            <w:pPr>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投标人</w:t>
            </w:r>
            <w:r>
              <w:rPr>
                <w:rFonts w:hint="eastAsia" w:ascii="仿宋" w:hAnsi="仿宋" w:eastAsia="仿宋" w:cs="仿宋"/>
                <w:bCs/>
                <w:sz w:val="24"/>
                <w:szCs w:val="24"/>
                <w:highlight w:val="none"/>
              </w:rPr>
              <w:t>具有质量管理体系认证证书且在有效期内的得1分，否则不得分；</w:t>
            </w:r>
          </w:p>
          <w:p>
            <w:pPr>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投标人</w:t>
            </w:r>
            <w:r>
              <w:rPr>
                <w:rFonts w:hint="eastAsia" w:ascii="仿宋" w:hAnsi="仿宋" w:eastAsia="仿宋" w:cs="仿宋"/>
                <w:bCs/>
                <w:sz w:val="24"/>
                <w:szCs w:val="24"/>
                <w:highlight w:val="none"/>
              </w:rPr>
              <w:t>具有环境质量管理体系认证证书且在有效期内的得1分，否则不得分；</w:t>
            </w:r>
          </w:p>
          <w:p>
            <w:pPr>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投标人</w:t>
            </w:r>
            <w:r>
              <w:rPr>
                <w:rFonts w:hint="eastAsia" w:ascii="仿宋" w:hAnsi="仿宋" w:eastAsia="仿宋" w:cs="仿宋"/>
                <w:bCs/>
                <w:sz w:val="24"/>
                <w:szCs w:val="24"/>
                <w:highlight w:val="none"/>
              </w:rPr>
              <w:t>具有职业健康安全管理体系认证证书且在有效期内的得1分，否则不得分；</w:t>
            </w:r>
          </w:p>
          <w:p>
            <w:pPr>
              <w:snapToGrid w:val="0"/>
              <w:rPr>
                <w:vertAlign w:val="baseline"/>
              </w:rPr>
            </w:pPr>
            <w:r>
              <w:rPr>
                <w:rFonts w:hint="eastAsia" w:ascii="仿宋" w:hAnsi="仿宋" w:eastAsia="仿宋" w:cs="仿宋"/>
                <w:b/>
                <w:bCs w:val="0"/>
                <w:sz w:val="24"/>
                <w:szCs w:val="24"/>
                <w:highlight w:val="none"/>
                <w:lang w:val="en-US" w:eastAsia="zh-CN"/>
              </w:rPr>
              <w:t>证明材料</w:t>
            </w:r>
            <w:r>
              <w:rPr>
                <w:rFonts w:hint="eastAsia" w:ascii="仿宋" w:hAnsi="仿宋" w:eastAsia="仿宋" w:cs="仿宋"/>
                <w:b/>
                <w:bCs w:val="0"/>
                <w:sz w:val="24"/>
                <w:szCs w:val="24"/>
                <w:highlight w:val="none"/>
              </w:rPr>
              <w:t>：</w:t>
            </w:r>
            <w:r>
              <w:rPr>
                <w:rFonts w:hint="eastAsia" w:ascii="仿宋" w:hAnsi="仿宋" w:eastAsia="仿宋" w:cs="仿宋"/>
                <w:bCs/>
                <w:sz w:val="24"/>
                <w:szCs w:val="24"/>
                <w:highlight w:val="none"/>
              </w:rPr>
              <w:t>提供证书复印件加盖公章料，未提供不得分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原件备查）</w:t>
            </w:r>
          </w:p>
        </w:tc>
        <w:tc>
          <w:tcPr>
            <w:tcW w:w="960" w:type="dxa"/>
            <w:vAlign w:val="center"/>
          </w:tcPr>
          <w:p>
            <w:pPr>
              <w:spacing w:line="360" w:lineRule="auto"/>
              <w:jc w:val="center"/>
              <w:outlineLvl w:val="5"/>
              <w:rPr>
                <w:rFonts w:hint="default"/>
                <w:vertAlign w:val="baseline"/>
                <w:lang w:val="en-US"/>
              </w:rPr>
            </w:pPr>
            <w:r>
              <w:rPr>
                <w:rFonts w:hint="eastAsia" w:ascii="仿宋" w:hAnsi="仿宋" w:eastAsia="仿宋" w:cs="仿宋_GB2312"/>
                <w:color w:val="auto"/>
                <w:sz w:val="24"/>
                <w:highlight w:val="none"/>
                <w:lang w:val="en-US" w:eastAsia="zh-CN"/>
              </w:rPr>
              <w:t>3分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360" w:firstLineChars="150"/>
              <w:jc w:val="left"/>
              <w:outlineLvl w:val="5"/>
              <w:rPr>
                <w:vertAlign w:val="baseline"/>
              </w:rPr>
            </w:pPr>
            <w:r>
              <w:rPr>
                <w:rFonts w:hint="eastAsia" w:ascii="仿宋" w:hAnsi="仿宋" w:eastAsia="仿宋" w:cs="仿宋_GB2312"/>
                <w:color w:val="auto"/>
                <w:sz w:val="24"/>
                <w:highlight w:val="none"/>
                <w:lang w:val="en-US" w:eastAsia="zh-CN"/>
              </w:rPr>
              <w:t>2</w:t>
            </w:r>
          </w:p>
        </w:tc>
        <w:tc>
          <w:tcPr>
            <w:tcW w:w="6170" w:type="dxa"/>
            <w:vAlign w:val="center"/>
          </w:tcPr>
          <w:p>
            <w:pPr>
              <w:snapToGrid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lang w:val="en-US" w:eastAsia="zh-CN"/>
              </w:rPr>
              <w:t>投标人</w:t>
            </w:r>
            <w:r>
              <w:rPr>
                <w:rFonts w:hint="eastAsia" w:ascii="仿宋" w:hAnsi="仿宋" w:eastAsia="仿宋" w:cs="仿宋_GB2312"/>
                <w:color w:val="auto"/>
                <w:sz w:val="24"/>
                <w:lang w:eastAsia="zh-CN"/>
              </w:rPr>
              <w:t>自201</w:t>
            </w:r>
            <w:r>
              <w:rPr>
                <w:rFonts w:hint="eastAsia" w:ascii="仿宋" w:hAnsi="仿宋" w:eastAsia="仿宋" w:cs="仿宋_GB2312"/>
                <w:color w:val="auto"/>
                <w:sz w:val="24"/>
                <w:lang w:val="en-US" w:eastAsia="zh-CN"/>
              </w:rPr>
              <w:t>9</w:t>
            </w:r>
            <w:r>
              <w:rPr>
                <w:rFonts w:hint="eastAsia" w:ascii="仿宋" w:hAnsi="仿宋" w:eastAsia="仿宋" w:cs="仿宋_GB2312"/>
                <w:color w:val="auto"/>
                <w:sz w:val="24"/>
                <w:lang w:eastAsia="zh-CN"/>
              </w:rPr>
              <w:t>年1月1日以来（以合同签订时间为准）具有类似</w:t>
            </w:r>
            <w:r>
              <w:rPr>
                <w:rFonts w:hint="eastAsia" w:ascii="仿宋" w:hAnsi="仿宋" w:eastAsia="仿宋" w:cs="仿宋_GB2312"/>
                <w:color w:val="auto"/>
                <w:sz w:val="24"/>
                <w:lang w:val="en-US" w:eastAsia="zh-CN"/>
              </w:rPr>
              <w:t>特保或安保服务</w:t>
            </w:r>
            <w:r>
              <w:rPr>
                <w:rFonts w:hint="eastAsia" w:ascii="仿宋" w:hAnsi="仿宋" w:eastAsia="仿宋" w:cs="仿宋_GB2312"/>
                <w:color w:val="auto"/>
                <w:sz w:val="24"/>
                <w:highlight w:val="none"/>
              </w:rPr>
              <w:t>业绩</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lang w:eastAsia="zh-CN"/>
              </w:rPr>
              <w:t>，每个得</w:t>
            </w:r>
            <w:r>
              <w:rPr>
                <w:rFonts w:hint="eastAsia" w:ascii="仿宋" w:hAnsi="仿宋" w:eastAsia="仿宋" w:cs="仿宋_GB2312"/>
                <w:color w:val="auto"/>
                <w:sz w:val="24"/>
                <w:highlight w:val="none"/>
                <w:lang w:val="en-US" w:eastAsia="zh-CN"/>
              </w:rPr>
              <w:t>0.5</w:t>
            </w:r>
            <w:r>
              <w:rPr>
                <w:rFonts w:hint="eastAsia" w:ascii="仿宋" w:hAnsi="仿宋" w:eastAsia="仿宋" w:cs="仿宋_GB2312"/>
                <w:color w:val="auto"/>
                <w:sz w:val="24"/>
                <w:highlight w:val="none"/>
                <w:lang w:eastAsia="zh-CN"/>
              </w:rPr>
              <w:t>分，本项最高得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分。</w:t>
            </w:r>
            <w:r>
              <w:rPr>
                <w:rFonts w:hint="eastAsia" w:ascii="仿宋" w:hAnsi="仿宋" w:eastAsia="仿宋" w:cs="仿宋"/>
                <w:sz w:val="24"/>
                <w:highlight w:val="none"/>
                <w:lang w:eastAsia="zh-CN"/>
              </w:rPr>
              <w:t>（同一委托单位不重复计分。）</w:t>
            </w:r>
          </w:p>
          <w:p>
            <w:pPr>
              <w:snapToGrid w:val="0"/>
              <w:rPr>
                <w:vertAlign w:val="baseline"/>
              </w:rPr>
            </w:pPr>
            <w:r>
              <w:rPr>
                <w:rFonts w:hint="eastAsia" w:ascii="仿宋" w:hAnsi="仿宋" w:eastAsia="仿宋" w:cs="仿宋"/>
                <w:b/>
                <w:bCs w:val="0"/>
                <w:sz w:val="24"/>
                <w:szCs w:val="24"/>
                <w:highlight w:val="none"/>
                <w:lang w:val="en-US" w:eastAsia="zh-CN"/>
              </w:rPr>
              <w:t>证明材料：</w:t>
            </w:r>
            <w:r>
              <w:rPr>
                <w:rFonts w:hint="eastAsia" w:ascii="仿宋" w:hAnsi="仿宋" w:eastAsia="仿宋" w:cs="仿宋_GB2312"/>
                <w:color w:val="auto"/>
                <w:sz w:val="24"/>
              </w:rPr>
              <w:t>提供</w:t>
            </w:r>
            <w:r>
              <w:rPr>
                <w:rFonts w:hint="eastAsia" w:ascii="仿宋" w:hAnsi="仿宋" w:eastAsia="仿宋" w:cs="仿宋_GB2312"/>
                <w:color w:val="auto"/>
                <w:sz w:val="24"/>
                <w:lang w:val="en-US" w:eastAsia="zh-CN"/>
              </w:rPr>
              <w:t>合同</w:t>
            </w:r>
            <w:r>
              <w:rPr>
                <w:rFonts w:hint="eastAsia" w:ascii="仿宋" w:hAnsi="仿宋" w:eastAsia="仿宋" w:cs="仿宋_GB2312"/>
                <w:color w:val="auto"/>
                <w:sz w:val="24"/>
              </w:rPr>
              <w:t>复印件加盖公章</w:t>
            </w:r>
            <w:r>
              <w:rPr>
                <w:rFonts w:hint="eastAsia" w:ascii="仿宋" w:hAnsi="仿宋" w:eastAsia="仿宋" w:cs="仿宋_GB2312"/>
                <w:color w:val="auto"/>
                <w:sz w:val="24"/>
                <w:lang w:eastAsia="zh-CN"/>
              </w:rPr>
              <w:t>，</w:t>
            </w:r>
            <w:r>
              <w:rPr>
                <w:rFonts w:hint="eastAsia" w:ascii="仿宋" w:hAnsi="仿宋" w:eastAsia="仿宋" w:cs="仿宋_GB2312"/>
                <w:sz w:val="24"/>
                <w:lang w:val="en-US" w:eastAsia="zh-CN"/>
              </w:rPr>
              <w:t>未提供不得分（</w:t>
            </w:r>
            <w:r>
              <w:rPr>
                <w:rFonts w:hint="eastAsia" w:ascii="仿宋" w:hAnsi="仿宋" w:eastAsia="仿宋" w:cs="仿宋_GB2312"/>
                <w:color w:val="auto"/>
                <w:sz w:val="24"/>
              </w:rPr>
              <w:t>原件备查</w:t>
            </w:r>
            <w:r>
              <w:rPr>
                <w:rFonts w:hint="eastAsia" w:ascii="仿宋" w:hAnsi="仿宋" w:eastAsia="仿宋" w:cs="仿宋_GB2312"/>
                <w:sz w:val="24"/>
                <w:lang w:val="en-US" w:eastAsia="zh-CN"/>
              </w:rPr>
              <w:t>）</w:t>
            </w:r>
          </w:p>
        </w:tc>
        <w:tc>
          <w:tcPr>
            <w:tcW w:w="960" w:type="dxa"/>
            <w:vAlign w:val="center"/>
          </w:tcPr>
          <w:p>
            <w:pPr>
              <w:jc w:val="center"/>
              <w:rPr>
                <w:color w:val="auto"/>
                <w:highlight w:val="none"/>
              </w:rPr>
            </w:pPr>
          </w:p>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1分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360" w:firstLineChars="150"/>
              <w:jc w:val="left"/>
              <w:outlineLvl w:val="5"/>
              <w:rPr>
                <w:vertAlign w:val="baseline"/>
              </w:rPr>
            </w:pPr>
            <w:r>
              <w:rPr>
                <w:rFonts w:hint="eastAsia" w:ascii="仿宋" w:hAnsi="仿宋" w:eastAsia="仿宋" w:cs="仿宋_GB2312"/>
                <w:color w:val="auto"/>
                <w:sz w:val="24"/>
                <w:highlight w:val="none"/>
                <w:lang w:val="en-US" w:eastAsia="zh-CN"/>
              </w:rPr>
              <w:t>3</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对各辖区进行治安巡逻，预防、制止各类违法犯罪活动，维护治安秩序的安保服务方案：</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r>
              <w:rPr>
                <w:rFonts w:hint="default" w:ascii="仿宋" w:hAnsi="仿宋" w:eastAsia="仿宋" w:cs="仿宋_GB2312"/>
                <w:color w:val="auto"/>
                <w:sz w:val="24"/>
                <w:lang w:val="en-US" w:eastAsia="zh-CN"/>
              </w:rPr>
              <w:t xml:space="preserve"> </w:t>
            </w:r>
          </w:p>
        </w:tc>
        <w:tc>
          <w:tcPr>
            <w:tcW w:w="960"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5分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360" w:firstLineChars="150"/>
              <w:jc w:val="left"/>
              <w:outlineLvl w:val="5"/>
              <w:rPr>
                <w:vertAlign w:val="baseline"/>
              </w:rPr>
            </w:pPr>
            <w:r>
              <w:rPr>
                <w:rFonts w:hint="eastAsia" w:ascii="仿宋" w:hAnsi="仿宋" w:eastAsia="仿宋" w:cs="仿宋_GB2312"/>
                <w:color w:val="auto"/>
                <w:sz w:val="24"/>
                <w:highlight w:val="none"/>
                <w:lang w:val="en-US" w:eastAsia="zh-CN"/>
              </w:rPr>
              <w:t>4</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参与各类整治，配合做好社会面管控、重点部位巡查值守的安保服务方案：</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r>
              <w:rPr>
                <w:rFonts w:hint="default" w:ascii="仿宋" w:hAnsi="仿宋" w:eastAsia="仿宋" w:cs="仿宋_GB2312"/>
                <w:color w:val="auto"/>
                <w:sz w:val="24"/>
                <w:lang w:val="en-US" w:eastAsia="zh-CN"/>
              </w:rPr>
              <w:t xml:space="preserve"> </w:t>
            </w:r>
          </w:p>
        </w:tc>
        <w:tc>
          <w:tcPr>
            <w:tcW w:w="960" w:type="dxa"/>
            <w:vAlign w:val="center"/>
          </w:tcPr>
          <w:p>
            <w:pPr>
              <w:jc w:val="center"/>
              <w:rPr>
                <w:color w:val="auto"/>
                <w:highlight w:val="none"/>
              </w:rPr>
            </w:pPr>
          </w:p>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5分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915" w:type="dxa"/>
            <w:vAlign w:val="center"/>
          </w:tcPr>
          <w:p>
            <w:pPr>
              <w:spacing w:line="360" w:lineRule="auto"/>
              <w:ind w:firstLine="360" w:firstLineChars="150"/>
              <w:jc w:val="left"/>
              <w:outlineLvl w:val="5"/>
              <w:rPr>
                <w:vertAlign w:val="baseline"/>
              </w:rPr>
            </w:pPr>
            <w:r>
              <w:rPr>
                <w:rFonts w:hint="eastAsia" w:ascii="仿宋" w:hAnsi="仿宋" w:eastAsia="仿宋" w:cs="仿宋_GB2312"/>
                <w:color w:val="auto"/>
                <w:sz w:val="24"/>
                <w:highlight w:val="none"/>
                <w:lang w:val="en-US" w:eastAsia="zh-CN"/>
              </w:rPr>
              <w:t>5</w:t>
            </w:r>
          </w:p>
        </w:tc>
        <w:tc>
          <w:tcPr>
            <w:tcW w:w="6170" w:type="dxa"/>
            <w:vAlign w:val="center"/>
          </w:tcPr>
          <w:p>
            <w:pPr>
              <w:snapToGrid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落实 110 应急联动，协助做好各类矛盾纠纷的排查、调解和化解工作的安保服务方案：</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r>
              <w:rPr>
                <w:rFonts w:hint="default" w:ascii="仿宋" w:hAnsi="仿宋" w:eastAsia="仿宋" w:cs="仿宋_GB2312"/>
                <w:color w:val="auto"/>
                <w:sz w:val="24"/>
                <w:lang w:val="en-US" w:eastAsia="zh-CN"/>
              </w:rPr>
              <w:t xml:space="preserve"> </w:t>
            </w:r>
          </w:p>
        </w:tc>
        <w:tc>
          <w:tcPr>
            <w:tcW w:w="960"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5分</w:t>
            </w:r>
          </w:p>
        </w:tc>
        <w:tc>
          <w:tcPr>
            <w:tcW w:w="1583" w:type="dxa"/>
            <w:vAlign w:val="center"/>
          </w:tcPr>
          <w:p>
            <w:pPr>
              <w:jc w:val="center"/>
              <w:rPr>
                <w:vertAlign w:val="baseline"/>
              </w:rPr>
            </w:pPr>
            <w:r>
              <w:rPr>
                <w:rFonts w:hint="eastAsia" w:ascii="仿宋" w:hAnsi="仿宋" w:eastAsia="仿宋" w:cs="仿宋_GB2312"/>
                <w:color w:val="auto"/>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360" w:firstLineChars="150"/>
              <w:jc w:val="left"/>
              <w:outlineLvl w:val="5"/>
              <w:rPr>
                <w:vertAlign w:val="baseline"/>
              </w:rPr>
            </w:pPr>
            <w:r>
              <w:rPr>
                <w:rFonts w:hint="eastAsia" w:ascii="仿宋" w:hAnsi="仿宋" w:eastAsia="仿宋" w:cs="仿宋_GB2312"/>
                <w:color w:val="auto"/>
                <w:sz w:val="24"/>
                <w:highlight w:val="none"/>
                <w:lang w:val="en-US" w:eastAsia="zh-CN"/>
              </w:rPr>
              <w:t>6</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完成上级交办的其他工作任务的实施方案：</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_GB2312"/>
                <w:color w:val="auto"/>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15" w:type="dxa"/>
            <w:vAlign w:val="center"/>
          </w:tcPr>
          <w:p>
            <w:pPr>
              <w:jc w:val="center"/>
              <w:rPr>
                <w:vertAlign w:val="baseline"/>
              </w:rPr>
            </w:pPr>
            <w:r>
              <w:rPr>
                <w:rFonts w:hint="eastAsia" w:ascii="仿宋" w:hAnsi="仿宋" w:eastAsia="仿宋" w:cs="仿宋_GB2312"/>
                <w:color w:val="auto"/>
                <w:sz w:val="24"/>
                <w:highlight w:val="none"/>
                <w:lang w:val="en-US" w:eastAsia="zh-CN"/>
              </w:rPr>
              <w:t>7</w:t>
            </w:r>
          </w:p>
        </w:tc>
        <w:tc>
          <w:tcPr>
            <w:tcW w:w="6170" w:type="dxa"/>
            <w:vAlign w:val="center"/>
          </w:tcPr>
          <w:p>
            <w:pPr>
              <w:snapToGrid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针对特保项目的背景和工作计划进行分析规划，根据内容完整性、合理性、周密性进行评审:</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（1）分析全面合理、执行力强的得5分；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（2）分析较为全面合理的得3分；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（3）分析有欠缺的得1分；</w:t>
            </w:r>
          </w:p>
          <w:p>
            <w:pPr>
              <w:snapToGrid w:val="0"/>
              <w:rPr>
                <w:vertAlign w:val="baseline"/>
              </w:rPr>
            </w:pPr>
            <w:r>
              <w:rPr>
                <w:rFonts w:hint="eastAsia" w:ascii="仿宋" w:hAnsi="仿宋" w:eastAsia="仿宋" w:cs="仿宋_GB2312"/>
                <w:color w:val="auto"/>
                <w:sz w:val="24"/>
                <w:lang w:val="en-US" w:eastAsia="zh-CN"/>
              </w:rPr>
              <w:t>（4）未提出实质性分析阐述的得0分。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rFonts w:hint="default"/>
                <w:vertAlign w:val="baseline"/>
                <w:lang w:val="en-US"/>
              </w:rPr>
            </w:pPr>
            <w:r>
              <w:rPr>
                <w:rFonts w:hint="eastAsia" w:ascii="仿宋" w:hAnsi="仿宋" w:eastAsia="仿宋" w:cs="仿宋_GB2312"/>
                <w:color w:val="auto"/>
                <w:sz w:val="24"/>
                <w:highlight w:val="none"/>
                <w:lang w:val="en-US" w:eastAsia="zh-CN"/>
              </w:rPr>
              <w:t>项目分析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napToGrid w:val="0"/>
              <w:jc w:val="center"/>
              <w:rPr>
                <w:vertAlign w:val="baseline"/>
              </w:rPr>
            </w:pPr>
            <w:r>
              <w:rPr>
                <w:rFonts w:hint="eastAsia" w:ascii="仿宋" w:hAnsi="仿宋" w:eastAsia="仿宋" w:cs="仿宋_GB2312"/>
                <w:color w:val="auto"/>
                <w:sz w:val="24"/>
                <w:lang w:val="en-US" w:eastAsia="zh-CN"/>
              </w:rPr>
              <w:t>8</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投标人结合对本项目采购需求的理解，对特保服务存在的难点、要点问题分析。根据提供的方案内容进行评审：</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_GB2312"/>
                <w:color w:val="auto"/>
                <w:sz w:val="24"/>
                <w:highlight w:val="none"/>
                <w:lang w:val="en-US" w:eastAsia="zh-CN"/>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napToGrid w:val="0"/>
              <w:jc w:val="center"/>
              <w:rPr>
                <w:vertAlign w:val="baseline"/>
              </w:rPr>
            </w:pPr>
            <w:r>
              <w:rPr>
                <w:rFonts w:hint="eastAsia" w:ascii="仿宋" w:hAnsi="仿宋" w:eastAsia="仿宋" w:cs="仿宋_GB2312"/>
                <w:color w:val="auto"/>
                <w:sz w:val="24"/>
                <w:lang w:val="en-US" w:eastAsia="zh-CN"/>
              </w:rPr>
              <w:t>9</w:t>
            </w:r>
          </w:p>
        </w:tc>
        <w:tc>
          <w:tcPr>
            <w:tcW w:w="6170" w:type="dxa"/>
            <w:vAlign w:val="center"/>
          </w:tcPr>
          <w:p>
            <w:pPr>
              <w:snapToGrid w:val="0"/>
              <w:rPr>
                <w:rFonts w:hint="eastAsia" w:ascii="仿宋" w:hAnsi="仿宋" w:eastAsia="仿宋" w:cs="仿宋_GB2312"/>
                <w:b/>
                <w:bCs/>
                <w:color w:val="auto"/>
                <w:sz w:val="24"/>
                <w:lang w:val="en-US" w:eastAsia="zh-CN"/>
              </w:rPr>
            </w:pPr>
            <w:r>
              <w:rPr>
                <w:rFonts w:hint="eastAsia" w:ascii="仿宋" w:hAnsi="仿宋" w:eastAsia="仿宋" w:cs="仿宋_GB2312"/>
                <w:b/>
                <w:bCs/>
                <w:color w:val="auto"/>
                <w:sz w:val="24"/>
                <w:lang w:val="en-US" w:eastAsia="zh-CN"/>
              </w:rPr>
              <w:t>投标人拟派项目负责人的情况，根据项目负责人的资历、经验等进行评审：</w:t>
            </w:r>
          </w:p>
          <w:p>
            <w:pPr>
              <w:numPr>
                <w:ilvl w:val="0"/>
                <w:numId w:val="2"/>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从事安保工作5年及以上的得1分；</w:t>
            </w:r>
          </w:p>
          <w:p>
            <w:pPr>
              <w:numPr>
                <w:ilvl w:val="0"/>
                <w:numId w:val="2"/>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具有退伍军人的得1分；</w:t>
            </w:r>
          </w:p>
          <w:p>
            <w:pPr>
              <w:numPr>
                <w:ilvl w:val="0"/>
                <w:numId w:val="2"/>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具有大专及以上文化水平的1分；</w:t>
            </w:r>
          </w:p>
          <w:p>
            <w:pPr>
              <w:numPr>
                <w:ilvl w:val="0"/>
                <w:numId w:val="2"/>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具有一级保安员资格证书的得1分；</w:t>
            </w:r>
          </w:p>
          <w:p>
            <w:pPr>
              <w:numPr>
                <w:ilvl w:val="0"/>
                <w:numId w:val="2"/>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为中共党员的得1分。</w:t>
            </w:r>
          </w:p>
          <w:p>
            <w:pPr>
              <w:snapToGrid w:val="0"/>
              <w:rPr>
                <w:vertAlign w:val="baseline"/>
              </w:rPr>
            </w:pPr>
            <w:r>
              <w:rPr>
                <w:rFonts w:hint="eastAsia" w:ascii="仿宋" w:hAnsi="仿宋" w:eastAsia="仿宋" w:cs="仿宋"/>
                <w:b/>
                <w:bCs w:val="0"/>
                <w:sz w:val="24"/>
                <w:szCs w:val="24"/>
                <w:highlight w:val="none"/>
                <w:lang w:val="en-US" w:eastAsia="zh-CN"/>
              </w:rPr>
              <w:t>证明材料：</w:t>
            </w:r>
            <w:r>
              <w:rPr>
                <w:rFonts w:hint="eastAsia" w:ascii="仿宋" w:hAnsi="仿宋" w:eastAsia="仿宋" w:cs="仿宋_GB2312"/>
                <w:color w:val="auto"/>
                <w:sz w:val="24"/>
                <w:lang w:val="en-US" w:eastAsia="zh-CN"/>
              </w:rPr>
              <w:t>提供5年及以上的社会保险证明或最近3个月的社会保险证明和工作经验证明、退伍军人证明、学历证书复印件、资格证书复印件、党支部证明，未提供不得分（原件备查）</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_GB2312"/>
                <w:color w:val="auto"/>
                <w:sz w:val="24"/>
                <w:highlight w:val="none"/>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jc w:val="center"/>
              <w:rPr>
                <w:vertAlign w:val="baseline"/>
              </w:rPr>
            </w:pPr>
            <w:r>
              <w:rPr>
                <w:rFonts w:hint="eastAsia" w:ascii="仿宋" w:hAnsi="仿宋" w:eastAsia="仿宋" w:cs="仿宋_GB2312"/>
                <w:color w:val="auto"/>
                <w:sz w:val="24"/>
                <w:highlight w:val="none"/>
                <w:lang w:val="en-US" w:eastAsia="zh-CN"/>
              </w:rPr>
              <w:t>10</w:t>
            </w:r>
          </w:p>
        </w:tc>
        <w:tc>
          <w:tcPr>
            <w:tcW w:w="6170" w:type="dxa"/>
            <w:vAlign w:val="center"/>
          </w:tcPr>
          <w:p>
            <w:pPr>
              <w:snapToGrid w:val="0"/>
              <w:rPr>
                <w:rFonts w:hint="eastAsia" w:ascii="仿宋" w:hAnsi="仿宋" w:eastAsia="仿宋" w:cs="仿宋_GB2312"/>
                <w:b/>
                <w:bCs/>
                <w:color w:val="auto"/>
                <w:sz w:val="24"/>
                <w:lang w:val="en-US" w:eastAsia="zh-CN"/>
              </w:rPr>
            </w:pPr>
            <w:r>
              <w:rPr>
                <w:rFonts w:hint="eastAsia" w:ascii="仿宋" w:hAnsi="仿宋" w:eastAsia="仿宋" w:cs="仿宋_GB2312"/>
                <w:b/>
                <w:bCs/>
                <w:color w:val="auto"/>
                <w:sz w:val="24"/>
                <w:lang w:val="en-US" w:eastAsia="zh-CN"/>
              </w:rPr>
              <w:t>投标人拟派特保队长：</w:t>
            </w:r>
          </w:p>
          <w:p>
            <w:pPr>
              <w:numPr>
                <w:numId w:val="0"/>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（1）从事安保工作3年及以上的得1分；</w:t>
            </w:r>
          </w:p>
          <w:p>
            <w:pPr>
              <w:numPr>
                <w:numId w:val="0"/>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（2）具有退伍军人的得1分；</w:t>
            </w:r>
          </w:p>
          <w:p>
            <w:pPr>
              <w:numPr>
                <w:numId w:val="0"/>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bookmarkStart w:id="413" w:name="_GoBack"/>
            <w:bookmarkEnd w:id="413"/>
            <w:r>
              <w:rPr>
                <w:rFonts w:hint="eastAsia" w:ascii="仿宋" w:hAnsi="仿宋" w:eastAsia="仿宋" w:cs="仿宋_GB2312"/>
                <w:color w:val="auto"/>
                <w:sz w:val="24"/>
                <w:lang w:val="en-US" w:eastAsia="zh-CN"/>
              </w:rPr>
              <w:t>具有大专及以上文化水平的1分；</w:t>
            </w:r>
          </w:p>
          <w:p>
            <w:pPr>
              <w:numPr>
                <w:numId w:val="0"/>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（4）具有二级及以上保安员资格证书的得1分；</w:t>
            </w:r>
          </w:p>
          <w:p>
            <w:pPr>
              <w:numPr>
                <w:numId w:val="0"/>
              </w:num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（5）为中共党员或预备党员的得1分。</w:t>
            </w:r>
          </w:p>
          <w:p>
            <w:pPr>
              <w:snapToGrid w:val="0"/>
              <w:rPr>
                <w:vertAlign w:val="baseline"/>
              </w:rPr>
            </w:pPr>
            <w:r>
              <w:rPr>
                <w:rFonts w:hint="eastAsia" w:ascii="仿宋" w:hAnsi="仿宋" w:eastAsia="仿宋" w:cs="仿宋"/>
                <w:b/>
                <w:bCs w:val="0"/>
                <w:sz w:val="24"/>
                <w:szCs w:val="24"/>
                <w:highlight w:val="none"/>
                <w:lang w:val="en-US" w:eastAsia="zh-CN"/>
              </w:rPr>
              <w:t>证明材料：</w:t>
            </w:r>
            <w:r>
              <w:rPr>
                <w:rFonts w:hint="eastAsia" w:ascii="仿宋" w:hAnsi="仿宋" w:eastAsia="仿宋" w:cs="仿宋_GB2312"/>
                <w:color w:val="auto"/>
                <w:sz w:val="24"/>
                <w:lang w:val="en-US" w:eastAsia="zh-CN"/>
              </w:rPr>
              <w:t>提供3年及以上的社会保险证明或最近3个月的社会保险证明和工作经验证明、退伍军人证明、学历证书复印件、资格证书复印件、党支部证明，未提供不得分（原件备查）</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_GB2312"/>
                <w:color w:val="auto"/>
                <w:sz w:val="24"/>
                <w:highlight w:val="none"/>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15" w:type="dxa"/>
            <w:vAlign w:val="center"/>
          </w:tcPr>
          <w:p>
            <w:pPr>
              <w:jc w:val="center"/>
              <w:rPr>
                <w:vertAlign w:val="baseline"/>
              </w:rPr>
            </w:pPr>
            <w:r>
              <w:rPr>
                <w:rFonts w:hint="eastAsia" w:ascii="仿宋" w:hAnsi="仿宋" w:eastAsia="仿宋" w:cs="仿宋_GB2312"/>
                <w:color w:val="auto"/>
                <w:sz w:val="24"/>
                <w:highlight w:val="none"/>
                <w:lang w:val="en-US" w:eastAsia="zh-CN"/>
              </w:rPr>
              <w:t>11</w:t>
            </w:r>
          </w:p>
        </w:tc>
        <w:tc>
          <w:tcPr>
            <w:tcW w:w="6170" w:type="dxa"/>
            <w:vAlign w:val="center"/>
          </w:tcPr>
          <w:p>
            <w:pPr>
              <w:snapToGrid w:val="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拟派项目组成员（除项目负责人及特保队长外）的人员情况。根据项目组成员的人员数量、经验等进行评分。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（1）资历、经验等完全满足采购需求的得5分；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（2）基本满足采购需求的得3分；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（3）部分不满足得1分；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（4）不满足不得分。</w:t>
            </w:r>
          </w:p>
          <w:p>
            <w:pPr>
              <w:snapToGrid w:val="0"/>
              <w:rPr>
                <w:vertAlign w:val="baseline"/>
              </w:rPr>
            </w:pPr>
            <w:r>
              <w:rPr>
                <w:rFonts w:hint="eastAsia" w:ascii="仿宋" w:hAnsi="仿宋" w:eastAsia="仿宋" w:cs="仿宋"/>
                <w:b/>
                <w:bCs w:val="0"/>
                <w:sz w:val="24"/>
                <w:szCs w:val="24"/>
                <w:highlight w:val="none"/>
                <w:lang w:val="en-US" w:eastAsia="zh-CN"/>
              </w:rPr>
              <w:t>证明材料：</w:t>
            </w:r>
            <w:r>
              <w:rPr>
                <w:rFonts w:hint="eastAsia" w:ascii="仿宋" w:hAnsi="仿宋" w:eastAsia="仿宋" w:cs="仿宋"/>
                <w:b w:val="0"/>
                <w:bCs/>
                <w:sz w:val="24"/>
                <w:szCs w:val="24"/>
                <w:highlight w:val="none"/>
                <w:lang w:val="en-US" w:eastAsia="zh-CN"/>
              </w:rPr>
              <w:t>提供相关证明材料等。</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_GB2312"/>
                <w:color w:val="auto"/>
                <w:sz w:val="24"/>
                <w:highlight w:val="none"/>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jc w:val="center"/>
              <w:rPr>
                <w:vertAlign w:val="baseline"/>
              </w:rPr>
            </w:pPr>
            <w:r>
              <w:rPr>
                <w:rFonts w:hint="eastAsia" w:ascii="仿宋" w:hAnsi="仿宋" w:eastAsia="仿宋" w:cs="仿宋_GB2312"/>
                <w:color w:val="auto"/>
                <w:sz w:val="24"/>
                <w:highlight w:val="none"/>
                <w:lang w:val="en-US" w:eastAsia="zh-CN"/>
              </w:rPr>
              <w:t>12</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根据各投标人针对本项目的实际情况与需求，为安保人员制定后勤保障方案，包括但不限于集体宿舍提供情况、宿舍环境情况等。</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
                <w:color w:val="auto"/>
                <w:sz w:val="24"/>
                <w:szCs w:val="24"/>
                <w:highlight w:val="none"/>
                <w:lang w:val="en-US" w:eastAsia="zh-CN"/>
              </w:rPr>
              <w:t>后勤保障方案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jc w:val="center"/>
              <w:rPr>
                <w:vertAlign w:val="baseline"/>
              </w:rPr>
            </w:pPr>
            <w:r>
              <w:rPr>
                <w:rFonts w:hint="eastAsia" w:ascii="仿宋" w:hAnsi="仿宋" w:eastAsia="仿宋" w:cs="仿宋_GB2312"/>
                <w:color w:val="auto"/>
                <w:sz w:val="24"/>
                <w:highlight w:val="none"/>
                <w:lang w:val="en-US" w:eastAsia="zh-CN"/>
              </w:rPr>
              <w:t>13</w:t>
            </w:r>
          </w:p>
        </w:tc>
        <w:tc>
          <w:tcPr>
            <w:tcW w:w="6170" w:type="dxa"/>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根据投标人拟投入使用的服装、设备、工器具的储备情况进行评审：</w:t>
            </w:r>
          </w:p>
          <w:p>
            <w:pPr>
              <w:numPr>
                <w:ilvl w:val="0"/>
                <w:numId w:val="3"/>
              </w:num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对特保人员的各季节服装、防暑防雨用品等配备情况进行评审，本项最高得2分；</w:t>
            </w:r>
          </w:p>
          <w:p>
            <w:pPr>
              <w:numPr>
                <w:ilvl w:val="0"/>
                <w:numId w:val="3"/>
              </w:num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对特保人员的通讯器材、特保装备、交通工具等配置情况进行评审，本项最高得2分；</w:t>
            </w:r>
          </w:p>
          <w:p>
            <w:pPr>
              <w:snapToGrid w:val="0"/>
              <w:rPr>
                <w:vertAlign w:val="baseline"/>
              </w:rPr>
            </w:pPr>
            <w:r>
              <w:rPr>
                <w:rFonts w:hint="eastAsia" w:ascii="仿宋" w:hAnsi="仿宋" w:eastAsia="仿宋" w:cs="仿宋"/>
                <w:color w:val="auto"/>
                <w:sz w:val="24"/>
                <w:szCs w:val="24"/>
                <w:highlight w:val="none"/>
                <w:lang w:val="en-US" w:eastAsia="zh-CN"/>
              </w:rPr>
              <w:t>（3）具有专业的快速报警响应能力，对响应速度与时间的情况进行评审，本项最高得1分。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
                <w:color w:val="auto"/>
                <w:sz w:val="24"/>
                <w:szCs w:val="24"/>
                <w:highlight w:val="none"/>
                <w:lang w:val="en-US" w:eastAsia="zh-CN"/>
              </w:rPr>
              <w:t>装备配置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jc w:val="center"/>
              <w:rPr>
                <w:vertAlign w:val="baseline"/>
              </w:rPr>
            </w:pPr>
            <w:r>
              <w:rPr>
                <w:rFonts w:hint="eastAsia" w:ascii="仿宋" w:hAnsi="仿宋" w:eastAsia="仿宋" w:cs="仿宋_GB2312"/>
                <w:color w:val="auto"/>
                <w:sz w:val="24"/>
                <w:highlight w:val="none"/>
                <w:lang w:val="en-US" w:eastAsia="zh-CN"/>
              </w:rPr>
              <w:t>14</w:t>
            </w:r>
          </w:p>
        </w:tc>
        <w:tc>
          <w:tcPr>
            <w:tcW w:w="6170" w:type="dxa"/>
            <w:vAlign w:val="center"/>
          </w:tcPr>
          <w:p>
            <w:pPr>
              <w:snapToGrid w:val="0"/>
              <w:rPr>
                <w:vertAlign w:val="baseline"/>
              </w:rPr>
            </w:pPr>
            <w:r>
              <w:rPr>
                <w:rFonts w:hint="eastAsia" w:ascii="仿宋" w:hAnsi="仿宋" w:eastAsia="仿宋" w:cs="仿宋"/>
                <w:bCs/>
                <w:color w:val="auto"/>
                <w:sz w:val="24"/>
                <w:szCs w:val="24"/>
                <w:highlight w:val="none"/>
                <w:lang w:val="en-US" w:eastAsia="zh-CN"/>
              </w:rPr>
              <w:t>①有完善的管理制度（包括值守人员职责、交接班制度、例会制度等）;②有完善档案管理制度;③有激励机制、监督机制、约束机制、及时处理机制；④承诺管理指标达到管理标准。根据提供的方案内容进行评分，完全满足的得4分，有一项不满足或缺失的扣1分，扣完为止。</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4</w:t>
            </w:r>
            <w:r>
              <w:rPr>
                <w:rFonts w:hint="eastAsia" w:ascii="仿宋" w:hAnsi="仿宋" w:eastAsia="仿宋" w:cs="仿宋_GB2312"/>
                <w:color w:val="auto"/>
                <w:sz w:val="24"/>
                <w:highlight w:val="none"/>
                <w:lang w:val="en-US" w:eastAsia="zh-CN"/>
              </w:rPr>
              <w:t>分</w:t>
            </w:r>
          </w:p>
        </w:tc>
        <w:tc>
          <w:tcPr>
            <w:tcW w:w="1583" w:type="dxa"/>
            <w:vAlign w:val="center"/>
          </w:tcPr>
          <w:p>
            <w:pPr>
              <w:jc w:val="center"/>
              <w:rPr>
                <w:vertAlign w:val="baseline"/>
              </w:rPr>
            </w:pPr>
            <w:r>
              <w:rPr>
                <w:rFonts w:hint="eastAsia" w:ascii="仿宋" w:hAnsi="仿宋" w:eastAsia="仿宋" w:cs="仿宋"/>
                <w:color w:val="auto"/>
                <w:sz w:val="24"/>
                <w:szCs w:val="24"/>
                <w:highlight w:val="none"/>
                <w:lang w:val="en-US" w:eastAsia="zh-CN"/>
              </w:rPr>
              <w:t>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15</w:t>
            </w:r>
          </w:p>
        </w:tc>
        <w:tc>
          <w:tcPr>
            <w:tcW w:w="6170" w:type="dxa"/>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自我监督考核办法，清晰简练地列出考核机制。</w:t>
            </w:r>
            <w:r>
              <w:rPr>
                <w:rFonts w:hint="eastAsia" w:ascii="仿宋" w:hAnsi="仿宋" w:eastAsia="仿宋" w:cs="仿宋"/>
                <w:sz w:val="24"/>
                <w:highlight w:val="none"/>
                <w:lang w:val="en-US" w:eastAsia="zh-CN"/>
              </w:rPr>
              <w:t>根据各投标人</w:t>
            </w:r>
            <w:r>
              <w:rPr>
                <w:rFonts w:hint="eastAsia" w:ascii="仿宋" w:hAnsi="仿宋" w:eastAsia="仿宋" w:cs="仿宋"/>
                <w:bCs/>
                <w:color w:val="auto"/>
                <w:sz w:val="24"/>
                <w:szCs w:val="24"/>
                <w:highlight w:val="none"/>
                <w:lang w:val="en-US" w:eastAsia="zh-CN"/>
              </w:rPr>
              <w:t>监督考核办法</w:t>
            </w:r>
            <w:r>
              <w:rPr>
                <w:rFonts w:hint="eastAsia" w:ascii="仿宋" w:hAnsi="仿宋" w:eastAsia="仿宋" w:cs="仿宋"/>
                <w:color w:val="auto"/>
                <w:sz w:val="24"/>
                <w:szCs w:val="24"/>
                <w:highlight w:val="none"/>
                <w:lang w:val="en-US" w:eastAsia="zh-CN"/>
              </w:rPr>
              <w:t>的制定的可行性、满足采购需求程度进行评审：</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（1）完全满足采购需求的得5分；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（2）基本满足采购需求的得3分；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（3）部分不满足得1分；</w:t>
            </w:r>
          </w:p>
          <w:p>
            <w:pPr>
              <w:snapToGrid w:val="0"/>
              <w:rPr>
                <w:vertAlign w:val="baseline"/>
              </w:rPr>
            </w:pPr>
            <w:r>
              <w:rPr>
                <w:rFonts w:hint="eastAsia" w:ascii="仿宋" w:hAnsi="仿宋" w:eastAsia="仿宋" w:cs="仿宋_GB2312"/>
                <w:color w:val="auto"/>
                <w:sz w:val="24"/>
                <w:lang w:val="en-US" w:eastAsia="zh-CN"/>
              </w:rPr>
              <w:t>（4）不满足不得分。</w:t>
            </w:r>
          </w:p>
        </w:tc>
        <w:tc>
          <w:tcPr>
            <w:tcW w:w="960" w:type="dxa"/>
            <w:vAlign w:val="center"/>
          </w:tcPr>
          <w:p>
            <w:pPr>
              <w:adjustRightInd w:val="0"/>
              <w:snapToGrid w:val="0"/>
              <w:jc w:val="center"/>
              <w:rPr>
                <w:vertAlign w:val="baseline"/>
              </w:rPr>
            </w:pPr>
            <w:r>
              <w:rPr>
                <w:rFonts w:hint="eastAsia" w:ascii="仿宋" w:hAnsi="仿宋" w:eastAsia="仿宋" w:cs="仿宋"/>
                <w:bCs/>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spacing w:line="360" w:lineRule="auto"/>
              <w:jc w:val="center"/>
              <w:outlineLvl w:val="5"/>
              <w:rPr>
                <w:vertAlign w:val="baseline"/>
              </w:rPr>
            </w:pPr>
            <w:r>
              <w:rPr>
                <w:rFonts w:hint="eastAsia" w:ascii="仿宋" w:hAnsi="仿宋" w:eastAsia="仿宋" w:cs="仿宋"/>
                <w:color w:val="auto"/>
                <w:sz w:val="24"/>
                <w:szCs w:val="24"/>
                <w:highlight w:val="none"/>
                <w:lang w:val="en-US" w:eastAsia="zh-CN"/>
              </w:rPr>
              <w:t>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240" w:firstLineChars="100"/>
              <w:jc w:val="both"/>
              <w:outlineLvl w:val="5"/>
              <w:rPr>
                <w:vertAlign w:val="baseline"/>
              </w:rPr>
            </w:pPr>
            <w:r>
              <w:rPr>
                <w:rFonts w:hint="eastAsia" w:ascii="仿宋" w:hAnsi="仿宋" w:eastAsia="仿宋" w:cs="仿宋_GB2312"/>
                <w:color w:val="auto"/>
                <w:sz w:val="24"/>
                <w:highlight w:val="none"/>
                <w:lang w:val="en-US" w:eastAsia="zh-CN"/>
              </w:rPr>
              <w:t>16</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根据各投标人提供的岗前培训、跟班实训、日常训练的实施方案进行评审：</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240" w:firstLineChars="100"/>
              <w:outlineLvl w:val="5"/>
              <w:rPr>
                <w:vertAlign w:val="baseline"/>
              </w:rPr>
            </w:pPr>
            <w:r>
              <w:rPr>
                <w:rFonts w:hint="eastAsia" w:ascii="仿宋" w:hAnsi="仿宋" w:eastAsia="仿宋" w:cs="仿宋_GB2312"/>
                <w:color w:val="auto"/>
                <w:sz w:val="24"/>
                <w:highlight w:val="none"/>
                <w:lang w:val="en-US" w:eastAsia="zh-CN"/>
              </w:rPr>
              <w:t>17</w:t>
            </w:r>
          </w:p>
        </w:tc>
        <w:tc>
          <w:tcPr>
            <w:tcW w:w="6170" w:type="dxa"/>
            <w:vAlign w:val="center"/>
          </w:tcPr>
          <w:p>
            <w:pPr>
              <w:snapToGrid w:val="0"/>
              <w:rPr>
                <w:rFonts w:hint="eastAsia" w:ascii="仿宋" w:hAnsi="仿宋" w:eastAsia="仿宋" w:cs="仿宋_GB2312"/>
                <w:sz w:val="24"/>
              </w:rPr>
            </w:pPr>
            <w:r>
              <w:rPr>
                <w:rFonts w:hint="eastAsia" w:ascii="仿宋" w:hAnsi="仿宋" w:eastAsia="仿宋" w:cs="仿宋_GB2312"/>
                <w:sz w:val="24"/>
              </w:rPr>
              <w:t>投标人针对本项目提供服务质量保障方案（</w:t>
            </w:r>
            <w:r>
              <w:rPr>
                <w:rFonts w:hint="eastAsia" w:ascii="仿宋" w:hAnsi="仿宋" w:eastAsia="仿宋" w:cs="仿宋_GB2312"/>
                <w:sz w:val="24"/>
                <w:lang w:val="en-US" w:eastAsia="zh-CN"/>
              </w:rPr>
              <w:t>包</w:t>
            </w:r>
            <w:r>
              <w:rPr>
                <w:rFonts w:hint="eastAsia" w:ascii="仿宋" w:hAnsi="仿宋" w:eastAsia="仿宋" w:cs="仿宋_GB2312"/>
                <w:sz w:val="24"/>
              </w:rPr>
              <w:t>括管理教育保障、人员供应保障、人员稳定保障、监督检查等）。</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（1）方案科学合理、执行力强的得5分；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5</w:t>
            </w:r>
            <w:r>
              <w:rPr>
                <w:rFonts w:hint="eastAsia" w:ascii="仿宋" w:hAnsi="仿宋" w:eastAsia="仿宋" w:cs="仿宋_GB2312"/>
                <w:color w:val="auto"/>
                <w:sz w:val="24"/>
                <w:highlight w:val="none"/>
                <w:lang w:val="en-US" w:eastAsia="zh-CN"/>
              </w:rPr>
              <w:t>分</w:t>
            </w:r>
          </w:p>
        </w:tc>
        <w:tc>
          <w:tcPr>
            <w:tcW w:w="1583" w:type="dxa"/>
            <w:vAlign w:val="center"/>
          </w:tcPr>
          <w:p>
            <w:pPr>
              <w:spacing w:line="360" w:lineRule="auto"/>
              <w:jc w:val="center"/>
              <w:outlineLvl w:val="5"/>
              <w:rPr>
                <w:vertAlign w:val="baseline"/>
              </w:rPr>
            </w:pPr>
            <w:r>
              <w:rPr>
                <w:rFonts w:hint="eastAsia" w:ascii="仿宋" w:hAnsi="仿宋" w:eastAsia="仿宋" w:cs="仿宋_GB2312"/>
                <w:sz w:val="24"/>
              </w:rPr>
              <w:t>服务质量保障方案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240" w:firstLineChars="100"/>
              <w:outlineLvl w:val="5"/>
              <w:rPr>
                <w:vertAlign w:val="baseline"/>
              </w:rPr>
            </w:pPr>
            <w:r>
              <w:rPr>
                <w:rFonts w:hint="eastAsia" w:ascii="仿宋" w:hAnsi="仿宋" w:eastAsia="仿宋" w:cs="仿宋_GB2312"/>
                <w:color w:val="auto"/>
                <w:sz w:val="24"/>
                <w:highlight w:val="none"/>
                <w:lang w:val="en-US" w:eastAsia="zh-CN"/>
              </w:rPr>
              <w:t>18</w:t>
            </w:r>
          </w:p>
        </w:tc>
        <w:tc>
          <w:tcPr>
            <w:tcW w:w="6170" w:type="dxa"/>
            <w:vAlign w:val="center"/>
          </w:tcPr>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根据各投标人针对突发性事件，如自然灾害、事故灾难、公共卫生事件以及社会安全事件等，应急人员配备及应急响应时间等情况的应对方案的全面性、针对性以及符合采购需求情况等进行打分。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（2）方案较为科学合理、有实质性措施的得2分；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
                <w:sz w:val="24"/>
                <w:highlight w:val="none"/>
                <w:lang w:val="en-US" w:eastAsia="zh-CN"/>
              </w:rPr>
              <w:t>3</w:t>
            </w:r>
            <w:r>
              <w:rPr>
                <w:rFonts w:hint="eastAsia" w:ascii="仿宋" w:hAnsi="仿宋" w:eastAsia="仿宋" w:cs="仿宋_GB2312"/>
                <w:color w:val="auto"/>
                <w:sz w:val="24"/>
                <w:highlight w:val="none"/>
                <w:lang w:val="en-US" w:eastAsia="zh-CN"/>
              </w:rPr>
              <w:t>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240" w:firstLineChars="100"/>
              <w:outlineLvl w:val="5"/>
              <w:rPr>
                <w:vertAlign w:val="baseline"/>
              </w:rPr>
            </w:pPr>
            <w:r>
              <w:rPr>
                <w:rFonts w:hint="eastAsia" w:ascii="仿宋" w:hAnsi="仿宋" w:eastAsia="仿宋" w:cs="仿宋_GB2312"/>
                <w:color w:val="auto"/>
                <w:sz w:val="24"/>
                <w:highlight w:val="none"/>
                <w:lang w:val="en-US" w:eastAsia="zh-CN"/>
              </w:rPr>
              <w:t>19</w:t>
            </w:r>
          </w:p>
        </w:tc>
        <w:tc>
          <w:tcPr>
            <w:tcW w:w="6170" w:type="dxa"/>
            <w:vAlign w:val="center"/>
          </w:tcPr>
          <w:p>
            <w:pPr>
              <w:snapToGrid w:val="0"/>
              <w:rPr>
                <w:rFonts w:hint="eastAsia" w:ascii="仿宋" w:hAnsi="仿宋" w:eastAsia="仿宋" w:cs="仿宋_GB2312"/>
                <w:sz w:val="24"/>
                <w:lang w:eastAsia="zh-CN"/>
              </w:rPr>
            </w:pPr>
            <w:r>
              <w:rPr>
                <w:rFonts w:hint="eastAsia" w:ascii="仿宋" w:hAnsi="仿宋" w:eastAsia="仿宋" w:cs="仿宋_GB2312"/>
                <w:sz w:val="24"/>
                <w:lang w:val="en-US" w:eastAsia="zh-CN"/>
              </w:rPr>
              <w:t>提</w:t>
            </w:r>
            <w:r>
              <w:rPr>
                <w:rFonts w:hint="eastAsia" w:ascii="仿宋" w:hAnsi="仿宋" w:eastAsia="仿宋" w:cs="仿宋_GB2312"/>
                <w:sz w:val="24"/>
              </w:rPr>
              <w:t>供防止人员意外情况或重大过失的预防方案、人员替补力量及方案</w:t>
            </w:r>
            <w:r>
              <w:rPr>
                <w:rFonts w:hint="eastAsia" w:ascii="仿宋" w:hAnsi="仿宋" w:eastAsia="仿宋" w:cs="仿宋_GB2312"/>
                <w:sz w:val="24"/>
                <w:lang w:eastAsia="zh-CN"/>
              </w:rPr>
              <w:t>：</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（1）方案科学合理、执行力强的得3分；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（2）方案较为科学合理、有实质性措施的得2分；</w:t>
            </w:r>
          </w:p>
          <w:p>
            <w:pPr>
              <w:snapToGrid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（3）方案有欠缺、执行力弱的得1分；</w:t>
            </w:r>
          </w:p>
          <w:p>
            <w:pPr>
              <w:snapToGrid w:val="0"/>
              <w:rPr>
                <w:vertAlign w:val="baseline"/>
              </w:rPr>
            </w:pPr>
            <w:r>
              <w:rPr>
                <w:rFonts w:hint="eastAsia" w:ascii="仿宋" w:hAnsi="仿宋" w:eastAsia="仿宋" w:cs="仿宋_GB2312"/>
                <w:color w:val="auto"/>
                <w:sz w:val="24"/>
                <w:lang w:val="en-US" w:eastAsia="zh-CN"/>
              </w:rPr>
              <w:t>（4）未提出实质性方案阐述的得0分。</w:t>
            </w:r>
          </w:p>
        </w:tc>
        <w:tc>
          <w:tcPr>
            <w:tcW w:w="960" w:type="dxa"/>
            <w:vAlign w:val="center"/>
          </w:tcPr>
          <w:p>
            <w:pPr>
              <w:adjustRightInd w:val="0"/>
              <w:snapToGrid w:val="0"/>
              <w:jc w:val="center"/>
              <w:rPr>
                <w:vertAlign w:val="baseline"/>
              </w:rPr>
            </w:pPr>
            <w:r>
              <w:rPr>
                <w:rFonts w:hint="eastAsia" w:ascii="仿宋" w:hAnsi="仿宋" w:eastAsia="仿宋" w:cs="仿宋_GB2312"/>
                <w:color w:val="auto"/>
                <w:sz w:val="24"/>
                <w:highlight w:val="none"/>
                <w:lang w:val="en-US" w:eastAsia="zh-CN"/>
              </w:rPr>
              <w:t>3分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240" w:firstLineChars="100"/>
              <w:outlineLvl w:val="5"/>
              <w:rPr>
                <w:vertAlign w:val="baseline"/>
              </w:rPr>
            </w:pPr>
            <w:r>
              <w:rPr>
                <w:rFonts w:hint="eastAsia" w:ascii="仿宋" w:hAnsi="仿宋" w:eastAsia="仿宋" w:cs="仿宋_GB2312"/>
                <w:color w:val="auto"/>
                <w:sz w:val="24"/>
                <w:highlight w:val="none"/>
                <w:lang w:val="en-US" w:eastAsia="zh-CN"/>
              </w:rPr>
              <w:t>20</w:t>
            </w:r>
          </w:p>
        </w:tc>
        <w:tc>
          <w:tcPr>
            <w:tcW w:w="6170" w:type="dxa"/>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_GB2312"/>
                <w:sz w:val="24"/>
                <w:highlight w:val="none"/>
              </w:rPr>
              <w:t>投标人针对本项目提供其他特色服务和响应措施等情况</w:t>
            </w:r>
            <w:r>
              <w:rPr>
                <w:rFonts w:hint="eastAsia" w:ascii="仿宋" w:hAnsi="仿宋" w:eastAsia="仿宋" w:cs="仿宋"/>
                <w:color w:val="auto"/>
                <w:sz w:val="24"/>
                <w:szCs w:val="24"/>
                <w:highlight w:val="none"/>
                <w:lang w:val="en-US" w:eastAsia="zh-CN"/>
              </w:rPr>
              <w:t>进行评审：</w:t>
            </w:r>
          </w:p>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（1）方案科学合理、执行力强的得3分；</w:t>
            </w:r>
          </w:p>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（2）方案较为科学合理、有实质性措施的得2分；</w:t>
            </w:r>
          </w:p>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（3）方案有欠缺、执行力弱的得1分；</w:t>
            </w:r>
          </w:p>
          <w:p>
            <w:pPr>
              <w:snapToGrid w:val="0"/>
              <w:rPr>
                <w:vertAlign w:val="baseline"/>
              </w:rPr>
            </w:pPr>
            <w:r>
              <w:rPr>
                <w:rFonts w:hint="eastAsia" w:ascii="仿宋" w:hAnsi="仿宋" w:eastAsia="仿宋" w:cs="仿宋"/>
                <w:color w:val="auto"/>
                <w:sz w:val="24"/>
                <w:szCs w:val="24"/>
                <w:highlight w:val="none"/>
                <w:lang w:val="en-US" w:eastAsia="zh-CN"/>
              </w:rPr>
              <w:t>（4）未提出实质性方案阐述的得0分。</w:t>
            </w:r>
          </w:p>
        </w:tc>
        <w:tc>
          <w:tcPr>
            <w:tcW w:w="960"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3分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ind w:firstLine="240" w:firstLineChars="100"/>
              <w:outlineLvl w:val="5"/>
              <w:rPr>
                <w:vertAlign w:val="baseline"/>
              </w:rPr>
            </w:pPr>
            <w:r>
              <w:rPr>
                <w:rFonts w:hint="eastAsia" w:ascii="仿宋" w:hAnsi="仿宋" w:eastAsia="仿宋" w:cs="仿宋_GB2312"/>
                <w:color w:val="auto"/>
                <w:sz w:val="24"/>
                <w:highlight w:val="none"/>
                <w:lang w:val="en-US" w:eastAsia="zh-CN"/>
              </w:rPr>
              <w:t>21</w:t>
            </w:r>
          </w:p>
        </w:tc>
        <w:tc>
          <w:tcPr>
            <w:tcW w:w="6170" w:type="dxa"/>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针对投标人对本项目提出的合理化建议进行评审：</w:t>
            </w:r>
          </w:p>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（1）方案科学合理、执行力强的得3分；</w:t>
            </w:r>
          </w:p>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（2）方案较为科学合理、有实质性措施的得2分；</w:t>
            </w:r>
          </w:p>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（3）方案有欠缺、执行力弱的得1分；</w:t>
            </w:r>
          </w:p>
          <w:p>
            <w:pPr>
              <w:snapToGrid w:val="0"/>
              <w:jc w:val="both"/>
              <w:rPr>
                <w:vertAlign w:val="baseline"/>
              </w:rPr>
            </w:pPr>
            <w:r>
              <w:rPr>
                <w:rFonts w:hint="eastAsia" w:ascii="仿宋" w:hAnsi="仿宋" w:eastAsia="仿宋" w:cs="仿宋"/>
                <w:color w:val="auto"/>
                <w:sz w:val="24"/>
                <w:szCs w:val="24"/>
                <w:highlight w:val="none"/>
                <w:lang w:val="en-US" w:eastAsia="zh-CN"/>
              </w:rPr>
              <w:t>（4）未提出实质性方案阐述的得0分。</w:t>
            </w:r>
          </w:p>
        </w:tc>
        <w:tc>
          <w:tcPr>
            <w:tcW w:w="960"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3分</w:t>
            </w:r>
          </w:p>
        </w:tc>
        <w:tc>
          <w:tcPr>
            <w:tcW w:w="1583"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360" w:lineRule="auto"/>
              <w:jc w:val="center"/>
              <w:outlineLvl w:val="5"/>
              <w:rPr>
                <w:vertAlign w:val="baseline"/>
              </w:rPr>
            </w:pPr>
            <w:r>
              <w:rPr>
                <w:rFonts w:hint="eastAsia" w:ascii="仿宋" w:hAnsi="仿宋" w:eastAsia="仿宋" w:cs="仿宋_GB2312"/>
                <w:color w:val="auto"/>
                <w:sz w:val="24"/>
                <w:highlight w:val="none"/>
                <w:lang w:val="en-US" w:eastAsia="zh-CN"/>
              </w:rPr>
              <w:t>22</w:t>
            </w:r>
          </w:p>
        </w:tc>
        <w:tc>
          <w:tcPr>
            <w:tcW w:w="6170" w:type="dxa"/>
            <w:vAlign w:val="center"/>
          </w:tcPr>
          <w:p>
            <w:pPr>
              <w:snapToGrid w:val="0"/>
              <w:jc w:val="both"/>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lang w:val="en-US" w:eastAsia="zh-CN"/>
              </w:rPr>
              <w:t>10</w:t>
            </w:r>
            <w:r>
              <w:rPr>
                <w:rFonts w:ascii="仿宋" w:hAnsi="仿宋" w:eastAsia="仿宋" w:cs="仿宋_GB2312"/>
                <w:color w:val="auto"/>
                <w:sz w:val="24"/>
                <w:highlight w:val="none"/>
              </w:rPr>
              <w:t>］的计算公式计算。</w:t>
            </w:r>
          </w:p>
          <w:p>
            <w:pPr>
              <w:snapToGrid w:val="0"/>
              <w:ind w:firstLine="480" w:firstLineChars="200"/>
              <w:jc w:val="both"/>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snapToGrid w:val="0"/>
              <w:ind w:firstLine="480" w:firstLineChars="200"/>
              <w:jc w:val="both"/>
              <w:rPr>
                <w:vertAlign w:val="baseline"/>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本项目专门面向中小企业，此条款不适用</w:t>
            </w:r>
            <w:r>
              <w:rPr>
                <w:rFonts w:hint="eastAsia" w:ascii="仿宋" w:hAnsi="仿宋" w:eastAsia="仿宋" w:cs="仿宋_GB2312"/>
                <w:color w:val="auto"/>
                <w:sz w:val="24"/>
                <w:highlight w:val="none"/>
                <w:lang w:eastAsia="zh-CN"/>
              </w:rPr>
              <w:t>】</w:t>
            </w:r>
          </w:p>
        </w:tc>
        <w:tc>
          <w:tcPr>
            <w:tcW w:w="960" w:type="dxa"/>
            <w:vAlign w:val="center"/>
          </w:tcPr>
          <w:p>
            <w:pPr>
              <w:spacing w:line="360" w:lineRule="auto"/>
              <w:ind w:firstLine="120" w:firstLineChars="50"/>
              <w:jc w:val="center"/>
              <w:outlineLvl w:val="5"/>
              <w:rPr>
                <w:vertAlign w:val="baseline"/>
              </w:rPr>
            </w:pPr>
            <w:r>
              <w:rPr>
                <w:rFonts w:hint="eastAsia" w:ascii="仿宋" w:hAnsi="仿宋" w:eastAsia="仿宋" w:cs="仿宋_GB2312"/>
                <w:color w:val="auto"/>
                <w:sz w:val="24"/>
                <w:highlight w:val="none"/>
                <w:lang w:val="en-US" w:eastAsia="zh-CN"/>
              </w:rPr>
              <w:t>10分</w:t>
            </w:r>
          </w:p>
        </w:tc>
        <w:tc>
          <w:tcPr>
            <w:tcW w:w="1583" w:type="dxa"/>
            <w:vAlign w:val="center"/>
          </w:tcPr>
          <w:p>
            <w:pPr>
              <w:spacing w:line="360" w:lineRule="auto"/>
              <w:jc w:val="center"/>
              <w:outlineLvl w:val="5"/>
              <w:rPr>
                <w:vertAlign w:val="baseline"/>
              </w:rPr>
            </w:pPr>
            <w:r>
              <w:rPr>
                <w:rFonts w:ascii="仿宋" w:hAnsi="仿宋" w:eastAsia="仿宋" w:cs="仿宋_GB2312"/>
                <w:color w:val="auto"/>
                <w:sz w:val="24"/>
                <w:highlight w:val="none"/>
              </w:rPr>
              <w:t>/</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spacing w:val="-6"/>
          <w:kern w:val="0"/>
          <w:sz w:val="24"/>
          <w:highlight w:val="none"/>
        </w:rPr>
      </w:pPr>
      <w:r>
        <w:rPr>
          <w:rFonts w:ascii="仿宋_GB2312" w:hAnsi="仿宋" w:eastAsia="仿宋_GB2312" w:cs="Arial"/>
          <w:color w:val="auto"/>
          <w:kern w:val="0"/>
          <w:sz w:val="24"/>
          <w:highlight w:val="none"/>
        </w:rPr>
        <w:t>4.2.8报价</w:t>
      </w:r>
      <w:r>
        <w:rPr>
          <w:rFonts w:ascii="仿宋_GB2312" w:hAnsi="仿宋" w:eastAsia="仿宋_GB2312" w:cs="Arial"/>
          <w:color w:val="auto"/>
          <w:spacing w:val="-6"/>
          <w:kern w:val="0"/>
          <w:sz w:val="24"/>
          <w:highlight w:val="none"/>
        </w:rPr>
        <w:t>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w:t>
      </w:r>
      <w:r>
        <w:rPr>
          <w:rFonts w:hint="eastAsia" w:ascii="仿宋_GB2312" w:hAnsi="仿宋" w:eastAsia="仿宋_GB2312" w:cs="仿宋_GB2312"/>
          <w:color w:val="auto"/>
          <w:highlight w:val="none"/>
          <w:lang w:eastAsia="zh-CN"/>
        </w:rPr>
        <w:t>投标人</w:t>
      </w:r>
      <w:r>
        <w:rPr>
          <w:rFonts w:ascii="仿宋_GB2312" w:hAnsi="仿宋" w:eastAsia="仿宋_GB2312" w:cs="仿宋_GB2312"/>
          <w:color w:val="auto"/>
          <w:highlight w:val="none"/>
        </w:rPr>
        <w:t>或者对招标文件作实质响应的</w:t>
      </w:r>
      <w:r>
        <w:rPr>
          <w:rFonts w:hint="eastAsia" w:ascii="仿宋_GB2312" w:hAnsi="仿宋" w:eastAsia="仿宋_GB2312" w:cs="仿宋_GB2312"/>
          <w:color w:val="auto"/>
          <w:highlight w:val="none"/>
          <w:lang w:eastAsia="zh-CN"/>
        </w:rPr>
        <w:t>投标人</w:t>
      </w:r>
      <w:r>
        <w:rPr>
          <w:rFonts w:ascii="仿宋_GB2312" w:hAnsi="仿宋" w:eastAsia="仿宋_GB2312" w:cs="仿宋_GB2312"/>
          <w:color w:val="auto"/>
          <w:highlight w:val="none"/>
        </w:rPr>
        <w:t>不足3家的；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w:t>
      </w:r>
      <w:r>
        <w:rPr>
          <w:rFonts w:hint="eastAsia" w:ascii="仿宋_GB2312" w:hAnsi="仿宋" w:eastAsia="仿宋_GB2312" w:cs="仿宋_GB2312"/>
          <w:color w:val="auto"/>
          <w:highlight w:val="none"/>
          <w:lang w:eastAsia="zh-CN"/>
        </w:rPr>
        <w:t>投标人</w:t>
      </w:r>
      <w:r>
        <w:rPr>
          <w:rFonts w:hint="eastAsia" w:ascii="仿宋_GB2312" w:hAnsi="仿宋" w:eastAsia="仿宋_GB2312" w:cs="仿宋_GB2312"/>
          <w:color w:val="auto"/>
          <w:highlight w:val="none"/>
        </w:rPr>
        <w:t>造成损失的，由责任人承担赔偿责任。</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bookmarkEnd w:id="24"/>
    <w:p>
      <w:pPr>
        <w:rPr>
          <w:rFonts w:hint="eastAsia" w:ascii="仿宋_GB2312" w:hAnsi="仿宋" w:eastAsia="仿宋_GB2312" w:cs="仿宋_GB2312"/>
          <w:b/>
          <w:color w:val="auto"/>
          <w:sz w:val="36"/>
          <w:szCs w:val="36"/>
          <w:highlight w:val="none"/>
        </w:rPr>
      </w:pPr>
      <w:bookmarkStart w:id="408" w:name="第五部分"/>
      <w:bookmarkStart w:id="409" w:name="_Toc86217003"/>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snapToGrid w:val="0"/>
        <w:spacing w:line="360" w:lineRule="auto"/>
        <w:ind w:firstLine="480" w:firstLineChars="200"/>
        <w:jc w:val="left"/>
        <w:rPr>
          <w:rFonts w:hint="eastAsia" w:ascii="仿宋" w:hAnsi="仿宋" w:eastAsia="仿宋" w:cs="仿宋"/>
          <w:snapToGrid w:val="0"/>
          <w:kern w:val="0"/>
          <w:sz w:val="24"/>
        </w:rPr>
      </w:pPr>
    </w:p>
    <w:p>
      <w:pPr>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甲方（采购人）：</w:t>
      </w:r>
    </w:p>
    <w:p>
      <w:pPr>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乙方（中标人）：</w:t>
      </w:r>
    </w:p>
    <w:p>
      <w:pPr>
        <w:tabs>
          <w:tab w:val="left" w:pos="1260"/>
        </w:tabs>
        <w:snapToGrid w:val="0"/>
        <w:spacing w:line="360" w:lineRule="auto"/>
        <w:ind w:firstLine="480" w:firstLineChars="200"/>
        <w:rPr>
          <w:rFonts w:hint="eastAsia" w:ascii="仿宋" w:hAnsi="仿宋" w:eastAsia="仿宋" w:cs="仿宋"/>
          <w:bCs/>
          <w:snapToGrid w:val="0"/>
          <w:sz w:val="24"/>
        </w:rPr>
      </w:pPr>
    </w:p>
    <w:p>
      <w:pPr>
        <w:pStyle w:val="962"/>
        <w:snapToGrid w:val="0"/>
        <w:spacing w:before="0" w:beforeAutospacing="0" w:after="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根据</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r>
        <w:rPr>
          <w:rFonts w:hint="eastAsia" w:ascii="仿宋" w:hAnsi="仿宋" w:eastAsia="仿宋" w:cs="仿宋"/>
          <w:u w:val="single"/>
          <w:lang w:eastAsia="zh-CN"/>
        </w:rPr>
        <w:t>白杨街道</w:t>
      </w:r>
      <w:r>
        <w:rPr>
          <w:rFonts w:hint="eastAsia" w:ascii="仿宋" w:hAnsi="仿宋" w:eastAsia="仿宋" w:cs="仿宋"/>
          <w:u w:val="single"/>
          <w:lang w:val="en-US" w:eastAsia="zh-CN"/>
        </w:rPr>
        <w:t>特保</w:t>
      </w:r>
      <w:r>
        <w:rPr>
          <w:rFonts w:hint="eastAsia" w:ascii="仿宋" w:hAnsi="仿宋" w:eastAsia="仿宋" w:cs="仿宋"/>
          <w:u w:val="single"/>
          <w:lang w:eastAsia="zh-CN"/>
        </w:rPr>
        <w:t>服务</w:t>
      </w:r>
      <w:r>
        <w:rPr>
          <w:rFonts w:hint="eastAsia" w:ascii="仿宋" w:hAnsi="仿宋" w:eastAsia="仿宋" w:cs="仿宋"/>
          <w:u w:val="single"/>
          <w:lang w:val="en-US" w:eastAsia="zh-CN"/>
        </w:rPr>
        <w:t>外包</w:t>
      </w:r>
      <w:r>
        <w:rPr>
          <w:rFonts w:hint="eastAsia" w:ascii="仿宋" w:hAnsi="仿宋" w:eastAsia="仿宋" w:cs="仿宋"/>
          <w:u w:val="single"/>
          <w:lang w:eastAsia="zh-CN"/>
        </w:rPr>
        <w:t>项目</w:t>
      </w:r>
      <w:r>
        <w:rPr>
          <w:rFonts w:hint="eastAsia" w:ascii="仿宋" w:hAnsi="仿宋" w:eastAsia="仿宋" w:cs="仿宋"/>
          <w:szCs w:val="24"/>
        </w:rPr>
        <w:t>（项目编号：</w:t>
      </w:r>
      <w:r>
        <w:rPr>
          <w:rFonts w:hint="eastAsia" w:ascii="仿宋" w:hAnsi="仿宋" w:eastAsia="仿宋" w:cs="仿宋"/>
          <w:szCs w:val="24"/>
          <w:lang w:eastAsia="zh-CN"/>
        </w:rPr>
        <w:t>QTCG-GK-2022-</w:t>
      </w:r>
      <w:r>
        <w:rPr>
          <w:rFonts w:hint="eastAsia" w:ascii="仿宋" w:hAnsi="仿宋" w:eastAsia="仿宋" w:cs="仿宋"/>
          <w:szCs w:val="24"/>
          <w:lang w:val="en-US" w:eastAsia="zh-CN"/>
        </w:rPr>
        <w:t>213</w:t>
      </w:r>
      <w:r>
        <w:rPr>
          <w:rFonts w:hint="eastAsia" w:ascii="仿宋" w:hAnsi="仿宋" w:eastAsia="仿宋" w:cs="仿宋"/>
          <w:szCs w:val="24"/>
        </w:rPr>
        <w:t>）采购结果和</w:t>
      </w:r>
      <w:r>
        <w:rPr>
          <w:rFonts w:hint="eastAsia" w:ascii="仿宋" w:hAnsi="仿宋" w:eastAsia="仿宋" w:cs="仿宋"/>
          <w:szCs w:val="24"/>
          <w:lang w:eastAsia="zh-CN"/>
        </w:rPr>
        <w:t>招标文件</w:t>
      </w:r>
      <w:r>
        <w:rPr>
          <w:rFonts w:hint="eastAsia" w:ascii="仿宋" w:hAnsi="仿宋" w:eastAsia="仿宋" w:cs="仿宋"/>
          <w:szCs w:val="24"/>
        </w:rPr>
        <w:t>的要求，并依照《中华人民共和国民法典》等有关法律、行政法规的规定，同时在平等、公平、诚实和信用的原则下，经双方协商一致，订立本合同。</w:t>
      </w:r>
    </w:p>
    <w:p>
      <w:pPr>
        <w:pStyle w:val="962"/>
        <w:snapToGrid w:val="0"/>
        <w:spacing w:before="0" w:beforeAutospacing="0" w:after="0" w:afterAutospacing="0" w:line="360" w:lineRule="auto"/>
        <w:ind w:firstLine="480" w:firstLineChars="200"/>
        <w:rPr>
          <w:rFonts w:hint="eastAsia" w:ascii="仿宋" w:hAnsi="仿宋" w:eastAsia="仿宋" w:cs="仿宋"/>
          <w:szCs w:val="24"/>
        </w:rPr>
      </w:pPr>
    </w:p>
    <w:p>
      <w:pPr>
        <w:numPr>
          <w:ilvl w:val="0"/>
          <w:numId w:val="4"/>
        </w:numPr>
        <w:tabs>
          <w:tab w:val="left" w:pos="540"/>
        </w:tabs>
        <w:adjustRightInd w:val="0"/>
        <w:snapToGrid w:val="0"/>
        <w:spacing w:line="360" w:lineRule="auto"/>
        <w:ind w:firstLine="482" w:firstLineChars="200"/>
        <w:rPr>
          <w:rFonts w:hint="eastAsia" w:ascii="仿宋" w:hAnsi="仿宋" w:eastAsia="仿宋" w:cs="仿宋"/>
          <w:bCs/>
          <w:sz w:val="24"/>
          <w:szCs w:val="24"/>
          <w:highlight w:val="none"/>
          <w:lang w:val="en-US" w:eastAsia="zh-CN"/>
        </w:rPr>
      </w:pPr>
      <w:r>
        <w:rPr>
          <w:rFonts w:hint="eastAsia" w:ascii="仿宋" w:hAnsi="仿宋" w:eastAsia="仿宋" w:cs="仿宋"/>
          <w:b/>
          <w:bCs/>
          <w:color w:val="auto"/>
          <w:sz w:val="24"/>
          <w:szCs w:val="24"/>
        </w:rPr>
        <w:t>服务内容</w:t>
      </w:r>
      <w:r>
        <w:rPr>
          <w:rFonts w:hint="eastAsia" w:ascii="仿宋" w:hAnsi="仿宋" w:eastAsia="仿宋" w:cs="仿宋"/>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single"/>
          <w:lang w:eastAsia="zh-CN"/>
        </w:rPr>
      </w:pPr>
      <w:r>
        <w:rPr>
          <w:rFonts w:hint="eastAsia" w:ascii="仿宋" w:hAnsi="仿宋" w:eastAsia="仿宋" w:cs="仿宋"/>
          <w:b w:val="0"/>
          <w:bCs/>
          <w:color w:val="auto"/>
          <w:sz w:val="24"/>
          <w:szCs w:val="24"/>
          <w:highlight w:val="none"/>
          <w:u w:val="single"/>
          <w:lang w:val="en-US" w:eastAsia="zh-CN"/>
        </w:rPr>
        <w:t xml:space="preserve">白杨街道特保服务外包项目主要内容：本次特保服务外包人员共70名，派至杭州市公安局钱塘新区分局白杨***，服务内容主要包括但不限于辖区社会面巡查防控、重点部位巡查值守、街面巡防、综合防治等工作。 </w:t>
      </w:r>
    </w:p>
    <w:p>
      <w:pPr>
        <w:tabs>
          <w:tab w:val="left" w:pos="540"/>
        </w:tabs>
        <w:adjustRightInd w:val="0"/>
        <w:snapToGrid w:val="0"/>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二、合同履行时间、履行方式及履行地点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val="zh-CN"/>
        </w:rPr>
        <w:t>履行时间：</w:t>
      </w:r>
      <w:r>
        <w:rPr>
          <w:rFonts w:hint="eastAsia" w:ascii="仿宋" w:hAnsi="仿宋" w:eastAsia="仿宋" w:cs="仿宋"/>
          <w:bCs/>
          <w:sz w:val="24"/>
          <w:szCs w:val="24"/>
          <w:highlight w:val="none"/>
          <w:u w:val="single"/>
          <w:lang w:val="zh-CN"/>
        </w:rPr>
        <w:t>自</w:t>
      </w:r>
      <w:r>
        <w:rPr>
          <w:rFonts w:hint="eastAsia" w:ascii="仿宋" w:hAnsi="仿宋" w:eastAsia="仿宋" w:cs="仿宋"/>
          <w:bCs/>
          <w:sz w:val="24"/>
          <w:szCs w:val="24"/>
          <w:highlight w:val="none"/>
          <w:u w:val="single"/>
          <w:lang w:val="en-US" w:eastAsia="zh-CN"/>
        </w:rPr>
        <w:t>合同签订并生效之日起一年</w:t>
      </w:r>
      <w:r>
        <w:rPr>
          <w:rFonts w:hint="eastAsia" w:ascii="仿宋" w:hAnsi="仿宋" w:eastAsia="仿宋" w:cs="仿宋"/>
          <w:bCs/>
          <w:sz w:val="24"/>
          <w:szCs w:val="24"/>
          <w:highlight w:val="none"/>
          <w:u w:val="singl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val="zh-CN"/>
        </w:rPr>
        <w:t>履行地点：</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lang w:val="zh-CN"/>
        </w:rPr>
        <w:t>。</w:t>
      </w:r>
    </w:p>
    <w:p>
      <w:pPr>
        <w:tabs>
          <w:tab w:val="left" w:pos="54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三、合同价格及付款方式</w:t>
      </w:r>
    </w:p>
    <w:p>
      <w:pPr>
        <w:tabs>
          <w:tab w:val="left" w:pos="540"/>
        </w:tabs>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eastAsia="zh-CN"/>
        </w:rPr>
        <w:t>本合同</w:t>
      </w:r>
      <w:r>
        <w:rPr>
          <w:rFonts w:hint="eastAsia" w:ascii="仿宋" w:hAnsi="仿宋" w:eastAsia="仿宋" w:cs="仿宋"/>
          <w:bCs/>
          <w:color w:val="auto"/>
          <w:sz w:val="24"/>
          <w:szCs w:val="24"/>
          <w:lang w:val="en-US" w:eastAsia="zh-CN"/>
        </w:rPr>
        <w:t>总</w:t>
      </w:r>
      <w:r>
        <w:rPr>
          <w:rFonts w:hint="eastAsia" w:ascii="仿宋" w:hAnsi="仿宋" w:eastAsia="仿宋" w:cs="仿宋"/>
          <w:bCs/>
          <w:color w:val="auto"/>
          <w:sz w:val="24"/>
          <w:szCs w:val="24"/>
          <w:lang w:eastAsia="zh-CN"/>
        </w:rPr>
        <w:t xml:space="preserve">金额为（大写） </w:t>
      </w:r>
      <w:r>
        <w:rPr>
          <w:rFonts w:hint="eastAsia" w:ascii="仿宋" w:hAnsi="仿宋" w:eastAsia="仿宋" w:cs="仿宋"/>
          <w:bCs/>
          <w:color w:val="auto"/>
          <w:sz w:val="24"/>
          <w:szCs w:val="24"/>
          <w:u w:val="single"/>
          <w:lang w:eastAsia="zh-CN"/>
        </w:rPr>
        <w:t>人民币</w:t>
      </w:r>
      <w:r>
        <w:rPr>
          <w:rFonts w:hint="eastAsia" w:ascii="仿宋" w:hAnsi="仿宋" w:eastAsia="仿宋" w:cs="仿宋"/>
          <w:bCs/>
          <w:color w:val="auto"/>
          <w:sz w:val="24"/>
          <w:szCs w:val="24"/>
          <w:u w:val="single"/>
          <w:lang w:val="en-US" w:eastAsia="zh-CN"/>
        </w:rPr>
        <w:t xml:space="preserve">          元整</w:t>
      </w:r>
      <w:r>
        <w:rPr>
          <w:rFonts w:hint="eastAsia" w:ascii="仿宋" w:hAnsi="仿宋" w:eastAsia="仿宋" w:cs="仿宋"/>
          <w:bCs/>
          <w:color w:val="auto"/>
          <w:sz w:val="24"/>
          <w:szCs w:val="24"/>
          <w:u w:val="single"/>
          <w:lang w:eastAsia="zh-CN"/>
        </w:rPr>
        <w:t>（￥</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lang w:eastAsia="zh-CN"/>
        </w:rPr>
        <w:t>元）</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     </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付款方式：</w:t>
      </w:r>
    </w:p>
    <w:p>
      <w:pPr>
        <w:adjustRightInd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（1）支付时间：按月支付</w:t>
      </w:r>
      <w:r>
        <w:rPr>
          <w:rFonts w:hint="eastAsia" w:ascii="仿宋" w:hAnsi="仿宋" w:eastAsia="仿宋" w:cs="仿宋"/>
          <w:sz w:val="24"/>
          <w:highlight w:val="none"/>
          <w:lang w:eastAsia="zh-CN"/>
        </w:rPr>
        <w:t>。</w:t>
      </w:r>
    </w:p>
    <w:p>
      <w:pPr>
        <w:adjustRightInd w:val="0"/>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hint="eastAsia" w:ascii="仿宋" w:hAnsi="仿宋" w:eastAsia="仿宋" w:cs="仿宋"/>
          <w:sz w:val="24"/>
          <w:highlight w:val="none"/>
          <w:lang w:val="en-US" w:eastAsia="zh-CN"/>
        </w:rPr>
        <w:t>（2）支付方式：甲方</w:t>
      </w:r>
      <w:r>
        <w:rPr>
          <w:rFonts w:hint="eastAsia" w:ascii="仿宋_GB2312" w:hAnsi="仿宋" w:eastAsia="仿宋_GB2312" w:cs="Helvetica"/>
          <w:snapToGrid/>
          <w:color w:val="auto"/>
          <w:kern w:val="0"/>
          <w:sz w:val="24"/>
          <w:szCs w:val="24"/>
          <w:highlight w:val="none"/>
          <w:lang w:val="en-US" w:eastAsia="zh-CN" w:bidi="ar-SA"/>
        </w:rPr>
        <w:t>在每月25日前支付给乙方前一个月特保服务费用，乙方须于每月10日前给甲方正规、等额、合法、有效的发票和实际使用单位明确过的考勤表，</w:t>
      </w:r>
      <w:r>
        <w:rPr>
          <w:rFonts w:hint="eastAsia" w:ascii="仿宋_GB2312" w:hAnsi="仿宋_GB2312" w:eastAsia="仿宋_GB2312" w:cs="仿宋_GB2312"/>
          <w:sz w:val="24"/>
          <w:highlight w:val="none"/>
        </w:rPr>
        <w:t>否则</w:t>
      </w:r>
      <w:r>
        <w:rPr>
          <w:rFonts w:hint="eastAsia" w:ascii="仿宋_GB2312" w:hAnsi="仿宋_GB2312" w:eastAsia="仿宋_GB2312" w:cs="仿宋_GB2312"/>
          <w:sz w:val="24"/>
          <w:highlight w:val="none"/>
          <w:lang w:val="en-US" w:eastAsia="zh-CN"/>
        </w:rPr>
        <w:t>甲方</w:t>
      </w:r>
      <w:r>
        <w:rPr>
          <w:rFonts w:hint="eastAsia" w:ascii="仿宋_GB2312" w:hAnsi="仿宋_GB2312" w:eastAsia="仿宋_GB2312" w:cs="仿宋_GB2312"/>
          <w:sz w:val="24"/>
          <w:highlight w:val="none"/>
        </w:rPr>
        <w:t>有权延期付款，直至收到</w:t>
      </w:r>
      <w:r>
        <w:rPr>
          <w:rFonts w:hint="eastAsia" w:ascii="仿宋_GB2312" w:hAnsi="仿宋_GB2312" w:eastAsia="仿宋_GB2312" w:cs="仿宋_GB2312"/>
          <w:sz w:val="24"/>
          <w:highlight w:val="none"/>
          <w:lang w:val="en-US" w:eastAsia="zh-CN"/>
        </w:rPr>
        <w:t>乙方</w:t>
      </w:r>
      <w:r>
        <w:rPr>
          <w:rFonts w:hint="eastAsia" w:ascii="仿宋_GB2312" w:hAnsi="仿宋_GB2312" w:eastAsia="仿宋_GB2312" w:cs="仿宋_GB2312"/>
          <w:sz w:val="24"/>
          <w:highlight w:val="none"/>
        </w:rPr>
        <w:t>相应发票为止。</w:t>
      </w:r>
    </w:p>
    <w:p>
      <w:pPr>
        <w:pStyle w:val="33"/>
        <w:adjustRightInd w:val="0"/>
        <w:snapToGrid w:val="0"/>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履约保证金</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highlight w:val="none"/>
        </w:rPr>
        <w:t>合同签</w:t>
      </w:r>
      <w:r>
        <w:rPr>
          <w:rFonts w:hint="eastAsia" w:ascii="仿宋" w:hAnsi="仿宋" w:eastAsia="仿宋" w:cs="仿宋"/>
          <w:bCs/>
          <w:sz w:val="24"/>
          <w:highlight w:val="none"/>
        </w:rPr>
        <w:t>订后</w:t>
      </w:r>
      <w:r>
        <w:rPr>
          <w:rFonts w:hint="eastAsia" w:ascii="仿宋" w:hAnsi="仿宋" w:eastAsia="仿宋" w:cs="仿宋"/>
          <w:sz w:val="24"/>
          <w:highlight w:val="none"/>
        </w:rPr>
        <w:t>5个工作日内</w:t>
      </w:r>
      <w:r>
        <w:rPr>
          <w:rFonts w:hint="eastAsia" w:ascii="仿宋" w:hAnsi="仿宋" w:eastAsia="仿宋" w:cs="仿宋"/>
          <w:snapToGrid w:val="0"/>
          <w:kern w:val="0"/>
          <w:sz w:val="24"/>
          <w:szCs w:val="24"/>
        </w:rPr>
        <w:t>须向甲方交纳</w:t>
      </w:r>
      <w:r>
        <w:rPr>
          <w:rFonts w:hint="eastAsia" w:ascii="仿宋" w:hAnsi="仿宋" w:eastAsia="仿宋" w:cs="仿宋"/>
          <w:snapToGrid w:val="0"/>
          <w:kern w:val="0"/>
          <w:sz w:val="24"/>
          <w:szCs w:val="24"/>
          <w:lang w:val="en-US" w:eastAsia="zh-CN"/>
        </w:rPr>
        <w:t>合同总金额1</w:t>
      </w:r>
      <w:r>
        <w:rPr>
          <w:rFonts w:hint="eastAsia" w:ascii="仿宋" w:hAnsi="仿宋" w:eastAsia="仿宋" w:cs="仿宋"/>
          <w:snapToGrid w:val="0"/>
          <w:kern w:val="0"/>
          <w:sz w:val="24"/>
          <w:szCs w:val="24"/>
        </w:rPr>
        <w:t>%（计</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元）的履约保证金。履约保证金在</w:t>
      </w:r>
      <w:r>
        <w:rPr>
          <w:rFonts w:hint="eastAsia" w:ascii="仿宋" w:hAnsi="仿宋" w:eastAsia="仿宋" w:cs="仿宋"/>
          <w:snapToGrid w:val="0"/>
          <w:kern w:val="0"/>
          <w:sz w:val="24"/>
          <w:szCs w:val="24"/>
          <w:lang w:val="zh-CN"/>
        </w:rPr>
        <w:t>合同履行完毕后</w:t>
      </w:r>
      <w:r>
        <w:rPr>
          <w:rFonts w:hint="eastAsia" w:ascii="仿宋" w:hAnsi="仿宋" w:eastAsia="仿宋" w:cs="仿宋"/>
          <w:snapToGrid w:val="0"/>
          <w:kern w:val="0"/>
          <w:sz w:val="24"/>
          <w:szCs w:val="24"/>
        </w:rPr>
        <w:t>，全额无息退还。</w:t>
      </w:r>
    </w:p>
    <w:p>
      <w:pPr>
        <w:widowControl/>
        <w:adjustRightInd w:val="0"/>
        <w:snapToGrid w:val="0"/>
        <w:spacing w:line="360" w:lineRule="auto"/>
        <w:ind w:firstLine="482" w:firstLineChars="200"/>
        <w:jc w:val="lef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五、委托管理事项</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1、对本辖区进行治安巡逻，预防、制止各类违法犯罪活动，维护治安秩序，确保一方平安。</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2、参与各类整治，配合做好社会面管控、重点部位巡查值守等工作。</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3、落实 110 应急联动，协助做好各类矛盾纠纷的排查、调解和化解工作。</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4、完成上级交办的其他工作任务。</w:t>
      </w:r>
    </w:p>
    <w:p>
      <w:pPr>
        <w:tabs>
          <w:tab w:val="left" w:pos="540"/>
        </w:tabs>
        <w:adjustRightInd w:val="0"/>
        <w:snapToGrid w:val="0"/>
        <w:spacing w:line="360" w:lineRule="auto"/>
        <w:ind w:firstLine="482" w:firstLineChars="200"/>
        <w:rPr>
          <w:rFonts w:hint="default" w:ascii="仿宋" w:hAnsi="仿宋" w:eastAsia="仿宋" w:cs="仿宋"/>
          <w:color w:val="auto"/>
          <w:sz w:val="24"/>
          <w:szCs w:val="24"/>
          <w:highlight w:val="cyan"/>
          <w:lang w:val="en-US" w:eastAsia="zh-CN"/>
        </w:rPr>
      </w:pPr>
      <w:r>
        <w:rPr>
          <w:rFonts w:hint="eastAsia" w:ascii="仿宋" w:hAnsi="仿宋" w:eastAsia="仿宋" w:cs="仿宋"/>
          <w:b/>
          <w:bCs/>
          <w:color w:val="auto"/>
          <w:sz w:val="24"/>
          <w:szCs w:val="24"/>
          <w:highlight w:val="none"/>
          <w:lang w:val="en-US" w:eastAsia="zh-CN"/>
        </w:rPr>
        <w:t>说明：特保人员具体的固定岗位及流动岗位设定、巡更点及路线、全天巡更次数等实施细则，必须按甲方实际使用单位要求，由乙方无条件执行。</w:t>
      </w:r>
    </w:p>
    <w:p>
      <w:pPr>
        <w:tabs>
          <w:tab w:val="left" w:pos="540"/>
        </w:tabs>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、转包或分包</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本合同范围的服务，应由乙方直接供应，不得转让他人供应；</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如有转让和未经甲方同意的分包行为，甲方有权解除合同，并追究乙方的违约责任。</w:t>
      </w:r>
    </w:p>
    <w:p>
      <w:pPr>
        <w:tabs>
          <w:tab w:val="left" w:pos="540"/>
        </w:tabs>
        <w:adjustRightInd w:val="0"/>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、税费</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本合同执行中相关的一切税费均由乙方负担。</w:t>
      </w:r>
    </w:p>
    <w:p>
      <w:pPr>
        <w:tabs>
          <w:tab w:val="left" w:pos="540"/>
        </w:tabs>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、质量保证及后续服务</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乙方应按</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规定的</w:t>
      </w:r>
      <w:r>
        <w:rPr>
          <w:rFonts w:hint="eastAsia" w:ascii="仿宋" w:hAnsi="仿宋" w:eastAsia="仿宋" w:cs="仿宋"/>
          <w:color w:val="auto"/>
          <w:sz w:val="24"/>
          <w:szCs w:val="24"/>
          <w:u w:val="single"/>
        </w:rPr>
        <w:t> 内容 </w:t>
      </w:r>
      <w:r>
        <w:rPr>
          <w:rFonts w:hint="eastAsia" w:ascii="仿宋" w:hAnsi="仿宋" w:eastAsia="仿宋" w:cs="仿宋"/>
          <w:color w:val="auto"/>
          <w:sz w:val="24"/>
          <w:szCs w:val="24"/>
        </w:rPr>
        <w:t>向甲方提供服务。</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甲方检查发现乙方提供的保安服务不符合标准要求，乙方应立即进行整改，直到符合要求为止。甲方可根据考核标准从服务质量保证金中扣除乙方因检查不合格而应该扣罚的款项（扣罚款项在签订合同时明确）。</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乙方提供的保安员不符合本合同约定的数额，乙方应当直接到甲方通知之日起2日内予以补足，甲方有权按照缺岗天数及缺岗人数扣除相应的服务质量保证金。</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由于乙方保安员原因在工作中给甲方的设施、材料造成损失，乙方应负责赔偿。</w:t>
      </w:r>
    </w:p>
    <w:p>
      <w:pPr>
        <w:tabs>
          <w:tab w:val="left" w:pos="54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如在服务过程中发生问题，乙方在接到甲方通知后在2小时内到达甲方现场。</w:t>
      </w:r>
    </w:p>
    <w:p>
      <w:pPr>
        <w:tabs>
          <w:tab w:val="left" w:pos="540"/>
        </w:tabs>
        <w:adjustRightInd w:val="0"/>
        <w:snapToGrid w:val="0"/>
        <w:spacing w:line="360" w:lineRule="auto"/>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在服务质量保证期内，乙方应对出现的质量及安全问题负责处理解决并承担一切费用。</w:t>
      </w:r>
    </w:p>
    <w:p>
      <w:pPr>
        <w:tabs>
          <w:tab w:val="left" w:pos="540"/>
        </w:tabs>
        <w:adjustRightInd w:val="0"/>
        <w:snapToGrid w:val="0"/>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lang w:eastAsia="zh-CN"/>
        </w:rPr>
        <w:t>、验收</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1、验收主体：</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2、</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在</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提供服务的过程中，有权不定期对服务内容和质量进行检查考核。</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应当配合进行。</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3、最终验收时间：服务内容执行完毕、服务期截止后。</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4、验收程序：</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向</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提出申请验收，</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按验收方案组织履约验收。</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应将项目执行过程及时记录、收集、整理，向</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递交验收申请资料。</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5、验收内容：</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实际完成的情况是否符合</w:t>
      </w:r>
      <w:r>
        <w:rPr>
          <w:rFonts w:hint="eastAsia" w:ascii="仿宋" w:hAnsi="仿宋" w:eastAsia="仿宋" w:cs="仿宋"/>
          <w:snapToGrid w:val="0"/>
          <w:kern w:val="0"/>
          <w:sz w:val="24"/>
          <w:lang w:val="en-US" w:eastAsia="zh-CN"/>
        </w:rPr>
        <w:t>招标</w:t>
      </w:r>
      <w:r>
        <w:rPr>
          <w:rFonts w:hint="eastAsia" w:ascii="仿宋" w:hAnsi="仿宋" w:eastAsia="仿宋" w:cs="仿宋"/>
          <w:snapToGrid w:val="0"/>
          <w:kern w:val="0"/>
          <w:sz w:val="24"/>
          <w:lang w:eastAsia="zh-CN"/>
        </w:rPr>
        <w:t>文件要求和</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在投标响应文件中的商务、技术承诺。</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6、验收标准：</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已经按</w:t>
      </w:r>
      <w:r>
        <w:rPr>
          <w:rFonts w:hint="eastAsia" w:ascii="仿宋" w:hAnsi="仿宋" w:eastAsia="仿宋" w:cs="仿宋"/>
          <w:snapToGrid w:val="0"/>
          <w:kern w:val="0"/>
          <w:sz w:val="24"/>
          <w:lang w:val="en-US" w:eastAsia="zh-CN"/>
        </w:rPr>
        <w:t>招标</w:t>
      </w:r>
      <w:r>
        <w:rPr>
          <w:rFonts w:hint="eastAsia" w:ascii="仿宋" w:hAnsi="仿宋" w:eastAsia="仿宋" w:cs="仿宋"/>
          <w:snapToGrid w:val="0"/>
          <w:kern w:val="0"/>
          <w:sz w:val="24"/>
          <w:lang w:eastAsia="zh-CN"/>
        </w:rPr>
        <w:t>文件要求和</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在投标响应文件中的商务、技术承诺完成项目执行。</w:t>
      </w:r>
    </w:p>
    <w:p>
      <w:pPr>
        <w:adjustRightInd w:val="0"/>
        <w:snapToGrid w:val="0"/>
        <w:spacing w:line="360" w:lineRule="auto"/>
        <w:ind w:firstLine="480" w:firstLineChars="200"/>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7、验收时</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应在现场，验收完毕后作出验收结果报告；验收产生的费用，由</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承担。</w:t>
      </w:r>
    </w:p>
    <w:p>
      <w:pPr>
        <w:adjustRightInd w:val="0"/>
        <w:snapToGrid w:val="0"/>
        <w:spacing w:line="360" w:lineRule="auto"/>
        <w:ind w:firstLine="480" w:firstLineChars="200"/>
        <w:rPr>
          <w:rFonts w:hint="eastAsia" w:ascii="仿宋" w:hAnsi="仿宋" w:eastAsia="仿宋" w:cs="仿宋"/>
          <w:b/>
          <w:bCs/>
          <w:color w:val="auto"/>
          <w:sz w:val="24"/>
          <w:szCs w:val="24"/>
          <w:lang w:eastAsia="zh-CN"/>
        </w:rPr>
      </w:pPr>
      <w:r>
        <w:rPr>
          <w:rFonts w:hint="eastAsia" w:ascii="仿宋" w:hAnsi="仿宋" w:eastAsia="仿宋" w:cs="仿宋"/>
          <w:snapToGrid w:val="0"/>
          <w:kern w:val="0"/>
          <w:sz w:val="24"/>
          <w:lang w:eastAsia="zh-CN"/>
        </w:rPr>
        <w:t>8、经验收后，</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服务成果不合格的（或未通过评审的），</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有权要求</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进行整改，相关费用由</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承担；如整改后仍不合格的，</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有权解除合同，并可以拒绝支付未支付的款项，</w:t>
      </w:r>
      <w:r>
        <w:rPr>
          <w:rFonts w:hint="eastAsia" w:ascii="仿宋" w:hAnsi="仿宋" w:eastAsia="仿宋" w:cs="仿宋"/>
          <w:snapToGrid w:val="0"/>
          <w:kern w:val="0"/>
          <w:sz w:val="24"/>
          <w:lang w:val="en-US" w:eastAsia="zh-CN"/>
        </w:rPr>
        <w:t>乙方</w:t>
      </w:r>
      <w:r>
        <w:rPr>
          <w:rFonts w:hint="eastAsia" w:ascii="仿宋" w:hAnsi="仿宋" w:eastAsia="仿宋" w:cs="仿宋"/>
          <w:snapToGrid w:val="0"/>
          <w:kern w:val="0"/>
          <w:sz w:val="24"/>
          <w:lang w:eastAsia="zh-CN"/>
        </w:rPr>
        <w:t>已经收取的款项应退还给</w:t>
      </w:r>
      <w:r>
        <w:rPr>
          <w:rFonts w:hint="eastAsia" w:ascii="仿宋" w:hAnsi="仿宋" w:eastAsia="仿宋" w:cs="仿宋"/>
          <w:snapToGrid w:val="0"/>
          <w:kern w:val="0"/>
          <w:sz w:val="24"/>
          <w:lang w:val="en-US" w:eastAsia="zh-CN"/>
        </w:rPr>
        <w:t>甲方</w:t>
      </w:r>
      <w:r>
        <w:rPr>
          <w:rFonts w:hint="eastAsia" w:ascii="仿宋" w:hAnsi="仿宋" w:eastAsia="仿宋" w:cs="仿宋"/>
          <w:snapToGrid w:val="0"/>
          <w:kern w:val="0"/>
          <w:sz w:val="24"/>
          <w:lang w:eastAsia="zh-CN"/>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十</w:t>
      </w:r>
      <w:r>
        <w:rPr>
          <w:rFonts w:hint="eastAsia" w:ascii="仿宋" w:hAnsi="仿宋" w:eastAsia="仿宋" w:cs="仿宋"/>
          <w:b/>
          <w:bCs/>
          <w:color w:val="auto"/>
          <w:sz w:val="24"/>
          <w:szCs w:val="24"/>
        </w:rPr>
        <w:t>、违约责任</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甲方无正当理由拒收接受服务的，甲方向乙方偿付</w:t>
      </w:r>
      <w:r>
        <w:rPr>
          <w:rFonts w:hint="eastAsia" w:ascii="仿宋" w:hAnsi="仿宋" w:eastAsia="仿宋" w:cs="仿宋"/>
          <w:color w:val="auto"/>
          <w:sz w:val="24"/>
          <w:szCs w:val="24"/>
          <w:lang w:eastAsia="zh-CN"/>
        </w:rPr>
        <w:t>合同总金额</w:t>
      </w:r>
      <w:r>
        <w:rPr>
          <w:rFonts w:hint="eastAsia" w:ascii="仿宋" w:hAnsi="仿宋" w:eastAsia="仿宋" w:cs="仿宋"/>
          <w:color w:val="auto"/>
          <w:sz w:val="24"/>
          <w:szCs w:val="24"/>
        </w:rPr>
        <w:t>项百分之五作为违约金。</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甲方无故逾期验收和办理款项支付手续的,甲方应按逾期付款总额每日万分之五向乙方支付违约金。</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乙方未能如期提供服务的，每日向甲方支付</w:t>
      </w:r>
      <w:r>
        <w:rPr>
          <w:rFonts w:hint="eastAsia" w:ascii="仿宋" w:hAnsi="仿宋" w:eastAsia="仿宋" w:cs="仿宋"/>
          <w:color w:val="auto"/>
          <w:sz w:val="24"/>
          <w:szCs w:val="24"/>
          <w:lang w:eastAsia="zh-CN"/>
        </w:rPr>
        <w:t>合同总金额</w:t>
      </w:r>
      <w:r>
        <w:rPr>
          <w:rFonts w:hint="eastAsia" w:ascii="仿宋" w:hAnsi="仿宋" w:eastAsia="仿宋" w:cs="仿宋"/>
          <w:color w:val="auto"/>
          <w:sz w:val="24"/>
          <w:szCs w:val="24"/>
        </w:rPr>
        <w:t xml:space="preserve">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十</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、不可抗力事件处理</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在合同有效期内，任何一方因不可抗力事件导致不能履行合同，则合同履行期可延长，其延长期与不可抗力影响期相同。</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不可抗力事件发生后，应立即通知对方，并寄送有关权威机构出具的证明。</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不可抗力事件延续120天以上，双方应通过友好协商，确定是否继续履行合同。</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、诉讼</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、合同生效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snapToGrid w:val="0"/>
          <w:color w:val="auto"/>
          <w:kern w:val="0"/>
          <w:sz w:val="24"/>
          <w:szCs w:val="24"/>
        </w:rPr>
        <w:t xml:space="preserve"> </w:t>
      </w:r>
      <w:r>
        <w:rPr>
          <w:rFonts w:hint="eastAsia" w:ascii="仿宋" w:hAnsi="仿宋" w:eastAsia="仿宋" w:cs="仿宋"/>
          <w:color w:val="auto"/>
          <w:sz w:val="24"/>
          <w:szCs w:val="24"/>
        </w:rPr>
        <w:t>附件。本协议附件包括：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、采购补充文件（如有）、投标文件、询标纪要及承诺（如有）、中标通知书、合同协议特定条款等均作为本合同的组成部分。附件是本协议不可分割的组成部分，以签署时间在后的优先。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本合同未尽事宜，遵照《</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》有关条文执行。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份，甲乙双方各执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w:t>
      </w:r>
    </w:p>
    <w:p>
      <w:pPr>
        <w:spacing w:line="400" w:lineRule="exact"/>
        <w:rPr>
          <w:rFonts w:hint="eastAsia" w:ascii="仿宋" w:hAnsi="仿宋" w:eastAsia="仿宋" w:cs="仿宋"/>
          <w:b/>
          <w:sz w:val="24"/>
          <w:szCs w:val="24"/>
        </w:rPr>
      </w:pPr>
    </w:p>
    <w:tbl>
      <w:tblPr>
        <w:tblStyle w:val="62"/>
        <w:tblW w:w="0" w:type="auto"/>
        <w:tblInd w:w="0" w:type="dxa"/>
        <w:tblLayout w:type="fixed"/>
        <w:tblCellMar>
          <w:top w:w="0" w:type="dxa"/>
          <w:left w:w="108" w:type="dxa"/>
          <w:bottom w:w="0" w:type="dxa"/>
          <w:right w:w="108" w:type="dxa"/>
        </w:tblCellMar>
      </w:tblPr>
      <w:tblGrid>
        <w:gridCol w:w="4479"/>
        <w:gridCol w:w="4473"/>
      </w:tblGrid>
      <w:tr>
        <w:tblPrEx>
          <w:tblCellMar>
            <w:top w:w="0" w:type="dxa"/>
            <w:left w:w="108" w:type="dxa"/>
            <w:bottom w:w="0" w:type="dxa"/>
            <w:right w:w="108" w:type="dxa"/>
          </w:tblCellMar>
        </w:tblPrEx>
        <w:trPr>
          <w:trHeight w:val="269" w:hRule="atLeast"/>
        </w:trPr>
        <w:tc>
          <w:tcPr>
            <w:tcW w:w="4479" w:type="dxa"/>
            <w:noWrap w:val="0"/>
            <w:vAlign w:val="center"/>
          </w:tcPr>
          <w:p>
            <w:pPr>
              <w:snapToGrid w:val="0"/>
              <w:spacing w:line="400" w:lineRule="exact"/>
              <w:rPr>
                <w:rFonts w:hint="eastAsia" w:ascii="仿宋" w:hAnsi="仿宋" w:eastAsia="仿宋" w:cs="仿宋"/>
                <w:b/>
                <w:sz w:val="24"/>
                <w:szCs w:val="24"/>
              </w:rPr>
            </w:pPr>
            <w:r>
              <w:rPr>
                <w:rFonts w:hint="eastAsia" w:ascii="仿宋" w:hAnsi="仿宋" w:eastAsia="仿宋" w:cs="仿宋"/>
                <w:b/>
                <w:bCs/>
                <w:sz w:val="24"/>
                <w:szCs w:val="24"/>
              </w:rPr>
              <w:t>甲 方：</w:t>
            </w:r>
          </w:p>
        </w:tc>
        <w:tc>
          <w:tcPr>
            <w:tcW w:w="4473" w:type="dxa"/>
            <w:noWrap w:val="0"/>
            <w:vAlign w:val="center"/>
          </w:tcPr>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 xml:space="preserve">乙 方： </w:t>
            </w:r>
          </w:p>
        </w:tc>
      </w:tr>
      <w:tr>
        <w:tblPrEx>
          <w:tblCellMar>
            <w:top w:w="0" w:type="dxa"/>
            <w:left w:w="108" w:type="dxa"/>
            <w:bottom w:w="0" w:type="dxa"/>
            <w:right w:w="108" w:type="dxa"/>
          </w:tblCellMar>
        </w:tblPrEx>
        <w:trPr>
          <w:trHeight w:val="259" w:hRule="atLeast"/>
        </w:trPr>
        <w:tc>
          <w:tcPr>
            <w:tcW w:w="4479"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bCs/>
                <w:sz w:val="24"/>
                <w:szCs w:val="24"/>
              </w:rPr>
              <w:t>（</w:t>
            </w:r>
            <w:r>
              <w:rPr>
                <w:rFonts w:hint="eastAsia" w:ascii="仿宋" w:hAnsi="仿宋" w:eastAsia="仿宋" w:cs="仿宋"/>
                <w:sz w:val="24"/>
                <w:szCs w:val="24"/>
              </w:rPr>
              <w:t>盖章）</w:t>
            </w:r>
          </w:p>
        </w:tc>
        <w:tc>
          <w:tcPr>
            <w:tcW w:w="4473"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（盖章）</w:t>
            </w:r>
          </w:p>
        </w:tc>
      </w:tr>
      <w:tr>
        <w:tblPrEx>
          <w:tblCellMar>
            <w:top w:w="0" w:type="dxa"/>
            <w:left w:w="108" w:type="dxa"/>
            <w:bottom w:w="0" w:type="dxa"/>
            <w:right w:w="108" w:type="dxa"/>
          </w:tblCellMar>
        </w:tblPrEx>
        <w:trPr>
          <w:trHeight w:val="269" w:hRule="atLeast"/>
        </w:trPr>
        <w:tc>
          <w:tcPr>
            <w:tcW w:w="4479" w:type="dxa"/>
            <w:noWrap w:val="0"/>
            <w:vAlign w:val="top"/>
          </w:tcPr>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法人或授权代表：</w:t>
            </w:r>
          </w:p>
        </w:tc>
        <w:tc>
          <w:tcPr>
            <w:tcW w:w="4473" w:type="dxa"/>
            <w:noWrap w:val="0"/>
            <w:vAlign w:val="top"/>
          </w:tcPr>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法人或授权代表：</w:t>
            </w:r>
          </w:p>
        </w:tc>
      </w:tr>
      <w:tr>
        <w:tblPrEx>
          <w:tblCellMar>
            <w:top w:w="0" w:type="dxa"/>
            <w:left w:w="108" w:type="dxa"/>
            <w:bottom w:w="0" w:type="dxa"/>
            <w:right w:w="108" w:type="dxa"/>
          </w:tblCellMar>
        </w:tblPrEx>
        <w:trPr>
          <w:trHeight w:val="269" w:hRule="atLeast"/>
        </w:trPr>
        <w:tc>
          <w:tcPr>
            <w:tcW w:w="4479"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通讯地址：</w:t>
            </w:r>
          </w:p>
        </w:tc>
        <w:tc>
          <w:tcPr>
            <w:tcW w:w="4473"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通讯地址：</w:t>
            </w:r>
          </w:p>
        </w:tc>
      </w:tr>
      <w:tr>
        <w:tblPrEx>
          <w:tblCellMar>
            <w:top w:w="0" w:type="dxa"/>
            <w:left w:w="108" w:type="dxa"/>
            <w:bottom w:w="0" w:type="dxa"/>
            <w:right w:w="108" w:type="dxa"/>
          </w:tblCellMar>
        </w:tblPrEx>
        <w:trPr>
          <w:trHeight w:val="259" w:hRule="atLeast"/>
        </w:trPr>
        <w:tc>
          <w:tcPr>
            <w:tcW w:w="4479" w:type="dxa"/>
            <w:noWrap w:val="0"/>
            <w:vAlign w:val="top"/>
          </w:tcPr>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开 户 行：</w:t>
            </w:r>
          </w:p>
        </w:tc>
        <w:tc>
          <w:tcPr>
            <w:tcW w:w="4473" w:type="dxa"/>
            <w:noWrap w:val="0"/>
            <w:vAlign w:val="top"/>
          </w:tcPr>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开 户 行：</w:t>
            </w:r>
          </w:p>
        </w:tc>
      </w:tr>
      <w:tr>
        <w:tblPrEx>
          <w:tblCellMar>
            <w:top w:w="0" w:type="dxa"/>
            <w:left w:w="108" w:type="dxa"/>
            <w:bottom w:w="0" w:type="dxa"/>
            <w:right w:w="108" w:type="dxa"/>
          </w:tblCellMar>
        </w:tblPrEx>
        <w:trPr>
          <w:trHeight w:val="269" w:hRule="atLeast"/>
        </w:trPr>
        <w:tc>
          <w:tcPr>
            <w:tcW w:w="4479"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帐    号：</w:t>
            </w:r>
          </w:p>
        </w:tc>
        <w:tc>
          <w:tcPr>
            <w:tcW w:w="4473"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帐    号：</w:t>
            </w:r>
          </w:p>
        </w:tc>
      </w:tr>
      <w:tr>
        <w:tblPrEx>
          <w:tblCellMar>
            <w:top w:w="0" w:type="dxa"/>
            <w:left w:w="108" w:type="dxa"/>
            <w:bottom w:w="0" w:type="dxa"/>
            <w:right w:w="108" w:type="dxa"/>
          </w:tblCellMar>
        </w:tblPrEx>
        <w:trPr>
          <w:trHeight w:val="269" w:hRule="atLeast"/>
        </w:trPr>
        <w:tc>
          <w:tcPr>
            <w:tcW w:w="4479" w:type="dxa"/>
            <w:noWrap w:val="0"/>
            <w:vAlign w:val="top"/>
          </w:tcPr>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电    话：</w:t>
            </w:r>
          </w:p>
        </w:tc>
        <w:tc>
          <w:tcPr>
            <w:tcW w:w="4473" w:type="dxa"/>
            <w:noWrap w:val="0"/>
            <w:vAlign w:val="top"/>
          </w:tcPr>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电    话：</w:t>
            </w:r>
          </w:p>
        </w:tc>
      </w:tr>
      <w:tr>
        <w:tblPrEx>
          <w:tblCellMar>
            <w:top w:w="0" w:type="dxa"/>
            <w:left w:w="108" w:type="dxa"/>
            <w:bottom w:w="0" w:type="dxa"/>
            <w:right w:w="108" w:type="dxa"/>
          </w:tblCellMar>
        </w:tblPrEx>
        <w:trPr>
          <w:trHeight w:val="259" w:hRule="atLeast"/>
        </w:trPr>
        <w:tc>
          <w:tcPr>
            <w:tcW w:w="4479"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 xml:space="preserve">日    期：      年   月   日  </w:t>
            </w:r>
          </w:p>
        </w:tc>
        <w:tc>
          <w:tcPr>
            <w:tcW w:w="4473" w:type="dxa"/>
            <w:noWrap w:val="0"/>
            <w:vAlign w:val="top"/>
          </w:tcPr>
          <w:p>
            <w:pPr>
              <w:spacing w:line="400" w:lineRule="exact"/>
              <w:rPr>
                <w:rFonts w:hint="eastAsia" w:ascii="仿宋" w:hAnsi="仿宋" w:eastAsia="仿宋" w:cs="仿宋"/>
                <w:b/>
                <w:bCs/>
                <w:sz w:val="24"/>
                <w:szCs w:val="24"/>
              </w:rPr>
            </w:pPr>
            <w:r>
              <w:rPr>
                <w:rFonts w:hint="eastAsia" w:ascii="仿宋" w:hAnsi="仿宋" w:eastAsia="仿宋" w:cs="仿宋"/>
                <w:sz w:val="24"/>
                <w:szCs w:val="24"/>
              </w:rPr>
              <w:t>日    期：       年   月   日</w:t>
            </w:r>
          </w:p>
        </w:tc>
      </w:tr>
    </w:tbl>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08"/>
      <w:r>
        <w:rPr>
          <w:rFonts w:ascii="仿宋" w:hAnsi="仿宋" w:eastAsia="仿宋" w:cs="仿宋_GB2312"/>
          <w:b/>
          <w:color w:val="auto"/>
          <w:sz w:val="36"/>
          <w:szCs w:val="20"/>
          <w:highlight w:val="none"/>
        </w:rPr>
        <w:t xml:space="preserve"> </w:t>
      </w:r>
      <w:bookmarkEnd w:id="409"/>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w:t>
      </w:r>
      <w:r>
        <w:rPr>
          <w:rFonts w:hint="eastAsia" w:ascii="仿宋_GB2312" w:hAnsi="仿宋" w:eastAsia="仿宋_GB2312" w:cs="仿宋_GB2312"/>
          <w:color w:val="auto"/>
          <w:sz w:val="24"/>
          <w:highlight w:val="none"/>
          <w:lang w:eastAsia="zh-CN"/>
        </w:rPr>
        <w:t>投标人</w:t>
      </w:r>
      <w:r>
        <w:rPr>
          <w:rFonts w:ascii="仿宋_GB2312" w:hAnsi="仿宋" w:eastAsia="仿宋_GB2312" w:cs="仿宋_GB2312"/>
          <w:color w:val="auto"/>
          <w:sz w:val="24"/>
          <w:highlight w:val="none"/>
        </w:rPr>
        <w:t>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w:t>
      </w:r>
      <w:r>
        <w:rPr>
          <w:rFonts w:hint="eastAsia" w:ascii="仿宋_GB2312" w:hAnsi="仿宋" w:eastAsia="仿宋_GB2312" w:cs="仿宋_GB2312"/>
          <w:color w:val="auto"/>
          <w:sz w:val="24"/>
          <w:highlight w:val="none"/>
          <w:lang w:eastAsia="zh-CN"/>
        </w:rPr>
        <w:t>投标人</w:t>
      </w:r>
      <w:r>
        <w:rPr>
          <w:rFonts w:hint="eastAsia" w:ascii="仿宋_GB2312" w:hAnsi="仿宋" w:eastAsia="仿宋_GB2312" w:cs="仿宋_GB2312"/>
          <w:color w:val="auto"/>
          <w:sz w:val="24"/>
          <w:highlight w:val="none"/>
        </w:rPr>
        <w:t>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r>
        <w:rPr>
          <w:rFonts w:hint="eastAsia" w:ascii="仿宋_GB2312" w:hAnsi="仿宋" w:eastAsia="仿宋_GB2312" w:cs="仿宋_GB2312"/>
          <w:b/>
          <w:kern w:val="0"/>
          <w:sz w:val="32"/>
          <w:szCs w:val="32"/>
          <w:lang w:val="zh-CN"/>
        </w:rPr>
        <w:t>（仅联合体</w:t>
      </w:r>
      <w:r>
        <w:rPr>
          <w:rFonts w:hint="eastAsia" w:ascii="仿宋_GB2312" w:hAnsi="仿宋" w:eastAsia="仿宋_GB2312" w:cs="仿宋_GB2312"/>
          <w:b/>
          <w:kern w:val="0"/>
          <w:sz w:val="32"/>
          <w:szCs w:val="32"/>
          <w:lang w:val="en-US" w:eastAsia="zh-CN"/>
        </w:rPr>
        <w:t>投标</w:t>
      </w:r>
      <w:r>
        <w:rPr>
          <w:rFonts w:hint="eastAsia" w:ascii="仿宋_GB2312" w:hAnsi="仿宋" w:eastAsia="仿宋_GB2312" w:cs="仿宋_GB2312"/>
          <w:b/>
          <w:kern w:val="0"/>
          <w:sz w:val="32"/>
          <w:szCs w:val="32"/>
          <w:lang w:val="zh-CN"/>
        </w:rPr>
        <w:t>须提供）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他投标人另外组成联合体参加同一合同项下的政府采购活动。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w:t>
      </w:r>
      <w:r>
        <w:rPr>
          <w:rFonts w:hint="eastAsia" w:ascii="仿宋_GB2312" w:hAnsi="仿宋" w:eastAsia="仿宋_GB2312" w:cs="仿宋_GB2312"/>
          <w:color w:val="auto"/>
          <w:kern w:val="0"/>
          <w:sz w:val="24"/>
          <w:highlight w:val="none"/>
          <w:lang w:val="zh-CN"/>
        </w:rPr>
        <w:t>投标人</w:t>
      </w:r>
      <w:r>
        <w:rPr>
          <w:rFonts w:ascii="仿宋_GB2312" w:hAnsi="仿宋" w:eastAsia="仿宋_GB2312" w:cs="仿宋_GB2312"/>
          <w:color w:val="auto"/>
          <w:kern w:val="0"/>
          <w:sz w:val="24"/>
          <w:highlight w:val="none"/>
          <w:lang w:val="zh-CN"/>
        </w:rPr>
        <w:t>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w:t>
      </w:r>
      <w:r>
        <w:rPr>
          <w:rFonts w:hint="eastAsia" w:ascii="仿宋_GB2312" w:hAnsi="仿宋" w:eastAsia="仿宋_GB2312" w:cs="仿宋_GB2312"/>
          <w:color w:val="auto"/>
          <w:sz w:val="24"/>
          <w:highlight w:val="none"/>
          <w:lang w:eastAsia="zh-CN"/>
        </w:rPr>
        <w:t>投标人</w:t>
      </w:r>
      <w:r>
        <w:rPr>
          <w:rFonts w:hint="eastAsia" w:ascii="仿宋_GB2312" w:hAnsi="仿宋" w:eastAsia="仿宋_GB2312" w:cs="仿宋_GB2312"/>
          <w:color w:val="auto"/>
          <w:sz w:val="24"/>
          <w:highlight w:val="none"/>
        </w:rPr>
        <w:t>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r>
        <w:rPr>
          <w:rFonts w:hint="eastAsia" w:ascii="仿宋_GB2312" w:hAnsi="仿宋" w:eastAsia="仿宋_GB2312" w:cs="仿宋_GB2312"/>
          <w:b/>
          <w:kern w:val="0"/>
          <w:sz w:val="32"/>
          <w:szCs w:val="32"/>
          <w:lang w:val="zh-CN"/>
        </w:rPr>
        <w:t>（仅</w:t>
      </w:r>
      <w:r>
        <w:rPr>
          <w:rFonts w:hint="eastAsia" w:ascii="仿宋_GB2312" w:hAnsi="仿宋" w:eastAsia="仿宋_GB2312" w:cs="仿宋_GB2312"/>
          <w:b/>
          <w:kern w:val="0"/>
          <w:sz w:val="32"/>
          <w:szCs w:val="32"/>
          <w:lang w:val="en-US" w:eastAsia="zh-CN"/>
        </w:rPr>
        <w:t>分包</w:t>
      </w:r>
      <w:r>
        <w:rPr>
          <w:rFonts w:hint="eastAsia" w:ascii="仿宋_GB2312" w:hAnsi="仿宋" w:eastAsia="仿宋_GB2312" w:cs="仿宋_GB2312"/>
          <w:b/>
          <w:kern w:val="0"/>
          <w:sz w:val="32"/>
          <w:szCs w:val="32"/>
          <w:lang w:val="zh-CN"/>
        </w:rPr>
        <w:t>须提供）</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的中标投标人，将依法采取分包方式履行合同。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分包投标人名称：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rPr>
          <w:color w:val="auto"/>
          <w:highlight w:val="none"/>
        </w:rPr>
      </w:pPr>
    </w:p>
    <w:p>
      <w:pPr>
        <w:snapToGrid w:val="0"/>
        <w:spacing w:line="360" w:lineRule="auto"/>
        <w:ind w:right="480"/>
        <w:jc w:val="both"/>
        <w:rPr>
          <w:rFonts w:hint="default" w:ascii="仿宋_GB2312" w:hAnsi="仿宋" w:eastAsia="仿宋_GB2312" w:cs="仿宋_GB2312"/>
          <w:b/>
          <w:color w:val="auto"/>
          <w:kern w:val="0"/>
          <w:sz w:val="32"/>
          <w:szCs w:val="32"/>
          <w:highlight w:val="none"/>
          <w:lang w:val="en-US" w:eastAsia="zh-CN"/>
        </w:rPr>
      </w:pPr>
      <w:r>
        <w:rPr>
          <w:rFonts w:hint="eastAsia" w:ascii="仿宋_GB2312" w:hAnsi="仿宋" w:eastAsia="仿宋_GB2312"/>
          <w:b/>
          <w:bCs/>
          <w:color w:val="auto"/>
          <w:sz w:val="24"/>
          <w:highlight w:val="none"/>
        </w:rPr>
        <w:t>具有公安机关核发且在有效期内的《保安服务许可证》</w:t>
      </w:r>
      <w:r>
        <w:rPr>
          <w:rFonts w:hint="eastAsia" w:ascii="仿宋_GB2312" w:hAnsi="仿宋" w:eastAsia="仿宋_GB2312"/>
          <w:b/>
          <w:bCs/>
          <w:color w:val="auto"/>
          <w:sz w:val="24"/>
          <w:highlight w:val="none"/>
          <w:lang w:eastAsia="zh-CN"/>
        </w:rPr>
        <w:t>，</w:t>
      </w:r>
      <w:r>
        <w:rPr>
          <w:rFonts w:hint="eastAsia" w:ascii="仿宋_GB2312" w:hAnsi="仿宋" w:eastAsia="仿宋_GB2312"/>
          <w:b/>
          <w:bCs/>
          <w:color w:val="auto"/>
          <w:sz w:val="24"/>
          <w:highlight w:val="none"/>
          <w:lang w:val="en-US" w:eastAsia="zh-CN"/>
        </w:rPr>
        <w:t>提供证书复印件并加盖公章；</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ascii="仿宋_GB2312" w:hAnsi="仿宋" w:eastAsia="仿宋_GB2312" w:cs="仿宋_GB2312"/>
          <w:color w:val="auto"/>
          <w:sz w:val="24"/>
          <w:highlight w:val="none"/>
          <w:lang w:val="en-US" w:eastAsia="zh-CN"/>
        </w:rPr>
        <w:t xml:space="preserve"> </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仅联合体投标须提供</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 xml:space="preserve"> </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仅分包须提供</w:t>
      </w:r>
      <w:r>
        <w:rPr>
          <w:rFonts w:hint="eastAsia" w:ascii="仿宋_GB2312" w:hAnsi="仿宋" w:eastAsia="仿宋_GB2312" w:cs="仿宋_GB2312"/>
          <w:color w:val="auto"/>
          <w:sz w:val="24"/>
          <w:highlight w:val="none"/>
          <w:lang w:eastAsia="zh-CN"/>
        </w:rPr>
        <w:t>）</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ascii="仿宋_GB2312" w:hAnsi="仿宋" w:eastAsia="仿宋_GB2312" w:cs="仿宋_GB2312"/>
          <w:color w:val="auto"/>
          <w:sz w:val="24"/>
          <w:highlight w:val="none"/>
          <w:lang w:val="en-US" w:eastAsia="zh-CN"/>
        </w:rPr>
        <w:t xml:space="preserve"> </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）政府采购投标人廉洁自律承诺书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政府采购投标人廉洁自律承诺书；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他投标人另外组成联合体参加同一合同项下的政府采购活动。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w:t>
      </w:r>
      <w:r>
        <w:rPr>
          <w:rFonts w:hint="eastAsia" w:ascii="仿宋_GB2312" w:hAnsi="仿宋" w:eastAsia="仿宋_GB2312" w:cs="仿宋_GB2312"/>
          <w:color w:val="auto"/>
          <w:kern w:val="0"/>
          <w:sz w:val="24"/>
          <w:highlight w:val="none"/>
          <w:lang w:val="zh-CN"/>
        </w:rPr>
        <w:t>投标人</w:t>
      </w:r>
      <w:r>
        <w:rPr>
          <w:rFonts w:ascii="仿宋_GB2312" w:hAnsi="仿宋" w:eastAsia="仿宋_GB2312" w:cs="仿宋_GB2312"/>
          <w:color w:val="auto"/>
          <w:kern w:val="0"/>
          <w:sz w:val="24"/>
          <w:highlight w:val="none"/>
          <w:lang w:val="zh-CN"/>
        </w:rPr>
        <w:t>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3" w:type="first"/>
          <w:footerReference r:id="rId15" w:type="first"/>
          <w:headerReference r:id="rId12" w:type="default"/>
          <w:footerReference r:id="rId14"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的中标投标人，将依法采取分包方式履行合同。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w:t>
      </w:r>
      <w:r>
        <w:rPr>
          <w:rFonts w:hint="eastAsia" w:ascii="仿宋_GB2312" w:hAnsi="仿宋" w:eastAsia="仿宋_GB2312" w:cs="仿宋_GB2312"/>
          <w:color w:val="auto"/>
          <w:kern w:val="0"/>
          <w:sz w:val="24"/>
          <w:highlight w:val="none"/>
          <w:u w:val="single"/>
          <w:lang w:eastAsia="zh-CN"/>
        </w:rPr>
        <w:t>投标人</w:t>
      </w:r>
      <w:r>
        <w:rPr>
          <w:rFonts w:hint="eastAsia" w:ascii="仿宋_GB2312" w:hAnsi="仿宋" w:eastAsia="仿宋_GB2312" w:cs="仿宋_GB2312"/>
          <w:color w:val="auto"/>
          <w:kern w:val="0"/>
          <w:sz w:val="24"/>
          <w:highlight w:val="none"/>
          <w:u w:val="single"/>
        </w:rPr>
        <w:t>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（未预留份额专门面向中小企业采购的采购项目，以及预留份额中的非预留部分采购包，允许分包的，分包投标人提供的货物全部由小微企业制造，且其合同份额占到合同总金额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分包投标人名称：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center"/>
          </w:tcPr>
          <w:p>
            <w:pPr>
              <w:spacing w:line="360" w:lineRule="auto"/>
              <w:jc w:val="both"/>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政府采购投标人廉洁自律承诺书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7" w:type="first"/>
          <w:footerReference r:id="rId19" w:type="first"/>
          <w:headerReference r:id="rId16" w:type="default"/>
          <w:footerReference r:id="rId18"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21" w:type="first"/>
          <w:footerReference r:id="rId23" w:type="first"/>
          <w:headerReference r:id="rId20" w:type="default"/>
          <w:footerReference r:id="rId22"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30"/>
        <w:gridCol w:w="980"/>
        <w:gridCol w:w="1100"/>
        <w:gridCol w:w="1420"/>
        <w:gridCol w:w="2610"/>
        <w:gridCol w:w="1870"/>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1"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530" w:type="dxa"/>
            <w:vAlign w:val="center"/>
          </w:tcPr>
          <w:p>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lang w:val="en-US" w:eastAsia="zh-CN"/>
              </w:rPr>
              <w:t>项目内容</w:t>
            </w:r>
          </w:p>
        </w:tc>
        <w:tc>
          <w:tcPr>
            <w:tcW w:w="980"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val="en-US" w:eastAsia="zh-CN"/>
              </w:rPr>
              <w:t>数量</w:t>
            </w:r>
          </w:p>
        </w:tc>
        <w:tc>
          <w:tcPr>
            <w:tcW w:w="1100" w:type="dxa"/>
            <w:vAlign w:val="center"/>
          </w:tcPr>
          <w:p>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lang w:val="en-US" w:eastAsia="zh-CN"/>
              </w:rPr>
              <w:t>单位</w:t>
            </w:r>
          </w:p>
        </w:tc>
        <w:tc>
          <w:tcPr>
            <w:tcW w:w="1420" w:type="dxa"/>
            <w:vAlign w:val="center"/>
          </w:tcPr>
          <w:p>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服务时间</w:t>
            </w:r>
          </w:p>
        </w:tc>
        <w:tc>
          <w:tcPr>
            <w:tcW w:w="2610"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val="en-US" w:eastAsia="zh-CN"/>
              </w:rPr>
              <w:t>综合</w:t>
            </w:r>
            <w:r>
              <w:rPr>
                <w:rFonts w:hint="eastAsia" w:ascii="仿宋_GB2312" w:hAnsi="仿宋" w:eastAsia="仿宋_GB2312"/>
                <w:b/>
                <w:color w:val="auto"/>
                <w:sz w:val="24"/>
                <w:highlight w:val="none"/>
              </w:rPr>
              <w:t>单价</w:t>
            </w:r>
          </w:p>
        </w:tc>
        <w:tc>
          <w:tcPr>
            <w:tcW w:w="1870"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rPr>
              <w:t>总价</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元</w:t>
            </w:r>
            <w:r>
              <w:rPr>
                <w:rFonts w:hint="eastAsia" w:ascii="仿宋_GB2312" w:hAnsi="仿宋" w:eastAsia="仿宋_GB2312"/>
                <w:b/>
                <w:color w:val="auto"/>
                <w:sz w:val="24"/>
                <w:highlight w:val="none"/>
                <w:lang w:eastAsia="zh-CN"/>
              </w:rPr>
              <w:t>）</w:t>
            </w:r>
          </w:p>
        </w:tc>
        <w:tc>
          <w:tcPr>
            <w:tcW w:w="4336" w:type="dxa"/>
            <w:vAlign w:val="center"/>
          </w:tcPr>
          <w:p>
            <w:pPr>
              <w:spacing w:line="360" w:lineRule="auto"/>
              <w:jc w:val="center"/>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1"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530" w:type="dxa"/>
            <w:vAlign w:val="center"/>
          </w:tcPr>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特保人员工资（含绩效工资）</w:t>
            </w:r>
          </w:p>
        </w:tc>
        <w:tc>
          <w:tcPr>
            <w:tcW w:w="980" w:type="dxa"/>
            <w:vAlign w:val="center"/>
          </w:tcPr>
          <w:p>
            <w:pPr>
              <w:snapToGrid w:val="0"/>
              <w:spacing w:line="360" w:lineRule="auto"/>
              <w:jc w:val="center"/>
              <w:rPr>
                <w:rFonts w:hint="default" w:ascii="仿宋_GB2312" w:hAnsi="仿宋" w:eastAsia="仿宋_GB2312" w:cs="仿宋_GB2312"/>
                <w:color w:val="auto"/>
                <w:sz w:val="24"/>
                <w:highlight w:val="none"/>
                <w:lang w:val="en-US"/>
              </w:rPr>
            </w:pPr>
            <w:r>
              <w:rPr>
                <w:rFonts w:hint="eastAsia" w:ascii="仿宋_GB2312" w:hAnsi="仿宋" w:eastAsia="仿宋_GB2312" w:cs="仿宋_GB2312"/>
                <w:color w:val="auto"/>
                <w:sz w:val="24"/>
                <w:highlight w:val="none"/>
                <w:lang w:val="en-US" w:eastAsia="zh-CN"/>
              </w:rPr>
              <w:t>70</w:t>
            </w:r>
          </w:p>
        </w:tc>
        <w:tc>
          <w:tcPr>
            <w:tcW w:w="1100" w:type="dxa"/>
            <w:vAlign w:val="center"/>
          </w:tcPr>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人</w:t>
            </w:r>
          </w:p>
        </w:tc>
        <w:tc>
          <w:tcPr>
            <w:tcW w:w="1420" w:type="dxa"/>
            <w:vAlign w:val="center"/>
          </w:tcPr>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12个月</w:t>
            </w:r>
          </w:p>
        </w:tc>
        <w:tc>
          <w:tcPr>
            <w:tcW w:w="2610" w:type="dxa"/>
            <w:vAlign w:val="center"/>
          </w:tcPr>
          <w:p>
            <w:pPr>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lang w:val="en-US" w:eastAsia="zh-CN"/>
              </w:rPr>
              <w:t>元/人/月</w:t>
            </w:r>
          </w:p>
        </w:tc>
        <w:tc>
          <w:tcPr>
            <w:tcW w:w="1870" w:type="dxa"/>
            <w:vAlign w:val="center"/>
          </w:tcPr>
          <w:p>
            <w:pPr>
              <w:spacing w:line="360" w:lineRule="auto"/>
              <w:jc w:val="center"/>
              <w:rPr>
                <w:rFonts w:ascii="仿宋_GB2312" w:hAnsi="仿宋" w:eastAsia="仿宋_GB2312" w:cs="仿宋_GB2312"/>
                <w:color w:val="auto"/>
                <w:sz w:val="24"/>
                <w:highlight w:val="none"/>
              </w:rPr>
            </w:pPr>
          </w:p>
        </w:tc>
        <w:tc>
          <w:tcPr>
            <w:tcW w:w="4336" w:type="dxa"/>
            <w:vAlign w:val="center"/>
          </w:tcPr>
          <w:p>
            <w:pPr>
              <w:pStyle w:val="24"/>
              <w:numPr>
                <w:ilvl w:val="0"/>
                <w:numId w:val="5"/>
              </w:numPr>
              <w:rPr>
                <w:rFonts w:hint="eastAsia" w:ascii="仿宋_GB2312" w:hAnsi="仿宋" w:eastAsia="仿宋_GB2312" w:cs="仿宋_GB2312"/>
                <w:snapToGrid/>
                <w:color w:val="auto"/>
                <w:kern w:val="2"/>
                <w:sz w:val="24"/>
                <w:szCs w:val="24"/>
                <w:highlight w:val="none"/>
                <w:lang w:val="en-US" w:eastAsia="zh-CN" w:bidi="ar-SA"/>
              </w:rPr>
            </w:pPr>
            <w:r>
              <w:rPr>
                <w:rFonts w:hint="eastAsia" w:ascii="仿宋_GB2312" w:hAnsi="仿宋" w:eastAsia="仿宋_GB2312" w:cs="仿宋_GB2312"/>
                <w:snapToGrid/>
                <w:color w:val="auto"/>
                <w:kern w:val="2"/>
                <w:sz w:val="24"/>
                <w:szCs w:val="24"/>
                <w:highlight w:val="none"/>
                <w:lang w:val="en-US" w:eastAsia="zh-CN" w:bidi="ar-SA"/>
              </w:rPr>
              <w:t>基本工资最低不得低于杭州市最低工资标准（最低工资不包括下列四项收入：延长工作时间的工资；中班、夜班、高温、低温等环境、条件下的津贴；贴补伙食、住房等支付给劳动者的非货币性收入；法律、法规和国家规定的劳动者福利待遇等）。</w:t>
            </w:r>
          </w:p>
          <w:p>
            <w:pPr>
              <w:pStyle w:val="24"/>
              <w:numPr>
                <w:ilvl w:val="0"/>
                <w:numId w:val="5"/>
              </w:numPr>
            </w:pPr>
            <w:r>
              <w:rPr>
                <w:rFonts w:hint="eastAsia" w:ascii="仿宋_GB2312" w:hAnsi="仿宋" w:eastAsia="仿宋_GB2312" w:cs="仿宋_GB2312"/>
                <w:snapToGrid/>
                <w:color w:val="auto"/>
                <w:kern w:val="2"/>
                <w:sz w:val="24"/>
                <w:szCs w:val="24"/>
                <w:highlight w:val="none"/>
                <w:lang w:val="en-US" w:eastAsia="zh-CN" w:bidi="ar-SA"/>
              </w:rPr>
              <w:t>根据浙江省与杭州市相关文件规定，并结合本项目具体情况缴纳基本社会保险企业承担部分（基本养老保险、基本医疗保险、失业保险、工伤保险、生育保险）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530" w:type="dxa"/>
            <w:vAlign w:val="center"/>
          </w:tcPr>
          <w:p>
            <w:pPr>
              <w:snapToGrid w:val="0"/>
              <w:spacing w:line="360" w:lineRule="auto"/>
              <w:jc w:val="center"/>
              <w:rPr>
                <w:rFonts w:ascii="仿宋_GB2312" w:hAnsi="仿宋" w:eastAsia="仿宋_GB2312" w:cs="仿宋_GB2312"/>
                <w:color w:val="auto"/>
                <w:sz w:val="24"/>
                <w:highlight w:val="none"/>
              </w:rPr>
            </w:pPr>
          </w:p>
        </w:tc>
        <w:tc>
          <w:tcPr>
            <w:tcW w:w="980" w:type="dxa"/>
            <w:vAlign w:val="center"/>
          </w:tcPr>
          <w:p>
            <w:pPr>
              <w:snapToGrid w:val="0"/>
              <w:spacing w:line="360" w:lineRule="auto"/>
              <w:jc w:val="center"/>
              <w:rPr>
                <w:rFonts w:ascii="仿宋_GB2312" w:hAnsi="仿宋" w:eastAsia="仿宋_GB2312" w:cs="仿宋_GB2312"/>
                <w:color w:val="auto"/>
                <w:sz w:val="24"/>
                <w:highlight w:val="none"/>
              </w:rPr>
            </w:pPr>
          </w:p>
        </w:tc>
        <w:tc>
          <w:tcPr>
            <w:tcW w:w="1100" w:type="dxa"/>
            <w:vAlign w:val="center"/>
          </w:tcPr>
          <w:p>
            <w:pPr>
              <w:snapToGrid w:val="0"/>
              <w:spacing w:line="360" w:lineRule="auto"/>
              <w:jc w:val="center"/>
              <w:rPr>
                <w:rFonts w:ascii="仿宋_GB2312" w:hAnsi="仿宋" w:eastAsia="仿宋_GB2312" w:cs="仿宋_GB2312"/>
                <w:color w:val="auto"/>
                <w:sz w:val="24"/>
                <w:highlight w:val="none"/>
              </w:rPr>
            </w:pPr>
          </w:p>
        </w:tc>
        <w:tc>
          <w:tcPr>
            <w:tcW w:w="1420" w:type="dxa"/>
            <w:vAlign w:val="center"/>
          </w:tcPr>
          <w:p>
            <w:pPr>
              <w:snapToGrid w:val="0"/>
              <w:spacing w:line="360" w:lineRule="auto"/>
              <w:jc w:val="center"/>
              <w:rPr>
                <w:rFonts w:ascii="仿宋_GB2312" w:hAnsi="仿宋" w:eastAsia="仿宋_GB2312" w:cs="仿宋_GB2312"/>
                <w:color w:val="auto"/>
                <w:sz w:val="24"/>
                <w:highlight w:val="none"/>
              </w:rPr>
            </w:pPr>
          </w:p>
        </w:tc>
        <w:tc>
          <w:tcPr>
            <w:tcW w:w="2610" w:type="dxa"/>
            <w:vAlign w:val="center"/>
          </w:tcPr>
          <w:p>
            <w:pPr>
              <w:spacing w:line="360" w:lineRule="auto"/>
              <w:jc w:val="center"/>
              <w:rPr>
                <w:rFonts w:ascii="仿宋_GB2312" w:hAnsi="仿宋" w:eastAsia="仿宋_GB2312" w:cs="仿宋_GB2312"/>
                <w:color w:val="auto"/>
                <w:sz w:val="24"/>
                <w:highlight w:val="none"/>
              </w:rPr>
            </w:pPr>
          </w:p>
        </w:tc>
        <w:tc>
          <w:tcPr>
            <w:tcW w:w="1870" w:type="dxa"/>
            <w:vAlign w:val="center"/>
          </w:tcPr>
          <w:p>
            <w:pPr>
              <w:spacing w:line="360" w:lineRule="auto"/>
              <w:jc w:val="center"/>
              <w:rPr>
                <w:rFonts w:ascii="仿宋_GB2312" w:hAnsi="仿宋" w:eastAsia="仿宋_GB2312" w:cs="仿宋_GB2312"/>
                <w:color w:val="auto"/>
                <w:sz w:val="24"/>
                <w:highlight w:val="none"/>
              </w:rPr>
            </w:pPr>
          </w:p>
        </w:tc>
        <w:tc>
          <w:tcPr>
            <w:tcW w:w="4336" w:type="dxa"/>
            <w:vAlign w:val="center"/>
          </w:tcPr>
          <w:p>
            <w:pPr>
              <w:spacing w:line="360" w:lineRule="auto"/>
              <w:jc w:val="both"/>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530" w:type="dxa"/>
            <w:vAlign w:val="center"/>
          </w:tcPr>
          <w:p>
            <w:pPr>
              <w:snapToGrid w:val="0"/>
              <w:spacing w:line="360" w:lineRule="auto"/>
              <w:jc w:val="center"/>
              <w:rPr>
                <w:rFonts w:ascii="仿宋_GB2312" w:hAnsi="仿宋" w:eastAsia="仿宋_GB2312" w:cs="仿宋_GB2312"/>
                <w:color w:val="auto"/>
                <w:sz w:val="24"/>
                <w:highlight w:val="none"/>
              </w:rPr>
            </w:pPr>
          </w:p>
        </w:tc>
        <w:tc>
          <w:tcPr>
            <w:tcW w:w="980" w:type="dxa"/>
            <w:vAlign w:val="center"/>
          </w:tcPr>
          <w:p>
            <w:pPr>
              <w:snapToGrid w:val="0"/>
              <w:spacing w:line="360" w:lineRule="auto"/>
              <w:jc w:val="center"/>
              <w:rPr>
                <w:rFonts w:ascii="仿宋_GB2312" w:hAnsi="仿宋" w:eastAsia="仿宋_GB2312" w:cs="仿宋_GB2312"/>
                <w:color w:val="auto"/>
                <w:sz w:val="24"/>
                <w:highlight w:val="none"/>
              </w:rPr>
            </w:pPr>
          </w:p>
        </w:tc>
        <w:tc>
          <w:tcPr>
            <w:tcW w:w="1100" w:type="dxa"/>
            <w:vAlign w:val="center"/>
          </w:tcPr>
          <w:p>
            <w:pPr>
              <w:snapToGrid w:val="0"/>
              <w:spacing w:line="360" w:lineRule="auto"/>
              <w:jc w:val="center"/>
              <w:rPr>
                <w:rFonts w:ascii="仿宋_GB2312" w:hAnsi="仿宋" w:eastAsia="仿宋_GB2312" w:cs="仿宋_GB2312"/>
                <w:color w:val="auto"/>
                <w:sz w:val="24"/>
                <w:highlight w:val="none"/>
              </w:rPr>
            </w:pPr>
          </w:p>
        </w:tc>
        <w:tc>
          <w:tcPr>
            <w:tcW w:w="1420" w:type="dxa"/>
            <w:vAlign w:val="center"/>
          </w:tcPr>
          <w:p>
            <w:pPr>
              <w:snapToGrid w:val="0"/>
              <w:spacing w:line="360" w:lineRule="auto"/>
              <w:jc w:val="center"/>
              <w:rPr>
                <w:rFonts w:ascii="仿宋_GB2312" w:hAnsi="仿宋" w:eastAsia="仿宋_GB2312" w:cs="仿宋_GB2312"/>
                <w:color w:val="auto"/>
                <w:sz w:val="24"/>
                <w:highlight w:val="none"/>
              </w:rPr>
            </w:pPr>
          </w:p>
        </w:tc>
        <w:tc>
          <w:tcPr>
            <w:tcW w:w="2610" w:type="dxa"/>
            <w:vAlign w:val="center"/>
          </w:tcPr>
          <w:p>
            <w:pPr>
              <w:spacing w:line="360" w:lineRule="auto"/>
              <w:jc w:val="center"/>
              <w:rPr>
                <w:rFonts w:ascii="仿宋_GB2312" w:hAnsi="仿宋" w:eastAsia="仿宋_GB2312" w:cs="仿宋_GB2312"/>
                <w:color w:val="auto"/>
                <w:sz w:val="24"/>
                <w:highlight w:val="none"/>
              </w:rPr>
            </w:pPr>
          </w:p>
        </w:tc>
        <w:tc>
          <w:tcPr>
            <w:tcW w:w="1870" w:type="dxa"/>
            <w:vAlign w:val="center"/>
          </w:tcPr>
          <w:p>
            <w:pPr>
              <w:spacing w:line="360" w:lineRule="auto"/>
              <w:jc w:val="center"/>
              <w:rPr>
                <w:rFonts w:ascii="仿宋_GB2312" w:hAnsi="仿宋" w:eastAsia="仿宋_GB2312" w:cs="仿宋_GB2312"/>
                <w:color w:val="auto"/>
                <w:sz w:val="24"/>
                <w:highlight w:val="none"/>
              </w:rPr>
            </w:pPr>
          </w:p>
        </w:tc>
        <w:tc>
          <w:tcPr>
            <w:tcW w:w="4336"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vAlign w:val="center"/>
          </w:tcPr>
          <w:p>
            <w:pPr>
              <w:spacing w:line="360" w:lineRule="auto"/>
              <w:jc w:val="center"/>
              <w:rPr>
                <w:rFonts w:ascii="仿宋_GB2312" w:hAnsi="仿宋" w:eastAsia="仿宋_GB2312" w:cs="仿宋_GB2312"/>
                <w:color w:val="auto"/>
                <w:sz w:val="24"/>
                <w:highlight w:val="none"/>
              </w:rPr>
            </w:pPr>
          </w:p>
        </w:tc>
        <w:tc>
          <w:tcPr>
            <w:tcW w:w="1530" w:type="dxa"/>
            <w:vAlign w:val="center"/>
          </w:tcPr>
          <w:p>
            <w:pPr>
              <w:snapToGrid w:val="0"/>
              <w:spacing w:line="360" w:lineRule="auto"/>
              <w:jc w:val="center"/>
              <w:rPr>
                <w:rFonts w:ascii="仿宋_GB2312" w:hAnsi="仿宋" w:eastAsia="仿宋_GB2312" w:cs="仿宋_GB2312"/>
                <w:color w:val="auto"/>
                <w:sz w:val="24"/>
                <w:highlight w:val="none"/>
              </w:rPr>
            </w:pPr>
          </w:p>
        </w:tc>
        <w:tc>
          <w:tcPr>
            <w:tcW w:w="980" w:type="dxa"/>
            <w:vAlign w:val="center"/>
          </w:tcPr>
          <w:p>
            <w:pPr>
              <w:snapToGrid w:val="0"/>
              <w:spacing w:line="360" w:lineRule="auto"/>
              <w:jc w:val="center"/>
              <w:rPr>
                <w:rFonts w:ascii="仿宋_GB2312" w:hAnsi="仿宋" w:eastAsia="仿宋_GB2312" w:cs="仿宋_GB2312"/>
                <w:color w:val="auto"/>
                <w:sz w:val="24"/>
                <w:highlight w:val="none"/>
              </w:rPr>
            </w:pPr>
          </w:p>
        </w:tc>
        <w:tc>
          <w:tcPr>
            <w:tcW w:w="1100" w:type="dxa"/>
            <w:vAlign w:val="center"/>
          </w:tcPr>
          <w:p>
            <w:pPr>
              <w:snapToGrid w:val="0"/>
              <w:spacing w:line="360" w:lineRule="auto"/>
              <w:jc w:val="center"/>
              <w:rPr>
                <w:rFonts w:ascii="仿宋_GB2312" w:hAnsi="仿宋" w:eastAsia="仿宋_GB2312" w:cs="仿宋_GB2312"/>
                <w:color w:val="auto"/>
                <w:sz w:val="24"/>
                <w:highlight w:val="none"/>
              </w:rPr>
            </w:pPr>
          </w:p>
        </w:tc>
        <w:tc>
          <w:tcPr>
            <w:tcW w:w="1420" w:type="dxa"/>
            <w:vAlign w:val="center"/>
          </w:tcPr>
          <w:p>
            <w:pPr>
              <w:snapToGrid w:val="0"/>
              <w:spacing w:line="360" w:lineRule="auto"/>
              <w:jc w:val="center"/>
              <w:rPr>
                <w:rFonts w:ascii="仿宋_GB2312" w:hAnsi="仿宋" w:eastAsia="仿宋_GB2312" w:cs="仿宋_GB2312"/>
                <w:color w:val="auto"/>
                <w:sz w:val="24"/>
                <w:highlight w:val="none"/>
              </w:rPr>
            </w:pPr>
          </w:p>
        </w:tc>
        <w:tc>
          <w:tcPr>
            <w:tcW w:w="2610" w:type="dxa"/>
            <w:vAlign w:val="center"/>
          </w:tcPr>
          <w:p>
            <w:pPr>
              <w:spacing w:line="360" w:lineRule="auto"/>
              <w:jc w:val="center"/>
              <w:rPr>
                <w:rFonts w:ascii="仿宋_GB2312" w:hAnsi="仿宋" w:eastAsia="仿宋_GB2312" w:cs="仿宋_GB2312"/>
                <w:color w:val="auto"/>
                <w:sz w:val="24"/>
                <w:highlight w:val="none"/>
              </w:rPr>
            </w:pPr>
          </w:p>
        </w:tc>
        <w:tc>
          <w:tcPr>
            <w:tcW w:w="1870" w:type="dxa"/>
            <w:vAlign w:val="center"/>
          </w:tcPr>
          <w:p>
            <w:pPr>
              <w:spacing w:line="360" w:lineRule="auto"/>
              <w:jc w:val="center"/>
              <w:rPr>
                <w:rFonts w:ascii="仿宋_GB2312" w:hAnsi="仿宋" w:eastAsia="仿宋_GB2312" w:cs="仿宋_GB2312"/>
                <w:color w:val="auto"/>
                <w:sz w:val="24"/>
                <w:highlight w:val="none"/>
              </w:rPr>
            </w:pPr>
          </w:p>
        </w:tc>
        <w:tc>
          <w:tcPr>
            <w:tcW w:w="4336"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31"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w:t>
            </w:r>
            <w:r>
              <w:rPr>
                <w:rFonts w:hint="eastAsia" w:ascii="仿宋_GB2312" w:hAnsi="仿宋" w:eastAsia="仿宋_GB2312" w:cs="仿宋_GB2312"/>
                <w:b/>
                <w:color w:val="auto"/>
                <w:sz w:val="24"/>
                <w:highlight w:val="none"/>
              </w:rPr>
              <w:t>价（小写）</w:t>
            </w:r>
          </w:p>
        </w:tc>
        <w:tc>
          <w:tcPr>
            <w:tcW w:w="10236"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331"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w:t>
            </w:r>
            <w:r>
              <w:rPr>
                <w:rFonts w:hint="eastAsia" w:ascii="仿宋_GB2312" w:hAnsi="仿宋" w:eastAsia="仿宋_GB2312" w:cs="仿宋_GB2312"/>
                <w:b/>
                <w:color w:val="auto"/>
                <w:sz w:val="24"/>
                <w:highlight w:val="none"/>
              </w:rPr>
              <w:t>价（大写）</w:t>
            </w:r>
          </w:p>
        </w:tc>
        <w:tc>
          <w:tcPr>
            <w:tcW w:w="10236"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331" w:type="dxa"/>
            <w:gridSpan w:val="4"/>
            <w:vAlign w:val="center"/>
          </w:tcPr>
          <w:p>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服务项目负责人</w:t>
            </w:r>
          </w:p>
        </w:tc>
        <w:tc>
          <w:tcPr>
            <w:tcW w:w="10236"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w:t>
      </w:r>
      <w:r>
        <w:rPr>
          <w:rFonts w:hint="eastAsia" w:ascii="仿宋_GB2312" w:hAnsi="仿宋" w:eastAsia="仿宋_GB2312" w:cs="仿宋_GB2312"/>
          <w:color w:val="auto"/>
          <w:kern w:val="0"/>
          <w:sz w:val="24"/>
          <w:highlight w:val="none"/>
          <w:lang w:val="zh-CN"/>
        </w:rPr>
        <w:t>投标人</w:t>
      </w:r>
      <w:r>
        <w:rPr>
          <w:rFonts w:ascii="仿宋_GB2312" w:hAnsi="仿宋" w:eastAsia="仿宋_GB2312" w:cs="仿宋_GB2312"/>
          <w:color w:val="auto"/>
          <w:kern w:val="0"/>
          <w:sz w:val="24"/>
          <w:highlight w:val="none"/>
          <w:lang w:val="zh-CN"/>
        </w:rPr>
        <w:t>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0"/>
        <w:keepNext w:val="0"/>
        <w:pageBreakBefore w:val="0"/>
        <w:tabs>
          <w:tab w:val="clear" w:pos="720"/>
        </w:tabs>
        <w:snapToGrid w:val="0"/>
        <w:spacing w:before="120" w:after="120"/>
        <w:jc w:val="center"/>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pStyle w:val="690"/>
        <w:keepNext w:val="0"/>
        <w:pageBreakBefore w:val="0"/>
        <w:tabs>
          <w:tab w:val="clear" w:pos="720"/>
        </w:tabs>
        <w:snapToGrid w:val="0"/>
        <w:spacing w:before="120" w:after="120"/>
        <w:jc w:val="center"/>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关于钱塘区政府采购支持中小企业信用融资相关事项通知</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在浙江“政采云”平台注册入库，并取得钱塘区政府采购合同的中小企业投标人。</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2、中标后，投标人应与采购单位或者采购代理机构及时联系，告知融资需求；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3、相关合作银行联系并审核投标人及相关中标信息，办理相关融资事宜；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0" w:type="auto"/>
        <w:jc w:val="center"/>
        <w:tblLayout w:type="fixed"/>
        <w:tblCellMar>
          <w:top w:w="0" w:type="dxa"/>
          <w:left w:w="108" w:type="dxa"/>
          <w:bottom w:w="0" w:type="dxa"/>
          <w:right w:w="108" w:type="dxa"/>
        </w:tblCellMar>
      </w:tblPr>
      <w:tblGrid>
        <w:gridCol w:w="1151"/>
        <w:gridCol w:w="3220"/>
        <w:gridCol w:w="1514"/>
        <w:gridCol w:w="3434"/>
      </w:tblGrid>
      <w:tr>
        <w:tblPrEx>
          <w:tblCellMar>
            <w:top w:w="0" w:type="dxa"/>
            <w:left w:w="108" w:type="dxa"/>
            <w:bottom w:w="0" w:type="dxa"/>
            <w:right w:w="108" w:type="dxa"/>
          </w:tblCellMar>
        </w:tblPrEx>
        <w:trPr>
          <w:trHeight w:val="755" w:hRule="atLeast"/>
          <w:jc w:val="center"/>
        </w:trPr>
        <w:tc>
          <w:tcPr>
            <w:tcW w:w="11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5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6"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6"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6"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628"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6"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6"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6"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61"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7"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628" w:hRule="atLeast"/>
          <w:jc w:val="center"/>
        </w:trPr>
        <w:tc>
          <w:tcPr>
            <w:tcW w:w="11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51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43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7" w:hRule="atLeast"/>
          <w:jc w:val="center"/>
        </w:trPr>
        <w:tc>
          <w:tcPr>
            <w:tcW w:w="11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5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27" w:hRule="atLeast"/>
          <w:jc w:val="center"/>
        </w:trPr>
        <w:tc>
          <w:tcPr>
            <w:tcW w:w="11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5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10" w:name="_Toc465665161"/>
      <w:r>
        <w:rPr>
          <w:rFonts w:hint="eastAsia" w:ascii="仿宋_GB2312" w:hAnsi="仿宋" w:eastAsia="仿宋_GB2312"/>
          <w:color w:val="auto"/>
          <w:highlight w:val="none"/>
        </w:rPr>
        <w:t>附件</w:t>
      </w:r>
      <w:bookmarkEnd w:id="410"/>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11" w:name="OLE_LINK14"/>
      <w:bookmarkStart w:id="412" w:name="OLE_LINK13"/>
      <w:r>
        <w:rPr>
          <w:rFonts w:hint="eastAsia" w:ascii="仿宋_GB2312" w:hAnsi="仿宋" w:eastAsia="仿宋_GB2312"/>
          <w:b/>
          <w:color w:val="auto"/>
          <w:spacing w:val="6"/>
          <w:sz w:val="32"/>
          <w:szCs w:val="32"/>
          <w:highlight w:val="none"/>
        </w:rPr>
        <w:t>残疾人福利性单位声明函</w:t>
      </w:r>
    </w:p>
    <w:bookmarkEnd w:id="411"/>
    <w:bookmarkEnd w:id="412"/>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w:t>
      </w:r>
      <w:r>
        <w:rPr>
          <w:rFonts w:hint="eastAsia" w:ascii="仿宋_GB2312" w:hAnsi="仿宋" w:eastAsia="仿宋_GB2312" w:cs="仿宋"/>
          <w:bCs/>
          <w:color w:val="auto"/>
          <w:sz w:val="24"/>
          <w:highlight w:val="none"/>
          <w:lang w:eastAsia="zh-CN"/>
        </w:rPr>
        <w:t>投标人</w:t>
      </w:r>
      <w:r>
        <w:rPr>
          <w:rFonts w:hint="eastAsia" w:ascii="仿宋_GB2312" w:hAnsi="仿宋" w:eastAsia="仿宋_GB2312" w:cs="仿宋"/>
          <w:bCs/>
          <w:color w:val="auto"/>
          <w:sz w:val="24"/>
          <w:highlight w:val="none"/>
        </w:rPr>
        <w:t>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w:t>
      </w:r>
      <w:r>
        <w:rPr>
          <w:rFonts w:hint="eastAsia" w:ascii="仿宋_GB2312" w:hAnsi="仿宋" w:eastAsia="仿宋_GB2312" w:cs="仿宋"/>
          <w:color w:val="auto"/>
          <w:sz w:val="24"/>
          <w:highlight w:val="none"/>
          <w:lang w:eastAsia="zh-CN"/>
        </w:rPr>
        <w:t>投标人</w:t>
      </w:r>
      <w:r>
        <w:rPr>
          <w:rFonts w:hint="eastAsia" w:ascii="仿宋_GB2312" w:hAnsi="仿宋" w:eastAsia="仿宋_GB2312" w:cs="仿宋"/>
          <w:color w:val="auto"/>
          <w:sz w:val="24"/>
          <w:highlight w:val="none"/>
        </w:rPr>
        <w:t>：</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lang w:eastAsia="zh-CN"/>
        </w:rPr>
        <w:t>招标文件</w:t>
      </w:r>
      <w:r>
        <w:rPr>
          <w:rFonts w:hint="eastAsia" w:ascii="仿宋_GB2312" w:hAnsi="仿宋" w:eastAsia="仿宋_GB2312" w:cs="仿宋"/>
          <w:color w:val="auto"/>
          <w:sz w:val="24"/>
          <w:highlight w:val="none"/>
        </w:rPr>
        <w:t>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br w:type="page"/>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lang w:eastAsia="zh-CN"/>
        </w:rPr>
        <w:t>投标人</w:t>
      </w:r>
      <w:r>
        <w:rPr>
          <w:rFonts w:hint="eastAsia" w:ascii="仿宋_GB2312" w:hAnsi="仿宋" w:eastAsia="仿宋_GB2312"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为自然人的，</w:t>
      </w:r>
      <w:r>
        <w:rPr>
          <w:rFonts w:hint="eastAsia" w:ascii="仿宋_GB2312" w:hAnsi="仿宋" w:eastAsia="仿宋_GB2312"/>
          <w:color w:val="auto"/>
          <w:sz w:val="24"/>
          <w:highlight w:val="none"/>
        </w:rPr>
        <w:t>质疑函应由本人签字；质疑</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dotted"/>
          <w:lang w:val="en-US" w:eastAsia="zh-CN"/>
        </w:rPr>
        <w:t xml:space="preserve"> </w:t>
      </w:r>
      <w:r>
        <w:rPr>
          <w:rFonts w:ascii="仿宋_GB2312" w:hAnsi="仿宋" w:eastAsia="仿宋_GB2312"/>
          <w:color w:val="auto"/>
          <w:sz w:val="24"/>
          <w:highlight w:val="none"/>
          <w:u w:val="dotted"/>
        </w:rPr>
        <w:t xml:space="preserve">           </w:t>
      </w:r>
    </w:p>
    <w:p>
      <w:pPr>
        <w:spacing w:line="360" w:lineRule="auto"/>
        <w:rPr>
          <w:rFonts w:hint="default" w:ascii="仿宋_GB2312" w:hAnsi="仿宋" w:eastAsia="仿宋_GB2312"/>
          <w:color w:val="auto"/>
          <w:sz w:val="24"/>
          <w:highlight w:val="none"/>
          <w:u w:val="single"/>
          <w:lang w:val="en-US" w:eastAsia="zh-CN"/>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dotted"/>
          <w:lang w:val="en-US" w:eastAsia="zh-CN"/>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dotted"/>
          <w:lang w:val="en-US" w:eastAsia="zh-CN"/>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w:t>
      </w:r>
      <w:r>
        <w:rPr>
          <w:rFonts w:hint="eastAsia" w:ascii="仿宋_GB2312" w:hAnsi="仿宋" w:eastAsia="仿宋_GB2312"/>
          <w:color w:val="auto"/>
          <w:sz w:val="24"/>
          <w:highlight w:val="none"/>
          <w:lang w:eastAsia="zh-CN"/>
        </w:rPr>
        <w:t>投标人</w:t>
      </w:r>
      <w:r>
        <w:rPr>
          <w:rFonts w:ascii="仿宋_GB2312" w:hAnsi="仿宋" w:eastAsia="仿宋_GB2312"/>
          <w:color w:val="auto"/>
          <w:sz w:val="24"/>
          <w:highlight w:val="none"/>
        </w:rPr>
        <w:t>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7" o:spid="_x0000_s1026" o:spt="1" style="position:absolute;left:0pt;margin-left:238.9pt;margin-top:28.05pt;height:177.45pt;width:212.95pt;z-index:-251656192;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path/>
            <v:fill focussize="0,0"/>
            <v:stroke miterlimit="2"/>
            <v:imagedata o:title=""/>
            <o:lock v:ext="edit"/>
          </v:rect>
        </w:pict>
      </w:r>
      <w:r>
        <w:rPr>
          <w:rFonts w:ascii="仿宋" w:hAnsi="仿宋" w:eastAsia="仿宋"/>
          <w:b/>
          <w:bCs/>
          <w:color w:val="auto"/>
          <w:sz w:val="24"/>
          <w:highlight w:val="none"/>
        </w:rPr>
        <w:pict>
          <v:rect id="Rectangle 16" o:spid="_x0000_s1027" o:spt="1" style="position:absolute;left:0pt;margin-left:-7.2pt;margin-top:30.3pt;height:177.45pt;width:208.5pt;z-index:-251655168;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path/>
            <v:fill focussize="0,0"/>
            <v:stroke miterlimit="2"/>
            <v:imagedata o:title=""/>
            <o:lock v:ext="edit"/>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left"/>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0"/>
      </w:pBdr>
      <w:jc w:val="right"/>
    </w:pPr>
    <w:r>
      <w:t>杭州市</w:t>
    </w:r>
    <w:r>
      <w:rPr>
        <w:rFonts w:hint="eastAsia"/>
      </w:rPr>
      <w:t>钱塘区</w:t>
    </w:r>
    <w:r>
      <w:t>政</w:t>
    </w:r>
    <w:r>
      <w:rPr>
        <w:rFonts w:ascii="Times New Roman" w:hAnsi="Times New Roman" w:cs="Times New Roman"/>
      </w:rPr>
      <w:t>府采购</w:t>
    </w:r>
    <w:r>
      <w:rPr>
        <w:rFonts w:hint="eastAsia" w:ascii="Times New Roman" w:hAnsi="Times New Roman" w:cs="Times New Roman"/>
        <w:lang w:val="en-US" w:eastAsia="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4"/>
      </w:pBdr>
      <w:jc w:val="right"/>
      <w:rPr>
        <w:rFonts w:ascii="仿宋_GB2312" w:eastAsia="仿宋_GB2312"/>
        <w:b w:val="0"/>
        <w:i/>
        <w:sz w:val="18"/>
        <w:u w:val="single"/>
        <w:lang w:val="en-US"/>
      </w:rPr>
    </w:pPr>
    <w:r>
      <w:t></w:t>
    </w: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881D3"/>
    <w:multiLevelType w:val="singleLevel"/>
    <w:tmpl w:val="B26881D3"/>
    <w:lvl w:ilvl="0" w:tentative="0">
      <w:start w:val="1"/>
      <w:numFmt w:val="decimal"/>
      <w:suff w:val="nothing"/>
      <w:lvlText w:val="（%1）"/>
      <w:lvlJc w:val="left"/>
    </w:lvl>
  </w:abstractNum>
  <w:abstractNum w:abstractNumId="1">
    <w:nsid w:val="B62FCFFE"/>
    <w:multiLevelType w:val="singleLevel"/>
    <w:tmpl w:val="B62FCFFE"/>
    <w:lvl w:ilvl="0" w:tentative="0">
      <w:start w:val="1"/>
      <w:numFmt w:val="decimal"/>
      <w:suff w:val="nothing"/>
      <w:lvlText w:val="（%1）"/>
      <w:lvlJc w:val="left"/>
    </w:lvl>
  </w:abstractNum>
  <w:abstractNum w:abstractNumId="2">
    <w:nsid w:val="BCB3324B"/>
    <w:multiLevelType w:val="singleLevel"/>
    <w:tmpl w:val="BCB3324B"/>
    <w:lvl w:ilvl="0" w:tentative="0">
      <w:start w:val="1"/>
      <w:numFmt w:val="chineseCounting"/>
      <w:suff w:val="nothing"/>
      <w:lvlText w:val="%1、"/>
      <w:lvlJc w:val="left"/>
      <w:rPr>
        <w:rFonts w:hint="eastAsia"/>
      </w:rPr>
    </w:lvl>
  </w:abstractNum>
  <w:abstractNum w:abstractNumId="3">
    <w:nsid w:val="CA7D2D8F"/>
    <w:multiLevelType w:val="singleLevel"/>
    <w:tmpl w:val="CA7D2D8F"/>
    <w:lvl w:ilvl="0" w:tentative="0">
      <w:start w:val="1"/>
      <w:numFmt w:val="decimal"/>
      <w:suff w:val="nothing"/>
      <w:lvlText w:val="%1、"/>
      <w:lvlJc w:val="left"/>
    </w:lvl>
  </w:abstractNum>
  <w:abstractNum w:abstractNumId="4">
    <w:nsid w:val="634FD38B"/>
    <w:multiLevelType w:val="singleLevel"/>
    <w:tmpl w:val="634FD38B"/>
    <w:lvl w:ilvl="0" w:tentative="0">
      <w:start w:val="23"/>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0Y2YwMGE0MTdmMDUwOTBhNDk5YjljMzhiNzQzY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F1E15"/>
    <w:rsid w:val="026B2E25"/>
    <w:rsid w:val="02824D4D"/>
    <w:rsid w:val="02DC4B10"/>
    <w:rsid w:val="02DD76CE"/>
    <w:rsid w:val="02F36323"/>
    <w:rsid w:val="02F5619C"/>
    <w:rsid w:val="0326446A"/>
    <w:rsid w:val="032D5555"/>
    <w:rsid w:val="036634D2"/>
    <w:rsid w:val="03DB41BC"/>
    <w:rsid w:val="03DD35E4"/>
    <w:rsid w:val="04076900"/>
    <w:rsid w:val="041A5A3B"/>
    <w:rsid w:val="042311BA"/>
    <w:rsid w:val="042B157A"/>
    <w:rsid w:val="043C2B7B"/>
    <w:rsid w:val="048F763B"/>
    <w:rsid w:val="049F330E"/>
    <w:rsid w:val="04AA775C"/>
    <w:rsid w:val="04AF1889"/>
    <w:rsid w:val="04B52267"/>
    <w:rsid w:val="04EC4D0A"/>
    <w:rsid w:val="04F66F48"/>
    <w:rsid w:val="05251E14"/>
    <w:rsid w:val="0558476D"/>
    <w:rsid w:val="05A16594"/>
    <w:rsid w:val="05A7762D"/>
    <w:rsid w:val="05F41C2F"/>
    <w:rsid w:val="060E5941"/>
    <w:rsid w:val="06110FAF"/>
    <w:rsid w:val="06493CA7"/>
    <w:rsid w:val="065A6178"/>
    <w:rsid w:val="066F1CF3"/>
    <w:rsid w:val="06930BB8"/>
    <w:rsid w:val="06A82D00"/>
    <w:rsid w:val="07245D42"/>
    <w:rsid w:val="07264C62"/>
    <w:rsid w:val="0779354C"/>
    <w:rsid w:val="07A373EA"/>
    <w:rsid w:val="07A807FE"/>
    <w:rsid w:val="07C8288B"/>
    <w:rsid w:val="07E07FF3"/>
    <w:rsid w:val="08061376"/>
    <w:rsid w:val="08452D77"/>
    <w:rsid w:val="086401F8"/>
    <w:rsid w:val="08751CAA"/>
    <w:rsid w:val="087E4C40"/>
    <w:rsid w:val="08D66AD6"/>
    <w:rsid w:val="08DA33A3"/>
    <w:rsid w:val="08E80F13"/>
    <w:rsid w:val="08FA22BF"/>
    <w:rsid w:val="09123260"/>
    <w:rsid w:val="09335624"/>
    <w:rsid w:val="0944690F"/>
    <w:rsid w:val="09535675"/>
    <w:rsid w:val="095F057D"/>
    <w:rsid w:val="09642282"/>
    <w:rsid w:val="09733572"/>
    <w:rsid w:val="09772C16"/>
    <w:rsid w:val="098353B5"/>
    <w:rsid w:val="09A92330"/>
    <w:rsid w:val="09B06B87"/>
    <w:rsid w:val="09C13146"/>
    <w:rsid w:val="09CA0F5B"/>
    <w:rsid w:val="09D973F0"/>
    <w:rsid w:val="09E04166"/>
    <w:rsid w:val="0A1C0718"/>
    <w:rsid w:val="0A3E7710"/>
    <w:rsid w:val="0A5B7E63"/>
    <w:rsid w:val="0AA374A5"/>
    <w:rsid w:val="0AAB7649"/>
    <w:rsid w:val="0ABC5606"/>
    <w:rsid w:val="0B0A5437"/>
    <w:rsid w:val="0B30404E"/>
    <w:rsid w:val="0B4C6C14"/>
    <w:rsid w:val="0B4D205F"/>
    <w:rsid w:val="0B51622F"/>
    <w:rsid w:val="0B631A88"/>
    <w:rsid w:val="0B683D45"/>
    <w:rsid w:val="0B6D70C7"/>
    <w:rsid w:val="0B7F3F11"/>
    <w:rsid w:val="0B884417"/>
    <w:rsid w:val="0BBB4540"/>
    <w:rsid w:val="0BF6188C"/>
    <w:rsid w:val="0BF73C91"/>
    <w:rsid w:val="0C170175"/>
    <w:rsid w:val="0C372D53"/>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529C0"/>
    <w:rsid w:val="0E181A3C"/>
    <w:rsid w:val="0E5604B2"/>
    <w:rsid w:val="0E6D5D79"/>
    <w:rsid w:val="0E9658AF"/>
    <w:rsid w:val="0E9D0089"/>
    <w:rsid w:val="0EAE30D6"/>
    <w:rsid w:val="0EB803EE"/>
    <w:rsid w:val="0EBD624E"/>
    <w:rsid w:val="0ECA3487"/>
    <w:rsid w:val="0EF63A53"/>
    <w:rsid w:val="0EF94D4B"/>
    <w:rsid w:val="0F3D5D2B"/>
    <w:rsid w:val="0F4958DC"/>
    <w:rsid w:val="0F515DF7"/>
    <w:rsid w:val="0F596BA8"/>
    <w:rsid w:val="0F6248D2"/>
    <w:rsid w:val="0F693536"/>
    <w:rsid w:val="0F7B0511"/>
    <w:rsid w:val="0F7B76D9"/>
    <w:rsid w:val="0F7B797C"/>
    <w:rsid w:val="0F816ACD"/>
    <w:rsid w:val="0F9832DB"/>
    <w:rsid w:val="0FBF3FD2"/>
    <w:rsid w:val="0FBF7FF3"/>
    <w:rsid w:val="10646583"/>
    <w:rsid w:val="107269C9"/>
    <w:rsid w:val="107D4B15"/>
    <w:rsid w:val="108A3C80"/>
    <w:rsid w:val="10C26171"/>
    <w:rsid w:val="10F33360"/>
    <w:rsid w:val="10FC16EA"/>
    <w:rsid w:val="110F1D40"/>
    <w:rsid w:val="11266F33"/>
    <w:rsid w:val="113C0484"/>
    <w:rsid w:val="118963A1"/>
    <w:rsid w:val="11C6522A"/>
    <w:rsid w:val="11E104CC"/>
    <w:rsid w:val="11E20309"/>
    <w:rsid w:val="11E21676"/>
    <w:rsid w:val="11F9133B"/>
    <w:rsid w:val="12255233"/>
    <w:rsid w:val="12530213"/>
    <w:rsid w:val="127723A9"/>
    <w:rsid w:val="12862074"/>
    <w:rsid w:val="12883966"/>
    <w:rsid w:val="129E45B4"/>
    <w:rsid w:val="12CA2B59"/>
    <w:rsid w:val="12D81596"/>
    <w:rsid w:val="13072A44"/>
    <w:rsid w:val="134B1FE3"/>
    <w:rsid w:val="1357061D"/>
    <w:rsid w:val="135F4BE2"/>
    <w:rsid w:val="139B1A0A"/>
    <w:rsid w:val="139D25C7"/>
    <w:rsid w:val="13BB725D"/>
    <w:rsid w:val="13BF3CE4"/>
    <w:rsid w:val="13EF7DF0"/>
    <w:rsid w:val="13F466E6"/>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7B7B7C"/>
    <w:rsid w:val="19932372"/>
    <w:rsid w:val="19A20DD5"/>
    <w:rsid w:val="19AE03F1"/>
    <w:rsid w:val="1A071A03"/>
    <w:rsid w:val="1A1B5468"/>
    <w:rsid w:val="1A1F16AE"/>
    <w:rsid w:val="1A3B5C77"/>
    <w:rsid w:val="1A824F3A"/>
    <w:rsid w:val="1A984BAD"/>
    <w:rsid w:val="1AA749A0"/>
    <w:rsid w:val="1AB8220E"/>
    <w:rsid w:val="1AE4166C"/>
    <w:rsid w:val="1AF06CFB"/>
    <w:rsid w:val="1AF11B8D"/>
    <w:rsid w:val="1B11359C"/>
    <w:rsid w:val="1B2A271F"/>
    <w:rsid w:val="1B3D1D91"/>
    <w:rsid w:val="1B530544"/>
    <w:rsid w:val="1B713184"/>
    <w:rsid w:val="1BA209CF"/>
    <w:rsid w:val="1BB4777D"/>
    <w:rsid w:val="1BD75AB8"/>
    <w:rsid w:val="1BF70B1B"/>
    <w:rsid w:val="1C0459C2"/>
    <w:rsid w:val="1C1B3B4A"/>
    <w:rsid w:val="1C405668"/>
    <w:rsid w:val="1C4B4B4C"/>
    <w:rsid w:val="1C88086E"/>
    <w:rsid w:val="1C986C96"/>
    <w:rsid w:val="1D266CE1"/>
    <w:rsid w:val="1D3963AF"/>
    <w:rsid w:val="1D5040B2"/>
    <w:rsid w:val="1D6A673C"/>
    <w:rsid w:val="1D9247AE"/>
    <w:rsid w:val="1DB567EC"/>
    <w:rsid w:val="1DC97914"/>
    <w:rsid w:val="1DD71A40"/>
    <w:rsid w:val="1DF51A98"/>
    <w:rsid w:val="1E116D00"/>
    <w:rsid w:val="1E2C58E8"/>
    <w:rsid w:val="1E3D060F"/>
    <w:rsid w:val="1E3F7D2E"/>
    <w:rsid w:val="1E4134E4"/>
    <w:rsid w:val="1E5062B3"/>
    <w:rsid w:val="1E523514"/>
    <w:rsid w:val="1E714A66"/>
    <w:rsid w:val="1E802593"/>
    <w:rsid w:val="1E874E4D"/>
    <w:rsid w:val="1EA703CC"/>
    <w:rsid w:val="1EB7330C"/>
    <w:rsid w:val="1F0A0FF3"/>
    <w:rsid w:val="1F5771FF"/>
    <w:rsid w:val="1F8B41DC"/>
    <w:rsid w:val="1FC16504"/>
    <w:rsid w:val="1FE868A9"/>
    <w:rsid w:val="1FEB3581"/>
    <w:rsid w:val="20034907"/>
    <w:rsid w:val="20173E4B"/>
    <w:rsid w:val="204E48BC"/>
    <w:rsid w:val="208921B3"/>
    <w:rsid w:val="20973DEB"/>
    <w:rsid w:val="20B10327"/>
    <w:rsid w:val="20B26522"/>
    <w:rsid w:val="20B44310"/>
    <w:rsid w:val="211116EB"/>
    <w:rsid w:val="213A7B26"/>
    <w:rsid w:val="21537630"/>
    <w:rsid w:val="216133FC"/>
    <w:rsid w:val="21806242"/>
    <w:rsid w:val="21D56769"/>
    <w:rsid w:val="21E52EF3"/>
    <w:rsid w:val="21FB5D7B"/>
    <w:rsid w:val="220B1C3D"/>
    <w:rsid w:val="221D1D20"/>
    <w:rsid w:val="222B46FB"/>
    <w:rsid w:val="22334A87"/>
    <w:rsid w:val="22AD4B1E"/>
    <w:rsid w:val="22BE6801"/>
    <w:rsid w:val="233500BF"/>
    <w:rsid w:val="23377FF7"/>
    <w:rsid w:val="236B425F"/>
    <w:rsid w:val="23836192"/>
    <w:rsid w:val="23901F29"/>
    <w:rsid w:val="239C0061"/>
    <w:rsid w:val="23B908A4"/>
    <w:rsid w:val="23E95BEF"/>
    <w:rsid w:val="23F73406"/>
    <w:rsid w:val="23FD0064"/>
    <w:rsid w:val="245375B0"/>
    <w:rsid w:val="24642C0A"/>
    <w:rsid w:val="24B22173"/>
    <w:rsid w:val="24B95AD9"/>
    <w:rsid w:val="24BE24DA"/>
    <w:rsid w:val="24CF5825"/>
    <w:rsid w:val="24D663E6"/>
    <w:rsid w:val="24D77F2B"/>
    <w:rsid w:val="24DB3BC4"/>
    <w:rsid w:val="257F568B"/>
    <w:rsid w:val="258B00E2"/>
    <w:rsid w:val="25A917A6"/>
    <w:rsid w:val="25BE27CC"/>
    <w:rsid w:val="25F55855"/>
    <w:rsid w:val="25F74A5C"/>
    <w:rsid w:val="26192901"/>
    <w:rsid w:val="2628662C"/>
    <w:rsid w:val="262D45DE"/>
    <w:rsid w:val="26A53EF9"/>
    <w:rsid w:val="26A94201"/>
    <w:rsid w:val="26AC274F"/>
    <w:rsid w:val="27044A29"/>
    <w:rsid w:val="271D34C8"/>
    <w:rsid w:val="276142BF"/>
    <w:rsid w:val="27783712"/>
    <w:rsid w:val="27907362"/>
    <w:rsid w:val="27D86739"/>
    <w:rsid w:val="28333E1D"/>
    <w:rsid w:val="28454BD6"/>
    <w:rsid w:val="28455253"/>
    <w:rsid w:val="28551971"/>
    <w:rsid w:val="285B1C53"/>
    <w:rsid w:val="28834ADA"/>
    <w:rsid w:val="289F7086"/>
    <w:rsid w:val="28C32028"/>
    <w:rsid w:val="28CC490F"/>
    <w:rsid w:val="28DE40AA"/>
    <w:rsid w:val="28E43A61"/>
    <w:rsid w:val="29345E77"/>
    <w:rsid w:val="294C65AD"/>
    <w:rsid w:val="29575C73"/>
    <w:rsid w:val="296A6B0A"/>
    <w:rsid w:val="29806583"/>
    <w:rsid w:val="298760C9"/>
    <w:rsid w:val="298B3C4C"/>
    <w:rsid w:val="29CC2210"/>
    <w:rsid w:val="29F26D24"/>
    <w:rsid w:val="2A15033F"/>
    <w:rsid w:val="2A1662C1"/>
    <w:rsid w:val="2A1C7367"/>
    <w:rsid w:val="2A2815FA"/>
    <w:rsid w:val="2A6D6092"/>
    <w:rsid w:val="2A7D76B4"/>
    <w:rsid w:val="2AAB67BE"/>
    <w:rsid w:val="2ACB7893"/>
    <w:rsid w:val="2AFF256D"/>
    <w:rsid w:val="2B437463"/>
    <w:rsid w:val="2B7807EE"/>
    <w:rsid w:val="2B990335"/>
    <w:rsid w:val="2BB942CC"/>
    <w:rsid w:val="2BBF00EC"/>
    <w:rsid w:val="2BC37CFD"/>
    <w:rsid w:val="2BD5237F"/>
    <w:rsid w:val="2BE536CE"/>
    <w:rsid w:val="2BE758D9"/>
    <w:rsid w:val="2C09049E"/>
    <w:rsid w:val="2C0A653C"/>
    <w:rsid w:val="2C191F85"/>
    <w:rsid w:val="2CE82D6F"/>
    <w:rsid w:val="2D343236"/>
    <w:rsid w:val="2D493370"/>
    <w:rsid w:val="2DA01E52"/>
    <w:rsid w:val="2DD15014"/>
    <w:rsid w:val="2DF72DE4"/>
    <w:rsid w:val="2E0220AF"/>
    <w:rsid w:val="2E4B082A"/>
    <w:rsid w:val="2E5D4E86"/>
    <w:rsid w:val="2E5D790B"/>
    <w:rsid w:val="2E9A3C18"/>
    <w:rsid w:val="2EBB0FEE"/>
    <w:rsid w:val="2EC63002"/>
    <w:rsid w:val="2F0247C0"/>
    <w:rsid w:val="2F0A6B38"/>
    <w:rsid w:val="2F946CCB"/>
    <w:rsid w:val="2FD25781"/>
    <w:rsid w:val="2FFD7934"/>
    <w:rsid w:val="30264587"/>
    <w:rsid w:val="30733ACD"/>
    <w:rsid w:val="308C3862"/>
    <w:rsid w:val="309379D8"/>
    <w:rsid w:val="30A270F7"/>
    <w:rsid w:val="30DF1478"/>
    <w:rsid w:val="30EC586F"/>
    <w:rsid w:val="30EC63CF"/>
    <w:rsid w:val="314920DA"/>
    <w:rsid w:val="316A3DCE"/>
    <w:rsid w:val="319C6071"/>
    <w:rsid w:val="31AB2B70"/>
    <w:rsid w:val="31AC537E"/>
    <w:rsid w:val="31B95865"/>
    <w:rsid w:val="31E3679B"/>
    <w:rsid w:val="31E732FD"/>
    <w:rsid w:val="32280759"/>
    <w:rsid w:val="32517576"/>
    <w:rsid w:val="325F1CE9"/>
    <w:rsid w:val="327D1EA4"/>
    <w:rsid w:val="32BE0D6B"/>
    <w:rsid w:val="32BE5C2C"/>
    <w:rsid w:val="32FB6478"/>
    <w:rsid w:val="33107D6B"/>
    <w:rsid w:val="3325072D"/>
    <w:rsid w:val="33263B3F"/>
    <w:rsid w:val="336963EB"/>
    <w:rsid w:val="336F293F"/>
    <w:rsid w:val="33816EEB"/>
    <w:rsid w:val="338E4722"/>
    <w:rsid w:val="33EB55CD"/>
    <w:rsid w:val="33EC4C02"/>
    <w:rsid w:val="340D2360"/>
    <w:rsid w:val="3410665D"/>
    <w:rsid w:val="34211214"/>
    <w:rsid w:val="342E63AB"/>
    <w:rsid w:val="34950E68"/>
    <w:rsid w:val="34986E94"/>
    <w:rsid w:val="34AF62C9"/>
    <w:rsid w:val="34CB4388"/>
    <w:rsid w:val="34FA6E12"/>
    <w:rsid w:val="35831E3A"/>
    <w:rsid w:val="358D5588"/>
    <w:rsid w:val="35BE7316"/>
    <w:rsid w:val="35EC7C60"/>
    <w:rsid w:val="363A3B40"/>
    <w:rsid w:val="365302AE"/>
    <w:rsid w:val="36607A0A"/>
    <w:rsid w:val="366E227C"/>
    <w:rsid w:val="366F2E0D"/>
    <w:rsid w:val="367B6A5C"/>
    <w:rsid w:val="36A74ADA"/>
    <w:rsid w:val="36AD60D5"/>
    <w:rsid w:val="36B224F9"/>
    <w:rsid w:val="36B54BF8"/>
    <w:rsid w:val="36C27951"/>
    <w:rsid w:val="36C4095C"/>
    <w:rsid w:val="36EC0CC9"/>
    <w:rsid w:val="37367CB7"/>
    <w:rsid w:val="373F410B"/>
    <w:rsid w:val="374F5DB0"/>
    <w:rsid w:val="379C3687"/>
    <w:rsid w:val="37EE7094"/>
    <w:rsid w:val="38296C89"/>
    <w:rsid w:val="383002EB"/>
    <w:rsid w:val="38586797"/>
    <w:rsid w:val="38BC0149"/>
    <w:rsid w:val="38D35375"/>
    <w:rsid w:val="38D87D1C"/>
    <w:rsid w:val="38F25761"/>
    <w:rsid w:val="3920079D"/>
    <w:rsid w:val="39317DFF"/>
    <w:rsid w:val="39636459"/>
    <w:rsid w:val="396B7F6C"/>
    <w:rsid w:val="39B417A9"/>
    <w:rsid w:val="39F71B77"/>
    <w:rsid w:val="39FC5695"/>
    <w:rsid w:val="3A006D8E"/>
    <w:rsid w:val="3A3651E5"/>
    <w:rsid w:val="3A744481"/>
    <w:rsid w:val="3A8C7BEF"/>
    <w:rsid w:val="3A906246"/>
    <w:rsid w:val="3AD06A61"/>
    <w:rsid w:val="3AD63889"/>
    <w:rsid w:val="3B2349B7"/>
    <w:rsid w:val="3B4B3061"/>
    <w:rsid w:val="3B616CFF"/>
    <w:rsid w:val="3B6259F6"/>
    <w:rsid w:val="3B6D3D8B"/>
    <w:rsid w:val="3B976654"/>
    <w:rsid w:val="3BA32EA7"/>
    <w:rsid w:val="3BC01EFC"/>
    <w:rsid w:val="3BCA5C37"/>
    <w:rsid w:val="3BCA786A"/>
    <w:rsid w:val="3BD31E2F"/>
    <w:rsid w:val="3BF15831"/>
    <w:rsid w:val="3C073006"/>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3FE0432D"/>
    <w:rsid w:val="3FFB06F3"/>
    <w:rsid w:val="4019356B"/>
    <w:rsid w:val="40592157"/>
    <w:rsid w:val="406E1CAE"/>
    <w:rsid w:val="4081341A"/>
    <w:rsid w:val="4093153B"/>
    <w:rsid w:val="40A0133A"/>
    <w:rsid w:val="40C31A53"/>
    <w:rsid w:val="40FF545D"/>
    <w:rsid w:val="410067C8"/>
    <w:rsid w:val="415A717B"/>
    <w:rsid w:val="418F0D2A"/>
    <w:rsid w:val="41986C6D"/>
    <w:rsid w:val="41D01505"/>
    <w:rsid w:val="42474939"/>
    <w:rsid w:val="424C3C57"/>
    <w:rsid w:val="425D2FFA"/>
    <w:rsid w:val="42613FF3"/>
    <w:rsid w:val="42660D96"/>
    <w:rsid w:val="428667D2"/>
    <w:rsid w:val="42CD1CE0"/>
    <w:rsid w:val="42E1381E"/>
    <w:rsid w:val="42ED6459"/>
    <w:rsid w:val="42FE58DD"/>
    <w:rsid w:val="43174B3D"/>
    <w:rsid w:val="434B790E"/>
    <w:rsid w:val="4360274F"/>
    <w:rsid w:val="437D4206"/>
    <w:rsid w:val="43977AB6"/>
    <w:rsid w:val="43A3342B"/>
    <w:rsid w:val="43C77C27"/>
    <w:rsid w:val="43DE09EE"/>
    <w:rsid w:val="44002FAD"/>
    <w:rsid w:val="44242A3A"/>
    <w:rsid w:val="4484797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91C6B"/>
    <w:rsid w:val="477B778F"/>
    <w:rsid w:val="478203EC"/>
    <w:rsid w:val="47B025FA"/>
    <w:rsid w:val="4809698F"/>
    <w:rsid w:val="4811697D"/>
    <w:rsid w:val="48204014"/>
    <w:rsid w:val="48547666"/>
    <w:rsid w:val="48704B28"/>
    <w:rsid w:val="487A3E25"/>
    <w:rsid w:val="488B5503"/>
    <w:rsid w:val="48937E21"/>
    <w:rsid w:val="489A0361"/>
    <w:rsid w:val="48B94FF3"/>
    <w:rsid w:val="48CA067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8720B"/>
    <w:rsid w:val="4C245A30"/>
    <w:rsid w:val="4C3F1F41"/>
    <w:rsid w:val="4CB6685F"/>
    <w:rsid w:val="4CC367FE"/>
    <w:rsid w:val="4D077F3C"/>
    <w:rsid w:val="4D092950"/>
    <w:rsid w:val="4D123355"/>
    <w:rsid w:val="4D1963E7"/>
    <w:rsid w:val="4D2A3B31"/>
    <w:rsid w:val="4D312C52"/>
    <w:rsid w:val="4D905305"/>
    <w:rsid w:val="4D964A72"/>
    <w:rsid w:val="4D9C1254"/>
    <w:rsid w:val="4DE4148C"/>
    <w:rsid w:val="4DE809CF"/>
    <w:rsid w:val="4E67106D"/>
    <w:rsid w:val="4E793892"/>
    <w:rsid w:val="4E7A439B"/>
    <w:rsid w:val="4E800872"/>
    <w:rsid w:val="4EC36AA5"/>
    <w:rsid w:val="4EC569ED"/>
    <w:rsid w:val="4ED50EA1"/>
    <w:rsid w:val="4EEC050C"/>
    <w:rsid w:val="4F104EC3"/>
    <w:rsid w:val="4F2852AB"/>
    <w:rsid w:val="4F47354A"/>
    <w:rsid w:val="4F5916FD"/>
    <w:rsid w:val="4F911C54"/>
    <w:rsid w:val="4FD53C9E"/>
    <w:rsid w:val="4FE625E0"/>
    <w:rsid w:val="4FEC7DC2"/>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1E0F9C"/>
    <w:rsid w:val="53311AB3"/>
    <w:rsid w:val="53544462"/>
    <w:rsid w:val="53691845"/>
    <w:rsid w:val="5397158E"/>
    <w:rsid w:val="53D543BE"/>
    <w:rsid w:val="53EB340C"/>
    <w:rsid w:val="54013861"/>
    <w:rsid w:val="540902DE"/>
    <w:rsid w:val="54487265"/>
    <w:rsid w:val="544D6070"/>
    <w:rsid w:val="54605E1E"/>
    <w:rsid w:val="546B1FBF"/>
    <w:rsid w:val="54B3506A"/>
    <w:rsid w:val="54CA0D16"/>
    <w:rsid w:val="54DD4057"/>
    <w:rsid w:val="54E7490F"/>
    <w:rsid w:val="550764A4"/>
    <w:rsid w:val="550B2BF6"/>
    <w:rsid w:val="55106439"/>
    <w:rsid w:val="55214EB5"/>
    <w:rsid w:val="55364EFD"/>
    <w:rsid w:val="555D4828"/>
    <w:rsid w:val="557A4C8B"/>
    <w:rsid w:val="558931E1"/>
    <w:rsid w:val="55923347"/>
    <w:rsid w:val="55925180"/>
    <w:rsid w:val="55983B1B"/>
    <w:rsid w:val="55A8376B"/>
    <w:rsid w:val="55DC29B6"/>
    <w:rsid w:val="55DD4241"/>
    <w:rsid w:val="566B6D1E"/>
    <w:rsid w:val="567F0E43"/>
    <w:rsid w:val="569C4B39"/>
    <w:rsid w:val="56B04601"/>
    <w:rsid w:val="57032A2C"/>
    <w:rsid w:val="570F5219"/>
    <w:rsid w:val="573A204C"/>
    <w:rsid w:val="575D12B5"/>
    <w:rsid w:val="57610A87"/>
    <w:rsid w:val="5775371C"/>
    <w:rsid w:val="577B1140"/>
    <w:rsid w:val="577B7F21"/>
    <w:rsid w:val="577F181B"/>
    <w:rsid w:val="57921984"/>
    <w:rsid w:val="579737F0"/>
    <w:rsid w:val="57AB7B30"/>
    <w:rsid w:val="57AF5251"/>
    <w:rsid w:val="57B26373"/>
    <w:rsid w:val="57B63F04"/>
    <w:rsid w:val="57CD20C2"/>
    <w:rsid w:val="57D675AB"/>
    <w:rsid w:val="57D95FDD"/>
    <w:rsid w:val="580744D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137D30"/>
    <w:rsid w:val="5B2E1A1D"/>
    <w:rsid w:val="5B365212"/>
    <w:rsid w:val="5B843A1C"/>
    <w:rsid w:val="5B873E3F"/>
    <w:rsid w:val="5BC62565"/>
    <w:rsid w:val="5BF16DCD"/>
    <w:rsid w:val="5C02690E"/>
    <w:rsid w:val="5C196DA7"/>
    <w:rsid w:val="5C293FC1"/>
    <w:rsid w:val="5C2A048C"/>
    <w:rsid w:val="5C725325"/>
    <w:rsid w:val="5C80234E"/>
    <w:rsid w:val="5C8A680C"/>
    <w:rsid w:val="5CFE264B"/>
    <w:rsid w:val="5D0C4701"/>
    <w:rsid w:val="5D0F0395"/>
    <w:rsid w:val="5D153410"/>
    <w:rsid w:val="5D221076"/>
    <w:rsid w:val="5D397964"/>
    <w:rsid w:val="5D5A391C"/>
    <w:rsid w:val="5D5F10C0"/>
    <w:rsid w:val="5D891B7B"/>
    <w:rsid w:val="5DAD38EE"/>
    <w:rsid w:val="5DD51D80"/>
    <w:rsid w:val="5E006862"/>
    <w:rsid w:val="5E0207B9"/>
    <w:rsid w:val="5E1834A1"/>
    <w:rsid w:val="5E261785"/>
    <w:rsid w:val="5E4A7017"/>
    <w:rsid w:val="5E552BBA"/>
    <w:rsid w:val="5E554871"/>
    <w:rsid w:val="5E611C10"/>
    <w:rsid w:val="5EFC7377"/>
    <w:rsid w:val="5F06174D"/>
    <w:rsid w:val="5F3A3602"/>
    <w:rsid w:val="5F6277C6"/>
    <w:rsid w:val="5F6D0B1D"/>
    <w:rsid w:val="5F8D0B82"/>
    <w:rsid w:val="5FCC5339"/>
    <w:rsid w:val="5FE34A5B"/>
    <w:rsid w:val="5FEB2206"/>
    <w:rsid w:val="5FFE1E36"/>
    <w:rsid w:val="60232584"/>
    <w:rsid w:val="607330CE"/>
    <w:rsid w:val="60825176"/>
    <w:rsid w:val="609F2AC4"/>
    <w:rsid w:val="60A45FF5"/>
    <w:rsid w:val="60CE0B25"/>
    <w:rsid w:val="60DB04CD"/>
    <w:rsid w:val="60FA2EE8"/>
    <w:rsid w:val="61054A27"/>
    <w:rsid w:val="610A52BC"/>
    <w:rsid w:val="61186BC7"/>
    <w:rsid w:val="611D2366"/>
    <w:rsid w:val="61421856"/>
    <w:rsid w:val="615227C4"/>
    <w:rsid w:val="61654E3F"/>
    <w:rsid w:val="6182292A"/>
    <w:rsid w:val="619F7F92"/>
    <w:rsid w:val="61F94C26"/>
    <w:rsid w:val="62000E56"/>
    <w:rsid w:val="62326812"/>
    <w:rsid w:val="624F3E49"/>
    <w:rsid w:val="62632286"/>
    <w:rsid w:val="62885958"/>
    <w:rsid w:val="62AF5545"/>
    <w:rsid w:val="62DF0A9B"/>
    <w:rsid w:val="62E50C04"/>
    <w:rsid w:val="62F40B65"/>
    <w:rsid w:val="62FC2CFE"/>
    <w:rsid w:val="63024505"/>
    <w:rsid w:val="635B1DB5"/>
    <w:rsid w:val="63711FED"/>
    <w:rsid w:val="63880DDC"/>
    <w:rsid w:val="638D750D"/>
    <w:rsid w:val="63A376E5"/>
    <w:rsid w:val="63AC6CC0"/>
    <w:rsid w:val="64055776"/>
    <w:rsid w:val="64240056"/>
    <w:rsid w:val="643E143A"/>
    <w:rsid w:val="645D39F0"/>
    <w:rsid w:val="648B6EEF"/>
    <w:rsid w:val="64C158BF"/>
    <w:rsid w:val="64CE2EAA"/>
    <w:rsid w:val="6532279F"/>
    <w:rsid w:val="653C3090"/>
    <w:rsid w:val="65731015"/>
    <w:rsid w:val="65854376"/>
    <w:rsid w:val="658767BE"/>
    <w:rsid w:val="65892531"/>
    <w:rsid w:val="66195831"/>
    <w:rsid w:val="661F0E5C"/>
    <w:rsid w:val="662E75B1"/>
    <w:rsid w:val="66342C2E"/>
    <w:rsid w:val="663E784C"/>
    <w:rsid w:val="668B6A45"/>
    <w:rsid w:val="671C61EA"/>
    <w:rsid w:val="672F3F24"/>
    <w:rsid w:val="673E055F"/>
    <w:rsid w:val="67551CE3"/>
    <w:rsid w:val="67A22552"/>
    <w:rsid w:val="67B22DCC"/>
    <w:rsid w:val="67BE71AA"/>
    <w:rsid w:val="67D14808"/>
    <w:rsid w:val="67D90273"/>
    <w:rsid w:val="67DE5875"/>
    <w:rsid w:val="67E55852"/>
    <w:rsid w:val="67EB1AB4"/>
    <w:rsid w:val="67FA1285"/>
    <w:rsid w:val="680D18B3"/>
    <w:rsid w:val="68551F4F"/>
    <w:rsid w:val="687C10C9"/>
    <w:rsid w:val="68840C16"/>
    <w:rsid w:val="68876EFB"/>
    <w:rsid w:val="68884654"/>
    <w:rsid w:val="689F444F"/>
    <w:rsid w:val="68B96DBB"/>
    <w:rsid w:val="68C208E3"/>
    <w:rsid w:val="68CA2805"/>
    <w:rsid w:val="68E937A3"/>
    <w:rsid w:val="693E15D3"/>
    <w:rsid w:val="69627681"/>
    <w:rsid w:val="6977531D"/>
    <w:rsid w:val="69CC2BFF"/>
    <w:rsid w:val="69FD55B8"/>
    <w:rsid w:val="6A0B1C62"/>
    <w:rsid w:val="6A2406C8"/>
    <w:rsid w:val="6ABA5F21"/>
    <w:rsid w:val="6ABD5696"/>
    <w:rsid w:val="6ADE0BD1"/>
    <w:rsid w:val="6AE96859"/>
    <w:rsid w:val="6B147746"/>
    <w:rsid w:val="6B24787C"/>
    <w:rsid w:val="6B573233"/>
    <w:rsid w:val="6B5B6274"/>
    <w:rsid w:val="6B935D53"/>
    <w:rsid w:val="6BF608B1"/>
    <w:rsid w:val="6C196F71"/>
    <w:rsid w:val="6C226FCB"/>
    <w:rsid w:val="6C31226F"/>
    <w:rsid w:val="6C552F0B"/>
    <w:rsid w:val="6C8C67B7"/>
    <w:rsid w:val="6C9D744C"/>
    <w:rsid w:val="6D167928"/>
    <w:rsid w:val="6D26299B"/>
    <w:rsid w:val="6D3965C4"/>
    <w:rsid w:val="6D4772EC"/>
    <w:rsid w:val="6D9078AF"/>
    <w:rsid w:val="6DAA3FEF"/>
    <w:rsid w:val="6DC0172B"/>
    <w:rsid w:val="6DCB690C"/>
    <w:rsid w:val="6DD41A5B"/>
    <w:rsid w:val="6DF417DE"/>
    <w:rsid w:val="6DF43C2E"/>
    <w:rsid w:val="6DF51CA3"/>
    <w:rsid w:val="6E8335BD"/>
    <w:rsid w:val="6E8E12EF"/>
    <w:rsid w:val="6E972936"/>
    <w:rsid w:val="6ED446C5"/>
    <w:rsid w:val="6F2A7D94"/>
    <w:rsid w:val="6F654891"/>
    <w:rsid w:val="6F8331F1"/>
    <w:rsid w:val="6FAE1A09"/>
    <w:rsid w:val="6FCF205D"/>
    <w:rsid w:val="6FD46C64"/>
    <w:rsid w:val="6FD75BF8"/>
    <w:rsid w:val="700545A2"/>
    <w:rsid w:val="707723D0"/>
    <w:rsid w:val="708A2B77"/>
    <w:rsid w:val="70A83A16"/>
    <w:rsid w:val="70F5661B"/>
    <w:rsid w:val="71360107"/>
    <w:rsid w:val="713B688E"/>
    <w:rsid w:val="71D43752"/>
    <w:rsid w:val="71F1796A"/>
    <w:rsid w:val="72154626"/>
    <w:rsid w:val="72262B5D"/>
    <w:rsid w:val="72283FF7"/>
    <w:rsid w:val="722E7212"/>
    <w:rsid w:val="723A0474"/>
    <w:rsid w:val="724F6ED1"/>
    <w:rsid w:val="725923E4"/>
    <w:rsid w:val="725D3479"/>
    <w:rsid w:val="72864BF7"/>
    <w:rsid w:val="728E1F78"/>
    <w:rsid w:val="729023FC"/>
    <w:rsid w:val="729B6821"/>
    <w:rsid w:val="731004BB"/>
    <w:rsid w:val="73C0646E"/>
    <w:rsid w:val="73ED1FC4"/>
    <w:rsid w:val="742222F5"/>
    <w:rsid w:val="743C0E2B"/>
    <w:rsid w:val="74476126"/>
    <w:rsid w:val="74706664"/>
    <w:rsid w:val="747F3682"/>
    <w:rsid w:val="749C4185"/>
    <w:rsid w:val="74DC5AF6"/>
    <w:rsid w:val="74F41284"/>
    <w:rsid w:val="75067759"/>
    <w:rsid w:val="752E6DCD"/>
    <w:rsid w:val="7551380D"/>
    <w:rsid w:val="75600BE5"/>
    <w:rsid w:val="7564475C"/>
    <w:rsid w:val="75706FDE"/>
    <w:rsid w:val="7583797F"/>
    <w:rsid w:val="75D20F1D"/>
    <w:rsid w:val="75DA2C18"/>
    <w:rsid w:val="75F54412"/>
    <w:rsid w:val="7604418A"/>
    <w:rsid w:val="761D08E0"/>
    <w:rsid w:val="765D347C"/>
    <w:rsid w:val="765E2A5C"/>
    <w:rsid w:val="76826699"/>
    <w:rsid w:val="76C87133"/>
    <w:rsid w:val="76CD08D5"/>
    <w:rsid w:val="76DB4B92"/>
    <w:rsid w:val="77052AA4"/>
    <w:rsid w:val="77136511"/>
    <w:rsid w:val="77340A39"/>
    <w:rsid w:val="77351FD0"/>
    <w:rsid w:val="77472422"/>
    <w:rsid w:val="7758241F"/>
    <w:rsid w:val="777F31F2"/>
    <w:rsid w:val="77D1700D"/>
    <w:rsid w:val="77EC04CC"/>
    <w:rsid w:val="78775729"/>
    <w:rsid w:val="78A42DB0"/>
    <w:rsid w:val="78A656AB"/>
    <w:rsid w:val="78B2245C"/>
    <w:rsid w:val="78E172CC"/>
    <w:rsid w:val="78EA1D1F"/>
    <w:rsid w:val="7904172F"/>
    <w:rsid w:val="790F7E27"/>
    <w:rsid w:val="792A231A"/>
    <w:rsid w:val="79316829"/>
    <w:rsid w:val="794B6758"/>
    <w:rsid w:val="79516D09"/>
    <w:rsid w:val="796671FD"/>
    <w:rsid w:val="79694470"/>
    <w:rsid w:val="797E66A9"/>
    <w:rsid w:val="79A97383"/>
    <w:rsid w:val="79BD47BC"/>
    <w:rsid w:val="79E27E8B"/>
    <w:rsid w:val="79F850CE"/>
    <w:rsid w:val="79FD443C"/>
    <w:rsid w:val="7A1D1975"/>
    <w:rsid w:val="7A263B8E"/>
    <w:rsid w:val="7A3E5150"/>
    <w:rsid w:val="7A4670D6"/>
    <w:rsid w:val="7A534B63"/>
    <w:rsid w:val="7A615382"/>
    <w:rsid w:val="7A67303B"/>
    <w:rsid w:val="7A8657CC"/>
    <w:rsid w:val="7AAB1D04"/>
    <w:rsid w:val="7ABA4368"/>
    <w:rsid w:val="7AD05746"/>
    <w:rsid w:val="7B257FFD"/>
    <w:rsid w:val="7B343476"/>
    <w:rsid w:val="7B5A2978"/>
    <w:rsid w:val="7B5A7E4C"/>
    <w:rsid w:val="7B667AF9"/>
    <w:rsid w:val="7B7468F8"/>
    <w:rsid w:val="7BEE0103"/>
    <w:rsid w:val="7BF344C5"/>
    <w:rsid w:val="7C0A0FE4"/>
    <w:rsid w:val="7C254906"/>
    <w:rsid w:val="7C590818"/>
    <w:rsid w:val="7C703D67"/>
    <w:rsid w:val="7C7C10F6"/>
    <w:rsid w:val="7C853BEA"/>
    <w:rsid w:val="7C881368"/>
    <w:rsid w:val="7CE27788"/>
    <w:rsid w:val="7D0C32F1"/>
    <w:rsid w:val="7D0F408D"/>
    <w:rsid w:val="7D233879"/>
    <w:rsid w:val="7D491C6C"/>
    <w:rsid w:val="7D5429C0"/>
    <w:rsid w:val="7D6E6D43"/>
    <w:rsid w:val="7D825E08"/>
    <w:rsid w:val="7DB57A34"/>
    <w:rsid w:val="7DE60973"/>
    <w:rsid w:val="7DEF0916"/>
    <w:rsid w:val="7DFA7D8C"/>
    <w:rsid w:val="7E1E5218"/>
    <w:rsid w:val="7E9A4E1F"/>
    <w:rsid w:val="7EA7723A"/>
    <w:rsid w:val="7EF56FBB"/>
    <w:rsid w:val="7F0215EE"/>
    <w:rsid w:val="7F0768EB"/>
    <w:rsid w:val="7F143BEC"/>
    <w:rsid w:val="7F4339B5"/>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2"/>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2"/>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2"/>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样式 首行缩进:  2.25 字符 + 首行缩进:  2.25 字符"/>
    <w:basedOn w:val="1"/>
    <w:qFormat/>
    <w:uiPriority w:val="0"/>
    <w:pPr>
      <w:spacing w:line="360" w:lineRule="auto"/>
      <w:ind w:firstLine="420" w:firstLineChars="200"/>
    </w:pPr>
    <w:rPr>
      <w:rFonts w:ascii="宋体" w:hAnsi="宋体" w:cs="宋体"/>
      <w:szCs w:val="21"/>
    </w:rPr>
  </w:style>
  <w:style w:type="paragraph" w:customStyle="1" w:styleId="962">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header11.xml" Type="http://schemas.openxmlformats.org/officeDocument/2006/relationships/header"/><Relationship Id="rId25" Target="header12.xml" Type="http://schemas.openxmlformats.org/officeDocument/2006/relationships/header"/><Relationship Id="rId26" Target="footer12.xml" Type="http://schemas.openxmlformats.org/officeDocument/2006/relationships/footer"/><Relationship Id="rId27" Target="footer13.xml" Type="http://schemas.openxmlformats.org/officeDocument/2006/relationships/footer"/><Relationship Id="rId28" Target="footer14.xml" Type="http://schemas.openxmlformats.org/officeDocument/2006/relationships/footer"/><Relationship Id="rId29" Target="theme/theme1.xml" Type="http://schemas.openxmlformats.org/officeDocument/2006/relationships/theme"/><Relationship Id="rId3" Target="header1.xml" Type="http://schemas.openxmlformats.org/officeDocument/2006/relationships/header"/><Relationship Id="rId30" Target="media/image1.png" Type="http://schemas.openxmlformats.org/officeDocument/2006/relationships/image"/><Relationship Id="rId31" Target="../customXml/item1.xml" Type="http://schemas.openxmlformats.org/officeDocument/2006/relationships/customXml"/><Relationship Id="rId32" Target="numbering.xml" Type="http://schemas.openxmlformats.org/officeDocument/2006/relationships/numbering"/><Relationship Id="rId33" Target="../customXml/item2.xml" Type="http://schemas.openxmlformats.org/officeDocument/2006/relationships/customXml"/><Relationship Id="rId34" Target="fontTable.xml" Type="http://schemas.openxmlformats.org/officeDocument/2006/relationships/fontTable"/><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35863</Words>
  <Characters>37693</Characters>
  <Lines>289</Lines>
  <Paragraphs>81</Paragraphs>
  <TotalTime>118</TotalTime>
  <ScaleCrop>false</ScaleCrop>
  <LinksUpToDate>false</LinksUpToDate>
  <CharactersWithSpaces>42897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贝塔</cp:lastModifiedBy>
  <cp:lastPrinted>2021-12-27T03:06:00Z</cp:lastPrinted>
  <dcterms:modified xsi:type="dcterms:W3CDTF">2022-08-16T08:02:16Z</dcterms:modified>
  <cp:revision>202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