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70AA">
      <w:pPr>
        <w:shd w:val="clear" w:color="auto" w:fill="FFFFFF"/>
        <w:spacing w:line="360" w:lineRule="auto"/>
        <w:textAlignment w:val="bottom"/>
        <w:rPr>
          <w:rFonts w:hint="eastAsia" w:ascii="宋体" w:hAnsi="宋体" w:eastAsia="宋体" w:cs="宋体"/>
          <w:b/>
          <w:kern w:val="0"/>
          <w:sz w:val="24"/>
        </w:rPr>
      </w:pPr>
    </w:p>
    <w:p w14:paraId="4058C635">
      <w:pPr>
        <w:pStyle w:val="12"/>
        <w:rPr>
          <w:rFonts w:hint="eastAsia" w:ascii="宋体" w:hAnsi="宋体" w:eastAsia="宋体" w:cs="宋体"/>
        </w:rPr>
      </w:pPr>
    </w:p>
    <w:p w14:paraId="17C4FD4C">
      <w:pPr>
        <w:spacing w:line="360" w:lineRule="auto"/>
        <w:rPr>
          <w:rFonts w:hint="eastAsia" w:ascii="宋体" w:hAnsi="宋体" w:eastAsia="宋体" w:cs="宋体"/>
          <w:sz w:val="24"/>
        </w:rPr>
      </w:pPr>
    </w:p>
    <w:p w14:paraId="4512FC66">
      <w:pPr>
        <w:spacing w:line="360" w:lineRule="auto"/>
        <w:rPr>
          <w:rFonts w:hint="eastAsia" w:ascii="宋体" w:hAnsi="宋体" w:eastAsia="宋体" w:cs="宋体"/>
          <w:sz w:val="24"/>
        </w:rPr>
      </w:pPr>
      <w:r>
        <w:rPr>
          <w:rFonts w:hint="eastAsia" w:ascii="宋体" w:hAnsi="宋体" w:eastAsia="宋体" w:cs="宋体"/>
          <w:sz w:val="72"/>
          <w:szCs w:val="72"/>
        </w:rPr>
        <w:drawing>
          <wp:anchor distT="0" distB="0" distL="114300" distR="114300" simplePos="0" relativeHeight="251660288" behindDoc="0" locked="0" layoutInCell="1" allowOverlap="1">
            <wp:simplePos x="0" y="0"/>
            <wp:positionH relativeFrom="column">
              <wp:posOffset>1497330</wp:posOffset>
            </wp:positionH>
            <wp:positionV relativeFrom="paragraph">
              <wp:posOffset>462280</wp:posOffset>
            </wp:positionV>
            <wp:extent cx="2265680" cy="2037715"/>
            <wp:effectExtent l="0" t="0" r="1270" b="635"/>
            <wp:wrapNone/>
            <wp:docPr id="2" name="图片 1" descr="496c4e8fe4ac96c9510510bec83cc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96c4e8fe4ac96c9510510bec83cc2d"/>
                    <pic:cNvPicPr>
                      <a:picLocks noChangeAspect="1"/>
                    </pic:cNvPicPr>
                  </pic:nvPicPr>
                  <pic:blipFill>
                    <a:blip r:embed="rId12"/>
                    <a:stretch>
                      <a:fillRect/>
                    </a:stretch>
                  </pic:blipFill>
                  <pic:spPr>
                    <a:xfrm>
                      <a:off x="0" y="0"/>
                      <a:ext cx="2265680" cy="2037715"/>
                    </a:xfrm>
                    <a:prstGeom prst="rect">
                      <a:avLst/>
                    </a:prstGeom>
                    <a:noFill/>
                    <a:ln>
                      <a:noFill/>
                    </a:ln>
                  </pic:spPr>
                </pic:pic>
              </a:graphicData>
            </a:graphic>
          </wp:anchor>
        </w:drawing>
      </w:r>
    </w:p>
    <w:p w14:paraId="1585350F">
      <w:pPr>
        <w:spacing w:line="360" w:lineRule="auto"/>
        <w:rPr>
          <w:rFonts w:hint="eastAsia" w:ascii="宋体" w:hAnsi="宋体" w:eastAsia="宋体" w:cs="宋体"/>
          <w:sz w:val="24"/>
        </w:rPr>
      </w:pPr>
    </w:p>
    <w:p w14:paraId="0E0D2647">
      <w:pPr>
        <w:jc w:val="center"/>
        <w:rPr>
          <w:rFonts w:hint="eastAsia" w:ascii="宋体" w:hAnsi="宋体" w:eastAsia="宋体" w:cs="宋体"/>
          <w:sz w:val="72"/>
          <w:szCs w:val="72"/>
        </w:rPr>
      </w:pPr>
      <w:r>
        <w:rPr>
          <w:rFonts w:hint="eastAsia" w:ascii="宋体" w:hAnsi="宋体" w:eastAsia="宋体" w:cs="宋体"/>
          <w:sz w:val="72"/>
          <w:szCs w:val="72"/>
        </w:rPr>
        <w:t xml:space="preserve">        </w:t>
      </w:r>
    </w:p>
    <w:p w14:paraId="22E390C7">
      <w:pPr>
        <w:shd w:val="clear" w:color="auto" w:fill="FFFFFF"/>
        <w:spacing w:line="360" w:lineRule="auto"/>
        <w:textAlignment w:val="bottom"/>
        <w:rPr>
          <w:rFonts w:hint="eastAsia" w:ascii="宋体" w:hAnsi="宋体" w:eastAsia="宋体" w:cs="宋体"/>
          <w:b/>
          <w:kern w:val="0"/>
          <w:sz w:val="24"/>
        </w:rPr>
      </w:pPr>
    </w:p>
    <w:p w14:paraId="4D446F72">
      <w:pPr>
        <w:shd w:val="clear" w:color="auto" w:fill="FFFFFF"/>
        <w:spacing w:line="360" w:lineRule="auto"/>
        <w:textAlignment w:val="bottom"/>
        <w:rPr>
          <w:rFonts w:hint="eastAsia" w:ascii="宋体" w:hAnsi="宋体" w:eastAsia="宋体" w:cs="宋体"/>
          <w:b/>
          <w:kern w:val="0"/>
          <w:sz w:val="24"/>
        </w:rPr>
      </w:pPr>
    </w:p>
    <w:p w14:paraId="59892572">
      <w:pPr>
        <w:shd w:val="clear" w:color="auto" w:fill="FFFFFF"/>
        <w:spacing w:line="360" w:lineRule="auto"/>
        <w:textAlignment w:val="bottom"/>
        <w:rPr>
          <w:rFonts w:hint="eastAsia" w:ascii="宋体" w:hAnsi="宋体" w:eastAsia="宋体" w:cs="宋体"/>
          <w:b/>
          <w:kern w:val="0"/>
          <w:sz w:val="24"/>
        </w:rPr>
      </w:pPr>
    </w:p>
    <w:p w14:paraId="1FAD3AAA">
      <w:pPr>
        <w:shd w:val="clear" w:color="auto" w:fill="FFFFFF"/>
        <w:spacing w:line="360" w:lineRule="auto"/>
        <w:textAlignment w:val="bottom"/>
        <w:rPr>
          <w:rFonts w:hint="eastAsia" w:ascii="宋体" w:hAnsi="宋体" w:eastAsia="宋体" w:cs="宋体"/>
          <w:b/>
          <w:kern w:val="0"/>
          <w:sz w:val="24"/>
        </w:rPr>
      </w:pPr>
    </w:p>
    <w:p w14:paraId="1AADB6E1">
      <w:pPr>
        <w:shd w:val="clear" w:color="auto" w:fill="FFFFFF"/>
        <w:spacing w:line="360" w:lineRule="auto"/>
        <w:jc w:val="center"/>
        <w:textAlignment w:val="bottom"/>
        <w:rPr>
          <w:rFonts w:hint="eastAsia" w:ascii="宋体" w:hAnsi="宋体" w:eastAsia="宋体" w:cs="宋体"/>
          <w:b/>
          <w:kern w:val="0"/>
          <w:sz w:val="52"/>
          <w:szCs w:val="52"/>
        </w:rPr>
      </w:pPr>
      <w:r>
        <w:rPr>
          <w:rFonts w:hint="eastAsia" w:ascii="宋体" w:hAnsi="宋体" w:eastAsia="宋体" w:cs="宋体"/>
          <w:b/>
          <w:kern w:val="0"/>
          <w:sz w:val="52"/>
          <w:szCs w:val="52"/>
        </w:rPr>
        <w:t xml:space="preserve">竞争性磋商文件  </w:t>
      </w:r>
    </w:p>
    <w:p w14:paraId="1554DC7A">
      <w:pPr>
        <w:shd w:val="clear" w:color="auto" w:fill="FFFFFF"/>
        <w:spacing w:line="360" w:lineRule="auto"/>
        <w:textAlignment w:val="bottom"/>
        <w:rPr>
          <w:rFonts w:hint="eastAsia" w:ascii="宋体" w:hAnsi="宋体" w:eastAsia="宋体" w:cs="宋体"/>
          <w:b/>
          <w:kern w:val="0"/>
          <w:sz w:val="24"/>
        </w:rPr>
      </w:pPr>
    </w:p>
    <w:p w14:paraId="76419E06">
      <w:pPr>
        <w:shd w:val="clear" w:color="auto" w:fill="FFFFFF"/>
        <w:spacing w:line="360" w:lineRule="auto"/>
        <w:jc w:val="center"/>
        <w:textAlignment w:val="bottom"/>
        <w:rPr>
          <w:rFonts w:hint="eastAsia" w:ascii="宋体" w:hAnsi="宋体" w:eastAsia="宋体" w:cs="宋体"/>
          <w:b/>
          <w:kern w:val="0"/>
          <w:sz w:val="24"/>
        </w:rPr>
      </w:pPr>
    </w:p>
    <w:p w14:paraId="5F928099">
      <w:pPr>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：ZJXCX-2025-CG070</w:t>
      </w:r>
    </w:p>
    <w:p w14:paraId="3E0F5F0E">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w:t>
      </w:r>
      <w:r>
        <w:rPr>
          <w:rFonts w:hint="eastAsia" w:ascii="宋体" w:hAnsi="宋体" w:eastAsia="宋体" w:cs="宋体"/>
          <w:b/>
          <w:sz w:val="28"/>
          <w:szCs w:val="28"/>
          <w:lang w:val="zh-CN"/>
        </w:rPr>
        <w:t>黄岩区应急能力提升工程（防汛乡镇村指挥会商系统）服务项目</w:t>
      </w:r>
    </w:p>
    <w:p w14:paraId="1A648A1F">
      <w:pPr>
        <w:spacing w:line="360" w:lineRule="auto"/>
        <w:rPr>
          <w:rFonts w:hint="eastAsia" w:ascii="宋体" w:hAnsi="宋体" w:eastAsia="宋体" w:cs="宋体"/>
          <w:b/>
          <w:sz w:val="28"/>
          <w:szCs w:val="28"/>
        </w:rPr>
      </w:pPr>
    </w:p>
    <w:p w14:paraId="637AE6BB">
      <w:pPr>
        <w:pStyle w:val="3"/>
        <w:numPr>
          <w:ilvl w:val="0"/>
          <w:numId w:val="0"/>
        </w:numPr>
        <w:ind w:left="1600" w:right="210"/>
        <w:rPr>
          <w:rFonts w:hint="eastAsia" w:ascii="宋体" w:hAnsi="宋体" w:eastAsia="宋体" w:cs="宋体"/>
        </w:rPr>
      </w:pPr>
    </w:p>
    <w:p w14:paraId="77CF9E58">
      <w:pPr>
        <w:tabs>
          <w:tab w:val="left" w:pos="7770"/>
          <w:tab w:val="left" w:pos="7980"/>
        </w:tabs>
        <w:spacing w:line="360" w:lineRule="auto"/>
        <w:rPr>
          <w:rFonts w:hint="eastAsia" w:ascii="宋体" w:hAnsi="宋体" w:eastAsia="宋体" w:cs="宋体"/>
          <w:b/>
          <w:sz w:val="28"/>
          <w:szCs w:val="28"/>
        </w:rPr>
      </w:pPr>
    </w:p>
    <w:p w14:paraId="6FBD33CE">
      <w:pPr>
        <w:spacing w:line="360" w:lineRule="auto"/>
        <w:ind w:firstLine="1687" w:firstLineChars="600"/>
        <w:jc w:val="left"/>
        <w:rPr>
          <w:rFonts w:hint="eastAsia" w:ascii="宋体" w:hAnsi="宋体" w:eastAsia="宋体" w:cs="宋体"/>
          <w:b/>
          <w:sz w:val="28"/>
          <w:szCs w:val="28"/>
          <w:lang w:eastAsia="zh-CN"/>
        </w:rPr>
      </w:pPr>
      <w:r>
        <w:rPr>
          <w:rFonts w:hint="eastAsia" w:ascii="宋体" w:hAnsi="宋体" w:eastAsia="宋体" w:cs="宋体"/>
          <w:b/>
          <w:sz w:val="28"/>
          <w:szCs w:val="28"/>
        </w:rPr>
        <w:t>采购单位：</w:t>
      </w:r>
      <w:r>
        <w:rPr>
          <w:rFonts w:hint="eastAsia" w:ascii="宋体" w:hAnsi="宋体" w:eastAsia="宋体" w:cs="宋体"/>
          <w:b/>
          <w:sz w:val="28"/>
          <w:szCs w:val="28"/>
          <w:lang w:eastAsia="zh-CN"/>
        </w:rPr>
        <w:t>台州市黄岩区应急管理局</w:t>
      </w:r>
    </w:p>
    <w:p w14:paraId="3EE2F11B">
      <w:pPr>
        <w:spacing w:line="360" w:lineRule="auto"/>
        <w:ind w:firstLine="1687" w:firstLineChars="600"/>
        <w:jc w:val="left"/>
        <w:rPr>
          <w:rFonts w:hint="eastAsia" w:ascii="宋体" w:hAnsi="宋体" w:eastAsia="宋体" w:cs="宋体"/>
          <w:b/>
          <w:sz w:val="28"/>
          <w:szCs w:val="28"/>
        </w:rPr>
      </w:pPr>
      <w:r>
        <w:rPr>
          <w:rFonts w:hint="eastAsia" w:ascii="宋体" w:hAnsi="宋体" w:eastAsia="宋体" w:cs="宋体"/>
          <w:b/>
          <w:sz w:val="28"/>
          <w:szCs w:val="28"/>
        </w:rPr>
        <w:t>代理机构：浙江新诚信工程咨询有限公司</w:t>
      </w:r>
    </w:p>
    <w:p w14:paraId="2C9FB585">
      <w:pPr>
        <w:rPr>
          <w:rFonts w:hint="eastAsia" w:ascii="宋体" w:hAnsi="宋体" w:eastAsia="宋体" w:cs="宋体"/>
          <w:b/>
          <w:sz w:val="28"/>
          <w:szCs w:val="28"/>
        </w:rPr>
      </w:pPr>
    </w:p>
    <w:p w14:paraId="2C5D5F28">
      <w:pPr>
        <w:rPr>
          <w:rFonts w:hint="eastAsia" w:ascii="宋体" w:hAnsi="宋体" w:eastAsia="宋体" w:cs="宋体"/>
          <w:b/>
        </w:rPr>
      </w:pPr>
    </w:p>
    <w:p w14:paraId="09BBC9E9">
      <w:pPr>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2025年</w:t>
      </w:r>
      <w:r>
        <w:rPr>
          <w:rFonts w:hint="eastAsia" w:ascii="宋体" w:hAnsi="宋体" w:eastAsia="宋体" w:cs="宋体"/>
          <w:b/>
          <w:sz w:val="28"/>
          <w:szCs w:val="28"/>
          <w:lang w:val="en-US" w:eastAsia="zh-CN"/>
        </w:rPr>
        <w:t>6</w:t>
      </w:r>
      <w:r>
        <w:rPr>
          <w:rFonts w:hint="eastAsia" w:ascii="宋体" w:hAnsi="宋体" w:eastAsia="宋体" w:cs="宋体"/>
          <w:b/>
          <w:sz w:val="28"/>
          <w:szCs w:val="28"/>
          <w:lang w:eastAsia="zh-CN"/>
        </w:rPr>
        <w:t>月</w:t>
      </w:r>
    </w:p>
    <w:p w14:paraId="69152D6D">
      <w:pPr>
        <w:shd w:val="clear" w:color="auto" w:fill="FFFFFF"/>
        <w:tabs>
          <w:tab w:val="left" w:pos="3631"/>
          <w:tab w:val="center" w:pos="4150"/>
        </w:tabs>
        <w:spacing w:line="360" w:lineRule="auto"/>
        <w:jc w:val="left"/>
        <w:textAlignment w:val="bottom"/>
        <w:rPr>
          <w:rFonts w:hint="eastAsia" w:ascii="宋体" w:hAnsi="宋体" w:eastAsia="宋体" w:cs="宋体"/>
          <w:b/>
          <w:kern w:val="0"/>
          <w:sz w:val="52"/>
          <w:szCs w:val="52"/>
        </w:rPr>
        <w:sectPr>
          <w:headerReference r:id="rId4" w:type="default"/>
          <w:footerReference r:id="rId5" w:type="default"/>
          <w:pgSz w:w="11906" w:h="16838"/>
          <w:pgMar w:top="1440" w:right="1803" w:bottom="1440" w:left="1803" w:header="851" w:footer="992" w:gutter="0"/>
          <w:pgNumType w:fmt="numberInDash"/>
          <w:cols w:space="720" w:num="1"/>
          <w:docGrid w:type="lines" w:linePitch="319" w:charSpace="0"/>
        </w:sectPr>
      </w:pPr>
    </w:p>
    <w:p w14:paraId="1B676222">
      <w:pPr>
        <w:shd w:val="clear" w:color="auto" w:fill="FFFFFF"/>
        <w:spacing w:line="360" w:lineRule="auto"/>
        <w:jc w:val="center"/>
        <w:textAlignment w:val="bottom"/>
        <w:rPr>
          <w:rFonts w:hint="eastAsia" w:ascii="宋体" w:hAnsi="宋体" w:eastAsia="宋体" w:cs="宋体"/>
          <w:b/>
          <w:kern w:val="0"/>
          <w:sz w:val="52"/>
          <w:szCs w:val="52"/>
        </w:rPr>
      </w:pPr>
      <w:r>
        <w:rPr>
          <w:rFonts w:hint="eastAsia" w:ascii="宋体" w:hAnsi="宋体" w:eastAsia="宋体" w:cs="宋体"/>
          <w:b/>
          <w:kern w:val="0"/>
          <w:sz w:val="52"/>
          <w:szCs w:val="52"/>
        </w:rPr>
        <w:t>目  录</w:t>
      </w:r>
    </w:p>
    <w:p w14:paraId="2C54E691">
      <w:pPr>
        <w:shd w:val="clear" w:color="auto" w:fill="FFFFFF"/>
        <w:spacing w:line="360" w:lineRule="auto"/>
        <w:textAlignment w:val="bottom"/>
        <w:rPr>
          <w:rFonts w:hint="eastAsia" w:ascii="宋体" w:hAnsi="宋体" w:eastAsia="宋体" w:cs="宋体"/>
          <w:b/>
          <w:kern w:val="0"/>
          <w:sz w:val="24"/>
        </w:rPr>
      </w:pPr>
    </w:p>
    <w:p w14:paraId="1BEEF31C">
      <w:pPr>
        <w:shd w:val="clear" w:color="auto" w:fill="FFFFFF"/>
        <w:spacing w:line="360" w:lineRule="auto"/>
        <w:textAlignment w:val="bottom"/>
        <w:rPr>
          <w:rFonts w:hint="eastAsia" w:ascii="宋体" w:hAnsi="宋体" w:eastAsia="宋体" w:cs="宋体"/>
          <w:b/>
          <w:kern w:val="0"/>
          <w:sz w:val="24"/>
        </w:rPr>
      </w:pPr>
    </w:p>
    <w:p w14:paraId="534D1A7C">
      <w:pPr>
        <w:shd w:val="clear" w:color="auto" w:fill="FFFFFF"/>
        <w:spacing w:line="360" w:lineRule="auto"/>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第一部分 竞争性磋商公告</w:t>
      </w:r>
    </w:p>
    <w:p w14:paraId="45654122">
      <w:pPr>
        <w:shd w:val="clear" w:color="auto" w:fill="FFFFFF"/>
        <w:spacing w:line="360" w:lineRule="auto"/>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第二部分 投标人须知</w:t>
      </w:r>
    </w:p>
    <w:p w14:paraId="6D96D1D7">
      <w:pPr>
        <w:shd w:val="clear" w:color="auto" w:fill="FFFFFF"/>
        <w:spacing w:line="360" w:lineRule="auto"/>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 xml:space="preserve">第三部分 评审办法及评审标准  </w:t>
      </w:r>
    </w:p>
    <w:p w14:paraId="34B7A989">
      <w:pPr>
        <w:shd w:val="clear" w:color="auto" w:fill="FFFFFF"/>
        <w:spacing w:line="360" w:lineRule="auto"/>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第四部分 磋商需求</w:t>
      </w:r>
    </w:p>
    <w:p w14:paraId="7F3C631E">
      <w:pPr>
        <w:shd w:val="clear" w:color="auto" w:fill="FFFFFF"/>
        <w:spacing w:line="360" w:lineRule="auto"/>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第五部分 采购合同主要条款指引</w:t>
      </w:r>
    </w:p>
    <w:p w14:paraId="457AE0CD">
      <w:pPr>
        <w:shd w:val="clear" w:color="auto" w:fill="FFFFFF"/>
        <w:spacing w:line="360" w:lineRule="auto"/>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第六部分 响应文件格式附件</w:t>
      </w:r>
    </w:p>
    <w:p w14:paraId="14B1C262">
      <w:pPr>
        <w:shd w:val="clear" w:color="auto" w:fill="FFFFFF"/>
        <w:spacing w:line="360" w:lineRule="auto"/>
        <w:textAlignment w:val="bottom"/>
        <w:rPr>
          <w:rFonts w:hint="eastAsia" w:ascii="宋体" w:hAnsi="宋体" w:eastAsia="宋体" w:cs="宋体"/>
          <w:b/>
          <w:kern w:val="0"/>
          <w:sz w:val="24"/>
        </w:rPr>
      </w:pPr>
    </w:p>
    <w:p w14:paraId="7F72F45F">
      <w:pPr>
        <w:shd w:val="clear" w:color="auto" w:fill="FFFFFF"/>
        <w:spacing w:line="360" w:lineRule="auto"/>
        <w:textAlignment w:val="bottom"/>
        <w:rPr>
          <w:rFonts w:hint="eastAsia" w:ascii="宋体" w:hAnsi="宋体" w:eastAsia="宋体" w:cs="宋体"/>
          <w:b/>
          <w:kern w:val="0"/>
          <w:sz w:val="24"/>
        </w:rPr>
      </w:pPr>
    </w:p>
    <w:p w14:paraId="376F12AA">
      <w:pPr>
        <w:shd w:val="clear" w:color="auto" w:fill="FFFFFF"/>
        <w:spacing w:line="360" w:lineRule="auto"/>
        <w:textAlignment w:val="bottom"/>
        <w:rPr>
          <w:rFonts w:hint="eastAsia" w:ascii="宋体" w:hAnsi="宋体" w:eastAsia="宋体" w:cs="宋体"/>
          <w:b/>
          <w:kern w:val="0"/>
          <w:sz w:val="24"/>
        </w:rPr>
      </w:pPr>
    </w:p>
    <w:p w14:paraId="006E7921">
      <w:pPr>
        <w:shd w:val="clear" w:color="auto" w:fill="FFFFFF"/>
        <w:spacing w:line="360" w:lineRule="auto"/>
        <w:textAlignment w:val="bottom"/>
        <w:rPr>
          <w:rFonts w:hint="eastAsia" w:ascii="宋体" w:hAnsi="宋体" w:eastAsia="宋体" w:cs="宋体"/>
          <w:b/>
          <w:kern w:val="0"/>
          <w:sz w:val="24"/>
        </w:rPr>
      </w:pPr>
    </w:p>
    <w:p w14:paraId="7E6E7739">
      <w:pPr>
        <w:shd w:val="clear" w:color="auto" w:fill="FFFFFF"/>
        <w:spacing w:line="360" w:lineRule="auto"/>
        <w:textAlignment w:val="bottom"/>
        <w:rPr>
          <w:rFonts w:hint="eastAsia" w:ascii="宋体" w:hAnsi="宋体" w:eastAsia="宋体" w:cs="宋体"/>
          <w:b/>
          <w:kern w:val="0"/>
          <w:sz w:val="24"/>
        </w:rPr>
      </w:pPr>
    </w:p>
    <w:p w14:paraId="2D5B3A7C">
      <w:pPr>
        <w:shd w:val="clear" w:color="auto" w:fill="FFFFFF"/>
        <w:spacing w:line="360" w:lineRule="auto"/>
        <w:textAlignment w:val="bottom"/>
        <w:rPr>
          <w:rFonts w:hint="eastAsia" w:ascii="宋体" w:hAnsi="宋体" w:eastAsia="宋体" w:cs="宋体"/>
          <w:b/>
          <w:kern w:val="0"/>
          <w:sz w:val="24"/>
        </w:rPr>
      </w:pPr>
    </w:p>
    <w:p w14:paraId="6B0F19BC">
      <w:pPr>
        <w:shd w:val="clear" w:color="auto" w:fill="FFFFFF"/>
        <w:spacing w:line="360" w:lineRule="auto"/>
        <w:textAlignment w:val="bottom"/>
        <w:rPr>
          <w:rFonts w:hint="eastAsia" w:ascii="宋体" w:hAnsi="宋体" w:eastAsia="宋体" w:cs="宋体"/>
          <w:b/>
          <w:kern w:val="0"/>
          <w:sz w:val="24"/>
        </w:rPr>
      </w:pPr>
    </w:p>
    <w:p w14:paraId="71194087">
      <w:pPr>
        <w:shd w:val="clear" w:color="auto" w:fill="FFFFFF"/>
        <w:spacing w:line="360" w:lineRule="auto"/>
        <w:textAlignment w:val="bottom"/>
        <w:rPr>
          <w:rFonts w:hint="eastAsia" w:ascii="宋体" w:hAnsi="宋体" w:eastAsia="宋体" w:cs="宋体"/>
          <w:b/>
          <w:kern w:val="0"/>
          <w:sz w:val="24"/>
        </w:rPr>
      </w:pPr>
    </w:p>
    <w:p w14:paraId="42E7B553">
      <w:pPr>
        <w:shd w:val="clear" w:color="auto" w:fill="FFFFFF"/>
        <w:spacing w:line="360" w:lineRule="auto"/>
        <w:textAlignment w:val="bottom"/>
        <w:rPr>
          <w:rFonts w:hint="eastAsia" w:ascii="宋体" w:hAnsi="宋体" w:eastAsia="宋体" w:cs="宋体"/>
          <w:b/>
          <w:kern w:val="0"/>
          <w:sz w:val="24"/>
        </w:rPr>
      </w:pPr>
    </w:p>
    <w:p w14:paraId="71460D26">
      <w:pPr>
        <w:shd w:val="clear" w:color="auto" w:fill="FFFFFF"/>
        <w:spacing w:line="360" w:lineRule="auto"/>
        <w:textAlignment w:val="bottom"/>
        <w:rPr>
          <w:rFonts w:hint="eastAsia" w:ascii="宋体" w:hAnsi="宋体" w:eastAsia="宋体" w:cs="宋体"/>
          <w:b/>
          <w:kern w:val="0"/>
          <w:sz w:val="24"/>
        </w:rPr>
      </w:pPr>
    </w:p>
    <w:p w14:paraId="001E44C2">
      <w:pPr>
        <w:pStyle w:val="12"/>
        <w:rPr>
          <w:rFonts w:hint="eastAsia" w:ascii="宋体" w:hAnsi="宋体" w:eastAsia="宋体" w:cs="宋体"/>
        </w:rPr>
      </w:pPr>
    </w:p>
    <w:p w14:paraId="26C1F717">
      <w:pPr>
        <w:shd w:val="clear" w:color="auto" w:fill="FFFFFF"/>
        <w:spacing w:line="360" w:lineRule="auto"/>
        <w:textAlignment w:val="bottom"/>
        <w:rPr>
          <w:rFonts w:hint="eastAsia" w:ascii="宋体" w:hAnsi="宋体" w:eastAsia="宋体" w:cs="宋体"/>
          <w:b/>
          <w:kern w:val="0"/>
          <w:sz w:val="24"/>
        </w:rPr>
      </w:pPr>
    </w:p>
    <w:p w14:paraId="5D3224F9">
      <w:pPr>
        <w:shd w:val="clear" w:color="auto" w:fill="FFFFFF"/>
        <w:spacing w:line="360" w:lineRule="auto"/>
        <w:textAlignment w:val="bottom"/>
        <w:rPr>
          <w:rFonts w:hint="eastAsia" w:ascii="宋体" w:hAnsi="宋体" w:eastAsia="宋体" w:cs="宋体"/>
          <w:b/>
          <w:kern w:val="0"/>
          <w:sz w:val="24"/>
        </w:rPr>
      </w:pPr>
    </w:p>
    <w:p w14:paraId="272FE88F">
      <w:pPr>
        <w:shd w:val="clear" w:color="auto" w:fill="FFFFFF"/>
        <w:spacing w:line="360" w:lineRule="auto"/>
        <w:jc w:val="center"/>
        <w:textAlignment w:val="bottom"/>
        <w:rPr>
          <w:rFonts w:hint="eastAsia" w:ascii="宋体" w:hAnsi="宋体" w:eastAsia="宋体" w:cs="宋体"/>
          <w:b/>
          <w:kern w:val="0"/>
          <w:sz w:val="36"/>
          <w:szCs w:val="36"/>
        </w:rPr>
        <w:sectPr>
          <w:footerReference r:id="rId6" w:type="default"/>
          <w:pgSz w:w="11906" w:h="16838"/>
          <w:pgMar w:top="1440" w:right="1800" w:bottom="1440" w:left="1800" w:header="851" w:footer="992" w:gutter="0"/>
          <w:pgNumType w:fmt="numberInDash" w:start="1"/>
          <w:cols w:space="720" w:num="1"/>
          <w:docGrid w:type="lines" w:linePitch="381" w:charSpace="0"/>
        </w:sectPr>
      </w:pPr>
      <w:bookmarkStart w:id="0" w:name="_Toc417381410"/>
    </w:p>
    <w:p w14:paraId="2EB6C2F9">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36"/>
          <w:szCs w:val="36"/>
        </w:rPr>
        <w:t>第一部分 竞争性磋商公告</w:t>
      </w:r>
      <w:bookmarkEnd w:id="0"/>
    </w:p>
    <w:p w14:paraId="3FE35197">
      <w:pPr>
        <w:pStyle w:val="44"/>
        <w:rPr>
          <w:rFonts w:hint="eastAsia" w:ascii="宋体" w:hAnsi="宋体" w:eastAsia="宋体" w:cs="宋体"/>
          <w:i w:val="0"/>
          <w:iCs w:val="0"/>
          <w:caps w:val="0"/>
          <w:spacing w:val="0"/>
          <w:sz w:val="22"/>
          <w:szCs w:val="22"/>
        </w:rPr>
      </w:pPr>
      <w:r>
        <w:rPr>
          <w:rFonts w:hint="eastAsia" w:ascii="宋体" w:hAnsi="宋体" w:eastAsia="宋体" w:cs="宋体"/>
          <w:b/>
          <w:bCs/>
          <w:sz w:val="22"/>
        </w:rPr>
        <mc:AlternateContent>
          <mc:Choice Requires="wps">
            <w:drawing>
              <wp:anchor distT="0" distB="0" distL="114300" distR="114300" simplePos="0" relativeHeight="251659264" behindDoc="1" locked="0" layoutInCell="1" allowOverlap="1">
                <wp:simplePos x="0" y="0"/>
                <wp:positionH relativeFrom="column">
                  <wp:posOffset>-177165</wp:posOffset>
                </wp:positionH>
                <wp:positionV relativeFrom="paragraph">
                  <wp:posOffset>30480</wp:posOffset>
                </wp:positionV>
                <wp:extent cx="6137275" cy="1098550"/>
                <wp:effectExtent l="9525" t="9525" r="25400" b="15875"/>
                <wp:wrapNone/>
                <wp:docPr id="1" name="矩形 68"/>
                <wp:cNvGraphicFramePr/>
                <a:graphic xmlns:a="http://schemas.openxmlformats.org/drawingml/2006/main">
                  <a:graphicData uri="http://schemas.microsoft.com/office/word/2010/wordprocessingShape">
                    <wps:wsp>
                      <wps:cNvSpPr/>
                      <wps:spPr>
                        <a:xfrm>
                          <a:off x="0" y="0"/>
                          <a:ext cx="6137275" cy="1098550"/>
                        </a:xfrm>
                        <a:prstGeom prst="rect">
                          <a:avLst/>
                        </a:prstGeom>
                        <a:solidFill>
                          <a:srgbClr val="FFFFFF"/>
                        </a:solidFill>
                        <a:ln w="19050"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矩形 68" o:spid="_x0000_s1026" o:spt="1" style="position:absolute;left:0pt;margin-left:-13.95pt;margin-top:2.4pt;height:86.5pt;width:483.25pt;z-index:-251657216;mso-width-relative:page;mso-height-relative:page;" fillcolor="#FFFFFF" filled="t" stroked="t" coordsize="21600,21600" o:gfxdata="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8QD+zb&#10;AAAACQEAAA8AAAAAAAAAAQAgAAAAIgAAAGRycy9kb3ducmV2LnhtbFBLAQIUABQAAAAIAIdO4kAZ&#10;HNh7HQIAAFQEAAAOAAAAAAAAAAEAIAAAACoBAABkcnMvZTJvRG9jLnhtbFBLBQYAAAAABgAGAFkB&#10;AAC5BQAAAAA=&#10;">
                <v:fill on="t" focussize="0,0"/>
                <v:stroke weight="1.5pt" color="#000000" joinstyle="miter"/>
                <v:imagedata o:title=""/>
                <o:lock v:ext="edit" aspectratio="f"/>
              </v:rect>
            </w:pict>
          </mc:Fallback>
        </mc:AlternateContent>
      </w:r>
      <w:r>
        <w:rPr>
          <w:rFonts w:hint="eastAsia" w:ascii="宋体" w:hAnsi="宋体" w:eastAsia="宋体" w:cs="宋体"/>
          <w:b/>
          <w:bCs/>
          <w:i w:val="0"/>
          <w:iCs w:val="0"/>
          <w:caps w:val="0"/>
          <w:spacing w:val="0"/>
          <w:sz w:val="22"/>
          <w:szCs w:val="22"/>
        </w:rPr>
        <w:t>项目概况</w:t>
      </w:r>
      <w:r>
        <w:rPr>
          <w:rFonts w:hint="eastAsia" w:ascii="宋体" w:hAnsi="宋体" w:eastAsia="宋体" w:cs="宋体"/>
          <w:i w:val="0"/>
          <w:iCs w:val="0"/>
          <w:caps w:val="0"/>
          <w:spacing w:val="0"/>
          <w:sz w:val="22"/>
          <w:szCs w:val="22"/>
        </w:rPr>
        <w:t>  </w:t>
      </w:r>
    </w:p>
    <w:p w14:paraId="39197B55">
      <w:pPr>
        <w:pStyle w:val="44"/>
        <w:keepNext w:val="0"/>
        <w:keepLines w:val="0"/>
        <w:pageBreakBefore w:val="0"/>
        <w:widowControl w:val="0"/>
        <w:kinsoku/>
        <w:wordWrap w:val="0"/>
        <w:overflowPunct/>
        <w:topLinePunct w:val="0"/>
        <w:autoSpaceDE/>
        <w:autoSpaceDN/>
        <w:bidi w:val="0"/>
        <w:adjustRightInd w:val="0"/>
        <w:snapToGrid/>
        <w:ind w:firstLine="440" w:firstLineChars="200"/>
        <w:textAlignment w:val="baseline"/>
        <w:rPr>
          <w:rFonts w:hint="eastAsia" w:ascii="宋体" w:hAnsi="宋体" w:eastAsia="宋体" w:cs="宋体"/>
          <w:sz w:val="22"/>
          <w:szCs w:val="22"/>
        </w:rPr>
      </w:pPr>
      <w:r>
        <w:rPr>
          <w:rFonts w:hint="eastAsia" w:hAnsi="宋体" w:eastAsia="宋体" w:cs="宋体"/>
          <w:i w:val="0"/>
          <w:iCs w:val="0"/>
          <w:caps w:val="0"/>
          <w:spacing w:val="0"/>
          <w:sz w:val="22"/>
          <w:szCs w:val="22"/>
          <w:lang w:eastAsia="zh-CN"/>
        </w:rPr>
        <w:t>黄岩区应急能力提升工程（防汛乡镇村指挥会商系统）服务项目</w:t>
      </w:r>
      <w:r>
        <w:rPr>
          <w:rFonts w:hint="eastAsia" w:ascii="宋体" w:hAnsi="宋体" w:eastAsia="宋体" w:cs="宋体"/>
          <w:i w:val="0"/>
          <w:iCs w:val="0"/>
          <w:caps w:val="0"/>
          <w:spacing w:val="0"/>
          <w:sz w:val="22"/>
          <w:szCs w:val="22"/>
        </w:rPr>
        <w:t>的潜在供应商应在浙江政府采购网（http://zfcg.czt.zj.gov.cn）获取（下载）采购文件，并于</w:t>
      </w:r>
      <w:r>
        <w:rPr>
          <w:rFonts w:hint="eastAsia" w:hAnsi="宋体" w:cs="宋体"/>
          <w:i w:val="0"/>
          <w:iCs w:val="0"/>
          <w:caps w:val="0"/>
          <w:spacing w:val="0"/>
          <w:sz w:val="22"/>
          <w:szCs w:val="22"/>
          <w:lang w:eastAsia="zh-CN"/>
        </w:rPr>
        <w:t>2025年7月4日</w:t>
      </w:r>
      <w:r>
        <w:rPr>
          <w:rFonts w:hint="eastAsia" w:hAnsi="宋体" w:eastAsia="宋体" w:cs="宋体"/>
          <w:i w:val="0"/>
          <w:iCs w:val="0"/>
          <w:caps w:val="0"/>
          <w:spacing w:val="0"/>
          <w:sz w:val="22"/>
          <w:szCs w:val="22"/>
          <w:lang w:eastAsia="zh-CN"/>
        </w:rPr>
        <w:t xml:space="preserve"> 9:00</w:t>
      </w:r>
      <w:r>
        <w:rPr>
          <w:rFonts w:hint="eastAsia" w:ascii="宋体" w:hAnsi="宋体" w:eastAsia="宋体" w:cs="宋体"/>
          <w:i w:val="0"/>
          <w:iCs w:val="0"/>
          <w:caps w:val="0"/>
          <w:spacing w:val="0"/>
          <w:sz w:val="22"/>
          <w:szCs w:val="22"/>
        </w:rPr>
        <w:t>（北京时间）前提交（上传）</w:t>
      </w:r>
      <w:r>
        <w:rPr>
          <w:rFonts w:hint="eastAsia" w:hAnsi="宋体" w:eastAsia="宋体" w:cs="宋体"/>
          <w:i w:val="0"/>
          <w:iCs w:val="0"/>
          <w:caps w:val="0"/>
          <w:spacing w:val="0"/>
          <w:sz w:val="22"/>
          <w:szCs w:val="22"/>
          <w:lang w:eastAsia="zh-CN"/>
        </w:rPr>
        <w:t>响应文件。</w:t>
      </w:r>
      <w:r>
        <w:rPr>
          <w:rFonts w:hint="eastAsia" w:ascii="宋体" w:hAnsi="宋体" w:eastAsia="宋体" w:cs="宋体"/>
          <w:i w:val="0"/>
          <w:iCs w:val="0"/>
          <w:caps w:val="0"/>
          <w:spacing w:val="0"/>
          <w:sz w:val="22"/>
          <w:szCs w:val="22"/>
        </w:rPr>
        <w:t xml:space="preserve">       </w:t>
      </w:r>
    </w:p>
    <w:p w14:paraId="2396F9E7">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一、项目基本情况</w:t>
      </w:r>
    </w:p>
    <w:p w14:paraId="197754E8">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项目编号：</w:t>
      </w:r>
      <w:r>
        <w:rPr>
          <w:rFonts w:hint="eastAsia" w:hAnsi="宋体" w:eastAsia="宋体" w:cs="宋体"/>
          <w:i w:val="0"/>
          <w:iCs w:val="0"/>
          <w:caps w:val="0"/>
          <w:spacing w:val="0"/>
          <w:sz w:val="22"/>
          <w:szCs w:val="22"/>
          <w:lang w:eastAsia="zh-CN"/>
        </w:rPr>
        <w:t>ZJXCX-2025-CG070</w:t>
      </w:r>
      <w:r>
        <w:rPr>
          <w:rFonts w:hint="eastAsia" w:ascii="宋体" w:hAnsi="宋体" w:eastAsia="宋体" w:cs="宋体"/>
          <w:i w:val="0"/>
          <w:iCs w:val="0"/>
          <w:caps w:val="0"/>
          <w:spacing w:val="0"/>
          <w:sz w:val="22"/>
          <w:szCs w:val="22"/>
        </w:rPr>
        <w:t> </w:t>
      </w:r>
    </w:p>
    <w:p w14:paraId="6B38691E">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项目名称：</w:t>
      </w:r>
      <w:r>
        <w:rPr>
          <w:rFonts w:hint="eastAsia" w:hAnsi="宋体" w:eastAsia="宋体" w:cs="宋体"/>
          <w:i w:val="0"/>
          <w:iCs w:val="0"/>
          <w:caps w:val="0"/>
          <w:spacing w:val="0"/>
          <w:sz w:val="22"/>
          <w:szCs w:val="22"/>
          <w:lang w:eastAsia="zh-CN"/>
        </w:rPr>
        <w:t>黄岩区应急能力提升工程（防汛乡镇村指挥会商系统）服务项目</w:t>
      </w:r>
      <w:r>
        <w:rPr>
          <w:rFonts w:hint="eastAsia" w:ascii="宋体" w:hAnsi="宋体" w:eastAsia="宋体" w:cs="宋体"/>
          <w:i w:val="0"/>
          <w:iCs w:val="0"/>
          <w:caps w:val="0"/>
          <w:spacing w:val="0"/>
          <w:sz w:val="22"/>
          <w:szCs w:val="22"/>
        </w:rPr>
        <w:t> </w:t>
      </w:r>
    </w:p>
    <w:p w14:paraId="76AF18D0">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采购方式：竞争性磋商 </w:t>
      </w:r>
    </w:p>
    <w:p w14:paraId="2975F098">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预算金额（元）：</w:t>
      </w:r>
      <w:r>
        <w:rPr>
          <w:rFonts w:hint="eastAsia" w:hAnsi="宋体" w:eastAsia="宋体" w:cs="宋体"/>
          <w:i w:val="0"/>
          <w:iCs w:val="0"/>
          <w:caps w:val="0"/>
          <w:spacing w:val="0"/>
          <w:sz w:val="22"/>
          <w:szCs w:val="22"/>
          <w:lang w:eastAsia="zh-CN"/>
        </w:rPr>
        <w:t>3919800</w:t>
      </w:r>
      <w:r>
        <w:rPr>
          <w:rFonts w:hint="eastAsia" w:ascii="宋体" w:hAnsi="宋体" w:eastAsia="宋体" w:cs="宋体"/>
          <w:i w:val="0"/>
          <w:iCs w:val="0"/>
          <w:caps w:val="0"/>
          <w:spacing w:val="0"/>
          <w:sz w:val="22"/>
          <w:szCs w:val="22"/>
        </w:rPr>
        <w:t>  </w:t>
      </w:r>
    </w:p>
    <w:p w14:paraId="257EC1EA">
      <w:pPr>
        <w:pStyle w:val="44"/>
        <w:ind w:firstLine="660"/>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最高限价（元）：</w:t>
      </w:r>
      <w:r>
        <w:rPr>
          <w:rFonts w:hint="eastAsia" w:hAnsi="宋体" w:eastAsia="宋体" w:cs="宋体"/>
          <w:i w:val="0"/>
          <w:iCs w:val="0"/>
          <w:caps w:val="0"/>
          <w:spacing w:val="0"/>
          <w:sz w:val="22"/>
          <w:szCs w:val="22"/>
          <w:lang w:eastAsia="zh-CN"/>
        </w:rPr>
        <w:t>3919800</w:t>
      </w:r>
      <w:r>
        <w:rPr>
          <w:rFonts w:hint="eastAsia" w:ascii="宋体" w:hAnsi="宋体" w:eastAsia="宋体" w:cs="宋体"/>
          <w:i w:val="0"/>
          <w:iCs w:val="0"/>
          <w:caps w:val="0"/>
          <w:spacing w:val="0"/>
          <w:sz w:val="22"/>
          <w:szCs w:val="22"/>
        </w:rPr>
        <w:t>  </w:t>
      </w:r>
    </w:p>
    <w:p w14:paraId="7F3A6F0B">
      <w:pPr>
        <w:pStyle w:val="44"/>
        <w:ind w:firstLine="660"/>
        <w:rPr>
          <w:rFonts w:hint="eastAsia" w:ascii="宋体" w:hAnsi="宋体" w:eastAsia="宋体" w:cs="宋体"/>
          <w:i w:val="0"/>
          <w:iCs w:val="0"/>
          <w:caps w:val="0"/>
          <w:spacing w:val="0"/>
          <w:sz w:val="22"/>
          <w:szCs w:val="22"/>
          <w:lang w:val="en-US" w:eastAsia="zh-CN"/>
        </w:rPr>
      </w:pPr>
      <w:r>
        <w:rPr>
          <w:rFonts w:hint="eastAsia" w:ascii="宋体" w:hAnsi="宋体" w:eastAsia="宋体" w:cs="宋体"/>
          <w:i w:val="0"/>
          <w:iCs w:val="0"/>
          <w:caps w:val="0"/>
          <w:spacing w:val="0"/>
          <w:sz w:val="22"/>
          <w:szCs w:val="22"/>
        </w:rPr>
        <w:t>采购需求：</w:t>
      </w:r>
      <w:r>
        <w:rPr>
          <w:rFonts w:hint="eastAsia" w:hAnsi="宋体" w:eastAsia="宋体" w:cs="宋体"/>
          <w:i w:val="0"/>
          <w:iCs w:val="0"/>
          <w:caps w:val="0"/>
          <w:spacing w:val="0"/>
          <w:sz w:val="22"/>
          <w:szCs w:val="22"/>
          <w:lang w:eastAsia="zh-CN"/>
        </w:rPr>
        <w:t>详见磋商文件</w:t>
      </w:r>
    </w:p>
    <w:p w14:paraId="4BF040F3">
      <w:pPr>
        <w:pStyle w:val="44"/>
        <w:ind w:firstLine="660"/>
        <w:rPr>
          <w:rFonts w:hint="eastAsia" w:ascii="宋体" w:hAnsi="宋体" w:eastAsia="宋体" w:cs="宋体"/>
          <w:i w:val="0"/>
          <w:iCs w:val="0"/>
          <w:caps w:val="0"/>
          <w:spacing w:val="0"/>
          <w:kern w:val="0"/>
          <w:sz w:val="22"/>
          <w:szCs w:val="22"/>
          <w:lang w:val="en-US" w:eastAsia="zh-CN" w:bidi="ar-SA"/>
        </w:rPr>
      </w:pPr>
      <w:r>
        <w:rPr>
          <w:rFonts w:hint="eastAsia" w:ascii="宋体" w:hAnsi="宋体" w:eastAsia="宋体" w:cs="宋体"/>
          <w:i w:val="0"/>
          <w:iCs w:val="0"/>
          <w:caps w:val="0"/>
          <w:spacing w:val="0"/>
          <w:kern w:val="0"/>
          <w:sz w:val="22"/>
          <w:szCs w:val="22"/>
          <w:lang w:val="en-US" w:eastAsia="zh-CN" w:bidi="ar-SA"/>
        </w:rPr>
        <w:t>数量：1           </w:t>
      </w:r>
    </w:p>
    <w:p w14:paraId="669AC8E6">
      <w:pPr>
        <w:pStyle w:val="44"/>
        <w:ind w:firstLine="660"/>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预算金额（元）：</w:t>
      </w:r>
      <w:r>
        <w:rPr>
          <w:rFonts w:hint="eastAsia" w:hAnsi="宋体" w:eastAsia="宋体" w:cs="宋体"/>
          <w:i w:val="0"/>
          <w:iCs w:val="0"/>
          <w:caps w:val="0"/>
          <w:spacing w:val="0"/>
          <w:sz w:val="22"/>
          <w:szCs w:val="22"/>
          <w:lang w:eastAsia="zh-CN"/>
        </w:rPr>
        <w:t>3919800</w:t>
      </w:r>
      <w:r>
        <w:rPr>
          <w:rFonts w:hint="eastAsia" w:ascii="宋体" w:hAnsi="宋体" w:eastAsia="宋体" w:cs="宋体"/>
          <w:i w:val="0"/>
          <w:iCs w:val="0"/>
          <w:caps w:val="0"/>
          <w:spacing w:val="0"/>
          <w:sz w:val="22"/>
          <w:szCs w:val="22"/>
        </w:rPr>
        <w:t> </w:t>
      </w:r>
    </w:p>
    <w:p w14:paraId="67720993">
      <w:pPr>
        <w:pStyle w:val="44"/>
        <w:ind w:firstLine="660"/>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单位：项 </w:t>
      </w:r>
    </w:p>
    <w:p w14:paraId="4F8EA22A">
      <w:pPr>
        <w:pStyle w:val="44"/>
        <w:ind w:firstLine="660"/>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简要规格描述：详见磋商文件 </w:t>
      </w:r>
    </w:p>
    <w:p w14:paraId="4A912368">
      <w:pPr>
        <w:pStyle w:val="44"/>
        <w:ind w:firstLine="660"/>
        <w:rPr>
          <w:rFonts w:hint="eastAsia" w:ascii="宋体" w:hAnsi="宋体" w:eastAsia="宋体" w:cs="宋体"/>
          <w:sz w:val="22"/>
          <w:szCs w:val="22"/>
        </w:rPr>
      </w:pPr>
      <w:r>
        <w:rPr>
          <w:rFonts w:hint="eastAsia" w:ascii="宋体" w:hAnsi="宋体" w:eastAsia="宋体" w:cs="宋体"/>
          <w:i w:val="0"/>
          <w:iCs w:val="0"/>
          <w:caps w:val="0"/>
          <w:spacing w:val="0"/>
          <w:sz w:val="22"/>
          <w:szCs w:val="22"/>
        </w:rPr>
        <w:t>备注：</w:t>
      </w:r>
      <w:r>
        <w:rPr>
          <w:rFonts w:hint="eastAsia" w:ascii="宋体" w:hAnsi="宋体" w:eastAsia="宋体" w:cs="宋体"/>
          <w:i w:val="0"/>
          <w:iCs w:val="0"/>
          <w:caps w:val="0"/>
          <w:spacing w:val="0"/>
          <w:sz w:val="22"/>
          <w:szCs w:val="22"/>
          <w:lang w:val="en-US" w:eastAsia="zh-CN"/>
        </w:rPr>
        <w:t>/</w:t>
      </w:r>
      <w:r>
        <w:rPr>
          <w:rFonts w:hint="eastAsia" w:ascii="宋体" w:hAnsi="宋体" w:eastAsia="宋体" w:cs="宋体"/>
          <w:i w:val="0"/>
          <w:iCs w:val="0"/>
          <w:caps w:val="0"/>
          <w:spacing w:val="0"/>
          <w:sz w:val="22"/>
          <w:szCs w:val="22"/>
        </w:rPr>
        <w:t> </w:t>
      </w:r>
    </w:p>
    <w:p w14:paraId="5BEC0BAA">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合同履约期限：标项 1，详见磋商文件  </w:t>
      </w:r>
    </w:p>
    <w:p w14:paraId="0F4B4DA3">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本项目（否）接受联合体投标。  </w:t>
      </w:r>
    </w:p>
    <w:p w14:paraId="2D2F8D9B">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二、申请人的资格要求：</w:t>
      </w:r>
    </w:p>
    <w:p w14:paraId="4ADB0C91">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1.满足《中华人民共和国政府采购法》第二十二条规定；未被“信用中国”（www.creditchina.gov.cn</w:t>
      </w:r>
      <w:r>
        <w:rPr>
          <w:rFonts w:hint="eastAsia" w:ascii="宋体" w:hAnsi="宋体" w:eastAsia="宋体" w:cs="宋体"/>
          <w:i w:val="0"/>
          <w:iCs w:val="0"/>
          <w:caps w:val="0"/>
          <w:spacing w:val="0"/>
          <w:sz w:val="22"/>
          <w:szCs w:val="22"/>
          <w:lang w:eastAsia="zh-CN"/>
        </w:rPr>
        <w:t>）</w:t>
      </w:r>
      <w:r>
        <w:rPr>
          <w:rFonts w:hint="eastAsia" w:ascii="宋体" w:hAnsi="宋体" w:eastAsia="宋体" w:cs="宋体"/>
          <w:i w:val="0"/>
          <w:iCs w:val="0"/>
          <w:caps w:val="0"/>
          <w:spacing w:val="0"/>
          <w:sz w:val="22"/>
          <w:szCs w:val="22"/>
        </w:rPr>
        <w:t>、中国政府采购网（www.ccgp.gov.cn）列入失信被执行人、重大税收违法案件当事人名单、政府采购严重违法失信行为记录名单。</w:t>
      </w:r>
    </w:p>
    <w:p w14:paraId="19D073C8">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2.落实政府采购政策需满足的资格要求：无 </w:t>
      </w:r>
    </w:p>
    <w:p w14:paraId="404B6FAE">
      <w:pPr>
        <w:pStyle w:val="44"/>
        <w:rPr>
          <w:rFonts w:hint="eastAsia" w:ascii="宋体" w:hAnsi="宋体" w:eastAsia="宋体" w:cs="宋体"/>
          <w:sz w:val="22"/>
          <w:szCs w:val="22"/>
          <w:lang w:val="en-US" w:eastAsia="zh-CN"/>
        </w:rPr>
      </w:pPr>
      <w:r>
        <w:rPr>
          <w:rFonts w:hint="eastAsia" w:ascii="宋体" w:hAnsi="宋体" w:eastAsia="宋体" w:cs="宋体"/>
          <w:i w:val="0"/>
          <w:iCs w:val="0"/>
          <w:caps w:val="0"/>
          <w:spacing w:val="0"/>
          <w:sz w:val="22"/>
          <w:szCs w:val="22"/>
        </w:rPr>
        <w:t>    3.本项目的特定资格要求：</w:t>
      </w:r>
      <w:r>
        <w:rPr>
          <w:rFonts w:hint="eastAsia" w:hAnsi="宋体" w:eastAsia="宋体" w:cs="宋体"/>
          <w:i w:val="0"/>
          <w:iCs w:val="0"/>
          <w:caps w:val="0"/>
          <w:spacing w:val="0"/>
          <w:sz w:val="22"/>
          <w:szCs w:val="22"/>
          <w:lang w:eastAsia="zh-CN"/>
        </w:rPr>
        <w:t>无</w:t>
      </w:r>
      <w:r>
        <w:rPr>
          <w:rFonts w:hint="eastAsia" w:ascii="宋体" w:hAnsi="宋体" w:eastAsia="宋体" w:cs="宋体"/>
          <w:i w:val="0"/>
          <w:iCs w:val="0"/>
          <w:caps w:val="0"/>
          <w:spacing w:val="0"/>
          <w:sz w:val="22"/>
          <w:szCs w:val="22"/>
        </w:rPr>
        <w:t> </w:t>
      </w:r>
    </w:p>
    <w:p w14:paraId="761C89CB">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三、获取（下载）采购文件</w:t>
      </w:r>
    </w:p>
    <w:p w14:paraId="165204D1">
      <w:pPr>
        <w:pStyle w:val="44"/>
        <w:ind w:firstLine="440" w:firstLineChars="200"/>
        <w:rPr>
          <w:rFonts w:hint="eastAsia" w:ascii="宋体" w:hAnsi="宋体" w:eastAsia="宋体" w:cs="宋体"/>
          <w:sz w:val="22"/>
          <w:szCs w:val="22"/>
        </w:rPr>
      </w:pPr>
      <w:r>
        <w:rPr>
          <w:rFonts w:hint="eastAsia" w:ascii="宋体" w:hAnsi="宋体" w:eastAsia="宋体" w:cs="宋体"/>
          <w:i w:val="0"/>
          <w:iCs w:val="0"/>
          <w:caps w:val="0"/>
          <w:spacing w:val="0"/>
          <w:sz w:val="22"/>
          <w:szCs w:val="22"/>
          <w:u w:val="none"/>
        </w:rPr>
        <w:t>时间</w:t>
      </w:r>
      <w:r>
        <w:rPr>
          <w:rFonts w:hint="eastAsia" w:ascii="宋体" w:hAnsi="宋体" w:eastAsia="宋体" w:cs="宋体"/>
          <w:i w:val="0"/>
          <w:iCs w:val="0"/>
          <w:caps w:val="0"/>
          <w:spacing w:val="0"/>
          <w:sz w:val="22"/>
          <w:szCs w:val="22"/>
          <w:u w:val="none"/>
          <w:lang w:eastAsia="zh-CN"/>
        </w:rPr>
        <w:t>：</w:t>
      </w:r>
      <w:r>
        <w:rPr>
          <w:rFonts w:hint="eastAsia" w:ascii="宋体" w:hAnsi="宋体" w:eastAsia="宋体" w:cs="宋体"/>
          <w:i w:val="0"/>
          <w:iCs w:val="0"/>
          <w:caps w:val="0"/>
          <w:spacing w:val="0"/>
          <w:sz w:val="22"/>
          <w:szCs w:val="22"/>
          <w:u w:val="none"/>
        </w:rPr>
        <w:t>至</w:t>
      </w:r>
      <w:r>
        <w:rPr>
          <w:rFonts w:hint="eastAsia" w:hAnsi="宋体" w:cs="宋体"/>
          <w:i w:val="0"/>
          <w:iCs w:val="0"/>
          <w:caps w:val="0"/>
          <w:spacing w:val="0"/>
          <w:sz w:val="22"/>
          <w:szCs w:val="22"/>
          <w:u w:val="none"/>
          <w:lang w:eastAsia="zh-CN"/>
        </w:rPr>
        <w:t>2025年7月4日</w:t>
      </w:r>
      <w:r>
        <w:rPr>
          <w:rFonts w:hint="eastAsia" w:hAnsi="宋体" w:eastAsia="宋体" w:cs="宋体"/>
          <w:i w:val="0"/>
          <w:iCs w:val="0"/>
          <w:caps w:val="0"/>
          <w:spacing w:val="0"/>
          <w:sz w:val="22"/>
          <w:szCs w:val="22"/>
          <w:u w:val="none"/>
          <w:lang w:eastAsia="zh-CN"/>
        </w:rPr>
        <w:t xml:space="preserve"> </w:t>
      </w:r>
      <w:r>
        <w:rPr>
          <w:rFonts w:hint="eastAsia" w:ascii="宋体" w:hAnsi="宋体" w:eastAsia="宋体" w:cs="宋体"/>
          <w:i w:val="0"/>
          <w:iCs w:val="0"/>
          <w:caps w:val="0"/>
          <w:spacing w:val="0"/>
          <w:sz w:val="22"/>
          <w:szCs w:val="22"/>
          <w:u w:val="none"/>
        </w:rPr>
        <w:t>，每天上午00:00至12:00，下午12:00至23:59（北京时间，线上获取法定节假日均可，线下获取文件法定节假日除外）</w:t>
      </w:r>
    </w:p>
    <w:p w14:paraId="7CC35C84">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地点（网址）：浙江政府采购网（http://zfcg.czt.zj.gov.cn） </w:t>
      </w:r>
    </w:p>
    <w:p w14:paraId="0C28239B">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方式：供应商登录政采云平台https://www.zcygov.cn/在线申请获取采购文件（进入“项目采购”应用，在获取采购文件菜单中选择项目，申请获取采购文件） </w:t>
      </w:r>
    </w:p>
    <w:p w14:paraId="778BCA68">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售价（元）：0 </w:t>
      </w:r>
    </w:p>
    <w:p w14:paraId="34F3E5B3">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四、响应文件提交（上传） </w:t>
      </w:r>
    </w:p>
    <w:p w14:paraId="6434C4BA">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截止时间：</w:t>
      </w:r>
      <w:r>
        <w:rPr>
          <w:rFonts w:hint="eastAsia" w:hAnsi="宋体" w:cs="宋体"/>
          <w:i w:val="0"/>
          <w:iCs w:val="0"/>
          <w:caps w:val="0"/>
          <w:spacing w:val="0"/>
          <w:sz w:val="22"/>
          <w:szCs w:val="22"/>
          <w:lang w:eastAsia="zh-CN"/>
        </w:rPr>
        <w:t>2025年7月4日</w:t>
      </w:r>
      <w:r>
        <w:rPr>
          <w:rFonts w:hint="eastAsia" w:hAnsi="宋体" w:eastAsia="宋体" w:cs="宋体"/>
          <w:i w:val="0"/>
          <w:iCs w:val="0"/>
          <w:caps w:val="0"/>
          <w:spacing w:val="0"/>
          <w:sz w:val="22"/>
          <w:szCs w:val="22"/>
          <w:lang w:eastAsia="zh-CN"/>
        </w:rPr>
        <w:t xml:space="preserve"> 9:00</w:t>
      </w:r>
      <w:r>
        <w:rPr>
          <w:rFonts w:hint="eastAsia" w:ascii="宋体" w:hAnsi="宋体" w:eastAsia="宋体" w:cs="宋体"/>
          <w:i w:val="0"/>
          <w:iCs w:val="0"/>
          <w:caps w:val="0"/>
          <w:spacing w:val="0"/>
          <w:sz w:val="22"/>
          <w:szCs w:val="22"/>
        </w:rPr>
        <w:t>（北京时间）</w:t>
      </w:r>
    </w:p>
    <w:p w14:paraId="2F22C67B">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地点（网址）：政府采购云平台（https://www.zcygov.cn）在线递交。 </w:t>
      </w:r>
    </w:p>
    <w:p w14:paraId="6775A9E1">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五、响应文件开启 </w:t>
      </w:r>
    </w:p>
    <w:p w14:paraId="74B99CAF">
      <w:pPr>
        <w:pStyle w:val="44"/>
        <w:rPr>
          <w:rFonts w:hint="eastAsia" w:ascii="宋体" w:hAnsi="宋体" w:eastAsia="宋体" w:cs="宋体"/>
          <w:sz w:val="22"/>
          <w:szCs w:val="22"/>
        </w:rPr>
      </w:pPr>
      <w:r>
        <w:rPr>
          <w:rFonts w:hint="eastAsia" w:ascii="宋体" w:hAnsi="宋体" w:eastAsia="宋体" w:cs="宋体"/>
          <w:i w:val="0"/>
          <w:iCs w:val="0"/>
          <w:caps w:val="0"/>
          <w:spacing w:val="0"/>
          <w:sz w:val="22"/>
          <w:szCs w:val="22"/>
        </w:rPr>
        <w:t>    开启时间：</w:t>
      </w:r>
      <w:r>
        <w:rPr>
          <w:rFonts w:hint="eastAsia" w:hAnsi="宋体" w:cs="宋体"/>
          <w:i w:val="0"/>
          <w:iCs w:val="0"/>
          <w:caps w:val="0"/>
          <w:spacing w:val="0"/>
          <w:sz w:val="22"/>
          <w:szCs w:val="22"/>
          <w:lang w:eastAsia="zh-CN"/>
        </w:rPr>
        <w:t>2025年7月4日</w:t>
      </w:r>
      <w:r>
        <w:rPr>
          <w:rFonts w:hint="eastAsia" w:hAnsi="宋体" w:eastAsia="宋体" w:cs="宋体"/>
          <w:i w:val="0"/>
          <w:iCs w:val="0"/>
          <w:caps w:val="0"/>
          <w:spacing w:val="0"/>
          <w:sz w:val="22"/>
          <w:szCs w:val="22"/>
          <w:lang w:eastAsia="zh-CN"/>
        </w:rPr>
        <w:t xml:space="preserve"> 9:00</w:t>
      </w:r>
      <w:r>
        <w:rPr>
          <w:rFonts w:hint="eastAsia" w:ascii="宋体" w:hAnsi="宋体" w:eastAsia="宋体" w:cs="宋体"/>
          <w:i w:val="0"/>
          <w:iCs w:val="0"/>
          <w:caps w:val="0"/>
          <w:spacing w:val="0"/>
          <w:sz w:val="22"/>
          <w:szCs w:val="22"/>
        </w:rPr>
        <w:t> （北京时间）</w:t>
      </w:r>
    </w:p>
    <w:p w14:paraId="4D626AD5">
      <w:pPr>
        <w:pStyle w:val="44"/>
        <w:rPr>
          <w:rFonts w:hint="eastAsia" w:ascii="宋体" w:hAnsi="宋体" w:eastAsia="宋体" w:cs="宋体"/>
          <w:sz w:val="22"/>
          <w:szCs w:val="22"/>
          <w:lang w:val="en-US" w:eastAsia="zh-CN"/>
        </w:rPr>
      </w:pPr>
      <w:r>
        <w:rPr>
          <w:rFonts w:hint="eastAsia" w:ascii="宋体" w:hAnsi="宋体" w:eastAsia="宋体" w:cs="宋体"/>
          <w:i w:val="0"/>
          <w:iCs w:val="0"/>
          <w:caps w:val="0"/>
          <w:spacing w:val="0"/>
          <w:sz w:val="22"/>
          <w:szCs w:val="22"/>
        </w:rPr>
        <w:t>    地点（网址）：</w:t>
      </w:r>
      <w:r>
        <w:rPr>
          <w:rFonts w:hint="eastAsia" w:ascii="宋体" w:hAnsi="宋体" w:eastAsia="宋体" w:cs="宋体"/>
          <w:i w:val="0"/>
          <w:iCs w:val="0"/>
          <w:caps w:val="0"/>
          <w:spacing w:val="0"/>
          <w:sz w:val="22"/>
          <w:szCs w:val="22"/>
          <w:lang w:eastAsia="zh-CN"/>
        </w:rPr>
        <w:t>政府采购云平台（https://www.zcygov.cn）在线开标</w:t>
      </w:r>
    </w:p>
    <w:p w14:paraId="77005F8B">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六、公告期限</w:t>
      </w:r>
    </w:p>
    <w:p w14:paraId="66FF8BED">
      <w:pPr>
        <w:pStyle w:val="44"/>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    自本公告发布之日起3个工作日。</w:t>
      </w:r>
    </w:p>
    <w:p w14:paraId="78D33D24">
      <w:pPr>
        <w:pStyle w:val="44"/>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七、其他补充事宜 </w:t>
      </w:r>
    </w:p>
    <w:p w14:paraId="027D8F06">
      <w:pPr>
        <w:pStyle w:val="44"/>
        <w:spacing w:line="360" w:lineRule="auto"/>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 xml:space="preserve">  1.《浙江省财政厅关于进一步发挥政府采购政策功能全力推动经济稳进提质的通知》 （浙财采监</w:t>
      </w:r>
      <w:r>
        <w:rPr>
          <w:rFonts w:hint="eastAsia" w:ascii="宋体" w:hAnsi="宋体" w:eastAsia="宋体" w:cs="宋体"/>
          <w:i w:val="0"/>
          <w:iCs w:val="0"/>
          <w:caps w:val="0"/>
          <w:spacing w:val="0"/>
          <w:sz w:val="22"/>
          <w:szCs w:val="22"/>
          <w:lang w:eastAsia="zh-CN"/>
        </w:rPr>
        <w:t>〔2022〕3号</w:t>
      </w:r>
      <w:r>
        <w:rPr>
          <w:rFonts w:hint="eastAsia" w:ascii="宋体" w:hAnsi="宋体" w:eastAsia="宋体" w:cs="宋体"/>
          <w:i w:val="0"/>
          <w:iCs w:val="0"/>
          <w:caps w:val="0"/>
          <w:spacing w:val="0"/>
          <w:sz w:val="22"/>
          <w:szCs w:val="22"/>
        </w:rPr>
        <w:t>）、《浙江省财政厅关于进一步促进政府采购公平竞争打造最优营商环境的通知》（浙财采监</w:t>
      </w:r>
      <w:r>
        <w:rPr>
          <w:rFonts w:hint="eastAsia" w:ascii="宋体" w:hAnsi="宋体" w:eastAsia="宋体" w:cs="宋体"/>
          <w:i w:val="0"/>
          <w:iCs w:val="0"/>
          <w:caps w:val="0"/>
          <w:spacing w:val="0"/>
          <w:sz w:val="22"/>
          <w:szCs w:val="22"/>
          <w:lang w:eastAsia="zh-CN"/>
        </w:rPr>
        <w:t>〔2021〕22号</w:t>
      </w:r>
      <w:r>
        <w:rPr>
          <w:rFonts w:hint="eastAsia" w:ascii="宋体" w:hAnsi="宋体" w:eastAsia="宋体" w:cs="宋体"/>
          <w:i w:val="0"/>
          <w:iCs w:val="0"/>
          <w:caps w:val="0"/>
          <w:spacing w:val="0"/>
          <w:sz w:val="22"/>
          <w:szCs w:val="22"/>
        </w:rPr>
        <w:t>））、《浙江省财政厅关于进一步加大政府采购支持中小企业力度助力扎实稳住经济的通知》 （浙财采监</w:t>
      </w:r>
      <w:r>
        <w:rPr>
          <w:rFonts w:hint="eastAsia" w:ascii="宋体" w:hAnsi="宋体" w:eastAsia="宋体" w:cs="宋体"/>
          <w:i w:val="0"/>
          <w:iCs w:val="0"/>
          <w:caps w:val="0"/>
          <w:spacing w:val="0"/>
          <w:sz w:val="22"/>
          <w:szCs w:val="22"/>
          <w:lang w:eastAsia="zh-CN"/>
        </w:rPr>
        <w:t>〔2022〕8号</w:t>
      </w:r>
      <w:r>
        <w:rPr>
          <w:rFonts w:hint="eastAsia" w:ascii="宋体" w:hAnsi="宋体" w:eastAsia="宋体" w:cs="宋体"/>
          <w:i w:val="0"/>
          <w:iCs w:val="0"/>
          <w:caps w:val="0"/>
          <w:spacing w:val="0"/>
          <w:sz w:val="22"/>
          <w:szCs w:val="22"/>
        </w:rPr>
        <w:t>）已分别于2022年1月29日、2022年2月1日和2022年7月1日开始实施，此前有关规定与上述文件内容不一致的，按上述文件要求执行。</w:t>
      </w:r>
    </w:p>
    <w:p w14:paraId="047E3660">
      <w:pPr>
        <w:pStyle w:val="44"/>
        <w:spacing w:line="360" w:lineRule="auto"/>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　　2.根据《浙江省财政厅关于进一步促进政府采购公平竞争打造最优营商环境的通知》（浙财采监</w:t>
      </w:r>
      <w:r>
        <w:rPr>
          <w:rFonts w:hint="eastAsia" w:ascii="宋体" w:hAnsi="宋体" w:eastAsia="宋体" w:cs="宋体"/>
          <w:i w:val="0"/>
          <w:iCs w:val="0"/>
          <w:caps w:val="0"/>
          <w:spacing w:val="0"/>
          <w:sz w:val="22"/>
          <w:szCs w:val="22"/>
          <w:lang w:eastAsia="zh-CN"/>
        </w:rPr>
        <w:t>〔2021〕22号</w:t>
      </w:r>
      <w:r>
        <w:rPr>
          <w:rFonts w:hint="eastAsia" w:ascii="宋体" w:hAnsi="宋体" w:eastAsia="宋体" w:cs="宋体"/>
          <w:i w:val="0"/>
          <w:iCs w:val="0"/>
          <w:caps w:val="0"/>
          <w:spacing w:val="0"/>
          <w:sz w:val="22"/>
          <w:szCs w:val="22"/>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B62639">
      <w:pPr>
        <w:pStyle w:val="44"/>
        <w:spacing w:line="360" w:lineRule="auto"/>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3BEB1C">
      <w:pPr>
        <w:pStyle w:val="44"/>
        <w:spacing w:line="360" w:lineRule="auto"/>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　　4.其他事项：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692E5A9D">
      <w:pPr>
        <w:pStyle w:val="44"/>
        <w:spacing w:line="360" w:lineRule="auto"/>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4.2投标人通过政采云平台电子投标工具制作投标文件，电子投标工具请供应商自行前往浙江政府采购网下载并安装（下载网址：https://zfcg.czt.zj.gov.cn/bidClientTemplate/2021-11-01/12975.html）。</w:t>
      </w:r>
    </w:p>
    <w:p w14:paraId="28A59A2C">
      <w:pPr>
        <w:pStyle w:val="44"/>
        <w:spacing w:line="360" w:lineRule="auto"/>
        <w:rPr>
          <w:rFonts w:hint="eastAsia" w:ascii="宋体" w:hAnsi="宋体" w:eastAsia="宋体" w:cs="宋体"/>
          <w:i w:val="0"/>
          <w:iCs w:val="0"/>
          <w:caps w:val="0"/>
          <w:spacing w:val="0"/>
          <w:sz w:val="22"/>
          <w:szCs w:val="22"/>
        </w:rPr>
      </w:pPr>
      <w:r>
        <w:rPr>
          <w:rFonts w:hint="eastAsia" w:ascii="宋体" w:hAnsi="宋体" w:eastAsia="宋体" w:cs="宋体"/>
          <w:i w:val="0"/>
          <w:iCs w:val="0"/>
          <w:caps w:val="0"/>
          <w:spacing w:val="0"/>
          <w:sz w:val="22"/>
          <w:szCs w:val="22"/>
        </w:rPr>
        <w:t>4.3投标人应在开标前完成CA数字证书办理（办理流程详见http://zfcg.czt.zj.gov.cn/bidClientTemplate/2019-05-27/12945.html，完成CA数字证书办理预计一周左右，请各投标人自行把握时间）。</w:t>
      </w:r>
    </w:p>
    <w:p w14:paraId="746EFB34">
      <w:pPr>
        <w:pStyle w:val="44"/>
        <w:spacing w:line="360" w:lineRule="auto"/>
        <w:rPr>
          <w:rFonts w:hint="eastAsia" w:ascii="宋体" w:hAnsi="宋体" w:eastAsia="宋体" w:cs="宋体"/>
          <w:b/>
          <w:bCs/>
          <w:i w:val="0"/>
          <w:iCs w:val="0"/>
          <w:caps w:val="0"/>
          <w:spacing w:val="0"/>
          <w:sz w:val="22"/>
          <w:szCs w:val="22"/>
        </w:rPr>
      </w:pPr>
      <w:r>
        <w:rPr>
          <w:rFonts w:hint="eastAsia" w:ascii="宋体" w:hAnsi="宋体" w:eastAsia="宋体" w:cs="宋体"/>
          <w:b/>
          <w:bCs/>
          <w:i w:val="0"/>
          <w:iCs w:val="0"/>
          <w:caps w:val="0"/>
          <w:spacing w:val="0"/>
          <w:sz w:val="22"/>
          <w:szCs w:val="22"/>
        </w:rPr>
        <w:t>八、凡对本次招标提出询问、质疑、投诉，请按以下方式联系</w:t>
      </w:r>
    </w:p>
    <w:p w14:paraId="5BCA4E25">
      <w:pPr>
        <w:spacing w:line="360" w:lineRule="auto"/>
        <w:ind w:firstLine="442" w:firstLineChars="200"/>
        <w:rPr>
          <w:rFonts w:hint="eastAsia" w:ascii="宋体" w:hAnsi="宋体" w:eastAsia="宋体" w:cs="宋体"/>
          <w:b/>
          <w:bCs/>
          <w:sz w:val="22"/>
          <w:szCs w:val="22"/>
          <w:lang w:eastAsia="zh-CN"/>
        </w:rPr>
      </w:pPr>
      <w:r>
        <w:rPr>
          <w:rFonts w:hint="eastAsia" w:ascii="宋体" w:hAnsi="宋体" w:eastAsia="宋体" w:cs="宋体"/>
          <w:b/>
          <w:bCs/>
          <w:sz w:val="22"/>
          <w:szCs w:val="22"/>
        </w:rPr>
        <w:t>（</w:t>
      </w:r>
      <w:r>
        <w:rPr>
          <w:rFonts w:hint="eastAsia" w:ascii="宋体" w:hAnsi="宋体" w:eastAsia="宋体" w:cs="宋体"/>
          <w:b/>
          <w:bCs/>
          <w:sz w:val="22"/>
          <w:szCs w:val="22"/>
          <w:lang w:eastAsia="zh-CN"/>
        </w:rPr>
        <w:t>一</w:t>
      </w:r>
      <w:r>
        <w:rPr>
          <w:rFonts w:hint="eastAsia" w:ascii="宋体" w:hAnsi="宋体" w:eastAsia="宋体" w:cs="宋体"/>
          <w:b/>
          <w:bCs/>
          <w:sz w:val="22"/>
          <w:szCs w:val="22"/>
        </w:rPr>
        <w:t>）</w:t>
      </w:r>
      <w:r>
        <w:rPr>
          <w:rFonts w:hint="eastAsia" w:ascii="宋体" w:hAnsi="宋体" w:eastAsia="宋体" w:cs="宋体"/>
          <w:b/>
          <w:bCs/>
          <w:sz w:val="22"/>
          <w:szCs w:val="22"/>
          <w:lang w:eastAsia="zh-CN"/>
        </w:rPr>
        <w:t xml:space="preserve">采购人 </w:t>
      </w:r>
    </w:p>
    <w:p w14:paraId="68EB4DAE">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采购人名称：台州市黄岩区应急管理局</w:t>
      </w:r>
    </w:p>
    <w:p w14:paraId="6A66FF0B">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项目联系人：张先生；联系电话：13957601826</w:t>
      </w:r>
    </w:p>
    <w:p w14:paraId="3E743E70">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地址：台州市黄岩区劳动南路281号</w:t>
      </w:r>
    </w:p>
    <w:p w14:paraId="7E4C391D">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 xml:space="preserve">质疑联系人：黄先生；联系电话：0576-84616008 </w:t>
      </w:r>
    </w:p>
    <w:p w14:paraId="652391E3">
      <w:pPr>
        <w:spacing w:line="360" w:lineRule="auto"/>
        <w:ind w:firstLine="442" w:firstLineChars="200"/>
        <w:rPr>
          <w:rFonts w:hint="eastAsia" w:ascii="宋体" w:hAnsi="宋体" w:eastAsia="宋体" w:cs="宋体"/>
          <w:b/>
          <w:bCs/>
          <w:sz w:val="22"/>
          <w:szCs w:val="22"/>
          <w:lang w:eastAsia="zh-CN"/>
        </w:rPr>
      </w:pPr>
      <w:r>
        <w:rPr>
          <w:rFonts w:hint="eastAsia" w:ascii="宋体" w:hAnsi="宋体" w:eastAsia="宋体" w:cs="宋体"/>
          <w:b/>
          <w:bCs/>
          <w:sz w:val="22"/>
          <w:szCs w:val="22"/>
        </w:rPr>
        <w:t>（</w:t>
      </w:r>
      <w:r>
        <w:rPr>
          <w:rFonts w:hint="eastAsia" w:ascii="宋体" w:hAnsi="宋体" w:eastAsia="宋体" w:cs="宋体"/>
          <w:b/>
          <w:bCs/>
          <w:sz w:val="22"/>
          <w:szCs w:val="22"/>
          <w:lang w:eastAsia="zh-CN"/>
        </w:rPr>
        <w:t>二</w:t>
      </w:r>
      <w:r>
        <w:rPr>
          <w:rFonts w:hint="eastAsia" w:ascii="宋体" w:hAnsi="宋体" w:eastAsia="宋体" w:cs="宋体"/>
          <w:b/>
          <w:bCs/>
          <w:sz w:val="22"/>
          <w:szCs w:val="22"/>
        </w:rPr>
        <w:t>）</w:t>
      </w:r>
      <w:r>
        <w:rPr>
          <w:rFonts w:hint="eastAsia" w:ascii="宋体" w:hAnsi="宋体" w:eastAsia="宋体" w:cs="宋体"/>
          <w:b/>
          <w:bCs/>
          <w:sz w:val="22"/>
          <w:szCs w:val="22"/>
          <w:lang w:eastAsia="zh-CN"/>
        </w:rPr>
        <w:t>采购代理机构</w:t>
      </w:r>
    </w:p>
    <w:p w14:paraId="1191D106">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采购代理机构名称：浙江新诚信工程咨询有限公司；</w:t>
      </w:r>
    </w:p>
    <w:p w14:paraId="7A5B3FC1">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项目负责人：黄女士 ；联系电话：13606825361；</w:t>
      </w:r>
    </w:p>
    <w:p w14:paraId="54603E04">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质疑接收人：朱女士；联系电话：18968406985；</w:t>
      </w:r>
    </w:p>
    <w:p w14:paraId="5DA8C45D">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报名联系人：黄女士；联系电话：13606825361；</w:t>
      </w:r>
    </w:p>
    <w:p w14:paraId="2A44ED84">
      <w:pPr>
        <w:spacing w:line="360" w:lineRule="auto"/>
        <w:ind w:firstLine="440" w:firstLineChars="200"/>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地址：台州市黄岩区黄椒路512号</w:t>
      </w:r>
    </w:p>
    <w:p w14:paraId="6113AE16">
      <w:pPr>
        <w:spacing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（三）同级政府采购监督管理部门</w:t>
      </w:r>
    </w:p>
    <w:p w14:paraId="2207DD5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同级政府采购监督管理部门名称：台州市黄岩区财政局政府采购监管科；</w:t>
      </w:r>
    </w:p>
    <w:p w14:paraId="4E3FA5F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联系人：宋先生；监督投诉电话：</w:t>
      </w:r>
      <w:r>
        <w:rPr>
          <w:rFonts w:hint="eastAsia" w:ascii="宋体" w:hAnsi="宋体" w:eastAsia="宋体" w:cs="宋体"/>
          <w:sz w:val="22"/>
          <w:szCs w:val="22"/>
          <w:lang w:eastAsia="zh-CN"/>
        </w:rPr>
        <w:t>0576-84222959</w:t>
      </w:r>
      <w:r>
        <w:rPr>
          <w:rFonts w:hint="eastAsia" w:ascii="宋体" w:hAnsi="宋体" w:eastAsia="宋体" w:cs="宋体"/>
          <w:sz w:val="22"/>
          <w:szCs w:val="22"/>
        </w:rPr>
        <w:t>；</w:t>
      </w:r>
    </w:p>
    <w:p w14:paraId="394F94D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地址：台州市黄岩区劳动南路289号。</w:t>
      </w:r>
    </w:p>
    <w:p w14:paraId="6B07BD47">
      <w:pPr>
        <w:spacing w:line="360" w:lineRule="auto"/>
        <w:rPr>
          <w:rFonts w:hint="eastAsia" w:ascii="宋体" w:hAnsi="宋体" w:eastAsia="宋体" w:cs="宋体"/>
        </w:rPr>
      </w:pPr>
    </w:p>
    <w:p w14:paraId="78C7A02A">
      <w:pPr>
        <w:shd w:val="clear" w:color="auto" w:fill="FFFFFF"/>
        <w:spacing w:line="360" w:lineRule="auto"/>
        <w:jc w:val="both"/>
        <w:textAlignment w:val="bottom"/>
        <w:rPr>
          <w:rFonts w:hint="eastAsia" w:ascii="宋体" w:hAnsi="宋体" w:eastAsia="宋体" w:cs="宋体"/>
          <w:b/>
          <w:kern w:val="0"/>
          <w:sz w:val="36"/>
          <w:szCs w:val="36"/>
        </w:rPr>
      </w:pPr>
    </w:p>
    <w:p w14:paraId="2975D22D">
      <w:pPr>
        <w:pStyle w:val="13"/>
        <w:rPr>
          <w:rFonts w:hint="eastAsia"/>
        </w:rPr>
      </w:pPr>
    </w:p>
    <w:p w14:paraId="4BD08161">
      <w:pPr>
        <w:rPr>
          <w:rFonts w:hint="eastAsia"/>
        </w:rPr>
      </w:pPr>
    </w:p>
    <w:p w14:paraId="24B8F5C3">
      <w:pPr>
        <w:rPr>
          <w:rFonts w:hint="eastAsia"/>
        </w:rPr>
      </w:pPr>
    </w:p>
    <w:p w14:paraId="60B57D8B">
      <w:pPr>
        <w:rPr>
          <w:rFonts w:hint="eastAsia"/>
        </w:rPr>
      </w:pPr>
    </w:p>
    <w:p w14:paraId="3FC00A18">
      <w:pPr>
        <w:rPr>
          <w:rFonts w:hint="eastAsia"/>
        </w:rPr>
      </w:pPr>
    </w:p>
    <w:p w14:paraId="25DD0E97">
      <w:pPr>
        <w:rPr>
          <w:rFonts w:hint="eastAsia"/>
        </w:rPr>
      </w:pPr>
    </w:p>
    <w:p w14:paraId="79B710FC">
      <w:pPr>
        <w:shd w:val="clear" w:color="auto" w:fill="FFFFFF"/>
        <w:spacing w:line="360" w:lineRule="auto"/>
        <w:jc w:val="center"/>
        <w:textAlignment w:val="bottom"/>
        <w:rPr>
          <w:rFonts w:hint="eastAsia" w:ascii="宋体" w:hAnsi="宋体" w:eastAsia="宋体" w:cs="宋体"/>
          <w:b/>
          <w:kern w:val="0"/>
          <w:sz w:val="36"/>
          <w:szCs w:val="36"/>
        </w:rPr>
      </w:pPr>
      <w:r>
        <w:rPr>
          <w:rFonts w:hint="eastAsia" w:ascii="宋体" w:hAnsi="宋体" w:eastAsia="宋体" w:cs="宋体"/>
          <w:b/>
          <w:kern w:val="0"/>
          <w:sz w:val="36"/>
          <w:szCs w:val="36"/>
        </w:rPr>
        <w:t>第二部分 投标人须知</w:t>
      </w:r>
    </w:p>
    <w:p w14:paraId="2F2EC060">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33"/>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7"/>
        <w:gridCol w:w="6694"/>
      </w:tblGrid>
      <w:tr w14:paraId="5C66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5FFE453">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69D9A67">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项    目</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B06BE14">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内                 容</w:t>
            </w:r>
          </w:p>
        </w:tc>
      </w:tr>
      <w:tr w14:paraId="52EE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1CFB07D6">
            <w:pPr>
              <w:spacing w:line="40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0</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DA795CA">
            <w:pPr>
              <w:spacing w:line="40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sz w:val="22"/>
                <w:szCs w:val="22"/>
              </w:rPr>
              <w:t>中小企业划分标准所属行业</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1BB0BDB">
            <w:pPr>
              <w:spacing w:line="4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项目类别：其他未列明行业</w:t>
            </w:r>
          </w:p>
          <w:p w14:paraId="4CB66EFA">
            <w:pPr>
              <w:spacing w:line="400" w:lineRule="exact"/>
              <w:jc w:val="left"/>
              <w:rPr>
                <w:rFonts w:hint="eastAsia" w:ascii="宋体" w:hAnsi="宋体" w:eastAsia="宋体" w:cs="宋体"/>
                <w:b/>
                <w:bCs/>
                <w:kern w:val="2"/>
                <w:sz w:val="22"/>
                <w:szCs w:val="22"/>
                <w:lang w:val="en-US" w:eastAsia="zh-CN" w:bidi="ar-SA"/>
              </w:rPr>
            </w:pPr>
            <w:r>
              <w:rPr>
                <w:rFonts w:hint="eastAsia" w:ascii="宋体" w:hAnsi="宋体" w:eastAsia="宋体" w:cs="宋体"/>
                <w:b w:val="0"/>
                <w:bCs w:val="0"/>
                <w:sz w:val="22"/>
                <w:szCs w:val="22"/>
              </w:rPr>
              <w:t>采购标的所属行业：根据《工业和信息化部、国家统计局、国家发展和改革委员会、财政部关于印发中小企业划型标准规定的通知》（工信部联企业</w:t>
            </w:r>
            <w:r>
              <w:rPr>
                <w:rFonts w:hint="eastAsia" w:ascii="宋体" w:hAnsi="宋体" w:eastAsia="宋体" w:cs="宋体"/>
                <w:b w:val="0"/>
                <w:bCs w:val="0"/>
                <w:sz w:val="22"/>
                <w:szCs w:val="22"/>
                <w:lang w:eastAsia="zh-CN"/>
              </w:rPr>
              <w:t>〔2011〕300号</w:t>
            </w:r>
            <w:r>
              <w:rPr>
                <w:rFonts w:hint="eastAsia" w:ascii="宋体" w:hAnsi="宋体" w:eastAsia="宋体" w:cs="宋体"/>
                <w:b w:val="0"/>
                <w:bCs w:val="0"/>
                <w:sz w:val="22"/>
                <w:szCs w:val="22"/>
              </w:rPr>
              <w:t>）规定，本项目采购标的对应的中小企业划分标准所属行业为</w:t>
            </w:r>
            <w:r>
              <w:rPr>
                <w:rFonts w:hint="eastAsia" w:ascii="宋体" w:hAnsi="宋体" w:eastAsia="宋体" w:cs="宋体"/>
                <w:b w:val="0"/>
                <w:bCs w:val="0"/>
                <w:sz w:val="22"/>
                <w:szCs w:val="22"/>
                <w:lang w:eastAsia="zh-CN"/>
              </w:rPr>
              <w:t>（十六）</w:t>
            </w:r>
            <w:r>
              <w:rPr>
                <w:rFonts w:hint="eastAsia" w:ascii="宋体" w:hAnsi="宋体" w:eastAsia="宋体" w:cs="宋体"/>
                <w:b w:val="0"/>
                <w:bCs w:val="0"/>
                <w:sz w:val="22"/>
                <w:szCs w:val="22"/>
              </w:rPr>
              <w:t>其他未列明行业</w:t>
            </w:r>
            <w:r>
              <w:rPr>
                <w:rFonts w:hint="eastAsia" w:ascii="宋体" w:hAnsi="宋体" w:eastAsia="宋体" w:cs="宋体"/>
                <w:b w:val="0"/>
                <w:bCs w:val="0"/>
                <w:sz w:val="22"/>
                <w:szCs w:val="22"/>
                <w:lang w:eastAsia="zh-CN"/>
              </w:rPr>
              <w:t>。</w:t>
            </w:r>
          </w:p>
        </w:tc>
      </w:tr>
      <w:tr w14:paraId="4FB2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1B27C731">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0159FE7">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投标人特定资格要求</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D77FE17">
            <w:pPr>
              <w:spacing w:line="400" w:lineRule="exact"/>
              <w:rPr>
                <w:rFonts w:hint="eastAsia" w:ascii="宋体" w:hAnsi="宋体" w:eastAsia="宋体" w:cs="宋体"/>
                <w:kern w:val="2"/>
                <w:sz w:val="22"/>
                <w:szCs w:val="22"/>
                <w:lang w:val="en-US" w:eastAsia="zh-CN" w:bidi="ar-SA"/>
              </w:rPr>
            </w:pPr>
            <w:r>
              <w:rPr>
                <w:rFonts w:hint="eastAsia" w:ascii="宋体" w:hAnsi="宋体" w:eastAsia="宋体" w:cs="宋体"/>
                <w:sz w:val="22"/>
                <w:szCs w:val="22"/>
              </w:rPr>
              <w:t>符合竞争性磋商公告资格要求的投标人</w:t>
            </w:r>
          </w:p>
        </w:tc>
      </w:tr>
      <w:tr w14:paraId="0B63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EB55F95">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3EC9E2F">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现场踏勘</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83E1671">
            <w:pPr>
              <w:spacing w:line="400" w:lineRule="exact"/>
              <w:rPr>
                <w:rFonts w:hint="eastAsia" w:ascii="宋体" w:hAnsi="宋体" w:eastAsia="宋体" w:cs="宋体"/>
                <w:sz w:val="22"/>
                <w:szCs w:val="22"/>
              </w:rPr>
            </w:pPr>
            <w:r>
              <w:rPr>
                <w:rFonts w:hint="eastAsia" w:ascii="宋体" w:hAnsi="宋体" w:eastAsia="宋体" w:cs="宋体"/>
                <w:sz w:val="22"/>
                <w:szCs w:val="22"/>
              </w:rPr>
              <w:t>各投标</w:t>
            </w:r>
            <w:r>
              <w:rPr>
                <w:rFonts w:hint="eastAsia" w:ascii="宋体" w:hAnsi="宋体" w:eastAsia="宋体" w:cs="宋体"/>
                <w:sz w:val="22"/>
                <w:szCs w:val="22"/>
                <w:lang w:eastAsia="zh-CN"/>
              </w:rPr>
              <w:t>人</w:t>
            </w:r>
            <w:r>
              <w:rPr>
                <w:rFonts w:hint="eastAsia" w:ascii="宋体" w:hAnsi="宋体" w:eastAsia="宋体" w:cs="宋体"/>
                <w:sz w:val="22"/>
                <w:szCs w:val="22"/>
              </w:rPr>
              <w:t>自行前往</w:t>
            </w:r>
            <w:r>
              <w:rPr>
                <w:rFonts w:hint="eastAsia" w:ascii="宋体" w:hAnsi="宋体" w:eastAsia="宋体" w:cs="宋体"/>
                <w:sz w:val="22"/>
                <w:szCs w:val="22"/>
                <w:lang w:eastAsia="zh-CN"/>
              </w:rPr>
              <w:t>勘查现场</w:t>
            </w:r>
            <w:r>
              <w:rPr>
                <w:rFonts w:hint="eastAsia" w:ascii="宋体" w:hAnsi="宋体" w:eastAsia="宋体" w:cs="宋体"/>
                <w:sz w:val="22"/>
                <w:szCs w:val="22"/>
              </w:rPr>
              <w:t>和周围环境，所产生的费用由投标</w:t>
            </w:r>
            <w:r>
              <w:rPr>
                <w:rFonts w:hint="eastAsia" w:ascii="宋体" w:hAnsi="宋体" w:eastAsia="宋体" w:cs="宋体"/>
                <w:sz w:val="22"/>
                <w:szCs w:val="22"/>
                <w:lang w:eastAsia="zh-CN"/>
              </w:rPr>
              <w:t>人</w:t>
            </w:r>
            <w:r>
              <w:rPr>
                <w:rFonts w:hint="eastAsia" w:ascii="宋体" w:hAnsi="宋体" w:eastAsia="宋体" w:cs="宋体"/>
                <w:sz w:val="22"/>
                <w:szCs w:val="22"/>
              </w:rPr>
              <w:t>自理</w:t>
            </w:r>
          </w:p>
        </w:tc>
      </w:tr>
      <w:tr w14:paraId="37F4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F9E6E3C">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117032E">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磋商响应文件有效期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0F55AC1">
            <w:pPr>
              <w:spacing w:line="400" w:lineRule="exact"/>
              <w:rPr>
                <w:rFonts w:hint="eastAsia" w:ascii="宋体" w:hAnsi="宋体" w:eastAsia="宋体" w:cs="宋体"/>
                <w:sz w:val="22"/>
                <w:szCs w:val="22"/>
              </w:rPr>
            </w:pPr>
            <w:r>
              <w:rPr>
                <w:rFonts w:hint="eastAsia" w:ascii="宋体" w:hAnsi="宋体" w:eastAsia="宋体" w:cs="宋体"/>
                <w:sz w:val="22"/>
                <w:szCs w:val="22"/>
              </w:rPr>
              <w:t>磋商响应有效期为磋商后90天，磋商响应有效期从提交磋商响应文件的截止之日起算。</w:t>
            </w:r>
          </w:p>
        </w:tc>
      </w:tr>
      <w:tr w14:paraId="29CF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F7A995F">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4</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0CAAA07">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磋商响应文件递交</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88983E8">
            <w:pPr>
              <w:spacing w:line="400" w:lineRule="exact"/>
              <w:rPr>
                <w:rFonts w:hint="eastAsia" w:ascii="宋体" w:hAnsi="宋体" w:eastAsia="宋体" w:cs="宋体"/>
                <w:sz w:val="22"/>
                <w:szCs w:val="22"/>
              </w:rPr>
            </w:pPr>
            <w:r>
              <w:rPr>
                <w:rFonts w:hint="eastAsia" w:ascii="宋体" w:hAnsi="宋体" w:eastAsia="宋体" w:cs="宋体"/>
                <w:sz w:val="22"/>
                <w:szCs w:val="22"/>
              </w:rPr>
              <w:t>本项目实行电子投标</w:t>
            </w:r>
            <w:r>
              <w:rPr>
                <w:rFonts w:hint="eastAsia" w:ascii="宋体" w:hAnsi="宋体" w:eastAsia="宋体" w:cs="宋体"/>
                <w:sz w:val="22"/>
                <w:szCs w:val="22"/>
                <w:lang w:eastAsia="zh-CN"/>
              </w:rPr>
              <w:t>，</w:t>
            </w:r>
            <w:r>
              <w:rPr>
                <w:rFonts w:hint="eastAsia" w:ascii="宋体" w:hAnsi="宋体" w:eastAsia="宋体" w:cs="宋体"/>
                <w:sz w:val="22"/>
                <w:szCs w:val="22"/>
              </w:rPr>
              <w:t>电子投标文件，按政采云平台项目采购</w:t>
            </w:r>
            <w:r>
              <w:rPr>
                <w:rFonts w:hint="eastAsia" w:ascii="宋体" w:hAnsi="宋体" w:eastAsia="宋体" w:cs="宋体"/>
                <w:sz w:val="22"/>
                <w:szCs w:val="22"/>
                <w:lang w:eastAsia="zh-CN"/>
              </w:rPr>
              <w:t>－－</w:t>
            </w:r>
            <w:r>
              <w:rPr>
                <w:rFonts w:hint="eastAsia" w:ascii="宋体" w:hAnsi="宋体" w:eastAsia="宋体" w:cs="宋体"/>
                <w:sz w:val="22"/>
                <w:szCs w:val="22"/>
              </w:rPr>
              <w:t>电子招投标操作指南及本磋商文件要求编制、递交。</w:t>
            </w:r>
          </w:p>
          <w:p w14:paraId="43C7C2A8">
            <w:pPr>
              <w:spacing w:line="400" w:lineRule="exact"/>
              <w:rPr>
                <w:rFonts w:hint="eastAsia" w:ascii="宋体" w:hAnsi="宋体" w:eastAsia="宋体" w:cs="宋体"/>
                <w:sz w:val="22"/>
                <w:szCs w:val="22"/>
              </w:rPr>
            </w:pPr>
            <w:r>
              <w:rPr>
                <w:rFonts w:hint="eastAsia" w:ascii="宋体" w:hAnsi="宋体" w:eastAsia="宋体" w:cs="宋体"/>
                <w:sz w:val="22"/>
                <w:szCs w:val="22"/>
              </w:rPr>
              <w:t>可以（邮寄形式）在投标截止时间前递交以介质（U盘）存储的数据电文形式。以介质存储的数据电文形式的备份投标文件，按政采云平台项目采购</w:t>
            </w:r>
            <w:r>
              <w:rPr>
                <w:rFonts w:hint="eastAsia" w:ascii="宋体" w:hAnsi="宋体" w:eastAsia="宋体" w:cs="宋体"/>
                <w:sz w:val="22"/>
                <w:szCs w:val="22"/>
                <w:lang w:eastAsia="zh-CN"/>
              </w:rPr>
              <w:t>－</w:t>
            </w:r>
            <w:r>
              <w:rPr>
                <w:rFonts w:hint="eastAsia" w:ascii="宋体" w:hAnsi="宋体" w:eastAsia="宋体" w:cs="宋体"/>
                <w:sz w:val="22"/>
                <w:szCs w:val="22"/>
              </w:rPr>
              <w:t>电子招投标操作指南中上传的电子投标文件格式，以U盘形式提供。数量为1份。</w:t>
            </w:r>
          </w:p>
          <w:p w14:paraId="69D90B55">
            <w:pPr>
              <w:spacing w:line="400" w:lineRule="exact"/>
              <w:rPr>
                <w:rFonts w:hint="eastAsia" w:ascii="宋体" w:hAnsi="宋体" w:eastAsia="宋体" w:cs="宋体"/>
                <w:sz w:val="22"/>
                <w:szCs w:val="22"/>
              </w:rPr>
            </w:pPr>
            <w:r>
              <w:rPr>
                <w:rFonts w:hint="eastAsia" w:ascii="宋体" w:hAnsi="宋体" w:eastAsia="宋体" w:cs="宋体"/>
                <w:sz w:val="22"/>
                <w:szCs w:val="22"/>
              </w:rPr>
              <w:t>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tc>
      </w:tr>
      <w:tr w14:paraId="0904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087F9EF">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5</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68A7787">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磋商时间及地点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0204954">
            <w:pPr>
              <w:spacing w:line="400" w:lineRule="exact"/>
              <w:rPr>
                <w:rFonts w:hint="eastAsia" w:ascii="宋体" w:hAnsi="宋体" w:eastAsia="宋体" w:cs="宋体"/>
                <w:sz w:val="22"/>
                <w:szCs w:val="22"/>
              </w:rPr>
            </w:pPr>
            <w:r>
              <w:rPr>
                <w:rFonts w:hint="eastAsia" w:ascii="宋体" w:hAnsi="宋体" w:eastAsia="宋体" w:cs="宋体"/>
                <w:sz w:val="22"/>
                <w:szCs w:val="22"/>
              </w:rPr>
              <w:t xml:space="preserve">时间：北京时间 </w:t>
            </w:r>
            <w:r>
              <w:rPr>
                <w:rFonts w:hint="eastAsia" w:ascii="宋体" w:hAnsi="宋体" w:cs="宋体"/>
                <w:sz w:val="22"/>
                <w:szCs w:val="22"/>
                <w:lang w:eastAsia="zh-CN"/>
              </w:rPr>
              <w:t>2025年7月4日</w:t>
            </w:r>
            <w:r>
              <w:rPr>
                <w:rFonts w:hint="eastAsia" w:ascii="宋体" w:hAnsi="宋体" w:eastAsia="宋体" w:cs="宋体"/>
                <w:sz w:val="22"/>
                <w:szCs w:val="22"/>
                <w:lang w:eastAsia="zh-CN"/>
              </w:rPr>
              <w:t xml:space="preserve"> 9:00 </w:t>
            </w:r>
            <w:r>
              <w:rPr>
                <w:rFonts w:hint="eastAsia" w:ascii="宋体" w:hAnsi="宋体" w:eastAsia="宋体" w:cs="宋体"/>
                <w:sz w:val="22"/>
                <w:szCs w:val="22"/>
              </w:rPr>
              <w:t>时</w:t>
            </w:r>
          </w:p>
          <w:p w14:paraId="70A978FE">
            <w:pPr>
              <w:spacing w:line="400" w:lineRule="exact"/>
              <w:rPr>
                <w:rFonts w:hint="eastAsia" w:ascii="宋体" w:hAnsi="宋体" w:eastAsia="宋体" w:cs="宋体"/>
                <w:sz w:val="22"/>
                <w:szCs w:val="22"/>
              </w:rPr>
            </w:pPr>
            <w:r>
              <w:rPr>
                <w:rFonts w:hint="eastAsia" w:ascii="宋体" w:hAnsi="宋体" w:eastAsia="宋体" w:cs="宋体"/>
                <w:sz w:val="22"/>
                <w:szCs w:val="22"/>
              </w:rPr>
              <w:t>地点：线上开标</w:t>
            </w:r>
          </w:p>
        </w:tc>
      </w:tr>
      <w:tr w14:paraId="7F75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7B4F7820">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0CF9E90B">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zh-CN"/>
              </w:rPr>
              <w:t>远程在线演示要求</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DF80C2C">
            <w:pPr>
              <w:spacing w:line="400" w:lineRule="exact"/>
              <w:rPr>
                <w:rFonts w:hint="eastAsia" w:ascii="宋体" w:hAnsi="宋体" w:eastAsia="宋体" w:cs="宋体"/>
                <w:sz w:val="22"/>
                <w:szCs w:val="22"/>
              </w:rPr>
            </w:pPr>
            <w:r>
              <w:rPr>
                <w:rFonts w:hint="eastAsia" w:ascii="宋体" w:hAnsi="宋体" w:eastAsia="宋体" w:cs="宋体"/>
                <w:sz w:val="22"/>
                <w:szCs w:val="22"/>
              </w:rPr>
              <w:t xml:space="preserve"> 通过政采云“视频评审”系统进行远程在线演示，每次只邀请一家供应商进入评审室，供应商演示完成后应自动退出评审室。供应商自行准备演示的设备。供应商将演示备份视频</w:t>
            </w:r>
            <w:r>
              <w:rPr>
                <w:rFonts w:hint="eastAsia" w:ascii="宋体" w:hAnsi="宋体" w:eastAsia="宋体" w:cs="宋体"/>
                <w:sz w:val="22"/>
                <w:szCs w:val="22"/>
                <w:highlight w:val="none"/>
              </w:rPr>
              <w:t>于</w:t>
            </w:r>
            <w:r>
              <w:rPr>
                <w:rFonts w:hint="eastAsia" w:ascii="宋体" w:hAnsi="宋体" w:cs="宋体"/>
                <w:sz w:val="22"/>
                <w:szCs w:val="22"/>
                <w:highlight w:val="none"/>
                <w:lang w:eastAsia="zh-CN"/>
              </w:rPr>
              <w:t>2025年7月4日</w:t>
            </w:r>
            <w:r>
              <w:rPr>
                <w:rFonts w:hint="eastAsia" w:ascii="宋体" w:hAnsi="宋体" w:eastAsia="宋体" w:cs="宋体"/>
                <w:sz w:val="22"/>
                <w:szCs w:val="22"/>
                <w:highlight w:val="none"/>
              </w:rPr>
              <w:t>8：30-9：00发送至</w:t>
            </w:r>
            <w:r>
              <w:rPr>
                <w:rFonts w:hint="eastAsia" w:ascii="宋体" w:hAnsi="宋体" w:eastAsia="宋体" w:cs="宋体"/>
                <w:sz w:val="22"/>
                <w:szCs w:val="22"/>
                <w:highlight w:val="none"/>
                <w:lang w:val="en-US" w:eastAsia="zh-CN"/>
              </w:rPr>
              <w:t>zjtzxcx</w:t>
            </w:r>
            <w:r>
              <w:rPr>
                <w:rFonts w:hint="eastAsia" w:ascii="宋体" w:hAnsi="宋体" w:eastAsia="宋体" w:cs="宋体"/>
                <w:sz w:val="22"/>
                <w:szCs w:val="22"/>
                <w:highlight w:val="none"/>
              </w:rPr>
              <w:t>@163.com。</w:t>
            </w:r>
          </w:p>
        </w:tc>
      </w:tr>
      <w:tr w14:paraId="05C6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8F379C0">
            <w:pPr>
              <w:spacing w:line="4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0286FEB">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磋商保证金</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7D4A6AA">
            <w:pPr>
              <w:spacing w:line="400" w:lineRule="exact"/>
              <w:rPr>
                <w:rFonts w:hint="eastAsia" w:ascii="宋体" w:hAnsi="宋体" w:eastAsia="宋体" w:cs="宋体"/>
                <w:sz w:val="22"/>
                <w:szCs w:val="22"/>
              </w:rPr>
            </w:pPr>
            <w:r>
              <w:rPr>
                <w:rFonts w:hint="eastAsia" w:ascii="宋体" w:hAnsi="宋体" w:eastAsia="宋体" w:cs="宋体"/>
                <w:sz w:val="22"/>
                <w:szCs w:val="22"/>
              </w:rPr>
              <w:t>无</w:t>
            </w:r>
          </w:p>
        </w:tc>
      </w:tr>
      <w:tr w14:paraId="336C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857C942">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B3E5224">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zh-CN"/>
              </w:rPr>
              <w:t>实质性条款</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F0FBBEE">
            <w:pPr>
              <w:spacing w:line="400" w:lineRule="exact"/>
              <w:rPr>
                <w:rFonts w:hint="eastAsia" w:ascii="宋体" w:hAnsi="宋体" w:eastAsia="宋体" w:cs="宋体"/>
                <w:sz w:val="22"/>
                <w:szCs w:val="22"/>
              </w:rPr>
            </w:pPr>
            <w:r>
              <w:rPr>
                <w:rFonts w:hint="eastAsia" w:ascii="宋体" w:hAnsi="宋体" w:eastAsia="宋体" w:cs="宋体"/>
                <w:sz w:val="22"/>
                <w:szCs w:val="22"/>
                <w:lang w:val="zh-CN"/>
              </w:rPr>
              <w:t>带“</w:t>
            </w:r>
            <w:r>
              <w:rPr>
                <w:rFonts w:hint="eastAsia" w:ascii="宋体" w:hAnsi="宋体" w:eastAsia="宋体" w:cs="宋体"/>
                <w:sz w:val="22"/>
                <w:szCs w:val="22"/>
              </w:rPr>
              <w:t>▲”的条款是实质性条款，磋商响应文件须做出实质性响应，否则终止磋商。</w:t>
            </w:r>
          </w:p>
        </w:tc>
      </w:tr>
      <w:tr w14:paraId="0A09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7D27A88B">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9</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38D9B16">
            <w:pPr>
              <w:autoSpaceDE w:val="0"/>
              <w:autoSpaceDN w:val="0"/>
              <w:adjustRightInd w:val="0"/>
              <w:spacing w:line="400" w:lineRule="exact"/>
              <w:jc w:val="center"/>
              <w:rPr>
                <w:rFonts w:hint="eastAsia" w:ascii="宋体" w:hAnsi="宋体" w:eastAsia="宋体" w:cs="宋体"/>
                <w:sz w:val="22"/>
                <w:szCs w:val="22"/>
                <w:lang w:val="zh-CN"/>
              </w:rPr>
            </w:pPr>
            <w:r>
              <w:rPr>
                <w:rFonts w:hint="eastAsia" w:ascii="宋体" w:hAnsi="宋体" w:eastAsia="宋体" w:cs="宋体"/>
                <w:sz w:val="22"/>
                <w:szCs w:val="22"/>
              </w:rPr>
              <w:t>解释权</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698342C">
            <w:pPr>
              <w:autoSpaceDE w:val="0"/>
              <w:autoSpaceDN w:val="0"/>
              <w:adjustRightInd w:val="0"/>
              <w:spacing w:line="400" w:lineRule="exact"/>
              <w:rPr>
                <w:rFonts w:hint="eastAsia" w:ascii="宋体" w:hAnsi="宋体" w:eastAsia="宋体" w:cs="宋体"/>
                <w:sz w:val="22"/>
                <w:szCs w:val="22"/>
                <w:lang w:val="zh-CN"/>
              </w:rPr>
            </w:pPr>
            <w:r>
              <w:rPr>
                <w:rFonts w:hint="eastAsia" w:ascii="宋体" w:hAnsi="宋体" w:eastAsia="宋体" w:cs="宋体"/>
                <w:sz w:val="22"/>
                <w:szCs w:val="22"/>
              </w:rPr>
              <w:t>本磋商文件解释权属于采购人和浙江新诚信工程咨询有限公司</w:t>
            </w:r>
          </w:p>
        </w:tc>
      </w:tr>
    </w:tbl>
    <w:p w14:paraId="058BE8B0">
      <w:pPr>
        <w:shd w:val="clear" w:color="auto" w:fill="FFFFFF"/>
        <w:spacing w:line="400" w:lineRule="exact"/>
        <w:ind w:firstLine="440" w:firstLineChars="200"/>
        <w:jc w:val="left"/>
        <w:textAlignment w:val="bottom"/>
        <w:rPr>
          <w:rFonts w:hint="eastAsia" w:ascii="宋体" w:hAnsi="宋体" w:eastAsia="宋体" w:cs="宋体"/>
          <w:b/>
          <w:bCs/>
          <w:szCs w:val="21"/>
        </w:rPr>
      </w:pPr>
      <w:r>
        <w:rPr>
          <w:rFonts w:hint="eastAsia" w:ascii="宋体" w:hAnsi="宋体" w:eastAsia="宋体" w:cs="宋体"/>
          <w:bCs/>
          <w:kern w:val="0"/>
          <w:sz w:val="22"/>
          <w:szCs w:val="22"/>
        </w:rPr>
        <w:t>注：以上内容如有变化将另行书面通知。如通知其中某一内容发生变化，其余未提及的将不作变动。</w:t>
      </w:r>
    </w:p>
    <w:p w14:paraId="0108FD6F">
      <w:pPr>
        <w:autoSpaceDE w:val="0"/>
        <w:autoSpaceDN w:val="0"/>
        <w:adjustRightInd w:val="0"/>
        <w:spacing w:before="31" w:beforeLines="10" w:line="264" w:lineRule="auto"/>
        <w:rPr>
          <w:rFonts w:hint="eastAsia" w:ascii="宋体" w:hAnsi="宋体" w:eastAsia="宋体" w:cs="宋体"/>
          <w:b/>
          <w:bCs/>
          <w:szCs w:val="21"/>
        </w:rPr>
      </w:pPr>
      <w:r>
        <w:rPr>
          <w:rFonts w:hint="eastAsia" w:ascii="宋体" w:hAnsi="宋体" w:eastAsia="宋体" w:cs="宋体"/>
          <w:b/>
          <w:bCs/>
          <w:szCs w:val="21"/>
        </w:rPr>
        <w:t>其余事项：中标供应商如有融资需求，可使用以下银行的政采贷服务。</w:t>
      </w:r>
    </w:p>
    <w:tbl>
      <w:tblPr>
        <w:tblStyle w:val="3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950"/>
        <w:gridCol w:w="1961"/>
        <w:gridCol w:w="3132"/>
      </w:tblGrid>
      <w:tr w14:paraId="2F62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5D46993F">
            <w:pPr>
              <w:spacing w:line="460" w:lineRule="exact"/>
              <w:jc w:val="center"/>
              <w:rPr>
                <w:rFonts w:hint="eastAsia" w:ascii="宋体" w:hAnsi="宋体" w:eastAsia="宋体" w:cs="宋体"/>
                <w:b/>
                <w:bCs/>
                <w:sz w:val="22"/>
                <w:szCs w:val="22"/>
              </w:rPr>
            </w:pPr>
            <w:r>
              <w:rPr>
                <w:rFonts w:hint="eastAsia" w:ascii="宋体" w:hAnsi="宋体" w:eastAsia="宋体" w:cs="宋体"/>
                <w:b/>
                <w:bCs/>
                <w:sz w:val="22"/>
                <w:szCs w:val="22"/>
              </w:rPr>
              <w:t>银行</w:t>
            </w:r>
          </w:p>
        </w:tc>
        <w:tc>
          <w:tcPr>
            <w:tcW w:w="1950" w:type="dxa"/>
            <w:noWrap w:val="0"/>
            <w:vAlign w:val="center"/>
          </w:tcPr>
          <w:p w14:paraId="4FEE578B">
            <w:pPr>
              <w:spacing w:line="460" w:lineRule="exact"/>
              <w:jc w:val="center"/>
              <w:rPr>
                <w:rFonts w:hint="eastAsia" w:ascii="宋体" w:hAnsi="宋体" w:eastAsia="宋体" w:cs="宋体"/>
                <w:b/>
                <w:bCs/>
                <w:sz w:val="22"/>
                <w:szCs w:val="22"/>
              </w:rPr>
            </w:pPr>
            <w:r>
              <w:rPr>
                <w:rFonts w:hint="eastAsia" w:ascii="宋体" w:hAnsi="宋体" w:eastAsia="宋体" w:cs="宋体"/>
                <w:b/>
                <w:bCs/>
                <w:sz w:val="22"/>
                <w:szCs w:val="22"/>
              </w:rPr>
              <w:t>贷款年利率</w:t>
            </w:r>
          </w:p>
        </w:tc>
        <w:tc>
          <w:tcPr>
            <w:tcW w:w="1961" w:type="dxa"/>
            <w:noWrap w:val="0"/>
            <w:vAlign w:val="center"/>
          </w:tcPr>
          <w:p w14:paraId="302861AA">
            <w:pPr>
              <w:spacing w:line="460" w:lineRule="exact"/>
              <w:jc w:val="center"/>
              <w:rPr>
                <w:rFonts w:hint="eastAsia" w:ascii="宋体" w:hAnsi="宋体" w:eastAsia="宋体" w:cs="宋体"/>
                <w:b/>
                <w:bCs/>
                <w:sz w:val="22"/>
                <w:szCs w:val="22"/>
              </w:rPr>
            </w:pPr>
            <w:r>
              <w:rPr>
                <w:rFonts w:hint="eastAsia" w:ascii="宋体" w:hAnsi="宋体" w:eastAsia="宋体" w:cs="宋体"/>
                <w:b/>
                <w:bCs/>
                <w:sz w:val="22"/>
                <w:szCs w:val="22"/>
              </w:rPr>
              <w:t>联系人</w:t>
            </w:r>
          </w:p>
        </w:tc>
        <w:tc>
          <w:tcPr>
            <w:tcW w:w="3132" w:type="dxa"/>
            <w:noWrap w:val="0"/>
            <w:vAlign w:val="center"/>
          </w:tcPr>
          <w:p w14:paraId="1EDC305C">
            <w:pPr>
              <w:spacing w:line="460" w:lineRule="exact"/>
              <w:jc w:val="center"/>
              <w:rPr>
                <w:rFonts w:hint="eastAsia" w:ascii="宋体" w:hAnsi="宋体" w:eastAsia="宋体" w:cs="宋体"/>
                <w:b/>
                <w:bCs/>
                <w:sz w:val="22"/>
                <w:szCs w:val="22"/>
              </w:rPr>
            </w:pPr>
            <w:r>
              <w:rPr>
                <w:rFonts w:hint="eastAsia" w:ascii="宋体" w:hAnsi="宋体" w:eastAsia="宋体" w:cs="宋体"/>
                <w:b/>
                <w:bCs/>
                <w:sz w:val="22"/>
                <w:szCs w:val="22"/>
              </w:rPr>
              <w:t>联系电话</w:t>
            </w:r>
          </w:p>
        </w:tc>
      </w:tr>
      <w:tr w14:paraId="1349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4D53340A">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中国工商银行</w:t>
            </w:r>
          </w:p>
        </w:tc>
        <w:tc>
          <w:tcPr>
            <w:tcW w:w="1950" w:type="dxa"/>
            <w:noWrap w:val="0"/>
            <w:vAlign w:val="center"/>
          </w:tcPr>
          <w:p w14:paraId="0B38B0C7">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3.8%起</w:t>
            </w:r>
          </w:p>
        </w:tc>
        <w:tc>
          <w:tcPr>
            <w:tcW w:w="1961" w:type="dxa"/>
            <w:noWrap w:val="0"/>
            <w:vAlign w:val="center"/>
          </w:tcPr>
          <w:p w14:paraId="274C6FB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王霖</w:t>
            </w:r>
          </w:p>
        </w:tc>
        <w:tc>
          <w:tcPr>
            <w:tcW w:w="3132" w:type="dxa"/>
            <w:noWrap w:val="0"/>
            <w:vAlign w:val="center"/>
          </w:tcPr>
          <w:p w14:paraId="3CF3DB85">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88588246/13857654562</w:t>
            </w:r>
          </w:p>
        </w:tc>
      </w:tr>
      <w:tr w14:paraId="1AF3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5A214E96">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中国农业银行</w:t>
            </w:r>
          </w:p>
        </w:tc>
        <w:tc>
          <w:tcPr>
            <w:tcW w:w="1950" w:type="dxa"/>
            <w:noWrap w:val="0"/>
            <w:vAlign w:val="center"/>
          </w:tcPr>
          <w:p w14:paraId="422D1832">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3.8%起</w:t>
            </w:r>
          </w:p>
        </w:tc>
        <w:tc>
          <w:tcPr>
            <w:tcW w:w="1961" w:type="dxa"/>
            <w:noWrap w:val="0"/>
            <w:vAlign w:val="center"/>
          </w:tcPr>
          <w:p w14:paraId="144C03D4">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龚盛</w:t>
            </w:r>
          </w:p>
        </w:tc>
        <w:tc>
          <w:tcPr>
            <w:tcW w:w="3132" w:type="dxa"/>
            <w:noWrap w:val="0"/>
            <w:vAlign w:val="center"/>
          </w:tcPr>
          <w:p w14:paraId="69BA3316">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15858682216</w:t>
            </w:r>
          </w:p>
        </w:tc>
      </w:tr>
      <w:tr w14:paraId="3978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02B9C62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中国建设银行</w:t>
            </w:r>
          </w:p>
        </w:tc>
        <w:tc>
          <w:tcPr>
            <w:tcW w:w="1950" w:type="dxa"/>
            <w:noWrap w:val="0"/>
            <w:vAlign w:val="center"/>
          </w:tcPr>
          <w:p w14:paraId="274B8096">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3.8%起</w:t>
            </w:r>
          </w:p>
        </w:tc>
        <w:tc>
          <w:tcPr>
            <w:tcW w:w="1961" w:type="dxa"/>
            <w:noWrap w:val="0"/>
            <w:vAlign w:val="center"/>
          </w:tcPr>
          <w:p w14:paraId="4C51D9C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梅晶晶</w:t>
            </w:r>
          </w:p>
        </w:tc>
        <w:tc>
          <w:tcPr>
            <w:tcW w:w="3132" w:type="dxa"/>
            <w:noWrap w:val="0"/>
            <w:vAlign w:val="center"/>
          </w:tcPr>
          <w:p w14:paraId="04B3598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88525339/13736585303</w:t>
            </w:r>
          </w:p>
        </w:tc>
      </w:tr>
      <w:tr w14:paraId="43F2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15FE149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中国银行</w:t>
            </w:r>
          </w:p>
        </w:tc>
        <w:tc>
          <w:tcPr>
            <w:tcW w:w="1950" w:type="dxa"/>
            <w:noWrap w:val="0"/>
            <w:vAlign w:val="center"/>
          </w:tcPr>
          <w:p w14:paraId="23CE2A69">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3.75%起</w:t>
            </w:r>
          </w:p>
        </w:tc>
        <w:tc>
          <w:tcPr>
            <w:tcW w:w="1961" w:type="dxa"/>
            <w:noWrap w:val="0"/>
            <w:vAlign w:val="center"/>
          </w:tcPr>
          <w:p w14:paraId="604BFB95">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任茜</w:t>
            </w:r>
          </w:p>
        </w:tc>
        <w:tc>
          <w:tcPr>
            <w:tcW w:w="3132" w:type="dxa"/>
            <w:noWrap w:val="0"/>
            <w:vAlign w:val="center"/>
          </w:tcPr>
          <w:p w14:paraId="25A19780">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13857695378</w:t>
            </w:r>
          </w:p>
        </w:tc>
      </w:tr>
      <w:tr w14:paraId="6A0B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4EB91A61">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浦发银行台州分行</w:t>
            </w:r>
          </w:p>
        </w:tc>
        <w:tc>
          <w:tcPr>
            <w:tcW w:w="1950" w:type="dxa"/>
            <w:noWrap w:val="0"/>
            <w:vAlign w:val="center"/>
          </w:tcPr>
          <w:p w14:paraId="0BD235A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4.05%起</w:t>
            </w:r>
          </w:p>
        </w:tc>
        <w:tc>
          <w:tcPr>
            <w:tcW w:w="1961" w:type="dxa"/>
            <w:noWrap w:val="0"/>
            <w:vAlign w:val="center"/>
          </w:tcPr>
          <w:p w14:paraId="2A5881A4">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王渊</w:t>
            </w:r>
          </w:p>
        </w:tc>
        <w:tc>
          <w:tcPr>
            <w:tcW w:w="3132" w:type="dxa"/>
            <w:noWrap w:val="0"/>
            <w:vAlign w:val="center"/>
          </w:tcPr>
          <w:p w14:paraId="479A0CAC">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13616676319</w:t>
            </w:r>
          </w:p>
        </w:tc>
      </w:tr>
      <w:tr w14:paraId="0380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2104EE1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浦发银行椒江分行</w:t>
            </w:r>
          </w:p>
        </w:tc>
        <w:tc>
          <w:tcPr>
            <w:tcW w:w="1950" w:type="dxa"/>
            <w:noWrap w:val="0"/>
            <w:vAlign w:val="center"/>
          </w:tcPr>
          <w:p w14:paraId="5BC69B4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4.05%起</w:t>
            </w:r>
          </w:p>
        </w:tc>
        <w:tc>
          <w:tcPr>
            <w:tcW w:w="1961" w:type="dxa"/>
            <w:noWrap w:val="0"/>
            <w:vAlign w:val="center"/>
          </w:tcPr>
          <w:p w14:paraId="60962ACA">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孙瑞华</w:t>
            </w:r>
          </w:p>
        </w:tc>
        <w:tc>
          <w:tcPr>
            <w:tcW w:w="3132" w:type="dxa"/>
            <w:noWrap w:val="0"/>
            <w:vAlign w:val="center"/>
          </w:tcPr>
          <w:p w14:paraId="096DA15F">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13857688081</w:t>
            </w:r>
          </w:p>
        </w:tc>
      </w:tr>
      <w:tr w14:paraId="10BF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3528F4BD">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交通银行台州分行</w:t>
            </w:r>
          </w:p>
        </w:tc>
        <w:tc>
          <w:tcPr>
            <w:tcW w:w="1950" w:type="dxa"/>
            <w:noWrap w:val="0"/>
            <w:vAlign w:val="center"/>
          </w:tcPr>
          <w:p w14:paraId="52D1CFE5">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3.75%起</w:t>
            </w:r>
          </w:p>
        </w:tc>
        <w:tc>
          <w:tcPr>
            <w:tcW w:w="1961" w:type="dxa"/>
            <w:noWrap w:val="0"/>
            <w:vAlign w:val="center"/>
          </w:tcPr>
          <w:p w14:paraId="02F88DD9">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周翔宇</w:t>
            </w:r>
          </w:p>
        </w:tc>
        <w:tc>
          <w:tcPr>
            <w:tcW w:w="3132" w:type="dxa"/>
            <w:noWrap w:val="0"/>
            <w:vAlign w:val="center"/>
          </w:tcPr>
          <w:p w14:paraId="3E441126">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13867697018</w:t>
            </w:r>
          </w:p>
        </w:tc>
      </w:tr>
      <w:tr w14:paraId="797A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5D634B5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招商银行台州分行</w:t>
            </w:r>
          </w:p>
        </w:tc>
        <w:tc>
          <w:tcPr>
            <w:tcW w:w="1950" w:type="dxa"/>
            <w:noWrap w:val="0"/>
            <w:vAlign w:val="center"/>
          </w:tcPr>
          <w:p w14:paraId="62A8A7E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4.32%起</w:t>
            </w:r>
          </w:p>
        </w:tc>
        <w:tc>
          <w:tcPr>
            <w:tcW w:w="1961" w:type="dxa"/>
            <w:noWrap w:val="0"/>
            <w:vAlign w:val="center"/>
          </w:tcPr>
          <w:p w14:paraId="27F2C934">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王海玲</w:t>
            </w:r>
          </w:p>
        </w:tc>
        <w:tc>
          <w:tcPr>
            <w:tcW w:w="3132" w:type="dxa"/>
            <w:noWrap w:val="0"/>
            <w:vAlign w:val="center"/>
          </w:tcPr>
          <w:p w14:paraId="6F05AC6D">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13566413827</w:t>
            </w:r>
          </w:p>
        </w:tc>
      </w:tr>
      <w:tr w14:paraId="4DE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22A50170">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浙商银行台州分行</w:t>
            </w:r>
          </w:p>
        </w:tc>
        <w:tc>
          <w:tcPr>
            <w:tcW w:w="1950" w:type="dxa"/>
            <w:noWrap w:val="0"/>
            <w:vAlign w:val="center"/>
          </w:tcPr>
          <w:p w14:paraId="0ADAE36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5.01%起</w:t>
            </w:r>
          </w:p>
        </w:tc>
        <w:tc>
          <w:tcPr>
            <w:tcW w:w="1961" w:type="dxa"/>
            <w:noWrap w:val="0"/>
            <w:vAlign w:val="center"/>
          </w:tcPr>
          <w:p w14:paraId="26718BBC">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章涉漪</w:t>
            </w:r>
          </w:p>
        </w:tc>
        <w:tc>
          <w:tcPr>
            <w:tcW w:w="3132" w:type="dxa"/>
            <w:noWrap w:val="0"/>
            <w:vAlign w:val="center"/>
          </w:tcPr>
          <w:p w14:paraId="68A4DA2C">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81880185/13606681262</w:t>
            </w:r>
          </w:p>
        </w:tc>
      </w:tr>
      <w:tr w14:paraId="239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6D2227E4">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中信银行台州分行</w:t>
            </w:r>
          </w:p>
        </w:tc>
        <w:tc>
          <w:tcPr>
            <w:tcW w:w="1950" w:type="dxa"/>
            <w:noWrap w:val="0"/>
            <w:vAlign w:val="center"/>
          </w:tcPr>
          <w:p w14:paraId="4139C290">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4.15%起</w:t>
            </w:r>
          </w:p>
        </w:tc>
        <w:tc>
          <w:tcPr>
            <w:tcW w:w="1961" w:type="dxa"/>
            <w:noWrap w:val="0"/>
            <w:vAlign w:val="center"/>
          </w:tcPr>
          <w:p w14:paraId="410430FC">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陈金园</w:t>
            </w:r>
          </w:p>
        </w:tc>
        <w:tc>
          <w:tcPr>
            <w:tcW w:w="3132" w:type="dxa"/>
            <w:noWrap w:val="0"/>
            <w:vAlign w:val="center"/>
          </w:tcPr>
          <w:p w14:paraId="4296097F">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13586052161</w:t>
            </w:r>
          </w:p>
        </w:tc>
      </w:tr>
      <w:tr w14:paraId="6E42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0DA7164D">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华夏银行台州分行</w:t>
            </w:r>
          </w:p>
        </w:tc>
        <w:tc>
          <w:tcPr>
            <w:tcW w:w="1950" w:type="dxa"/>
            <w:noWrap w:val="0"/>
            <w:vAlign w:val="center"/>
          </w:tcPr>
          <w:p w14:paraId="675253D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4.5%起</w:t>
            </w:r>
          </w:p>
        </w:tc>
        <w:tc>
          <w:tcPr>
            <w:tcW w:w="1961" w:type="dxa"/>
            <w:noWrap w:val="0"/>
            <w:vAlign w:val="center"/>
          </w:tcPr>
          <w:p w14:paraId="2A644B86">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邱明达</w:t>
            </w:r>
          </w:p>
        </w:tc>
        <w:tc>
          <w:tcPr>
            <w:tcW w:w="3132" w:type="dxa"/>
            <w:noWrap w:val="0"/>
            <w:vAlign w:val="center"/>
          </w:tcPr>
          <w:p w14:paraId="59B12F86">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81871518/13736252233</w:t>
            </w:r>
          </w:p>
        </w:tc>
      </w:tr>
      <w:tr w14:paraId="034E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76CFB6EA">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泰隆银行开发区支行</w:t>
            </w:r>
          </w:p>
        </w:tc>
        <w:tc>
          <w:tcPr>
            <w:tcW w:w="1950" w:type="dxa"/>
            <w:noWrap w:val="0"/>
            <w:vAlign w:val="center"/>
          </w:tcPr>
          <w:p w14:paraId="7450571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5.6%起</w:t>
            </w:r>
          </w:p>
        </w:tc>
        <w:tc>
          <w:tcPr>
            <w:tcW w:w="1961" w:type="dxa"/>
            <w:noWrap w:val="0"/>
            <w:vAlign w:val="center"/>
          </w:tcPr>
          <w:p w14:paraId="4BABF8B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梁宛莉</w:t>
            </w:r>
          </w:p>
        </w:tc>
        <w:tc>
          <w:tcPr>
            <w:tcW w:w="3132" w:type="dxa"/>
            <w:noWrap w:val="0"/>
            <w:vAlign w:val="center"/>
          </w:tcPr>
          <w:p w14:paraId="6CD40512">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13306869100</w:t>
            </w:r>
          </w:p>
        </w:tc>
      </w:tr>
      <w:tr w14:paraId="5F33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7EAE6E94">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民泰银行椒江支行</w:t>
            </w:r>
          </w:p>
        </w:tc>
        <w:tc>
          <w:tcPr>
            <w:tcW w:w="1950" w:type="dxa"/>
            <w:noWrap w:val="0"/>
            <w:vAlign w:val="center"/>
          </w:tcPr>
          <w:p w14:paraId="2A268A4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5.8%起</w:t>
            </w:r>
          </w:p>
        </w:tc>
        <w:tc>
          <w:tcPr>
            <w:tcW w:w="1961" w:type="dxa"/>
            <w:noWrap w:val="0"/>
            <w:vAlign w:val="center"/>
          </w:tcPr>
          <w:p w14:paraId="6D96BF5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陈慧珠</w:t>
            </w:r>
          </w:p>
        </w:tc>
        <w:tc>
          <w:tcPr>
            <w:tcW w:w="3132" w:type="dxa"/>
            <w:noWrap w:val="0"/>
            <w:vAlign w:val="center"/>
          </w:tcPr>
          <w:p w14:paraId="35521900">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13857699669</w:t>
            </w:r>
          </w:p>
        </w:tc>
      </w:tr>
      <w:tr w14:paraId="5E46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275E246D">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绍兴银行台州分行</w:t>
            </w:r>
          </w:p>
        </w:tc>
        <w:tc>
          <w:tcPr>
            <w:tcW w:w="1950" w:type="dxa"/>
            <w:noWrap w:val="0"/>
            <w:vAlign w:val="center"/>
          </w:tcPr>
          <w:p w14:paraId="1CC01F37">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5.1%起</w:t>
            </w:r>
          </w:p>
        </w:tc>
        <w:tc>
          <w:tcPr>
            <w:tcW w:w="1961" w:type="dxa"/>
            <w:noWrap w:val="0"/>
            <w:vAlign w:val="center"/>
          </w:tcPr>
          <w:p w14:paraId="7D8C1F5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郭庭斌</w:t>
            </w:r>
          </w:p>
        </w:tc>
        <w:tc>
          <w:tcPr>
            <w:tcW w:w="3132" w:type="dxa"/>
            <w:noWrap w:val="0"/>
            <w:vAlign w:val="center"/>
          </w:tcPr>
          <w:p w14:paraId="0EB6C57D">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15958633119</w:t>
            </w:r>
          </w:p>
        </w:tc>
      </w:tr>
      <w:tr w14:paraId="06B9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114C8D38">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温州银行台州分行</w:t>
            </w:r>
          </w:p>
        </w:tc>
        <w:tc>
          <w:tcPr>
            <w:tcW w:w="1950" w:type="dxa"/>
            <w:noWrap w:val="0"/>
            <w:vAlign w:val="center"/>
          </w:tcPr>
          <w:p w14:paraId="01BE93B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4.55%起</w:t>
            </w:r>
          </w:p>
        </w:tc>
        <w:tc>
          <w:tcPr>
            <w:tcW w:w="1961" w:type="dxa"/>
            <w:noWrap w:val="0"/>
            <w:vAlign w:val="center"/>
          </w:tcPr>
          <w:p w14:paraId="02DC2B38">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王晓波</w:t>
            </w:r>
          </w:p>
        </w:tc>
        <w:tc>
          <w:tcPr>
            <w:tcW w:w="3132" w:type="dxa"/>
            <w:noWrap w:val="0"/>
            <w:vAlign w:val="center"/>
          </w:tcPr>
          <w:p w14:paraId="1DC2033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15824005475</w:t>
            </w:r>
          </w:p>
        </w:tc>
      </w:tr>
      <w:tr w14:paraId="054D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11EF134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平安银行台州分行</w:t>
            </w:r>
          </w:p>
        </w:tc>
        <w:tc>
          <w:tcPr>
            <w:tcW w:w="1950" w:type="dxa"/>
            <w:noWrap w:val="0"/>
            <w:vAlign w:val="center"/>
          </w:tcPr>
          <w:p w14:paraId="1773E3B2">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6.53%起</w:t>
            </w:r>
          </w:p>
        </w:tc>
        <w:tc>
          <w:tcPr>
            <w:tcW w:w="1961" w:type="dxa"/>
            <w:noWrap w:val="0"/>
            <w:vAlign w:val="center"/>
          </w:tcPr>
          <w:p w14:paraId="27B55160">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李俊丽</w:t>
            </w:r>
          </w:p>
        </w:tc>
        <w:tc>
          <w:tcPr>
            <w:tcW w:w="3132" w:type="dxa"/>
            <w:noWrap w:val="0"/>
            <w:vAlign w:val="center"/>
          </w:tcPr>
          <w:p w14:paraId="428F3BC4">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15906861025</w:t>
            </w:r>
          </w:p>
        </w:tc>
      </w:tr>
      <w:tr w14:paraId="4D7E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3DCAD12B">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宁波银行台州分行</w:t>
            </w:r>
          </w:p>
        </w:tc>
        <w:tc>
          <w:tcPr>
            <w:tcW w:w="1950" w:type="dxa"/>
            <w:noWrap w:val="0"/>
            <w:vAlign w:val="center"/>
          </w:tcPr>
          <w:p w14:paraId="1C2D291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4.35%起</w:t>
            </w:r>
          </w:p>
        </w:tc>
        <w:tc>
          <w:tcPr>
            <w:tcW w:w="1961" w:type="dxa"/>
            <w:noWrap w:val="0"/>
            <w:vAlign w:val="center"/>
          </w:tcPr>
          <w:p w14:paraId="27026771">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戴莉丽</w:t>
            </w:r>
          </w:p>
        </w:tc>
        <w:tc>
          <w:tcPr>
            <w:tcW w:w="3132" w:type="dxa"/>
            <w:noWrap w:val="0"/>
            <w:vAlign w:val="center"/>
          </w:tcPr>
          <w:p w14:paraId="71CF40BD">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13566627207</w:t>
            </w:r>
          </w:p>
        </w:tc>
      </w:tr>
      <w:tr w14:paraId="1DF8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07BCE6B7">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金华银行台州分行</w:t>
            </w:r>
          </w:p>
        </w:tc>
        <w:tc>
          <w:tcPr>
            <w:tcW w:w="1950" w:type="dxa"/>
            <w:noWrap w:val="0"/>
            <w:vAlign w:val="center"/>
          </w:tcPr>
          <w:p w14:paraId="09613F97">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4.05%起</w:t>
            </w:r>
          </w:p>
        </w:tc>
        <w:tc>
          <w:tcPr>
            <w:tcW w:w="1961" w:type="dxa"/>
            <w:noWrap w:val="0"/>
            <w:vAlign w:val="center"/>
          </w:tcPr>
          <w:p w14:paraId="424E727C">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金雪婷</w:t>
            </w:r>
          </w:p>
        </w:tc>
        <w:tc>
          <w:tcPr>
            <w:tcW w:w="3132" w:type="dxa"/>
            <w:noWrap w:val="0"/>
            <w:vAlign w:val="center"/>
          </w:tcPr>
          <w:p w14:paraId="4285D280">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81886670/15968661569</w:t>
            </w:r>
          </w:p>
        </w:tc>
      </w:tr>
      <w:tr w14:paraId="7043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1FD61C7A">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台州银行</w:t>
            </w:r>
          </w:p>
        </w:tc>
        <w:tc>
          <w:tcPr>
            <w:tcW w:w="1950" w:type="dxa"/>
            <w:noWrap w:val="0"/>
            <w:vAlign w:val="center"/>
          </w:tcPr>
          <w:p w14:paraId="219DDCD2">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5.6%起</w:t>
            </w:r>
          </w:p>
        </w:tc>
        <w:tc>
          <w:tcPr>
            <w:tcW w:w="1961" w:type="dxa"/>
            <w:noWrap w:val="0"/>
            <w:vAlign w:val="center"/>
          </w:tcPr>
          <w:p w14:paraId="21EC69B3">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洪婷</w:t>
            </w:r>
          </w:p>
        </w:tc>
        <w:tc>
          <w:tcPr>
            <w:tcW w:w="3132" w:type="dxa"/>
            <w:noWrap w:val="0"/>
            <w:vAlign w:val="center"/>
          </w:tcPr>
          <w:p w14:paraId="29041112">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15858624999</w:t>
            </w:r>
          </w:p>
        </w:tc>
      </w:tr>
      <w:tr w14:paraId="7E41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noWrap w:val="0"/>
            <w:vAlign w:val="center"/>
          </w:tcPr>
          <w:p w14:paraId="298DDA62">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邮储银行台州分行</w:t>
            </w:r>
          </w:p>
        </w:tc>
        <w:tc>
          <w:tcPr>
            <w:tcW w:w="1950" w:type="dxa"/>
            <w:noWrap w:val="0"/>
            <w:vAlign w:val="center"/>
          </w:tcPr>
          <w:p w14:paraId="25FBE06E">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3.85%起</w:t>
            </w:r>
          </w:p>
        </w:tc>
        <w:tc>
          <w:tcPr>
            <w:tcW w:w="1961" w:type="dxa"/>
            <w:noWrap w:val="0"/>
            <w:vAlign w:val="center"/>
          </w:tcPr>
          <w:p w14:paraId="08CD26C5">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董庆</w:t>
            </w:r>
          </w:p>
        </w:tc>
        <w:tc>
          <w:tcPr>
            <w:tcW w:w="3132" w:type="dxa"/>
            <w:noWrap w:val="0"/>
            <w:vAlign w:val="center"/>
          </w:tcPr>
          <w:p w14:paraId="3F4D51B1">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81888982/18957683735</w:t>
            </w:r>
          </w:p>
        </w:tc>
      </w:tr>
    </w:tbl>
    <w:p w14:paraId="31658EA5">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合同履约保函联系方式</w:t>
      </w:r>
    </w:p>
    <w:tbl>
      <w:tblPr>
        <w:tblStyle w:val="33"/>
        <w:tblW w:w="9933"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4"/>
        <w:gridCol w:w="3300"/>
        <w:gridCol w:w="1789"/>
        <w:gridCol w:w="2120"/>
      </w:tblGrid>
      <w:tr w14:paraId="2B813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blHeader/>
        </w:trPr>
        <w:tc>
          <w:tcPr>
            <w:tcW w:w="2724" w:type="dxa"/>
            <w:noWrap w:val="0"/>
            <w:vAlign w:val="center"/>
          </w:tcPr>
          <w:p w14:paraId="3B63C772">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保险公司名称</w:t>
            </w:r>
          </w:p>
        </w:tc>
        <w:tc>
          <w:tcPr>
            <w:tcW w:w="3300" w:type="dxa"/>
            <w:noWrap w:val="0"/>
            <w:vAlign w:val="center"/>
          </w:tcPr>
          <w:p w14:paraId="69BF2D4A">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保费率</w:t>
            </w:r>
          </w:p>
        </w:tc>
        <w:tc>
          <w:tcPr>
            <w:tcW w:w="1789" w:type="dxa"/>
            <w:noWrap w:val="0"/>
            <w:vAlign w:val="center"/>
          </w:tcPr>
          <w:p w14:paraId="3E8E1075">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联系人</w:t>
            </w:r>
          </w:p>
        </w:tc>
        <w:tc>
          <w:tcPr>
            <w:tcW w:w="2120" w:type="dxa"/>
            <w:noWrap w:val="0"/>
            <w:vAlign w:val="center"/>
          </w:tcPr>
          <w:p w14:paraId="7C252946">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联系电话</w:t>
            </w:r>
          </w:p>
        </w:tc>
      </w:tr>
      <w:tr w14:paraId="12E5E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24" w:type="dxa"/>
            <w:noWrap w:val="0"/>
            <w:vAlign w:val="center"/>
          </w:tcPr>
          <w:p w14:paraId="5FFF6BED">
            <w:pPr>
              <w:jc w:val="center"/>
              <w:rPr>
                <w:rFonts w:hint="eastAsia" w:ascii="宋体" w:hAnsi="宋体" w:eastAsia="宋体" w:cs="宋体"/>
                <w:sz w:val="22"/>
                <w:szCs w:val="22"/>
              </w:rPr>
            </w:pPr>
            <w:r>
              <w:rPr>
                <w:rFonts w:hint="eastAsia" w:ascii="宋体" w:hAnsi="宋体" w:eastAsia="宋体" w:cs="宋体"/>
                <w:sz w:val="22"/>
                <w:szCs w:val="22"/>
              </w:rPr>
              <w:t>中国人寿财产保险股份有限公司台州中心支公司</w:t>
            </w:r>
          </w:p>
        </w:tc>
        <w:tc>
          <w:tcPr>
            <w:tcW w:w="3300" w:type="dxa"/>
            <w:noWrap w:val="0"/>
            <w:vAlign w:val="center"/>
          </w:tcPr>
          <w:p w14:paraId="04CE8177">
            <w:pPr>
              <w:jc w:val="center"/>
              <w:rPr>
                <w:rFonts w:hint="eastAsia" w:ascii="宋体" w:hAnsi="宋体" w:eastAsia="宋体" w:cs="宋体"/>
                <w:sz w:val="22"/>
                <w:szCs w:val="22"/>
              </w:rPr>
            </w:pPr>
            <w:r>
              <w:rPr>
                <w:rFonts w:hint="eastAsia" w:ascii="宋体" w:hAnsi="宋体" w:eastAsia="宋体" w:cs="宋体"/>
                <w:sz w:val="22"/>
                <w:szCs w:val="22"/>
              </w:rPr>
              <w:t>年费率1%，最低保费500元</w:t>
            </w:r>
          </w:p>
        </w:tc>
        <w:tc>
          <w:tcPr>
            <w:tcW w:w="1789" w:type="dxa"/>
            <w:noWrap w:val="0"/>
            <w:vAlign w:val="center"/>
          </w:tcPr>
          <w:p w14:paraId="0AB7A44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徐凌</w:t>
            </w:r>
          </w:p>
        </w:tc>
        <w:tc>
          <w:tcPr>
            <w:tcW w:w="2120" w:type="dxa"/>
            <w:noWrap w:val="0"/>
            <w:vAlign w:val="center"/>
          </w:tcPr>
          <w:p w14:paraId="38BD6C24">
            <w:pPr>
              <w:jc w:val="center"/>
              <w:rPr>
                <w:rFonts w:hint="eastAsia" w:ascii="宋体" w:hAnsi="宋体" w:eastAsia="宋体" w:cs="宋体"/>
                <w:sz w:val="22"/>
                <w:szCs w:val="22"/>
              </w:rPr>
            </w:pPr>
            <w:r>
              <w:rPr>
                <w:rFonts w:hint="eastAsia" w:ascii="宋体" w:hAnsi="宋体" w:eastAsia="宋体" w:cs="宋体"/>
                <w:sz w:val="22"/>
                <w:szCs w:val="22"/>
              </w:rPr>
              <w:t>13905168070</w:t>
            </w:r>
          </w:p>
        </w:tc>
      </w:tr>
      <w:tr w14:paraId="26CA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24" w:type="dxa"/>
            <w:noWrap w:val="0"/>
            <w:vAlign w:val="center"/>
          </w:tcPr>
          <w:p w14:paraId="179DA9E7">
            <w:pPr>
              <w:jc w:val="center"/>
              <w:rPr>
                <w:rFonts w:hint="eastAsia" w:ascii="宋体" w:hAnsi="宋体" w:eastAsia="宋体" w:cs="宋体"/>
                <w:sz w:val="22"/>
                <w:szCs w:val="22"/>
              </w:rPr>
            </w:pPr>
            <w:r>
              <w:rPr>
                <w:rFonts w:hint="eastAsia" w:ascii="宋体" w:hAnsi="宋体" w:eastAsia="宋体" w:cs="宋体"/>
                <w:sz w:val="22"/>
                <w:szCs w:val="22"/>
              </w:rPr>
              <w:t>永诚财产保险股份有限公司台州分公司</w:t>
            </w:r>
          </w:p>
        </w:tc>
        <w:tc>
          <w:tcPr>
            <w:tcW w:w="3300" w:type="dxa"/>
            <w:noWrap w:val="0"/>
            <w:vAlign w:val="center"/>
          </w:tcPr>
          <w:p w14:paraId="1EF5DADF">
            <w:pPr>
              <w:jc w:val="center"/>
              <w:rPr>
                <w:rFonts w:hint="eastAsia" w:ascii="宋体" w:hAnsi="宋体" w:eastAsia="宋体" w:cs="宋体"/>
                <w:sz w:val="22"/>
                <w:szCs w:val="22"/>
              </w:rPr>
            </w:pPr>
            <w:r>
              <w:rPr>
                <w:rFonts w:hint="eastAsia" w:ascii="宋体" w:hAnsi="宋体" w:eastAsia="宋体" w:cs="宋体"/>
                <w:sz w:val="22"/>
                <w:szCs w:val="22"/>
              </w:rPr>
              <w:t>年费率1%，最低保费1000元</w:t>
            </w:r>
          </w:p>
        </w:tc>
        <w:tc>
          <w:tcPr>
            <w:tcW w:w="1789" w:type="dxa"/>
            <w:noWrap w:val="0"/>
            <w:vAlign w:val="center"/>
          </w:tcPr>
          <w:p w14:paraId="175D916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尹刚强</w:t>
            </w:r>
          </w:p>
        </w:tc>
        <w:tc>
          <w:tcPr>
            <w:tcW w:w="2120" w:type="dxa"/>
            <w:noWrap w:val="0"/>
            <w:vAlign w:val="center"/>
          </w:tcPr>
          <w:p w14:paraId="67E25617">
            <w:pPr>
              <w:jc w:val="center"/>
              <w:rPr>
                <w:rFonts w:hint="eastAsia" w:ascii="宋体" w:hAnsi="宋体" w:eastAsia="宋体" w:cs="宋体"/>
                <w:sz w:val="22"/>
                <w:szCs w:val="22"/>
              </w:rPr>
            </w:pPr>
            <w:r>
              <w:rPr>
                <w:rFonts w:hint="eastAsia" w:ascii="宋体" w:hAnsi="宋体" w:eastAsia="宋体" w:cs="宋体"/>
                <w:sz w:val="22"/>
                <w:szCs w:val="22"/>
              </w:rPr>
              <w:t>13750668184</w:t>
            </w:r>
          </w:p>
        </w:tc>
      </w:tr>
      <w:tr w14:paraId="636B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2724" w:type="dxa"/>
            <w:noWrap w:val="0"/>
            <w:vAlign w:val="center"/>
          </w:tcPr>
          <w:p w14:paraId="7703003B">
            <w:pPr>
              <w:jc w:val="center"/>
              <w:rPr>
                <w:rFonts w:hint="eastAsia" w:ascii="宋体" w:hAnsi="宋体" w:eastAsia="宋体" w:cs="宋体"/>
                <w:sz w:val="22"/>
                <w:szCs w:val="22"/>
              </w:rPr>
            </w:pPr>
            <w:r>
              <w:rPr>
                <w:rFonts w:hint="eastAsia" w:ascii="宋体" w:hAnsi="宋体" w:eastAsia="宋体" w:cs="宋体"/>
                <w:sz w:val="22"/>
                <w:szCs w:val="22"/>
              </w:rPr>
              <w:t>华泰财产保险有限公司台州中心支公司</w:t>
            </w:r>
          </w:p>
        </w:tc>
        <w:tc>
          <w:tcPr>
            <w:tcW w:w="3300" w:type="dxa"/>
            <w:noWrap w:val="0"/>
            <w:vAlign w:val="center"/>
          </w:tcPr>
          <w:p w14:paraId="12318B61">
            <w:pPr>
              <w:jc w:val="center"/>
              <w:rPr>
                <w:rFonts w:hint="eastAsia" w:ascii="宋体" w:hAnsi="宋体" w:eastAsia="宋体" w:cs="宋体"/>
                <w:sz w:val="22"/>
                <w:szCs w:val="22"/>
              </w:rPr>
            </w:pPr>
            <w:r>
              <w:rPr>
                <w:rFonts w:hint="eastAsia" w:ascii="宋体" w:hAnsi="宋体" w:eastAsia="宋体" w:cs="宋体"/>
                <w:sz w:val="22"/>
                <w:szCs w:val="22"/>
              </w:rPr>
              <w:t>年费率0.5%，最低保费1000元</w:t>
            </w:r>
          </w:p>
        </w:tc>
        <w:tc>
          <w:tcPr>
            <w:tcW w:w="1789" w:type="dxa"/>
            <w:noWrap w:val="0"/>
            <w:vAlign w:val="center"/>
          </w:tcPr>
          <w:p w14:paraId="1A34AC5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王灵芳</w:t>
            </w:r>
          </w:p>
        </w:tc>
        <w:tc>
          <w:tcPr>
            <w:tcW w:w="2120" w:type="dxa"/>
            <w:noWrap w:val="0"/>
            <w:vAlign w:val="center"/>
          </w:tcPr>
          <w:p w14:paraId="41144112">
            <w:pPr>
              <w:jc w:val="center"/>
              <w:rPr>
                <w:rFonts w:hint="eastAsia" w:ascii="宋体" w:hAnsi="宋体" w:eastAsia="宋体" w:cs="宋体"/>
                <w:sz w:val="22"/>
                <w:szCs w:val="22"/>
              </w:rPr>
            </w:pPr>
            <w:r>
              <w:rPr>
                <w:rFonts w:hint="eastAsia" w:ascii="宋体" w:hAnsi="宋体" w:eastAsia="宋体" w:cs="宋体"/>
                <w:sz w:val="22"/>
                <w:szCs w:val="22"/>
              </w:rPr>
              <w:t>88869818 13586123199</w:t>
            </w:r>
          </w:p>
        </w:tc>
      </w:tr>
      <w:tr w14:paraId="5AD1A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724" w:type="dxa"/>
            <w:noWrap w:val="0"/>
            <w:vAlign w:val="center"/>
          </w:tcPr>
          <w:p w14:paraId="51216C2F">
            <w:pPr>
              <w:jc w:val="center"/>
              <w:rPr>
                <w:rFonts w:hint="eastAsia" w:ascii="宋体" w:hAnsi="宋体" w:eastAsia="宋体" w:cs="宋体"/>
                <w:sz w:val="22"/>
                <w:szCs w:val="22"/>
              </w:rPr>
            </w:pPr>
            <w:r>
              <w:rPr>
                <w:rFonts w:hint="eastAsia" w:ascii="宋体" w:hAnsi="宋体" w:eastAsia="宋体" w:cs="宋体"/>
                <w:sz w:val="22"/>
                <w:szCs w:val="22"/>
              </w:rPr>
              <w:t>中国大地财产保险股份有限公司台州中心支公司</w:t>
            </w:r>
          </w:p>
        </w:tc>
        <w:tc>
          <w:tcPr>
            <w:tcW w:w="3300" w:type="dxa"/>
            <w:noWrap w:val="0"/>
            <w:vAlign w:val="center"/>
          </w:tcPr>
          <w:p w14:paraId="64292B58">
            <w:pPr>
              <w:jc w:val="center"/>
              <w:rPr>
                <w:rFonts w:hint="eastAsia" w:ascii="宋体" w:hAnsi="宋体" w:eastAsia="宋体" w:cs="宋体"/>
                <w:sz w:val="22"/>
                <w:szCs w:val="22"/>
              </w:rPr>
            </w:pPr>
            <w:r>
              <w:rPr>
                <w:rFonts w:hint="eastAsia" w:ascii="宋体" w:hAnsi="宋体" w:eastAsia="宋体" w:cs="宋体"/>
                <w:sz w:val="22"/>
                <w:szCs w:val="22"/>
              </w:rPr>
              <w:t>年费率1.5%，最低保费1000元</w:t>
            </w:r>
          </w:p>
        </w:tc>
        <w:tc>
          <w:tcPr>
            <w:tcW w:w="1789" w:type="dxa"/>
            <w:noWrap w:val="0"/>
            <w:vAlign w:val="center"/>
          </w:tcPr>
          <w:p w14:paraId="772EFFF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徐小明</w:t>
            </w:r>
          </w:p>
        </w:tc>
        <w:tc>
          <w:tcPr>
            <w:tcW w:w="2120" w:type="dxa"/>
            <w:noWrap w:val="0"/>
            <w:vAlign w:val="center"/>
          </w:tcPr>
          <w:p w14:paraId="199E6B28">
            <w:pPr>
              <w:jc w:val="center"/>
              <w:rPr>
                <w:rFonts w:hint="eastAsia" w:ascii="宋体" w:hAnsi="宋体" w:eastAsia="宋体" w:cs="宋体"/>
                <w:sz w:val="22"/>
                <w:szCs w:val="22"/>
              </w:rPr>
            </w:pPr>
            <w:r>
              <w:rPr>
                <w:rFonts w:hint="eastAsia" w:ascii="宋体" w:hAnsi="宋体" w:eastAsia="宋体" w:cs="宋体"/>
                <w:sz w:val="22"/>
                <w:szCs w:val="22"/>
              </w:rPr>
              <w:t>88552788      13968603112</w:t>
            </w:r>
          </w:p>
        </w:tc>
      </w:tr>
      <w:tr w14:paraId="6FB2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724" w:type="dxa"/>
            <w:noWrap w:val="0"/>
            <w:vAlign w:val="center"/>
          </w:tcPr>
          <w:p w14:paraId="72C47BD8">
            <w:pPr>
              <w:jc w:val="center"/>
              <w:rPr>
                <w:rFonts w:hint="eastAsia" w:ascii="宋体" w:hAnsi="宋体" w:eastAsia="宋体" w:cs="宋体"/>
                <w:sz w:val="22"/>
                <w:szCs w:val="22"/>
              </w:rPr>
            </w:pPr>
            <w:r>
              <w:rPr>
                <w:rFonts w:hint="eastAsia" w:ascii="宋体" w:hAnsi="宋体" w:eastAsia="宋体" w:cs="宋体"/>
                <w:sz w:val="22"/>
                <w:szCs w:val="22"/>
              </w:rPr>
              <w:t>阳光保险台州中心支公司</w:t>
            </w:r>
          </w:p>
        </w:tc>
        <w:tc>
          <w:tcPr>
            <w:tcW w:w="3300" w:type="dxa"/>
            <w:noWrap w:val="0"/>
            <w:vAlign w:val="center"/>
          </w:tcPr>
          <w:p w14:paraId="75D04503">
            <w:pPr>
              <w:jc w:val="center"/>
              <w:rPr>
                <w:rFonts w:hint="eastAsia" w:ascii="宋体" w:hAnsi="宋体" w:eastAsia="宋体" w:cs="宋体"/>
                <w:sz w:val="22"/>
                <w:szCs w:val="22"/>
              </w:rPr>
            </w:pPr>
            <w:r>
              <w:rPr>
                <w:rFonts w:hint="eastAsia" w:ascii="宋体" w:hAnsi="宋体" w:eastAsia="宋体" w:cs="宋体"/>
                <w:sz w:val="22"/>
                <w:szCs w:val="22"/>
              </w:rPr>
              <w:t>年费率1%，最低保费500元</w:t>
            </w:r>
          </w:p>
        </w:tc>
        <w:tc>
          <w:tcPr>
            <w:tcW w:w="1789" w:type="dxa"/>
            <w:noWrap w:val="0"/>
            <w:vAlign w:val="center"/>
          </w:tcPr>
          <w:p w14:paraId="521A529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林高明</w:t>
            </w:r>
          </w:p>
        </w:tc>
        <w:tc>
          <w:tcPr>
            <w:tcW w:w="2120" w:type="dxa"/>
            <w:noWrap w:val="0"/>
            <w:vAlign w:val="center"/>
          </w:tcPr>
          <w:p w14:paraId="3B36EF16">
            <w:pPr>
              <w:jc w:val="center"/>
              <w:rPr>
                <w:rFonts w:hint="eastAsia" w:ascii="宋体" w:hAnsi="宋体" w:eastAsia="宋体" w:cs="宋体"/>
                <w:sz w:val="22"/>
                <w:szCs w:val="22"/>
              </w:rPr>
            </w:pPr>
            <w:r>
              <w:rPr>
                <w:rFonts w:hint="eastAsia" w:ascii="宋体" w:hAnsi="宋体" w:eastAsia="宋体" w:cs="宋体"/>
                <w:sz w:val="22"/>
                <w:szCs w:val="22"/>
              </w:rPr>
              <w:t>15888682693</w:t>
            </w:r>
          </w:p>
        </w:tc>
      </w:tr>
      <w:tr w14:paraId="6F2F9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724" w:type="dxa"/>
            <w:noWrap w:val="0"/>
            <w:vAlign w:val="center"/>
          </w:tcPr>
          <w:p w14:paraId="06E18D8B">
            <w:pPr>
              <w:jc w:val="center"/>
              <w:rPr>
                <w:rFonts w:hint="eastAsia" w:ascii="宋体" w:hAnsi="宋体" w:eastAsia="宋体" w:cs="宋体"/>
                <w:sz w:val="22"/>
                <w:szCs w:val="22"/>
              </w:rPr>
            </w:pPr>
            <w:r>
              <w:rPr>
                <w:rFonts w:hint="eastAsia" w:ascii="宋体" w:hAnsi="宋体" w:eastAsia="宋体" w:cs="宋体"/>
                <w:sz w:val="22"/>
                <w:szCs w:val="22"/>
              </w:rPr>
              <w:t>中华联合财产保险股份有限公司台州中心支公司</w:t>
            </w:r>
          </w:p>
        </w:tc>
        <w:tc>
          <w:tcPr>
            <w:tcW w:w="3300" w:type="dxa"/>
            <w:noWrap w:val="0"/>
            <w:vAlign w:val="center"/>
          </w:tcPr>
          <w:p w14:paraId="795EFFA3">
            <w:pPr>
              <w:jc w:val="center"/>
              <w:rPr>
                <w:rFonts w:hint="eastAsia" w:ascii="宋体" w:hAnsi="宋体" w:eastAsia="宋体" w:cs="宋体"/>
                <w:sz w:val="22"/>
                <w:szCs w:val="22"/>
              </w:rPr>
            </w:pPr>
            <w:r>
              <w:rPr>
                <w:rFonts w:hint="eastAsia" w:ascii="宋体" w:hAnsi="宋体" w:eastAsia="宋体" w:cs="宋体"/>
                <w:sz w:val="22"/>
                <w:szCs w:val="22"/>
              </w:rPr>
              <w:t>年费率2%，最低保费500元</w:t>
            </w:r>
          </w:p>
        </w:tc>
        <w:tc>
          <w:tcPr>
            <w:tcW w:w="1789" w:type="dxa"/>
            <w:noWrap w:val="0"/>
            <w:vAlign w:val="center"/>
          </w:tcPr>
          <w:p w14:paraId="44D7DCB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王仙高</w:t>
            </w:r>
          </w:p>
        </w:tc>
        <w:tc>
          <w:tcPr>
            <w:tcW w:w="2120" w:type="dxa"/>
            <w:noWrap w:val="0"/>
            <w:vAlign w:val="center"/>
          </w:tcPr>
          <w:p w14:paraId="24D55561">
            <w:pPr>
              <w:jc w:val="center"/>
              <w:rPr>
                <w:rFonts w:hint="eastAsia" w:ascii="宋体" w:hAnsi="宋体" w:eastAsia="宋体" w:cs="宋体"/>
                <w:sz w:val="22"/>
                <w:szCs w:val="22"/>
              </w:rPr>
            </w:pPr>
            <w:r>
              <w:rPr>
                <w:rFonts w:hint="eastAsia" w:ascii="宋体" w:hAnsi="宋体" w:eastAsia="宋体" w:cs="宋体"/>
                <w:sz w:val="22"/>
                <w:szCs w:val="22"/>
              </w:rPr>
              <w:t>13858600221</w:t>
            </w:r>
          </w:p>
        </w:tc>
      </w:tr>
      <w:tr w14:paraId="5A93B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724" w:type="dxa"/>
            <w:noWrap w:val="0"/>
            <w:vAlign w:val="center"/>
          </w:tcPr>
          <w:p w14:paraId="053C0159">
            <w:pPr>
              <w:jc w:val="center"/>
              <w:rPr>
                <w:rFonts w:hint="eastAsia" w:ascii="宋体" w:hAnsi="宋体" w:eastAsia="宋体" w:cs="宋体"/>
                <w:sz w:val="22"/>
                <w:szCs w:val="22"/>
              </w:rPr>
            </w:pPr>
            <w:r>
              <w:rPr>
                <w:rFonts w:hint="eastAsia" w:ascii="宋体" w:hAnsi="宋体" w:eastAsia="宋体" w:cs="宋体"/>
                <w:sz w:val="22"/>
                <w:szCs w:val="22"/>
              </w:rPr>
              <w:t>中国人民财产保险股份有限公司台州中心支公司</w:t>
            </w:r>
          </w:p>
        </w:tc>
        <w:tc>
          <w:tcPr>
            <w:tcW w:w="3300" w:type="dxa"/>
            <w:noWrap w:val="0"/>
            <w:vAlign w:val="center"/>
          </w:tcPr>
          <w:p w14:paraId="149DB678">
            <w:pPr>
              <w:jc w:val="center"/>
              <w:rPr>
                <w:rFonts w:hint="eastAsia" w:ascii="宋体" w:hAnsi="宋体" w:eastAsia="宋体" w:cs="宋体"/>
                <w:sz w:val="22"/>
                <w:szCs w:val="22"/>
              </w:rPr>
            </w:pPr>
            <w:r>
              <w:rPr>
                <w:rFonts w:hint="eastAsia" w:ascii="宋体" w:hAnsi="宋体" w:eastAsia="宋体" w:cs="宋体"/>
                <w:sz w:val="22"/>
                <w:szCs w:val="22"/>
              </w:rPr>
              <w:t>年费率0.3%，最低保费1000元</w:t>
            </w:r>
          </w:p>
        </w:tc>
        <w:tc>
          <w:tcPr>
            <w:tcW w:w="1789" w:type="dxa"/>
            <w:noWrap w:val="0"/>
            <w:vAlign w:val="center"/>
          </w:tcPr>
          <w:p w14:paraId="66DD16A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王仙春</w:t>
            </w:r>
          </w:p>
        </w:tc>
        <w:tc>
          <w:tcPr>
            <w:tcW w:w="2120" w:type="dxa"/>
            <w:noWrap w:val="0"/>
            <w:vAlign w:val="center"/>
          </w:tcPr>
          <w:p w14:paraId="31D5A364">
            <w:pPr>
              <w:jc w:val="center"/>
              <w:rPr>
                <w:rFonts w:hint="eastAsia" w:ascii="宋体" w:hAnsi="宋体" w:eastAsia="宋体" w:cs="宋体"/>
                <w:sz w:val="22"/>
                <w:szCs w:val="22"/>
              </w:rPr>
            </w:pPr>
            <w:r>
              <w:rPr>
                <w:rFonts w:hint="eastAsia" w:ascii="宋体" w:hAnsi="宋体" w:eastAsia="宋体" w:cs="宋体"/>
                <w:sz w:val="22"/>
                <w:szCs w:val="22"/>
              </w:rPr>
              <w:t>13515769179</w:t>
            </w:r>
          </w:p>
        </w:tc>
      </w:tr>
      <w:tr w14:paraId="3719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2724" w:type="dxa"/>
            <w:noWrap w:val="0"/>
            <w:vAlign w:val="center"/>
          </w:tcPr>
          <w:p w14:paraId="215131A7">
            <w:pPr>
              <w:jc w:val="center"/>
              <w:rPr>
                <w:rFonts w:hint="eastAsia" w:ascii="宋体" w:hAnsi="宋体" w:eastAsia="宋体" w:cs="宋体"/>
                <w:sz w:val="22"/>
                <w:szCs w:val="22"/>
              </w:rPr>
            </w:pPr>
            <w:r>
              <w:rPr>
                <w:rFonts w:hint="eastAsia" w:ascii="宋体" w:hAnsi="宋体" w:eastAsia="宋体" w:cs="宋体"/>
                <w:sz w:val="22"/>
                <w:szCs w:val="22"/>
              </w:rPr>
              <w:t>永安财产保险股份有限公司台州中心支公司</w:t>
            </w:r>
          </w:p>
        </w:tc>
        <w:tc>
          <w:tcPr>
            <w:tcW w:w="3300" w:type="dxa"/>
            <w:noWrap w:val="0"/>
            <w:vAlign w:val="center"/>
          </w:tcPr>
          <w:p w14:paraId="1D4083E4">
            <w:pPr>
              <w:jc w:val="center"/>
              <w:rPr>
                <w:rFonts w:hint="eastAsia" w:ascii="宋体" w:hAnsi="宋体" w:eastAsia="宋体" w:cs="宋体"/>
                <w:sz w:val="22"/>
                <w:szCs w:val="22"/>
              </w:rPr>
            </w:pPr>
            <w:r>
              <w:rPr>
                <w:rFonts w:hint="eastAsia" w:ascii="宋体" w:hAnsi="宋体" w:eastAsia="宋体" w:cs="宋体"/>
                <w:sz w:val="22"/>
                <w:szCs w:val="22"/>
              </w:rPr>
              <w:t>年费率0.3%，最低保费1000</w:t>
            </w:r>
          </w:p>
        </w:tc>
        <w:tc>
          <w:tcPr>
            <w:tcW w:w="1789" w:type="dxa"/>
            <w:noWrap w:val="0"/>
            <w:vAlign w:val="center"/>
          </w:tcPr>
          <w:p w14:paraId="30DF9DC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王春宇</w:t>
            </w:r>
          </w:p>
        </w:tc>
        <w:tc>
          <w:tcPr>
            <w:tcW w:w="2120" w:type="dxa"/>
            <w:noWrap w:val="0"/>
            <w:vAlign w:val="center"/>
          </w:tcPr>
          <w:p w14:paraId="737E3982">
            <w:pPr>
              <w:jc w:val="center"/>
              <w:rPr>
                <w:rFonts w:hint="eastAsia" w:ascii="宋体" w:hAnsi="宋体" w:eastAsia="宋体" w:cs="宋体"/>
                <w:sz w:val="22"/>
                <w:szCs w:val="22"/>
              </w:rPr>
            </w:pPr>
            <w:r>
              <w:rPr>
                <w:rFonts w:hint="eastAsia" w:ascii="宋体" w:hAnsi="宋体" w:eastAsia="宋体" w:cs="宋体"/>
                <w:sz w:val="22"/>
                <w:szCs w:val="22"/>
              </w:rPr>
              <w:t>13676675331</w:t>
            </w:r>
          </w:p>
        </w:tc>
      </w:tr>
    </w:tbl>
    <w:p w14:paraId="7F4545FC">
      <w:pPr>
        <w:spacing w:line="360" w:lineRule="auto"/>
        <w:jc w:val="center"/>
        <w:rPr>
          <w:rFonts w:hint="eastAsia" w:ascii="宋体" w:hAnsi="宋体" w:eastAsia="宋体" w:cs="宋体"/>
          <w:sz w:val="22"/>
          <w:szCs w:val="22"/>
        </w:rPr>
      </w:pPr>
      <w:r>
        <w:rPr>
          <w:rFonts w:hint="eastAsia" w:ascii="宋体" w:hAnsi="宋体" w:eastAsia="宋体" w:cs="宋体"/>
          <w:b/>
          <w:bCs/>
          <w:sz w:val="22"/>
          <w:szCs w:val="22"/>
        </w:rPr>
        <w:t>预付款保函联系方式</w:t>
      </w:r>
    </w:p>
    <w:tbl>
      <w:tblPr>
        <w:tblStyle w:val="33"/>
        <w:tblW w:w="9916" w:type="dxa"/>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9"/>
        <w:gridCol w:w="3139"/>
        <w:gridCol w:w="1660"/>
        <w:gridCol w:w="2108"/>
      </w:tblGrid>
      <w:tr w14:paraId="7C39C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3009" w:type="dxa"/>
            <w:noWrap w:val="0"/>
            <w:vAlign w:val="center"/>
          </w:tcPr>
          <w:p w14:paraId="17AD4079">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保险公司名称</w:t>
            </w:r>
          </w:p>
        </w:tc>
        <w:tc>
          <w:tcPr>
            <w:tcW w:w="3139" w:type="dxa"/>
            <w:noWrap w:val="0"/>
            <w:vAlign w:val="center"/>
          </w:tcPr>
          <w:p w14:paraId="1274B637">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保费率</w:t>
            </w:r>
          </w:p>
        </w:tc>
        <w:tc>
          <w:tcPr>
            <w:tcW w:w="1660" w:type="dxa"/>
            <w:noWrap w:val="0"/>
            <w:vAlign w:val="center"/>
          </w:tcPr>
          <w:p w14:paraId="248662B3">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联系人</w:t>
            </w:r>
          </w:p>
        </w:tc>
        <w:tc>
          <w:tcPr>
            <w:tcW w:w="2108" w:type="dxa"/>
            <w:noWrap w:val="0"/>
            <w:vAlign w:val="center"/>
          </w:tcPr>
          <w:p w14:paraId="409A14D2">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联系电话</w:t>
            </w:r>
          </w:p>
        </w:tc>
      </w:tr>
      <w:tr w14:paraId="246F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3009" w:type="dxa"/>
            <w:noWrap w:val="0"/>
            <w:vAlign w:val="center"/>
          </w:tcPr>
          <w:p w14:paraId="00B781C5">
            <w:pPr>
              <w:jc w:val="center"/>
              <w:rPr>
                <w:rFonts w:hint="eastAsia" w:ascii="宋体" w:hAnsi="宋体" w:eastAsia="宋体" w:cs="宋体"/>
                <w:sz w:val="22"/>
                <w:szCs w:val="22"/>
              </w:rPr>
            </w:pPr>
            <w:r>
              <w:rPr>
                <w:rFonts w:hint="eastAsia" w:ascii="宋体" w:hAnsi="宋体" w:eastAsia="宋体" w:cs="宋体"/>
                <w:sz w:val="22"/>
                <w:szCs w:val="22"/>
              </w:rPr>
              <w:t>中国人寿财产保险股份有限公司台州中心支公司</w:t>
            </w:r>
          </w:p>
        </w:tc>
        <w:tc>
          <w:tcPr>
            <w:tcW w:w="3139" w:type="dxa"/>
            <w:noWrap w:val="0"/>
            <w:vAlign w:val="center"/>
          </w:tcPr>
          <w:p w14:paraId="31C9B1C0">
            <w:pPr>
              <w:jc w:val="center"/>
              <w:rPr>
                <w:rFonts w:hint="eastAsia" w:ascii="宋体" w:hAnsi="宋体" w:eastAsia="宋体" w:cs="宋体"/>
                <w:sz w:val="22"/>
                <w:szCs w:val="22"/>
              </w:rPr>
            </w:pPr>
            <w:r>
              <w:rPr>
                <w:rFonts w:hint="eastAsia" w:ascii="宋体" w:hAnsi="宋体" w:eastAsia="宋体" w:cs="宋体"/>
                <w:sz w:val="22"/>
                <w:szCs w:val="22"/>
              </w:rPr>
              <w:t>年费率3%，最低保费500元</w:t>
            </w:r>
          </w:p>
        </w:tc>
        <w:tc>
          <w:tcPr>
            <w:tcW w:w="1660" w:type="dxa"/>
            <w:noWrap w:val="0"/>
            <w:vAlign w:val="center"/>
          </w:tcPr>
          <w:p w14:paraId="1AFF067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徐凌</w:t>
            </w:r>
          </w:p>
        </w:tc>
        <w:tc>
          <w:tcPr>
            <w:tcW w:w="2108" w:type="dxa"/>
            <w:noWrap w:val="0"/>
            <w:vAlign w:val="center"/>
          </w:tcPr>
          <w:p w14:paraId="2089195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13905168070</w:t>
            </w:r>
          </w:p>
        </w:tc>
      </w:tr>
      <w:tr w14:paraId="122D6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009" w:type="dxa"/>
            <w:noWrap w:val="0"/>
            <w:vAlign w:val="center"/>
          </w:tcPr>
          <w:p w14:paraId="6E092A68">
            <w:pPr>
              <w:jc w:val="center"/>
              <w:rPr>
                <w:rFonts w:hint="eastAsia" w:ascii="宋体" w:hAnsi="宋体" w:eastAsia="宋体" w:cs="宋体"/>
                <w:sz w:val="22"/>
                <w:szCs w:val="22"/>
              </w:rPr>
            </w:pPr>
            <w:r>
              <w:rPr>
                <w:rFonts w:hint="eastAsia" w:ascii="宋体" w:hAnsi="宋体" w:eastAsia="宋体" w:cs="宋体"/>
                <w:sz w:val="22"/>
                <w:szCs w:val="22"/>
              </w:rPr>
              <w:t>阳光保险台州中心支公司</w:t>
            </w:r>
          </w:p>
        </w:tc>
        <w:tc>
          <w:tcPr>
            <w:tcW w:w="3139" w:type="dxa"/>
            <w:noWrap w:val="0"/>
            <w:vAlign w:val="center"/>
          </w:tcPr>
          <w:p w14:paraId="6784F995">
            <w:pPr>
              <w:jc w:val="center"/>
              <w:rPr>
                <w:rFonts w:hint="eastAsia" w:ascii="宋体" w:hAnsi="宋体" w:eastAsia="宋体" w:cs="宋体"/>
                <w:sz w:val="22"/>
                <w:szCs w:val="22"/>
              </w:rPr>
            </w:pPr>
            <w:r>
              <w:rPr>
                <w:rFonts w:hint="eastAsia" w:ascii="宋体" w:hAnsi="宋体" w:eastAsia="宋体" w:cs="宋体"/>
                <w:sz w:val="22"/>
                <w:szCs w:val="22"/>
              </w:rPr>
              <w:t>年费率1%，最低保费500元</w:t>
            </w:r>
          </w:p>
        </w:tc>
        <w:tc>
          <w:tcPr>
            <w:tcW w:w="1660" w:type="dxa"/>
            <w:noWrap w:val="0"/>
            <w:vAlign w:val="center"/>
          </w:tcPr>
          <w:p w14:paraId="1CA219F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林高明</w:t>
            </w:r>
          </w:p>
        </w:tc>
        <w:tc>
          <w:tcPr>
            <w:tcW w:w="2108" w:type="dxa"/>
            <w:noWrap w:val="0"/>
            <w:vAlign w:val="center"/>
          </w:tcPr>
          <w:p w14:paraId="158A082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15888682693</w:t>
            </w:r>
          </w:p>
        </w:tc>
      </w:tr>
      <w:tr w14:paraId="4FA5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009" w:type="dxa"/>
            <w:noWrap w:val="0"/>
            <w:vAlign w:val="center"/>
          </w:tcPr>
          <w:p w14:paraId="751D8C72">
            <w:pPr>
              <w:jc w:val="center"/>
              <w:rPr>
                <w:rFonts w:hint="eastAsia" w:ascii="宋体" w:hAnsi="宋体" w:eastAsia="宋体" w:cs="宋体"/>
                <w:sz w:val="22"/>
                <w:szCs w:val="22"/>
              </w:rPr>
            </w:pPr>
            <w:r>
              <w:rPr>
                <w:rFonts w:hint="eastAsia" w:ascii="宋体" w:hAnsi="宋体" w:eastAsia="宋体" w:cs="宋体"/>
                <w:sz w:val="22"/>
                <w:szCs w:val="22"/>
              </w:rPr>
              <w:t>天安财产保险股份有限公司台州中心支公司</w:t>
            </w:r>
          </w:p>
        </w:tc>
        <w:tc>
          <w:tcPr>
            <w:tcW w:w="3139" w:type="dxa"/>
            <w:noWrap w:val="0"/>
            <w:vAlign w:val="center"/>
          </w:tcPr>
          <w:p w14:paraId="73F2ACBA">
            <w:pPr>
              <w:jc w:val="center"/>
              <w:rPr>
                <w:rFonts w:hint="eastAsia" w:ascii="宋体" w:hAnsi="宋体" w:eastAsia="宋体" w:cs="宋体"/>
                <w:sz w:val="22"/>
                <w:szCs w:val="22"/>
              </w:rPr>
            </w:pPr>
            <w:r>
              <w:rPr>
                <w:rFonts w:hint="eastAsia" w:ascii="宋体" w:hAnsi="宋体" w:eastAsia="宋体" w:cs="宋体"/>
                <w:sz w:val="22"/>
                <w:szCs w:val="22"/>
              </w:rPr>
              <w:t>年费率1%</w:t>
            </w:r>
            <w:r>
              <w:rPr>
                <w:rFonts w:hint="eastAsia" w:ascii="宋体" w:hAnsi="宋体" w:eastAsia="宋体" w:cs="宋体"/>
                <w:sz w:val="22"/>
                <w:szCs w:val="22"/>
                <w:lang w:eastAsia="zh-CN"/>
              </w:rPr>
              <w:t>—</w:t>
            </w:r>
            <w:r>
              <w:rPr>
                <w:rFonts w:hint="eastAsia" w:ascii="宋体" w:hAnsi="宋体" w:eastAsia="宋体" w:cs="宋体"/>
                <w:sz w:val="22"/>
                <w:szCs w:val="22"/>
              </w:rPr>
              <w:t>2%，最低保费500元</w:t>
            </w:r>
          </w:p>
        </w:tc>
        <w:tc>
          <w:tcPr>
            <w:tcW w:w="1660" w:type="dxa"/>
            <w:noWrap w:val="0"/>
            <w:vAlign w:val="center"/>
          </w:tcPr>
          <w:p w14:paraId="158D5954">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罗赛</w:t>
            </w:r>
          </w:p>
        </w:tc>
        <w:tc>
          <w:tcPr>
            <w:tcW w:w="2108" w:type="dxa"/>
            <w:noWrap w:val="0"/>
            <w:vAlign w:val="center"/>
          </w:tcPr>
          <w:p w14:paraId="4A8198B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13736605643</w:t>
            </w:r>
          </w:p>
        </w:tc>
      </w:tr>
    </w:tbl>
    <w:p w14:paraId="67AEFD63">
      <w:pPr>
        <w:rPr>
          <w:rFonts w:hint="eastAsia" w:ascii="宋体" w:hAnsi="宋体" w:eastAsia="宋体" w:cs="宋体"/>
          <w:b/>
          <w:sz w:val="22"/>
          <w:szCs w:val="22"/>
        </w:rPr>
      </w:pPr>
    </w:p>
    <w:p w14:paraId="4665BCAA">
      <w:pPr>
        <w:pStyle w:val="9"/>
        <w:ind w:firstLine="480"/>
        <w:rPr>
          <w:rFonts w:hint="eastAsia" w:ascii="宋体" w:hAnsi="宋体" w:eastAsia="宋体" w:cs="宋体"/>
        </w:rPr>
      </w:pPr>
    </w:p>
    <w:p w14:paraId="51F39AE5">
      <w:pPr>
        <w:pStyle w:val="7"/>
        <w:rPr>
          <w:rFonts w:hint="eastAsia" w:ascii="宋体" w:hAnsi="宋体" w:eastAsia="宋体" w:cs="宋体"/>
        </w:rPr>
      </w:pPr>
    </w:p>
    <w:p w14:paraId="4CFF8F90">
      <w:pPr>
        <w:rPr>
          <w:rFonts w:hint="eastAsia" w:ascii="宋体" w:hAnsi="宋体" w:eastAsia="宋体" w:cs="宋体"/>
        </w:rPr>
      </w:pPr>
    </w:p>
    <w:p w14:paraId="42A8EA75">
      <w:pPr>
        <w:pStyle w:val="9"/>
        <w:ind w:firstLine="480"/>
        <w:rPr>
          <w:rFonts w:hint="eastAsia" w:ascii="宋体" w:hAnsi="宋体" w:eastAsia="宋体" w:cs="宋体"/>
        </w:rPr>
      </w:pPr>
    </w:p>
    <w:p w14:paraId="1C7C2FE0">
      <w:pPr>
        <w:rPr>
          <w:rFonts w:hint="eastAsia" w:ascii="宋体" w:hAnsi="宋体" w:eastAsia="宋体" w:cs="宋体"/>
        </w:rPr>
      </w:pPr>
    </w:p>
    <w:p w14:paraId="72569C84">
      <w:pPr>
        <w:pStyle w:val="9"/>
        <w:ind w:firstLine="480"/>
        <w:rPr>
          <w:rFonts w:hint="eastAsia" w:ascii="宋体" w:hAnsi="宋体" w:eastAsia="宋体" w:cs="宋体"/>
        </w:rPr>
      </w:pPr>
    </w:p>
    <w:p w14:paraId="34333447">
      <w:pPr>
        <w:rPr>
          <w:rFonts w:hint="eastAsia" w:ascii="宋体" w:hAnsi="宋体" w:eastAsia="宋体" w:cs="宋体"/>
        </w:rPr>
      </w:pPr>
    </w:p>
    <w:p w14:paraId="637D8620">
      <w:pPr>
        <w:pStyle w:val="9"/>
        <w:ind w:firstLine="480"/>
        <w:rPr>
          <w:rFonts w:hint="eastAsia" w:ascii="宋体" w:hAnsi="宋体" w:eastAsia="宋体" w:cs="宋体"/>
        </w:rPr>
      </w:pPr>
    </w:p>
    <w:p w14:paraId="4014A69B">
      <w:pPr>
        <w:rPr>
          <w:rFonts w:hint="eastAsia" w:ascii="宋体" w:hAnsi="宋体" w:eastAsia="宋体" w:cs="宋体"/>
        </w:rPr>
      </w:pPr>
    </w:p>
    <w:p w14:paraId="1691FD1F">
      <w:pPr>
        <w:pStyle w:val="9"/>
        <w:ind w:firstLine="480"/>
        <w:rPr>
          <w:rFonts w:hint="eastAsia" w:ascii="宋体" w:hAnsi="宋体" w:eastAsia="宋体" w:cs="宋体"/>
        </w:rPr>
      </w:pPr>
    </w:p>
    <w:p w14:paraId="2D633F98">
      <w:pPr>
        <w:shd w:val="clear" w:color="auto" w:fill="FFFFFF"/>
        <w:textAlignment w:val="bottom"/>
        <w:rPr>
          <w:rFonts w:hint="eastAsia" w:ascii="宋体" w:hAnsi="宋体" w:eastAsia="宋体" w:cs="宋体"/>
          <w:b/>
          <w:sz w:val="22"/>
          <w:szCs w:val="22"/>
        </w:rPr>
      </w:pPr>
    </w:p>
    <w:p w14:paraId="6DE54711">
      <w:pPr>
        <w:shd w:val="clear" w:color="auto" w:fill="FFFFFF"/>
        <w:textAlignment w:val="bottom"/>
        <w:rPr>
          <w:rFonts w:hint="eastAsia" w:ascii="宋体" w:hAnsi="宋体" w:eastAsia="宋体" w:cs="宋体"/>
          <w:b/>
          <w:sz w:val="22"/>
          <w:szCs w:val="22"/>
        </w:rPr>
      </w:pPr>
    </w:p>
    <w:p w14:paraId="7B5226BF">
      <w:pPr>
        <w:shd w:val="clear" w:color="auto" w:fill="FFFFFF"/>
        <w:textAlignment w:val="bottom"/>
        <w:rPr>
          <w:rFonts w:hint="eastAsia" w:ascii="宋体" w:hAnsi="宋体" w:eastAsia="宋体" w:cs="宋体"/>
          <w:b/>
          <w:sz w:val="22"/>
          <w:szCs w:val="22"/>
        </w:rPr>
      </w:pPr>
    </w:p>
    <w:p w14:paraId="3DAAF375">
      <w:pPr>
        <w:pStyle w:val="44"/>
        <w:rPr>
          <w:rFonts w:hint="eastAsia" w:ascii="宋体" w:hAnsi="宋体" w:eastAsia="宋体" w:cs="宋体"/>
        </w:rPr>
      </w:pPr>
    </w:p>
    <w:p w14:paraId="1296DC8B">
      <w:pPr>
        <w:pStyle w:val="12"/>
        <w:rPr>
          <w:rFonts w:hint="eastAsia" w:ascii="宋体" w:hAnsi="宋体" w:eastAsia="宋体" w:cs="宋体"/>
        </w:rPr>
      </w:pPr>
    </w:p>
    <w:p w14:paraId="023BCE19">
      <w:pPr>
        <w:shd w:val="clear" w:color="auto" w:fill="FFFFFF"/>
        <w:textAlignment w:val="bottom"/>
        <w:rPr>
          <w:rFonts w:hint="default" w:ascii="宋体" w:hAnsi="宋体" w:eastAsia="宋体" w:cs="宋体"/>
          <w:b/>
          <w:sz w:val="22"/>
          <w:szCs w:val="22"/>
          <w:lang w:val="en-US" w:eastAsia="zh-CN"/>
        </w:rPr>
      </w:pPr>
    </w:p>
    <w:p w14:paraId="016216B5">
      <w:pPr>
        <w:shd w:val="clear" w:color="auto" w:fill="FFFFFF"/>
        <w:textAlignment w:val="bottom"/>
        <w:rPr>
          <w:rFonts w:hint="eastAsia" w:ascii="宋体" w:hAnsi="宋体" w:eastAsia="宋体" w:cs="宋体"/>
          <w:b/>
          <w:sz w:val="22"/>
          <w:szCs w:val="22"/>
        </w:rPr>
      </w:pPr>
      <w:r>
        <w:rPr>
          <w:rFonts w:hint="eastAsia" w:ascii="宋体" w:hAnsi="宋体" w:eastAsia="宋体" w:cs="宋体"/>
          <w:b/>
          <w:sz w:val="22"/>
          <w:szCs w:val="22"/>
        </w:rPr>
        <w:t>一 、总  则</w:t>
      </w:r>
    </w:p>
    <w:p w14:paraId="69C64FD0">
      <w:pPr>
        <w:shd w:val="clear" w:color="auto" w:fill="FFFFFF"/>
        <w:spacing w:line="440" w:lineRule="exact"/>
        <w:ind w:firstLine="442" w:firstLineChars="200"/>
        <w:jc w:val="left"/>
        <w:textAlignment w:val="bottom"/>
        <w:rPr>
          <w:rFonts w:hint="eastAsia" w:ascii="宋体" w:hAnsi="宋体" w:eastAsia="宋体" w:cs="宋体"/>
          <w:b/>
          <w:sz w:val="22"/>
          <w:szCs w:val="22"/>
        </w:rPr>
      </w:pPr>
      <w:r>
        <w:rPr>
          <w:rFonts w:hint="eastAsia" w:ascii="宋体" w:hAnsi="宋体" w:eastAsia="宋体" w:cs="宋体"/>
          <w:b/>
          <w:sz w:val="22"/>
          <w:szCs w:val="22"/>
        </w:rPr>
        <w:t>（一） 适用范围</w:t>
      </w:r>
    </w:p>
    <w:p w14:paraId="19BC204A">
      <w:pPr>
        <w:shd w:val="clear" w:color="auto" w:fill="FFFFFF"/>
        <w:spacing w:line="440" w:lineRule="exact"/>
        <w:ind w:firstLine="440" w:firstLineChars="200"/>
        <w:jc w:val="left"/>
        <w:textAlignment w:val="bottom"/>
        <w:rPr>
          <w:rFonts w:hint="eastAsia" w:ascii="宋体" w:hAnsi="宋体" w:eastAsia="宋体" w:cs="宋体"/>
          <w:bCs/>
          <w:sz w:val="22"/>
          <w:szCs w:val="22"/>
        </w:rPr>
      </w:pPr>
      <w:r>
        <w:rPr>
          <w:rFonts w:hint="eastAsia" w:ascii="宋体" w:hAnsi="宋体" w:eastAsia="宋体" w:cs="宋体"/>
          <w:bCs/>
          <w:sz w:val="22"/>
          <w:szCs w:val="22"/>
        </w:rPr>
        <w:t>本磋商文件适用于本次项目的磋商、评审、确定成交人、验收、合同履约、付款等行为（</w:t>
      </w:r>
      <w:r>
        <w:rPr>
          <w:rFonts w:hint="eastAsia" w:ascii="宋体" w:hAnsi="宋体" w:eastAsia="宋体" w:cs="宋体"/>
          <w:bCs/>
          <w:sz w:val="22"/>
          <w:szCs w:val="22"/>
          <w:lang w:eastAsia="zh-CN"/>
        </w:rPr>
        <w:t>法律法规</w:t>
      </w:r>
      <w:r>
        <w:rPr>
          <w:rFonts w:hint="eastAsia" w:ascii="宋体" w:hAnsi="宋体" w:eastAsia="宋体" w:cs="宋体"/>
          <w:bCs/>
          <w:sz w:val="22"/>
          <w:szCs w:val="22"/>
        </w:rPr>
        <w:t>另有规定的，从其规定）。</w:t>
      </w:r>
    </w:p>
    <w:p w14:paraId="427D1950">
      <w:pPr>
        <w:shd w:val="clear" w:color="auto" w:fill="FFFFFF"/>
        <w:spacing w:line="440" w:lineRule="exact"/>
        <w:ind w:firstLine="442" w:firstLineChars="200"/>
        <w:jc w:val="left"/>
        <w:textAlignment w:val="bottom"/>
        <w:rPr>
          <w:rFonts w:hint="eastAsia" w:ascii="宋体" w:hAnsi="宋体" w:eastAsia="宋体" w:cs="宋体"/>
          <w:b/>
          <w:sz w:val="22"/>
          <w:szCs w:val="22"/>
        </w:rPr>
      </w:pPr>
      <w:r>
        <w:rPr>
          <w:rFonts w:hint="eastAsia" w:ascii="宋体" w:hAnsi="宋体" w:eastAsia="宋体" w:cs="宋体"/>
          <w:b/>
          <w:sz w:val="22"/>
          <w:szCs w:val="22"/>
        </w:rPr>
        <w:t>（二）定义</w:t>
      </w:r>
    </w:p>
    <w:p w14:paraId="1F43034A">
      <w:pPr>
        <w:pStyle w:val="4"/>
        <w:keepNext w:val="0"/>
        <w:keepLines w:val="0"/>
        <w:tabs>
          <w:tab w:val="left" w:pos="0"/>
          <w:tab w:val="left" w:pos="851"/>
        </w:tabs>
        <w:autoSpaceDE w:val="0"/>
        <w:autoSpaceDN w:val="0"/>
        <w:adjustRightInd w:val="0"/>
        <w:snapToGrid w:val="0"/>
        <w:spacing w:before="0" w:after="0" w:line="440" w:lineRule="exact"/>
        <w:ind w:firstLine="519" w:firstLineChars="236"/>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1.</w:t>
      </w:r>
      <w:r>
        <w:rPr>
          <w:rFonts w:hint="eastAsia" w:ascii="宋体" w:hAnsi="宋体" w:eastAsia="宋体" w:cs="宋体"/>
          <w:b w:val="0"/>
          <w:bCs w:val="0"/>
          <w:sz w:val="22"/>
          <w:szCs w:val="22"/>
          <w:lang w:val="zh-CN"/>
        </w:rPr>
        <w:t>“采购组织机构”指采购人委托组织磋商的采购机构或采购代理机构。</w:t>
      </w:r>
    </w:p>
    <w:p w14:paraId="12D092F0">
      <w:pPr>
        <w:snapToGrid w:val="0"/>
        <w:spacing w:line="440" w:lineRule="exact"/>
        <w:ind w:firstLine="519" w:firstLineChars="236"/>
        <w:rPr>
          <w:rFonts w:hint="eastAsia" w:ascii="宋体" w:hAnsi="宋体" w:eastAsia="宋体" w:cs="宋体"/>
          <w:sz w:val="22"/>
          <w:szCs w:val="22"/>
        </w:rPr>
      </w:pPr>
      <w:r>
        <w:rPr>
          <w:rFonts w:hint="eastAsia" w:ascii="宋体" w:hAnsi="宋体" w:eastAsia="宋体" w:cs="宋体"/>
          <w:sz w:val="22"/>
          <w:szCs w:val="22"/>
          <w:lang w:eastAsia="zh-CN"/>
        </w:rPr>
        <w:t>2.</w:t>
      </w:r>
      <w:r>
        <w:rPr>
          <w:rFonts w:hint="eastAsia" w:ascii="宋体" w:hAnsi="宋体" w:eastAsia="宋体" w:cs="宋体"/>
          <w:sz w:val="22"/>
          <w:szCs w:val="22"/>
        </w:rPr>
        <w:t>采购人：是指委托</w:t>
      </w:r>
      <w:r>
        <w:rPr>
          <w:rFonts w:hint="eastAsia" w:ascii="宋体" w:hAnsi="宋体" w:eastAsia="宋体" w:cs="宋体"/>
          <w:sz w:val="22"/>
          <w:szCs w:val="22"/>
          <w:lang w:val="zh-CN"/>
        </w:rPr>
        <w:t>采购机构或</w:t>
      </w:r>
      <w:r>
        <w:rPr>
          <w:rFonts w:hint="eastAsia" w:ascii="宋体" w:hAnsi="宋体" w:eastAsia="宋体" w:cs="宋体"/>
          <w:sz w:val="22"/>
          <w:szCs w:val="22"/>
        </w:rPr>
        <w:t>采购代理机构采购本次项目的国家机关、事业单位和团体组织。</w:t>
      </w:r>
    </w:p>
    <w:p w14:paraId="17990EE1">
      <w:pPr>
        <w:snapToGrid w:val="0"/>
        <w:spacing w:line="440" w:lineRule="exact"/>
        <w:ind w:left="424" w:leftChars="202" w:firstLine="129" w:firstLineChars="59"/>
        <w:rPr>
          <w:rFonts w:hint="eastAsia" w:ascii="宋体" w:hAnsi="宋体" w:eastAsia="宋体" w:cs="宋体"/>
          <w:sz w:val="22"/>
          <w:szCs w:val="22"/>
        </w:rPr>
      </w:pPr>
      <w:r>
        <w:rPr>
          <w:rFonts w:hint="eastAsia" w:ascii="宋体" w:hAnsi="宋体" w:eastAsia="宋体" w:cs="宋体"/>
          <w:sz w:val="22"/>
          <w:szCs w:val="22"/>
          <w:lang w:eastAsia="zh-CN"/>
        </w:rPr>
        <w:t>3.</w:t>
      </w:r>
      <w:r>
        <w:rPr>
          <w:rFonts w:hint="eastAsia" w:ascii="宋体" w:hAnsi="宋体" w:eastAsia="宋体" w:cs="宋体"/>
          <w:sz w:val="22"/>
          <w:szCs w:val="22"/>
        </w:rPr>
        <w:t>磋商投标人：是指向</w:t>
      </w:r>
      <w:r>
        <w:rPr>
          <w:rFonts w:hint="eastAsia" w:ascii="宋体" w:hAnsi="宋体" w:eastAsia="宋体" w:cs="宋体"/>
          <w:sz w:val="22"/>
          <w:szCs w:val="22"/>
          <w:lang w:val="zh-CN"/>
        </w:rPr>
        <w:t>采购组织机构</w:t>
      </w:r>
      <w:r>
        <w:rPr>
          <w:rFonts w:hint="eastAsia" w:ascii="宋体" w:hAnsi="宋体" w:eastAsia="宋体" w:cs="宋体"/>
          <w:sz w:val="22"/>
          <w:szCs w:val="22"/>
        </w:rPr>
        <w:t>提交磋商响应文件的单位或个人。</w:t>
      </w:r>
    </w:p>
    <w:p w14:paraId="656E25B7">
      <w:pPr>
        <w:numPr>
          <w:ilvl w:val="0"/>
          <w:numId w:val="0"/>
        </w:numPr>
        <w:snapToGrid w:val="0"/>
        <w:spacing w:line="440" w:lineRule="exact"/>
        <w:ind w:left="424" w:leftChars="202" w:firstLine="129" w:firstLineChars="59"/>
        <w:rPr>
          <w:rFonts w:hint="eastAsia" w:ascii="宋体" w:hAnsi="宋体" w:eastAsia="宋体" w:cs="宋体"/>
          <w:sz w:val="22"/>
          <w:szCs w:val="22"/>
        </w:rPr>
      </w:pPr>
      <w:r>
        <w:rPr>
          <w:rFonts w:hint="eastAsia" w:ascii="宋体" w:hAnsi="宋体" w:eastAsia="宋体" w:cs="宋体"/>
          <w:kern w:val="2"/>
          <w:sz w:val="22"/>
          <w:szCs w:val="22"/>
          <w:lang w:val="en-US" w:eastAsia="zh-CN" w:bidi="ar-SA"/>
        </w:rPr>
        <w:t>4.</w:t>
      </w:r>
      <w:r>
        <w:rPr>
          <w:rFonts w:hint="eastAsia" w:ascii="宋体" w:hAnsi="宋体" w:eastAsia="宋体" w:cs="宋体"/>
          <w:sz w:val="22"/>
          <w:szCs w:val="22"/>
        </w:rPr>
        <w:t>服务：是指除货物和工程以外的政府采购对象，包括各类专业服务、信息网络开发服务、金融保险服务、运输服务，以及维修与维护服务等。</w:t>
      </w:r>
    </w:p>
    <w:p w14:paraId="47D3EDEC">
      <w:pPr>
        <w:numPr>
          <w:ilvl w:val="0"/>
          <w:numId w:val="0"/>
        </w:numPr>
        <w:snapToGrid w:val="0"/>
        <w:spacing w:line="440" w:lineRule="exact"/>
        <w:ind w:left="424" w:leftChars="202" w:firstLine="129" w:firstLineChars="59"/>
        <w:rPr>
          <w:rFonts w:hint="eastAsia" w:ascii="宋体" w:hAnsi="宋体" w:eastAsia="宋体" w:cs="宋体"/>
          <w:sz w:val="22"/>
          <w:szCs w:val="22"/>
        </w:rPr>
      </w:pPr>
      <w:r>
        <w:rPr>
          <w:rFonts w:hint="eastAsia" w:ascii="宋体" w:hAnsi="宋体" w:eastAsia="宋体" w:cs="宋体"/>
          <w:kern w:val="2"/>
          <w:sz w:val="22"/>
          <w:szCs w:val="22"/>
          <w:lang w:val="en-US" w:eastAsia="zh-CN" w:bidi="ar-SA"/>
        </w:rPr>
        <w:t>5.</w:t>
      </w:r>
      <w:r>
        <w:rPr>
          <w:rFonts w:hint="eastAsia" w:ascii="宋体" w:hAnsi="宋体" w:eastAsia="宋体" w:cs="宋体"/>
          <w:sz w:val="22"/>
          <w:szCs w:val="22"/>
        </w:rPr>
        <w:t>“书面形式”包括信函、传真等。</w:t>
      </w:r>
    </w:p>
    <w:p w14:paraId="3B22F32F">
      <w:pPr>
        <w:snapToGrid w:val="0"/>
        <w:spacing w:line="440" w:lineRule="exact"/>
        <w:ind w:left="424" w:leftChars="202" w:firstLine="129" w:firstLineChars="59"/>
        <w:rPr>
          <w:rFonts w:hint="eastAsia" w:ascii="宋体" w:hAnsi="宋体" w:eastAsia="宋体" w:cs="宋体"/>
          <w:sz w:val="22"/>
          <w:szCs w:val="22"/>
        </w:rPr>
      </w:pPr>
      <w:r>
        <w:rPr>
          <w:rFonts w:hint="eastAsia" w:ascii="宋体" w:hAnsi="宋体" w:eastAsia="宋体" w:cs="宋体"/>
          <w:sz w:val="22"/>
          <w:szCs w:val="22"/>
          <w:lang w:eastAsia="zh-CN"/>
        </w:rPr>
        <w:t>6.</w:t>
      </w:r>
      <w:r>
        <w:rPr>
          <w:rFonts w:hint="eastAsia" w:ascii="宋体" w:hAnsi="宋体" w:eastAsia="宋体" w:cs="宋体"/>
          <w:sz w:val="22"/>
          <w:szCs w:val="22"/>
        </w:rPr>
        <w:t>“▲”系指实质性要求条款。</w:t>
      </w:r>
    </w:p>
    <w:p w14:paraId="47EB092E">
      <w:pPr>
        <w:snapToGrid w:val="0"/>
        <w:spacing w:line="440" w:lineRule="exact"/>
        <w:ind w:firstLine="521" w:firstLineChars="236"/>
        <w:rPr>
          <w:rFonts w:hint="eastAsia" w:ascii="宋体" w:hAnsi="宋体" w:eastAsia="宋体" w:cs="宋体"/>
          <w:b/>
          <w:bCs/>
          <w:sz w:val="22"/>
          <w:szCs w:val="22"/>
        </w:rPr>
      </w:pPr>
      <w:r>
        <w:rPr>
          <w:rFonts w:hint="eastAsia" w:ascii="宋体" w:hAnsi="宋体" w:eastAsia="宋体" w:cs="宋体"/>
          <w:b/>
          <w:bCs/>
          <w:sz w:val="22"/>
          <w:szCs w:val="22"/>
        </w:rPr>
        <w:t>（三）磋商费用</w:t>
      </w:r>
    </w:p>
    <w:p w14:paraId="7CC617FA">
      <w:pPr>
        <w:snapToGrid w:val="0"/>
        <w:spacing w:line="440" w:lineRule="exact"/>
        <w:ind w:firstLine="519" w:firstLineChars="236"/>
        <w:rPr>
          <w:rFonts w:hint="eastAsia" w:ascii="宋体" w:hAnsi="宋体" w:eastAsia="宋体" w:cs="宋体"/>
          <w:sz w:val="22"/>
          <w:szCs w:val="22"/>
        </w:rPr>
      </w:pPr>
      <w:r>
        <w:rPr>
          <w:rFonts w:hint="eastAsia" w:ascii="宋体" w:hAnsi="宋体" w:eastAsia="宋体" w:cs="宋体"/>
          <w:sz w:val="22"/>
          <w:szCs w:val="22"/>
        </w:rPr>
        <w:t>不论磋商结果如何，投标人均应自行承担所有与磋商有关的全部费用（磋商文件有相关规定除外）。</w:t>
      </w:r>
    </w:p>
    <w:p w14:paraId="69825D59">
      <w:pPr>
        <w:spacing w:line="360" w:lineRule="auto"/>
        <w:ind w:firstLine="440" w:firstLineChars="200"/>
        <w:rPr>
          <w:rFonts w:hint="eastAsia" w:ascii="宋体" w:hAnsi="宋体" w:cs="宋体"/>
          <w:color w:val="000000"/>
          <w:sz w:val="22"/>
          <w:szCs w:val="22"/>
        </w:rPr>
      </w:pPr>
      <w:r>
        <w:rPr>
          <w:rFonts w:hint="eastAsia" w:ascii="宋体" w:hAnsi="宋体" w:eastAsia="宋体" w:cs="宋体"/>
          <w:sz w:val="22"/>
          <w:szCs w:val="22"/>
        </w:rPr>
        <w:t>招标代理费：</w:t>
      </w:r>
      <w:r>
        <w:rPr>
          <w:rFonts w:hint="eastAsia" w:ascii="宋体" w:hAnsi="宋体" w:cs="宋体"/>
          <w:color w:val="000000"/>
          <w:sz w:val="22"/>
          <w:szCs w:val="22"/>
        </w:rPr>
        <w:t>按下附表收费标准（</w:t>
      </w:r>
      <w:r>
        <w:rPr>
          <w:rFonts w:hint="eastAsia" w:ascii="宋体" w:hAnsi="宋体" w:cs="宋体"/>
          <w:color w:val="000000"/>
          <w:sz w:val="22"/>
          <w:szCs w:val="22"/>
          <w:lang w:eastAsia="zh-CN"/>
        </w:rPr>
        <w:t>服务类</w:t>
      </w:r>
      <w:r>
        <w:rPr>
          <w:rFonts w:hint="eastAsia" w:ascii="宋体" w:hAnsi="宋体" w:cs="宋体"/>
          <w:color w:val="000000"/>
          <w:sz w:val="22"/>
          <w:szCs w:val="22"/>
        </w:rPr>
        <w:t>招标）按差额定率累进法计算，向中标单位收取代理服务费（若招标代理服务费报酬不足7000元/个，按7000元/个计），该费用中标单位须在中标通知书发出前一次性付清。</w:t>
      </w:r>
    </w:p>
    <w:tbl>
      <w:tblPr>
        <w:tblStyle w:val="33"/>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043"/>
        <w:gridCol w:w="1824"/>
        <w:gridCol w:w="1911"/>
      </w:tblGrid>
      <w:tr w14:paraId="5E7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81" w:type="dxa"/>
            <w:vMerge w:val="restart"/>
            <w:noWrap w:val="0"/>
            <w:vAlign w:val="top"/>
          </w:tcPr>
          <w:p w14:paraId="59E1CAFD">
            <w:pPr>
              <w:pStyle w:val="31"/>
              <w:ind w:left="0" w:leftChars="0" w:firstLine="0" w:firstLineChars="0"/>
              <w:jc w:val="center"/>
              <w:rPr>
                <w:rFonts w:hint="eastAsia"/>
              </w:rPr>
            </w:pPr>
          </w:p>
          <w:p w14:paraId="13832B96">
            <w:pPr>
              <w:pStyle w:val="12"/>
              <w:jc w:val="center"/>
              <w:rPr>
                <w:rFonts w:hint="eastAsia" w:ascii="宋体" w:hAnsi="宋体" w:cs="宋体"/>
              </w:rPr>
            </w:pPr>
            <w:r>
              <w:rPr>
                <w:rFonts w:hint="eastAsia" w:ascii="宋体" w:hAnsi="宋体" w:cs="宋体"/>
                <w:b/>
                <w:bCs/>
                <w:sz w:val="18"/>
                <w:szCs w:val="18"/>
              </w:rPr>
              <w:t>中标金额（万元）</w:t>
            </w:r>
          </w:p>
        </w:tc>
        <w:tc>
          <w:tcPr>
            <w:tcW w:w="5778" w:type="dxa"/>
            <w:gridSpan w:val="3"/>
            <w:noWrap w:val="0"/>
            <w:vAlign w:val="center"/>
          </w:tcPr>
          <w:p w14:paraId="20D0D2BE">
            <w:pPr>
              <w:pStyle w:val="23"/>
              <w:ind w:left="0" w:leftChars="0"/>
              <w:jc w:val="center"/>
              <w:rPr>
                <w:rFonts w:hint="eastAsia" w:ascii="宋体" w:hAnsi="宋体" w:cs="宋体"/>
              </w:rPr>
            </w:pPr>
            <w:r>
              <w:rPr>
                <w:rFonts w:hint="eastAsia" w:ascii="宋体" w:hAnsi="宋体" w:cs="宋体"/>
                <w:b/>
                <w:bCs/>
              </w:rPr>
              <w:t>基准费率</w:t>
            </w:r>
          </w:p>
        </w:tc>
      </w:tr>
      <w:tr w14:paraId="08AE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81" w:type="dxa"/>
            <w:vMerge w:val="continue"/>
            <w:noWrap w:val="0"/>
            <w:vAlign w:val="top"/>
          </w:tcPr>
          <w:p w14:paraId="3F2B5620">
            <w:pPr>
              <w:pStyle w:val="23"/>
              <w:rPr>
                <w:rFonts w:hint="eastAsia" w:ascii="宋体" w:hAnsi="宋体" w:cs="宋体"/>
              </w:rPr>
            </w:pPr>
          </w:p>
        </w:tc>
        <w:tc>
          <w:tcPr>
            <w:tcW w:w="2043" w:type="dxa"/>
            <w:noWrap w:val="0"/>
            <w:vAlign w:val="center"/>
          </w:tcPr>
          <w:p w14:paraId="656EAEBE">
            <w:pPr>
              <w:jc w:val="center"/>
              <w:rPr>
                <w:rFonts w:hint="eastAsia" w:ascii="宋体" w:hAnsi="宋体" w:cs="宋体"/>
              </w:rPr>
            </w:pPr>
            <w:r>
              <w:rPr>
                <w:rFonts w:hint="eastAsia" w:ascii="宋体" w:hAnsi="宋体" w:cs="宋体"/>
                <w:b/>
                <w:bCs/>
              </w:rPr>
              <w:t>货物类招标</w:t>
            </w:r>
          </w:p>
        </w:tc>
        <w:tc>
          <w:tcPr>
            <w:tcW w:w="1824" w:type="dxa"/>
            <w:noWrap w:val="0"/>
            <w:vAlign w:val="center"/>
          </w:tcPr>
          <w:p w14:paraId="070FBAA0">
            <w:pPr>
              <w:jc w:val="center"/>
              <w:rPr>
                <w:rFonts w:hint="eastAsia" w:ascii="宋体" w:hAnsi="宋体" w:cs="宋体"/>
              </w:rPr>
            </w:pPr>
            <w:r>
              <w:rPr>
                <w:rFonts w:hint="eastAsia" w:ascii="宋体" w:hAnsi="宋体" w:cs="宋体"/>
                <w:b/>
                <w:bCs/>
              </w:rPr>
              <w:t>服务类招标</w:t>
            </w:r>
          </w:p>
        </w:tc>
        <w:tc>
          <w:tcPr>
            <w:tcW w:w="1911" w:type="dxa"/>
            <w:noWrap w:val="0"/>
            <w:vAlign w:val="center"/>
          </w:tcPr>
          <w:p w14:paraId="16900C3F">
            <w:pPr>
              <w:jc w:val="center"/>
              <w:rPr>
                <w:rFonts w:hint="eastAsia" w:ascii="宋体" w:hAnsi="宋体" w:cs="宋体"/>
                <w:b/>
                <w:bCs/>
              </w:rPr>
            </w:pPr>
            <w:r>
              <w:rPr>
                <w:rFonts w:hint="eastAsia" w:ascii="宋体" w:hAnsi="宋体" w:cs="宋体"/>
                <w:b/>
                <w:bCs/>
              </w:rPr>
              <w:t>工程类招标</w:t>
            </w:r>
          </w:p>
        </w:tc>
      </w:tr>
      <w:tr w14:paraId="3F3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noWrap w:val="0"/>
            <w:vAlign w:val="center"/>
          </w:tcPr>
          <w:p w14:paraId="5111386C">
            <w:pPr>
              <w:pStyle w:val="23"/>
              <w:adjustRightInd w:val="0"/>
              <w:snapToGrid w:val="0"/>
              <w:ind w:left="0" w:leftChars="0"/>
              <w:jc w:val="center"/>
              <w:rPr>
                <w:rFonts w:hint="eastAsia" w:ascii="宋体" w:hAnsi="宋体" w:cs="宋体"/>
              </w:rPr>
            </w:pPr>
            <w:r>
              <w:rPr>
                <w:rFonts w:hint="eastAsia" w:ascii="宋体" w:hAnsi="宋体" w:cs="宋体"/>
              </w:rPr>
              <w:t>100以下</w:t>
            </w:r>
          </w:p>
        </w:tc>
        <w:tc>
          <w:tcPr>
            <w:tcW w:w="2043" w:type="dxa"/>
            <w:noWrap w:val="0"/>
            <w:vAlign w:val="center"/>
          </w:tcPr>
          <w:p w14:paraId="5A14EEA7">
            <w:pPr>
              <w:jc w:val="center"/>
              <w:rPr>
                <w:rFonts w:hint="eastAsia" w:ascii="宋体" w:hAnsi="宋体" w:cs="宋体"/>
              </w:rPr>
            </w:pPr>
            <w:r>
              <w:rPr>
                <w:rFonts w:hint="eastAsia" w:ascii="宋体" w:hAnsi="宋体" w:cs="宋体"/>
              </w:rPr>
              <w:t>1.5%</w:t>
            </w:r>
          </w:p>
        </w:tc>
        <w:tc>
          <w:tcPr>
            <w:tcW w:w="1824" w:type="dxa"/>
            <w:noWrap w:val="0"/>
            <w:vAlign w:val="center"/>
          </w:tcPr>
          <w:p w14:paraId="5DC45268">
            <w:pPr>
              <w:jc w:val="center"/>
              <w:rPr>
                <w:rFonts w:hint="eastAsia" w:ascii="宋体" w:hAnsi="宋体" w:cs="宋体"/>
              </w:rPr>
            </w:pPr>
            <w:r>
              <w:rPr>
                <w:rFonts w:hint="eastAsia" w:ascii="宋体" w:hAnsi="宋体" w:cs="宋体"/>
              </w:rPr>
              <w:t>1.5%</w:t>
            </w:r>
          </w:p>
        </w:tc>
        <w:tc>
          <w:tcPr>
            <w:tcW w:w="1911" w:type="dxa"/>
            <w:noWrap w:val="0"/>
            <w:vAlign w:val="center"/>
          </w:tcPr>
          <w:p w14:paraId="141DBF7A">
            <w:pPr>
              <w:jc w:val="center"/>
              <w:rPr>
                <w:rFonts w:hint="eastAsia" w:ascii="宋体" w:hAnsi="宋体" w:cs="宋体"/>
              </w:rPr>
            </w:pPr>
            <w:r>
              <w:rPr>
                <w:rFonts w:hint="eastAsia" w:ascii="宋体" w:hAnsi="宋体" w:cs="宋体"/>
              </w:rPr>
              <w:t>1.0%</w:t>
            </w:r>
          </w:p>
        </w:tc>
      </w:tr>
      <w:tr w14:paraId="0D06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noWrap w:val="0"/>
            <w:vAlign w:val="center"/>
          </w:tcPr>
          <w:p w14:paraId="0EA7BBE3">
            <w:pPr>
              <w:adjustRightInd w:val="0"/>
              <w:snapToGrid w:val="0"/>
              <w:jc w:val="center"/>
              <w:rPr>
                <w:rFonts w:hint="eastAsia" w:ascii="宋体" w:hAnsi="宋体" w:cs="宋体"/>
              </w:rPr>
            </w:pPr>
            <w:r>
              <w:rPr>
                <w:rFonts w:hint="eastAsia" w:ascii="宋体" w:hAnsi="宋体" w:cs="宋体"/>
              </w:rPr>
              <w:t>100-500</w:t>
            </w:r>
          </w:p>
        </w:tc>
        <w:tc>
          <w:tcPr>
            <w:tcW w:w="2043" w:type="dxa"/>
            <w:noWrap w:val="0"/>
            <w:vAlign w:val="center"/>
          </w:tcPr>
          <w:p w14:paraId="266F47C5">
            <w:pPr>
              <w:jc w:val="center"/>
              <w:rPr>
                <w:rFonts w:hint="eastAsia" w:ascii="宋体" w:hAnsi="宋体" w:cs="宋体"/>
              </w:rPr>
            </w:pPr>
            <w:r>
              <w:rPr>
                <w:rFonts w:hint="eastAsia" w:ascii="宋体" w:hAnsi="宋体" w:cs="宋体"/>
              </w:rPr>
              <w:t>1.1%</w:t>
            </w:r>
          </w:p>
        </w:tc>
        <w:tc>
          <w:tcPr>
            <w:tcW w:w="1824" w:type="dxa"/>
            <w:noWrap w:val="0"/>
            <w:vAlign w:val="center"/>
          </w:tcPr>
          <w:p w14:paraId="0B6B62DC">
            <w:pPr>
              <w:jc w:val="center"/>
              <w:rPr>
                <w:rFonts w:hint="eastAsia" w:ascii="宋体" w:hAnsi="宋体" w:cs="宋体"/>
              </w:rPr>
            </w:pPr>
            <w:r>
              <w:rPr>
                <w:rFonts w:hint="eastAsia" w:ascii="宋体" w:hAnsi="宋体" w:cs="宋体"/>
              </w:rPr>
              <w:t>0.8%</w:t>
            </w:r>
          </w:p>
        </w:tc>
        <w:tc>
          <w:tcPr>
            <w:tcW w:w="1911" w:type="dxa"/>
            <w:noWrap w:val="0"/>
            <w:vAlign w:val="center"/>
          </w:tcPr>
          <w:p w14:paraId="32AB26BB">
            <w:pPr>
              <w:jc w:val="center"/>
              <w:rPr>
                <w:rFonts w:hint="eastAsia" w:ascii="宋体" w:hAnsi="宋体" w:cs="宋体"/>
              </w:rPr>
            </w:pPr>
            <w:r>
              <w:rPr>
                <w:rFonts w:hint="eastAsia" w:ascii="宋体" w:hAnsi="宋体" w:cs="宋体"/>
              </w:rPr>
              <w:t>0.7%</w:t>
            </w:r>
          </w:p>
        </w:tc>
      </w:tr>
      <w:tr w14:paraId="22BD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noWrap w:val="0"/>
            <w:vAlign w:val="center"/>
          </w:tcPr>
          <w:p w14:paraId="5C0F0A23">
            <w:pPr>
              <w:adjustRightInd w:val="0"/>
              <w:snapToGrid w:val="0"/>
              <w:jc w:val="center"/>
              <w:rPr>
                <w:rFonts w:hint="eastAsia" w:ascii="宋体" w:hAnsi="宋体" w:cs="宋体"/>
              </w:rPr>
            </w:pPr>
            <w:r>
              <w:rPr>
                <w:rFonts w:hint="eastAsia" w:ascii="宋体" w:hAnsi="宋体" w:cs="宋体"/>
              </w:rPr>
              <w:t>500-1000</w:t>
            </w:r>
          </w:p>
        </w:tc>
        <w:tc>
          <w:tcPr>
            <w:tcW w:w="2043" w:type="dxa"/>
            <w:noWrap w:val="0"/>
            <w:vAlign w:val="center"/>
          </w:tcPr>
          <w:p w14:paraId="1DB6E7CE">
            <w:pPr>
              <w:jc w:val="center"/>
              <w:rPr>
                <w:rFonts w:hint="eastAsia" w:ascii="宋体" w:hAnsi="宋体" w:cs="宋体"/>
              </w:rPr>
            </w:pPr>
            <w:r>
              <w:rPr>
                <w:rFonts w:hint="eastAsia" w:ascii="宋体" w:hAnsi="宋体" w:cs="宋体"/>
              </w:rPr>
              <w:t>0.8%</w:t>
            </w:r>
          </w:p>
        </w:tc>
        <w:tc>
          <w:tcPr>
            <w:tcW w:w="1824" w:type="dxa"/>
            <w:noWrap w:val="0"/>
            <w:vAlign w:val="center"/>
          </w:tcPr>
          <w:p w14:paraId="5FE2F5C2">
            <w:pPr>
              <w:jc w:val="center"/>
              <w:rPr>
                <w:rFonts w:hint="eastAsia" w:ascii="宋体" w:hAnsi="宋体" w:cs="宋体"/>
              </w:rPr>
            </w:pPr>
            <w:r>
              <w:rPr>
                <w:rFonts w:hint="eastAsia" w:ascii="宋体" w:hAnsi="宋体" w:cs="宋体"/>
              </w:rPr>
              <w:t>0.45%</w:t>
            </w:r>
          </w:p>
        </w:tc>
        <w:tc>
          <w:tcPr>
            <w:tcW w:w="1911" w:type="dxa"/>
            <w:noWrap w:val="0"/>
            <w:vAlign w:val="center"/>
          </w:tcPr>
          <w:p w14:paraId="7DE18879">
            <w:pPr>
              <w:jc w:val="center"/>
              <w:rPr>
                <w:rFonts w:hint="eastAsia" w:ascii="宋体" w:hAnsi="宋体" w:cs="宋体"/>
              </w:rPr>
            </w:pPr>
            <w:r>
              <w:rPr>
                <w:rFonts w:hint="eastAsia" w:ascii="宋体" w:hAnsi="宋体" w:cs="宋体"/>
              </w:rPr>
              <w:t>0.55%</w:t>
            </w:r>
          </w:p>
        </w:tc>
      </w:tr>
    </w:tbl>
    <w:p w14:paraId="7D96891C">
      <w:pPr>
        <w:shd w:val="clear" w:color="auto" w:fill="FFFFFF"/>
        <w:spacing w:line="440" w:lineRule="exact"/>
        <w:jc w:val="left"/>
        <w:textAlignment w:val="bottom"/>
        <w:rPr>
          <w:rFonts w:hint="eastAsia" w:ascii="宋体" w:hAnsi="宋体" w:eastAsia="宋体" w:cs="宋体"/>
          <w:b/>
          <w:kern w:val="0"/>
          <w:sz w:val="22"/>
          <w:szCs w:val="22"/>
        </w:rPr>
      </w:pPr>
      <w:r>
        <w:rPr>
          <w:rFonts w:hint="eastAsia" w:ascii="宋体" w:hAnsi="宋体" w:eastAsia="宋体" w:cs="宋体"/>
          <w:b/>
          <w:kern w:val="0"/>
          <w:sz w:val="22"/>
          <w:szCs w:val="22"/>
        </w:rPr>
        <w:t>（四）特别说明</w:t>
      </w:r>
    </w:p>
    <w:p w14:paraId="294D8945">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eastAsia="zh-CN"/>
        </w:rPr>
        <w:t>1.</w:t>
      </w:r>
      <w:r>
        <w:rPr>
          <w:rFonts w:hint="eastAsia" w:ascii="宋体" w:hAnsi="宋体" w:eastAsia="宋体" w:cs="宋体"/>
          <w:bCs/>
          <w:kern w:val="0"/>
          <w:sz w:val="22"/>
          <w:szCs w:val="22"/>
        </w:rPr>
        <w:t>投标人磋商所使用的资格、信誉、荣誉、业绩与企业认证必须为本法人所拥有。投标人磋商所使用的采购项目实施人员必须为本法人员工（指必须为本法人或控股公司正式员工）。</w:t>
      </w:r>
    </w:p>
    <w:p w14:paraId="13C7B95E">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eastAsia="zh-CN"/>
        </w:rPr>
        <w:t>2.</w:t>
      </w:r>
      <w:r>
        <w:rPr>
          <w:rFonts w:hint="eastAsia" w:ascii="宋体" w:hAnsi="宋体" w:eastAsia="宋体" w:cs="宋体"/>
          <w:bCs/>
          <w:kern w:val="0"/>
          <w:sz w:val="22"/>
          <w:szCs w:val="22"/>
        </w:rPr>
        <w:t>投标人所标产品除磋商文件中明确规定要求“提供官网截图或相应检测报告的证明材料”以外，所有技术参数描述均以磋商响应文件为准。</w:t>
      </w:r>
      <w:r>
        <w:rPr>
          <w:rFonts w:hint="eastAsia" w:ascii="宋体" w:hAnsi="宋体" w:eastAsia="宋体" w:cs="宋体"/>
          <w:b/>
          <w:kern w:val="0"/>
          <w:sz w:val="22"/>
          <w:szCs w:val="22"/>
        </w:rPr>
        <w:t>磋商投标人对所标产品技术参数的真实性承担法律责任。</w:t>
      </w:r>
      <w:r>
        <w:rPr>
          <w:rFonts w:hint="eastAsia" w:ascii="宋体" w:hAnsi="宋体" w:eastAsia="宋体" w:cs="宋体"/>
          <w:bCs/>
          <w:kern w:val="0"/>
          <w:sz w:val="22"/>
          <w:szCs w:val="22"/>
        </w:rPr>
        <w:t>项目磋商结束后、质疑期限内，如有质疑投标人认为成交人所标产品、磋商响应文件技术参数与采购需求存在重大偏离、错误</w:t>
      </w:r>
      <w:r>
        <w:rPr>
          <w:rFonts w:hint="eastAsia" w:ascii="宋体" w:hAnsi="宋体" w:eastAsia="宋体" w:cs="宋体"/>
          <w:bCs/>
          <w:kern w:val="0"/>
          <w:sz w:val="22"/>
          <w:szCs w:val="22"/>
          <w:lang w:eastAsia="zh-CN"/>
        </w:rPr>
        <w:t>，甚至</w:t>
      </w:r>
      <w:r>
        <w:rPr>
          <w:rFonts w:hint="eastAsia" w:ascii="宋体" w:hAnsi="宋体" w:eastAsia="宋体" w:cs="宋体"/>
          <w:bCs/>
          <w:kern w:val="0"/>
          <w:sz w:val="22"/>
          <w:szCs w:val="22"/>
        </w:rPr>
        <w:t>造假的情况，应提供具体有效的证明材料。</w:t>
      </w:r>
    </w:p>
    <w:p w14:paraId="016ECF06">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eastAsia="zh-CN"/>
        </w:rPr>
        <w:t>3.</w:t>
      </w:r>
      <w:r>
        <w:rPr>
          <w:rFonts w:hint="eastAsia" w:ascii="宋体" w:hAnsi="宋体" w:eastAsia="宋体" w:cs="宋体"/>
          <w:bCs/>
          <w:kern w:val="0"/>
          <w:sz w:val="22"/>
          <w:szCs w:val="22"/>
        </w:rPr>
        <w:t>投标人不得相互串通磋商报价，不得妨碍其他投标人的公平竞争，不得损害采购人或其他投标人的合法权益，投标人不得以向采购人、磋商小组成员行贿或者采取其他不正当手段谋取成交。</w:t>
      </w:r>
    </w:p>
    <w:p w14:paraId="07499142">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eastAsia="zh-CN"/>
        </w:rPr>
        <w:t>4.</w:t>
      </w:r>
      <w:r>
        <w:rPr>
          <w:rFonts w:hint="eastAsia" w:ascii="宋体" w:hAnsi="宋体" w:eastAsia="宋体" w:cs="宋体"/>
          <w:bCs/>
          <w:kern w:val="0"/>
          <w:sz w:val="22"/>
          <w:szCs w:val="22"/>
        </w:rPr>
        <w:t>为采购项目提供整体设计、规范编制或者项目管理、监理、检测等服务的投标人，不得再参加该采购项目的其他采购活动。</w:t>
      </w:r>
    </w:p>
    <w:p w14:paraId="1DFA0BD4">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eastAsia="zh-CN"/>
        </w:rPr>
        <w:t>5.</w:t>
      </w:r>
      <w:r>
        <w:rPr>
          <w:rFonts w:hint="eastAsia" w:ascii="宋体" w:hAnsi="宋体" w:eastAsia="宋体" w:cs="宋体"/>
          <w:bCs/>
          <w:kern w:val="0"/>
          <w:sz w:val="22"/>
          <w:szCs w:val="22"/>
        </w:rPr>
        <w:t>磋商响应文件格式中的表格式样可以根据项目差别做适当调整</w:t>
      </w:r>
      <w:r>
        <w:rPr>
          <w:rFonts w:hint="eastAsia" w:ascii="宋体" w:hAnsi="宋体" w:eastAsia="宋体" w:cs="宋体"/>
          <w:bCs/>
          <w:kern w:val="0"/>
          <w:sz w:val="22"/>
          <w:szCs w:val="22"/>
          <w:lang w:eastAsia="zh-CN"/>
        </w:rPr>
        <w:t>，</w:t>
      </w:r>
      <w:r>
        <w:rPr>
          <w:rFonts w:hint="eastAsia" w:ascii="宋体" w:hAnsi="宋体" w:eastAsia="宋体" w:cs="宋体"/>
          <w:bCs/>
          <w:kern w:val="0"/>
          <w:sz w:val="22"/>
          <w:szCs w:val="22"/>
        </w:rPr>
        <w:t>但应当保持表格样式基本形态不变。</w:t>
      </w:r>
    </w:p>
    <w:p w14:paraId="66D765E5">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val="en-US" w:eastAsia="zh-CN"/>
        </w:rPr>
        <w:t>6.</w:t>
      </w:r>
      <w:r>
        <w:rPr>
          <w:rFonts w:hint="eastAsia" w:ascii="宋体" w:hAnsi="宋体" w:eastAsia="宋体" w:cs="宋体"/>
          <w:bCs/>
          <w:kern w:val="0"/>
          <w:sz w:val="22"/>
          <w:szCs w:val="22"/>
        </w:rPr>
        <w:t>单位负责人为同一人或者存在直接控股、管理关系的不同投标人，不得参加同一合同项下的采购活动。</w:t>
      </w:r>
    </w:p>
    <w:p w14:paraId="6364E181">
      <w:pPr>
        <w:shd w:val="clear" w:color="auto" w:fill="FFFFFF"/>
        <w:spacing w:line="440" w:lineRule="exact"/>
        <w:ind w:firstLine="440" w:firstLineChars="200"/>
        <w:jc w:val="left"/>
        <w:textAlignment w:val="bottom"/>
        <w:rPr>
          <w:rFonts w:hint="eastAsia" w:ascii="宋体" w:hAnsi="宋体" w:eastAsia="宋体" w:cs="宋体"/>
          <w:bCs/>
          <w:kern w:val="0"/>
          <w:sz w:val="22"/>
          <w:szCs w:val="22"/>
        </w:rPr>
      </w:pPr>
      <w:r>
        <w:rPr>
          <w:rFonts w:hint="eastAsia" w:ascii="宋体" w:hAnsi="宋体" w:eastAsia="宋体" w:cs="宋体"/>
          <w:bCs/>
          <w:kern w:val="0"/>
          <w:sz w:val="22"/>
          <w:szCs w:val="22"/>
          <w:lang w:val="en-US" w:eastAsia="zh-CN"/>
        </w:rPr>
        <w:t>7.</w:t>
      </w:r>
      <w:r>
        <w:rPr>
          <w:rFonts w:hint="eastAsia" w:ascii="宋体" w:hAnsi="宋体" w:eastAsia="宋体" w:cs="宋体"/>
          <w:bCs/>
          <w:kern w:val="0"/>
          <w:sz w:val="22"/>
          <w:szCs w:val="22"/>
        </w:rPr>
        <w:t>本项目不允许分包、转让。</w:t>
      </w:r>
    </w:p>
    <w:p w14:paraId="7910B3FD">
      <w:pPr>
        <w:shd w:val="clear" w:color="auto" w:fill="FFFFFF"/>
        <w:spacing w:line="440" w:lineRule="exact"/>
        <w:jc w:val="left"/>
        <w:textAlignment w:val="bottom"/>
        <w:rPr>
          <w:rFonts w:hint="eastAsia" w:ascii="宋体" w:hAnsi="宋体" w:eastAsia="宋体" w:cs="宋体"/>
          <w:b/>
          <w:kern w:val="0"/>
          <w:sz w:val="22"/>
          <w:szCs w:val="22"/>
        </w:rPr>
      </w:pPr>
      <w:r>
        <w:rPr>
          <w:rFonts w:hint="eastAsia" w:ascii="宋体" w:hAnsi="宋体" w:eastAsia="宋体" w:cs="宋体"/>
          <w:b/>
          <w:kern w:val="0"/>
          <w:sz w:val="22"/>
          <w:szCs w:val="22"/>
        </w:rPr>
        <w:t>二、磋商响应文件</w:t>
      </w:r>
    </w:p>
    <w:p w14:paraId="72BE240E">
      <w:pPr>
        <w:shd w:val="clear" w:color="auto" w:fill="FFFFFF"/>
        <w:spacing w:line="440" w:lineRule="exact"/>
        <w:ind w:firstLine="442" w:firstLineChars="200"/>
        <w:jc w:val="left"/>
        <w:textAlignment w:val="bottom"/>
        <w:rPr>
          <w:rFonts w:hint="eastAsia" w:ascii="宋体" w:hAnsi="宋体" w:eastAsia="宋体" w:cs="宋体"/>
          <w:b/>
          <w:kern w:val="0"/>
          <w:sz w:val="22"/>
          <w:szCs w:val="22"/>
        </w:rPr>
      </w:pPr>
      <w:r>
        <w:rPr>
          <w:rFonts w:hint="eastAsia" w:ascii="宋体" w:hAnsi="宋体" w:eastAsia="宋体" w:cs="宋体"/>
          <w:b/>
          <w:kern w:val="0"/>
          <w:sz w:val="22"/>
          <w:szCs w:val="22"/>
        </w:rPr>
        <w:t>（一）磋商响应文件的组成</w:t>
      </w:r>
    </w:p>
    <w:p w14:paraId="2747D83B">
      <w:pPr>
        <w:shd w:val="clear" w:color="auto" w:fill="FFFFFF"/>
        <w:spacing w:line="440" w:lineRule="exact"/>
        <w:ind w:firstLine="440" w:firstLineChars="200"/>
        <w:jc w:val="left"/>
        <w:textAlignment w:val="bottom"/>
        <w:rPr>
          <w:rFonts w:hint="eastAsia" w:ascii="宋体" w:hAnsi="宋体" w:eastAsia="宋体" w:cs="宋体"/>
          <w:bCs/>
          <w:kern w:val="0"/>
          <w:sz w:val="22"/>
          <w:szCs w:val="22"/>
          <w:lang w:val="zh-CN"/>
        </w:rPr>
      </w:pPr>
      <w:r>
        <w:rPr>
          <w:rFonts w:hint="eastAsia" w:ascii="宋体" w:hAnsi="宋体" w:eastAsia="宋体" w:cs="宋体"/>
          <w:bCs/>
          <w:kern w:val="0"/>
          <w:sz w:val="22"/>
          <w:szCs w:val="22"/>
        </w:rPr>
        <w:t>投标人应仔细阅读磋商采购文件的所有内容，</w:t>
      </w:r>
      <w:r>
        <w:rPr>
          <w:rFonts w:hint="eastAsia" w:ascii="宋体" w:hAnsi="宋体" w:eastAsia="宋体" w:cs="宋体"/>
          <w:bCs/>
          <w:kern w:val="0"/>
          <w:sz w:val="22"/>
          <w:szCs w:val="22"/>
          <w:lang w:eastAsia="zh-CN"/>
        </w:rPr>
        <w:t>按照</w:t>
      </w:r>
      <w:r>
        <w:rPr>
          <w:rFonts w:hint="eastAsia" w:ascii="宋体" w:hAnsi="宋体" w:eastAsia="宋体" w:cs="宋体"/>
          <w:bCs/>
          <w:kern w:val="0"/>
          <w:sz w:val="22"/>
          <w:szCs w:val="22"/>
        </w:rPr>
        <w:t>磋商采购文件的要求，详细编制磋商响应文件。</w:t>
      </w:r>
      <w:r>
        <w:rPr>
          <w:rFonts w:hint="eastAsia" w:ascii="宋体" w:hAnsi="宋体" w:eastAsia="宋体" w:cs="宋体"/>
          <w:bCs/>
          <w:kern w:val="0"/>
          <w:sz w:val="22"/>
          <w:szCs w:val="22"/>
          <w:lang w:val="zh-CN"/>
        </w:rPr>
        <w:t>【特别提示：如有要求提供资料原件的，原件另行包装，并与磋商响应文件一起提交，磋商响应截止时间后所有原件不予接收。资料原件也可以用与原件相符的公证原件替代】</w:t>
      </w:r>
    </w:p>
    <w:p w14:paraId="104A5892">
      <w:pPr>
        <w:shd w:val="clear" w:color="auto" w:fill="FFFFFF"/>
        <w:spacing w:line="440" w:lineRule="exact"/>
        <w:ind w:firstLine="442" w:firstLineChars="200"/>
        <w:jc w:val="left"/>
        <w:textAlignment w:val="bottom"/>
        <w:rPr>
          <w:rFonts w:hint="eastAsia" w:ascii="宋体" w:hAnsi="宋体" w:eastAsia="宋体" w:cs="宋体"/>
          <w:b/>
          <w:kern w:val="0"/>
          <w:sz w:val="22"/>
          <w:szCs w:val="22"/>
        </w:rPr>
      </w:pPr>
      <w:r>
        <w:rPr>
          <w:rFonts w:hint="eastAsia" w:ascii="宋体" w:hAnsi="宋体" w:eastAsia="宋体" w:cs="宋体"/>
          <w:b/>
          <w:kern w:val="0"/>
          <w:sz w:val="22"/>
          <w:szCs w:val="22"/>
          <w:lang w:eastAsia="zh-CN"/>
        </w:rPr>
        <w:t>1.</w:t>
      </w:r>
      <w:r>
        <w:rPr>
          <w:rFonts w:hint="eastAsia" w:ascii="宋体" w:hAnsi="宋体" w:eastAsia="宋体" w:cs="宋体"/>
          <w:b/>
          <w:kern w:val="0"/>
          <w:sz w:val="22"/>
          <w:szCs w:val="22"/>
        </w:rPr>
        <w:t>资格证明内容的组成：</w:t>
      </w:r>
    </w:p>
    <w:p w14:paraId="0A854063">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（1）磋商声明书；（附件1）</w:t>
      </w:r>
    </w:p>
    <w:p w14:paraId="0B365265">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（2）授权委托书（法定代表人亲自办理投标事宜，则无需提交）；（附件2）</w:t>
      </w:r>
    </w:p>
    <w:p w14:paraId="3A7CEB03">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（3）法人或者其他组织的营业执照等证明文件，自然人的身份证明；</w:t>
      </w:r>
    </w:p>
    <w:p w14:paraId="5874343D">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w:t>
      </w:r>
      <w:r>
        <w:rPr>
          <w:rFonts w:hint="eastAsia" w:ascii="宋体" w:hAnsi="宋体" w:eastAsia="宋体" w:cs="宋体"/>
          <w:bCs/>
          <w:kern w:val="0"/>
          <w:sz w:val="22"/>
          <w:szCs w:val="22"/>
          <w:lang w:val="en-US" w:eastAsia="zh-CN"/>
        </w:rPr>
        <w:t>4</w:t>
      </w:r>
      <w:r>
        <w:rPr>
          <w:rFonts w:hint="eastAsia" w:ascii="宋体" w:hAnsi="宋体" w:eastAsia="宋体" w:cs="宋体"/>
          <w:bCs/>
          <w:kern w:val="0"/>
          <w:sz w:val="22"/>
          <w:szCs w:val="22"/>
          <w:lang w:val="zh-CN"/>
        </w:rPr>
        <w:t>）提供未被 “信用中国”（www.creditchina.gov.cn）、中国政府采购网（www.ccgp.gov.cn）列入失信被执行人、重大税收违法案件当事人名单、政府采购严重违法失信行为记录名单的截图；</w:t>
      </w:r>
    </w:p>
    <w:p w14:paraId="548BDF5A">
      <w:pPr>
        <w:snapToGrid w:val="0"/>
        <w:spacing w:line="440" w:lineRule="exact"/>
        <w:ind w:firstLine="442" w:firstLineChars="200"/>
        <w:rPr>
          <w:rFonts w:hint="eastAsia" w:ascii="宋体" w:hAnsi="宋体" w:eastAsia="宋体" w:cs="宋体"/>
          <w:sz w:val="22"/>
          <w:szCs w:val="22"/>
          <w:u w:val="single"/>
        </w:rPr>
      </w:pPr>
      <w:r>
        <w:rPr>
          <w:rFonts w:hint="eastAsia" w:ascii="宋体" w:hAnsi="宋体" w:eastAsia="宋体" w:cs="宋体"/>
          <w:b/>
          <w:sz w:val="22"/>
          <w:szCs w:val="22"/>
          <w:lang w:eastAsia="zh-CN"/>
        </w:rPr>
        <w:t>2.</w:t>
      </w:r>
      <w:r>
        <w:rPr>
          <w:rFonts w:hint="eastAsia" w:ascii="宋体" w:hAnsi="宋体" w:eastAsia="宋体" w:cs="宋体"/>
          <w:b/>
          <w:sz w:val="22"/>
          <w:szCs w:val="22"/>
        </w:rPr>
        <w:t>商务与技术内容的组成：</w:t>
      </w:r>
    </w:p>
    <w:p w14:paraId="2D61C482">
      <w:pPr>
        <w:snapToGrid w:val="0"/>
        <w:spacing w:line="440" w:lineRule="exact"/>
        <w:ind w:firstLine="440" w:firstLineChars="200"/>
        <w:rPr>
          <w:rFonts w:hint="eastAsia" w:ascii="宋体" w:hAnsi="宋体" w:eastAsia="宋体" w:cs="宋体"/>
          <w:kern w:val="2"/>
          <w:sz w:val="22"/>
          <w:szCs w:val="22"/>
          <w:lang w:val="zh-CN"/>
        </w:rPr>
      </w:pPr>
      <w:r>
        <w:rPr>
          <w:rFonts w:hint="eastAsia" w:ascii="宋体" w:hAnsi="宋体" w:eastAsia="宋体" w:cs="宋体"/>
          <w:sz w:val="22"/>
          <w:szCs w:val="22"/>
          <w:lang w:val="zh-CN"/>
        </w:rPr>
        <w:t>（1）其余内容根据评标办法自拟（详见格式附件）</w:t>
      </w:r>
      <w:r>
        <w:rPr>
          <w:rFonts w:hint="eastAsia" w:ascii="宋体" w:hAnsi="宋体" w:eastAsia="宋体" w:cs="宋体"/>
          <w:kern w:val="2"/>
          <w:sz w:val="22"/>
          <w:szCs w:val="22"/>
          <w:lang w:val="zh-CN"/>
        </w:rPr>
        <w:t>；</w:t>
      </w:r>
    </w:p>
    <w:p w14:paraId="222DA554">
      <w:pPr>
        <w:snapToGrid w:val="0"/>
        <w:spacing w:line="440" w:lineRule="exact"/>
        <w:ind w:firstLine="440" w:firstLineChars="200"/>
        <w:rPr>
          <w:rFonts w:hint="eastAsia" w:ascii="宋体" w:hAnsi="宋体" w:eastAsia="宋体" w:cs="宋体"/>
          <w:kern w:val="2"/>
          <w:sz w:val="22"/>
          <w:szCs w:val="22"/>
          <w:lang w:val="zh-CN"/>
        </w:rPr>
      </w:pPr>
      <w:r>
        <w:rPr>
          <w:rFonts w:hint="eastAsia" w:ascii="宋体" w:hAnsi="宋体" w:eastAsia="宋体" w:cs="宋体"/>
          <w:sz w:val="22"/>
          <w:szCs w:val="22"/>
          <w:lang w:val="zh-CN"/>
        </w:rPr>
        <w:t>（2）投标人认为需要提供的其他资料</w:t>
      </w:r>
      <w:r>
        <w:rPr>
          <w:rFonts w:hint="eastAsia" w:ascii="宋体" w:hAnsi="宋体" w:eastAsia="宋体" w:cs="宋体"/>
          <w:kern w:val="2"/>
          <w:sz w:val="22"/>
          <w:szCs w:val="22"/>
          <w:lang w:val="zh-CN"/>
        </w:rPr>
        <w:t>。</w:t>
      </w:r>
    </w:p>
    <w:p w14:paraId="1399B88E">
      <w:pPr>
        <w:shd w:val="clear" w:color="auto" w:fill="FFFFFF"/>
        <w:spacing w:line="440" w:lineRule="exact"/>
        <w:ind w:firstLine="442" w:firstLineChars="200"/>
        <w:jc w:val="left"/>
        <w:textAlignment w:val="bottom"/>
        <w:rPr>
          <w:rFonts w:hint="eastAsia" w:ascii="宋体" w:hAnsi="宋体" w:eastAsia="宋体" w:cs="宋体"/>
          <w:b/>
          <w:kern w:val="0"/>
          <w:sz w:val="22"/>
          <w:szCs w:val="22"/>
        </w:rPr>
      </w:pPr>
      <w:r>
        <w:rPr>
          <w:rFonts w:hint="eastAsia" w:ascii="宋体" w:hAnsi="宋体" w:eastAsia="宋体" w:cs="宋体"/>
          <w:b/>
          <w:kern w:val="0"/>
          <w:sz w:val="22"/>
          <w:szCs w:val="22"/>
          <w:lang w:eastAsia="zh-CN"/>
        </w:rPr>
        <w:t>3.</w:t>
      </w:r>
      <w:r>
        <w:rPr>
          <w:rFonts w:hint="eastAsia" w:ascii="宋体" w:hAnsi="宋体" w:eastAsia="宋体" w:cs="宋体"/>
          <w:b/>
          <w:kern w:val="0"/>
          <w:sz w:val="22"/>
          <w:szCs w:val="22"/>
        </w:rPr>
        <w:t>报价内容的组成</w:t>
      </w:r>
    </w:p>
    <w:p w14:paraId="154118DC">
      <w:pPr>
        <w:pStyle w:val="26"/>
        <w:spacing w:line="440" w:lineRule="exact"/>
        <w:ind w:left="0" w:leftChars="0" w:firstLine="440" w:firstLineChars="200"/>
        <w:rPr>
          <w:rFonts w:hint="eastAsia" w:ascii="宋体" w:hAnsi="宋体" w:eastAsia="宋体" w:cs="宋体"/>
          <w:sz w:val="22"/>
          <w:szCs w:val="22"/>
        </w:rPr>
      </w:pPr>
      <w:r>
        <w:rPr>
          <w:rFonts w:hint="eastAsia" w:ascii="宋体" w:hAnsi="宋体" w:eastAsia="宋体" w:cs="宋体"/>
          <w:sz w:val="22"/>
          <w:szCs w:val="22"/>
        </w:rPr>
        <w:t>（1）报价内容由首次报价一览表以及投标人认为其他需要说明的内容组成。</w:t>
      </w:r>
    </w:p>
    <w:p w14:paraId="57BC44CC">
      <w:pPr>
        <w:snapToGri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w:t>
      </w:r>
      <w:r>
        <w:rPr>
          <w:rFonts w:hint="eastAsia" w:ascii="宋体" w:hAnsi="宋体" w:eastAsia="宋体" w:cs="宋体"/>
          <w:sz w:val="22"/>
          <w:szCs w:val="22"/>
        </w:rPr>
        <w:t>2</w:t>
      </w:r>
      <w:r>
        <w:rPr>
          <w:rFonts w:hint="eastAsia" w:ascii="宋体" w:hAnsi="宋体" w:eastAsia="宋体" w:cs="宋体"/>
          <w:sz w:val="22"/>
          <w:szCs w:val="22"/>
          <w:lang w:val="zh-CN"/>
        </w:rPr>
        <w:t>）总报价应当包括合同包含的所有风险责任等各项费用及不可预见费用等所需的全部费用。</w:t>
      </w:r>
    </w:p>
    <w:p w14:paraId="073F1E37">
      <w:pPr>
        <w:autoSpaceDE w:val="0"/>
        <w:autoSpaceDN w:val="0"/>
        <w:adjustRightIn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（3）政府采购优惠政策相关资料、产品适用政府采购政策情况表（如有）。</w:t>
      </w:r>
    </w:p>
    <w:p w14:paraId="70FC7B05">
      <w:pPr>
        <w:autoSpaceDE w:val="0"/>
        <w:autoSpaceDN w:val="0"/>
        <w:adjustRightIn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val="zh-CN"/>
        </w:rPr>
        <w:t>）</w:t>
      </w:r>
      <w:r>
        <w:rPr>
          <w:rFonts w:hint="eastAsia" w:ascii="宋体" w:hAnsi="宋体" w:eastAsia="宋体" w:cs="宋体"/>
          <w:sz w:val="22"/>
          <w:szCs w:val="22"/>
        </w:rPr>
        <w:t>相关报价表需打印或用不</w:t>
      </w:r>
      <w:r>
        <w:rPr>
          <w:rFonts w:hint="eastAsia" w:ascii="宋体" w:hAnsi="宋体" w:eastAsia="宋体" w:cs="宋体"/>
          <w:sz w:val="22"/>
          <w:szCs w:val="22"/>
          <w:lang w:eastAsia="zh-CN"/>
        </w:rPr>
        <w:t>褪色</w:t>
      </w:r>
      <w:r>
        <w:rPr>
          <w:rFonts w:hint="eastAsia" w:ascii="宋体" w:hAnsi="宋体" w:eastAsia="宋体" w:cs="宋体"/>
          <w:sz w:val="22"/>
          <w:szCs w:val="22"/>
        </w:rPr>
        <w:t>的墨水填写， 磋商响应报价表不得涂改和增删，如有错漏必须修改，修改处须由同一签署人签字或盖章。由于字迹模糊或表达不清引起的后果由投标人负责。</w:t>
      </w:r>
    </w:p>
    <w:p w14:paraId="584FAC26">
      <w:pPr>
        <w:autoSpaceDE w:val="0"/>
        <w:autoSpaceDN w:val="0"/>
        <w:adjustRightIn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）报价有关表格应按磋商采购文件中相关附表格式填写。</w:t>
      </w:r>
    </w:p>
    <w:p w14:paraId="5ACC2D46">
      <w:pPr>
        <w:snapToGrid w:val="0"/>
        <w:spacing w:line="440" w:lineRule="exact"/>
        <w:ind w:left="480"/>
        <w:rPr>
          <w:rFonts w:hint="eastAsia" w:ascii="宋体" w:hAnsi="宋体" w:eastAsia="宋体" w:cs="宋体"/>
          <w:sz w:val="22"/>
          <w:szCs w:val="22"/>
          <w:lang w:val="zh-CN"/>
        </w:rPr>
      </w:pPr>
      <w:r>
        <w:rPr>
          <w:rFonts w:hint="eastAsia" w:ascii="宋体" w:hAnsi="宋体" w:eastAsia="宋体" w:cs="宋体"/>
          <w:b/>
          <w:kern w:val="0"/>
          <w:sz w:val="22"/>
          <w:szCs w:val="22"/>
        </w:rPr>
        <w:t>（二）磋商响应文件的制作、封装及递交要求</w:t>
      </w:r>
    </w:p>
    <w:p w14:paraId="2343839C">
      <w:pPr>
        <w:numPr>
          <w:ilvl w:val="0"/>
          <w:numId w:val="0"/>
        </w:numPr>
        <w:autoSpaceDE w:val="0"/>
        <w:autoSpaceDN w:val="0"/>
        <w:adjustRightInd w:val="0"/>
        <w:spacing w:line="440" w:lineRule="exact"/>
        <w:ind w:firstLine="480" w:firstLineChars="0"/>
        <w:rPr>
          <w:rFonts w:hint="eastAsia" w:ascii="宋体" w:hAnsi="宋体" w:eastAsia="宋体" w:cs="宋体"/>
          <w:b/>
          <w:sz w:val="22"/>
          <w:szCs w:val="22"/>
        </w:rPr>
      </w:pPr>
      <w:r>
        <w:rPr>
          <w:rFonts w:hint="eastAsia" w:ascii="宋体" w:hAnsi="宋体" w:eastAsia="宋体" w:cs="宋体"/>
          <w:b/>
          <w:kern w:val="2"/>
          <w:sz w:val="22"/>
          <w:szCs w:val="22"/>
          <w:lang w:val="en-US" w:eastAsia="zh-CN" w:bidi="ar-SA"/>
        </w:rPr>
        <w:t>1.</w:t>
      </w:r>
      <w:r>
        <w:rPr>
          <w:rFonts w:hint="eastAsia" w:ascii="宋体" w:hAnsi="宋体" w:eastAsia="宋体" w:cs="宋体"/>
          <w:b/>
          <w:sz w:val="22"/>
          <w:szCs w:val="22"/>
        </w:rPr>
        <w:t>磋商响应文件的制作要求</w:t>
      </w:r>
    </w:p>
    <w:p w14:paraId="48200371">
      <w:pPr>
        <w:spacing w:line="440" w:lineRule="exact"/>
        <w:ind w:firstLine="440" w:firstLineChars="200"/>
        <w:rPr>
          <w:rFonts w:hint="eastAsia" w:ascii="宋体" w:hAnsi="宋体" w:eastAsia="宋体" w:cs="宋体"/>
          <w:sz w:val="22"/>
          <w:szCs w:val="22"/>
          <w:lang w:val="en-GB"/>
        </w:rPr>
      </w:pPr>
      <w:r>
        <w:rPr>
          <w:rFonts w:hint="eastAsia" w:ascii="宋体" w:hAnsi="宋体" w:eastAsia="宋体" w:cs="宋体"/>
          <w:sz w:val="22"/>
          <w:szCs w:val="22"/>
          <w:lang w:val="en-US" w:eastAsia="zh-CN"/>
        </w:rPr>
        <w:t>（</w:t>
      </w:r>
      <w:r>
        <w:rPr>
          <w:rFonts w:hint="eastAsia" w:ascii="宋体" w:hAnsi="宋体" w:eastAsia="宋体" w:cs="宋体"/>
          <w:sz w:val="22"/>
          <w:szCs w:val="22"/>
          <w:lang w:val="en-GB"/>
        </w:rPr>
        <w:t>1</w:t>
      </w:r>
      <w:r>
        <w:rPr>
          <w:rFonts w:hint="eastAsia" w:ascii="宋体" w:hAnsi="宋体" w:eastAsia="宋体" w:cs="宋体"/>
          <w:sz w:val="22"/>
          <w:szCs w:val="22"/>
          <w:lang w:val="en-GB" w:eastAsia="zh-CN"/>
        </w:rPr>
        <w:t>）</w:t>
      </w:r>
      <w:r>
        <w:rPr>
          <w:rFonts w:hint="eastAsia" w:ascii="宋体" w:hAnsi="宋体" w:eastAsia="宋体" w:cs="宋体"/>
          <w:sz w:val="22"/>
          <w:szCs w:val="22"/>
          <w:lang w:val="en-GB"/>
        </w:rPr>
        <w:t>本项目通过“政府采购云平台（www.zcygov.cn）”实行在线投标响应（电子投标）。投标人应通过“政采云电子交易客户端”，并按照本</w:t>
      </w:r>
      <w:r>
        <w:rPr>
          <w:rFonts w:hint="eastAsia" w:ascii="宋体" w:hAnsi="宋体" w:eastAsia="宋体" w:cs="宋体"/>
          <w:sz w:val="22"/>
          <w:szCs w:val="22"/>
        </w:rPr>
        <w:t>磋商</w:t>
      </w:r>
      <w:r>
        <w:rPr>
          <w:rFonts w:hint="eastAsia" w:ascii="宋体" w:hAnsi="宋体" w:eastAsia="宋体" w:cs="宋体"/>
          <w:sz w:val="22"/>
          <w:szCs w:val="22"/>
          <w:lang w:val="en-GB"/>
        </w:rPr>
        <w:t>文件和“政府采购云平台”的要求编制并加密</w:t>
      </w:r>
      <w:r>
        <w:rPr>
          <w:rFonts w:hint="eastAsia" w:ascii="宋体" w:hAnsi="宋体" w:eastAsia="宋体" w:cs="宋体"/>
          <w:sz w:val="22"/>
          <w:szCs w:val="22"/>
        </w:rPr>
        <w:t>磋商响应文件</w:t>
      </w:r>
      <w:r>
        <w:rPr>
          <w:rFonts w:hint="eastAsia" w:ascii="宋体" w:hAnsi="宋体" w:eastAsia="宋体" w:cs="宋体"/>
          <w:sz w:val="22"/>
          <w:szCs w:val="22"/>
          <w:lang w:val="en-GB"/>
        </w:rPr>
        <w:t>。</w:t>
      </w:r>
    </w:p>
    <w:p w14:paraId="506B11C4">
      <w:pPr>
        <w:spacing w:line="440" w:lineRule="exact"/>
        <w:ind w:firstLine="440" w:firstLineChars="200"/>
        <w:rPr>
          <w:rFonts w:hint="eastAsia" w:ascii="宋体" w:hAnsi="宋体" w:eastAsia="宋体" w:cs="宋体"/>
          <w:sz w:val="22"/>
          <w:szCs w:val="22"/>
          <w:lang w:val="en-GB"/>
        </w:rPr>
      </w:pPr>
      <w:r>
        <w:rPr>
          <w:rFonts w:hint="eastAsia" w:ascii="宋体" w:hAnsi="宋体" w:eastAsia="宋体" w:cs="宋体"/>
          <w:sz w:val="22"/>
          <w:szCs w:val="22"/>
          <w:lang w:val="en-US" w:eastAsia="zh-CN"/>
        </w:rPr>
        <w:t>（</w:t>
      </w:r>
      <w:r>
        <w:rPr>
          <w:rFonts w:hint="eastAsia" w:ascii="宋体" w:hAnsi="宋体" w:eastAsia="宋体" w:cs="宋体"/>
          <w:sz w:val="22"/>
          <w:szCs w:val="22"/>
        </w:rPr>
        <w:t>2</w:t>
      </w:r>
      <w:r>
        <w:rPr>
          <w:rFonts w:hint="eastAsia" w:ascii="宋体" w:hAnsi="宋体" w:eastAsia="宋体" w:cs="宋体"/>
          <w:sz w:val="22"/>
          <w:szCs w:val="22"/>
          <w:lang w:val="en-GB" w:eastAsia="zh-CN"/>
        </w:rPr>
        <w:t>）</w:t>
      </w:r>
      <w:r>
        <w:rPr>
          <w:rFonts w:hint="eastAsia" w:ascii="宋体" w:hAnsi="宋体" w:eastAsia="宋体" w:cs="宋体"/>
          <w:sz w:val="22"/>
          <w:szCs w:val="22"/>
          <w:lang w:val="zh-CN"/>
        </w:rPr>
        <w:t>各投标人在编制</w:t>
      </w:r>
      <w:r>
        <w:rPr>
          <w:rFonts w:hint="eastAsia" w:ascii="宋体" w:hAnsi="宋体" w:eastAsia="宋体" w:cs="宋体"/>
          <w:sz w:val="22"/>
          <w:szCs w:val="22"/>
        </w:rPr>
        <w:t>磋商响应</w:t>
      </w:r>
      <w:r>
        <w:rPr>
          <w:rFonts w:hint="eastAsia" w:ascii="宋体" w:hAnsi="宋体" w:eastAsia="宋体" w:cs="宋体"/>
          <w:sz w:val="22"/>
          <w:szCs w:val="22"/>
          <w:lang w:val="zh-CN"/>
        </w:rPr>
        <w:t>文件时请按照</w:t>
      </w:r>
      <w:r>
        <w:rPr>
          <w:rFonts w:hint="eastAsia" w:ascii="宋体" w:hAnsi="宋体" w:eastAsia="宋体" w:cs="宋体"/>
          <w:sz w:val="22"/>
          <w:szCs w:val="22"/>
        </w:rPr>
        <w:t>磋商</w:t>
      </w:r>
      <w:r>
        <w:rPr>
          <w:rFonts w:hint="eastAsia" w:ascii="宋体" w:hAnsi="宋体" w:eastAsia="宋体" w:cs="宋体"/>
          <w:sz w:val="22"/>
          <w:szCs w:val="22"/>
          <w:lang w:val="zh-CN"/>
        </w:rPr>
        <w:t>文件第六部分规定的格式进行，</w:t>
      </w:r>
      <w:r>
        <w:rPr>
          <w:rFonts w:hint="eastAsia" w:ascii="宋体" w:hAnsi="宋体" w:eastAsia="宋体" w:cs="宋体"/>
          <w:sz w:val="22"/>
          <w:szCs w:val="22"/>
          <w:lang w:val="en-GB"/>
        </w:rPr>
        <w:t>并按格式要求在指定位置根据要求进行签章，否则视为未提供，未提供格式的，请各投标人自行拟定格式。</w:t>
      </w:r>
    </w:p>
    <w:p w14:paraId="2F39B827">
      <w:pPr>
        <w:autoSpaceDE w:val="0"/>
        <w:autoSpaceDN w:val="0"/>
        <w:adjustRightIn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w:t>
      </w:r>
      <w:r>
        <w:rPr>
          <w:rFonts w:hint="eastAsia" w:ascii="宋体" w:hAnsi="宋体" w:eastAsia="宋体" w:cs="宋体"/>
          <w:sz w:val="22"/>
          <w:szCs w:val="22"/>
        </w:rPr>
        <w:t>3</w:t>
      </w:r>
      <w:r>
        <w:rPr>
          <w:rFonts w:hint="eastAsia" w:ascii="宋体" w:hAnsi="宋体" w:eastAsia="宋体" w:cs="宋体"/>
          <w:sz w:val="22"/>
          <w:szCs w:val="22"/>
          <w:lang w:val="en-GB" w:eastAsia="zh-CN"/>
        </w:rPr>
        <w:t>）</w:t>
      </w:r>
      <w:r>
        <w:rPr>
          <w:rFonts w:hint="eastAsia" w:ascii="宋体" w:hAnsi="宋体" w:eastAsia="宋体" w:cs="宋体"/>
          <w:sz w:val="22"/>
          <w:szCs w:val="22"/>
        </w:rPr>
        <w:t>投标人应对所提供的全部资料的真实性承担法律责任，磋商响应文件</w:t>
      </w:r>
      <w:r>
        <w:rPr>
          <w:rFonts w:hint="eastAsia" w:ascii="宋体" w:hAnsi="宋体" w:eastAsia="宋体" w:cs="宋体"/>
          <w:sz w:val="22"/>
          <w:szCs w:val="22"/>
          <w:lang w:val="zh-CN"/>
        </w:rPr>
        <w:t>内容中有要求盖章或签字的地方，必须加盖</w:t>
      </w:r>
      <w:r>
        <w:rPr>
          <w:rFonts w:hint="eastAsia" w:ascii="宋体" w:hAnsi="宋体" w:eastAsia="宋体" w:cs="宋体"/>
          <w:sz w:val="22"/>
          <w:szCs w:val="22"/>
        </w:rPr>
        <w:t>磋商投标人</w:t>
      </w:r>
      <w:r>
        <w:rPr>
          <w:rFonts w:hint="eastAsia" w:ascii="宋体" w:hAnsi="宋体" w:eastAsia="宋体" w:cs="宋体"/>
          <w:sz w:val="22"/>
          <w:szCs w:val="22"/>
          <w:lang w:val="zh-CN"/>
        </w:rPr>
        <w:t>的公章以及法定代表人（单位负责人）或授权委托代理人的盖章或签字，其中</w:t>
      </w:r>
      <w:r>
        <w:rPr>
          <w:rFonts w:hint="eastAsia" w:ascii="宋体" w:hAnsi="宋体" w:eastAsia="宋体" w:cs="宋体"/>
          <w:sz w:val="22"/>
          <w:szCs w:val="22"/>
        </w:rPr>
        <w:t>所有证书类文件提供的复印件必须全部加盖单位公章且必须在有效期内的。</w:t>
      </w:r>
    </w:p>
    <w:p w14:paraId="7407841D">
      <w:pPr>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4</w:t>
      </w:r>
      <w:r>
        <w:rPr>
          <w:rFonts w:hint="eastAsia" w:ascii="宋体" w:hAnsi="宋体" w:eastAsia="宋体" w:cs="宋体"/>
          <w:sz w:val="22"/>
          <w:szCs w:val="22"/>
          <w:lang w:val="en-GB" w:eastAsia="zh-CN"/>
        </w:rPr>
        <w:t>）</w:t>
      </w:r>
      <w:r>
        <w:rPr>
          <w:rFonts w:hint="eastAsia" w:ascii="宋体" w:hAnsi="宋体" w:eastAsia="宋体" w:cs="宋体"/>
          <w:sz w:val="22"/>
          <w:szCs w:val="22"/>
        </w:rPr>
        <w:t>磋商响应文件以及磋商投标人与采购组织机构就有关磋商事宜的所有来往函电，均应以中文汉语书写。除签字、盖章、专用名称等特殊情形外，以中文汉语以外的文字表述的磋商响应文件视同未提供。</w:t>
      </w:r>
    </w:p>
    <w:p w14:paraId="26AB19BD">
      <w:pPr>
        <w:autoSpaceDE w:val="0"/>
        <w:autoSpaceDN w:val="0"/>
        <w:adjustRightIn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5</w:t>
      </w:r>
      <w:r>
        <w:rPr>
          <w:rFonts w:hint="eastAsia" w:ascii="宋体" w:hAnsi="宋体" w:eastAsia="宋体" w:cs="宋体"/>
          <w:sz w:val="22"/>
          <w:szCs w:val="22"/>
          <w:lang w:val="en-GB" w:eastAsia="zh-CN"/>
        </w:rPr>
        <w:t>）</w:t>
      </w:r>
      <w:r>
        <w:rPr>
          <w:rFonts w:hint="eastAsia" w:ascii="宋体" w:hAnsi="宋体" w:eastAsia="宋体" w:cs="宋体"/>
          <w:sz w:val="22"/>
          <w:szCs w:val="22"/>
        </w:rPr>
        <w:t>若磋商投标人不按采购文件的要求提供资格审查材料，其风险由磋商投标人自行承担。</w:t>
      </w:r>
    </w:p>
    <w:p w14:paraId="2A8CC3EB">
      <w:pPr>
        <w:numPr>
          <w:ilvl w:val="0"/>
          <w:numId w:val="0"/>
        </w:numPr>
        <w:autoSpaceDE w:val="0"/>
        <w:autoSpaceDN w:val="0"/>
        <w:adjustRightInd w:val="0"/>
        <w:snapToGrid/>
        <w:spacing w:line="440" w:lineRule="exact"/>
        <w:ind w:firstLine="480" w:firstLineChars="0"/>
        <w:rPr>
          <w:rFonts w:hint="eastAsia" w:ascii="宋体" w:hAnsi="宋体" w:eastAsia="宋体" w:cs="宋体"/>
          <w:b/>
          <w:bCs w:val="0"/>
          <w:sz w:val="22"/>
          <w:szCs w:val="22"/>
          <w:lang w:val="en-GB"/>
        </w:rPr>
      </w:pPr>
      <w:r>
        <w:rPr>
          <w:rFonts w:hint="eastAsia" w:ascii="宋体" w:hAnsi="宋体" w:eastAsia="宋体" w:cs="宋体"/>
          <w:b/>
          <w:bCs w:val="0"/>
          <w:kern w:val="2"/>
          <w:sz w:val="22"/>
          <w:szCs w:val="22"/>
          <w:lang w:val="en-GB" w:eastAsia="zh-CN" w:bidi="ar-SA"/>
        </w:rPr>
        <w:t>2</w:t>
      </w:r>
      <w:r>
        <w:rPr>
          <w:rFonts w:hint="eastAsia" w:ascii="宋体" w:hAnsi="宋体" w:eastAsia="宋体" w:cs="宋体"/>
          <w:b/>
          <w:bCs w:val="0"/>
          <w:kern w:val="2"/>
          <w:sz w:val="22"/>
          <w:szCs w:val="22"/>
          <w:lang w:val="en-US" w:eastAsia="zh-CN" w:bidi="ar-SA"/>
        </w:rPr>
        <w:t>.</w:t>
      </w:r>
      <w:r>
        <w:rPr>
          <w:rFonts w:hint="eastAsia" w:ascii="宋体" w:hAnsi="宋体" w:eastAsia="宋体" w:cs="宋体"/>
          <w:b/>
          <w:bCs w:val="0"/>
          <w:sz w:val="22"/>
          <w:szCs w:val="22"/>
          <w:lang w:val="en-GB"/>
        </w:rPr>
        <w:t>投标文件的签章</w:t>
      </w:r>
    </w:p>
    <w:p w14:paraId="5A092185">
      <w:pPr>
        <w:pStyle w:val="51"/>
        <w:snapToGrid w:val="0"/>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rPr>
        <w:t>磋商响应</w:t>
      </w:r>
      <w:r>
        <w:rPr>
          <w:rFonts w:hint="eastAsia" w:ascii="宋体" w:hAnsi="宋体" w:eastAsia="宋体" w:cs="宋体"/>
          <w:sz w:val="22"/>
          <w:szCs w:val="22"/>
          <w:lang w:val="en-GB"/>
        </w:rPr>
        <w:t>文件按照</w:t>
      </w:r>
      <w:r>
        <w:rPr>
          <w:rFonts w:hint="eastAsia" w:ascii="宋体" w:hAnsi="宋体" w:eastAsia="宋体" w:cs="宋体"/>
          <w:sz w:val="22"/>
          <w:szCs w:val="22"/>
        </w:rPr>
        <w:t>磋商</w:t>
      </w:r>
      <w:r>
        <w:rPr>
          <w:rFonts w:hint="eastAsia" w:ascii="宋体" w:hAnsi="宋体" w:eastAsia="宋体" w:cs="宋体"/>
          <w:sz w:val="22"/>
          <w:szCs w:val="22"/>
          <w:lang w:val="en-GB"/>
        </w:rPr>
        <w:t>文件第六部分格式要求进行签署、盖章。投标人的投标文件未按照</w:t>
      </w:r>
      <w:r>
        <w:rPr>
          <w:rFonts w:hint="eastAsia" w:ascii="宋体" w:hAnsi="宋体" w:eastAsia="宋体" w:cs="宋体"/>
          <w:sz w:val="22"/>
          <w:szCs w:val="22"/>
        </w:rPr>
        <w:t>磋商</w:t>
      </w:r>
      <w:r>
        <w:rPr>
          <w:rFonts w:hint="eastAsia" w:ascii="宋体" w:hAnsi="宋体" w:eastAsia="宋体" w:cs="宋体"/>
          <w:sz w:val="22"/>
          <w:szCs w:val="22"/>
          <w:lang w:val="en-GB"/>
        </w:rPr>
        <w:t>文件要求签署、盖章的，其投标无效；其中电子投标文件中所须加盖公章部分均采用CA签章，并根据《政府采购项目电子交易管理操作指南-投标人》及本磋商文件规定的格式和顺序编制电子投标文件并进行关联定位。</w:t>
      </w:r>
    </w:p>
    <w:p w14:paraId="221067AE">
      <w:pPr>
        <w:numPr>
          <w:ilvl w:val="0"/>
          <w:numId w:val="0"/>
        </w:numPr>
        <w:autoSpaceDE w:val="0"/>
        <w:autoSpaceDN w:val="0"/>
        <w:adjustRightInd w:val="0"/>
        <w:ind w:firstLine="480" w:firstLineChars="0"/>
        <w:rPr>
          <w:rFonts w:hint="eastAsia" w:ascii="宋体" w:hAnsi="宋体" w:eastAsia="宋体" w:cs="宋体"/>
          <w:b/>
          <w:bCs w:val="0"/>
          <w:sz w:val="22"/>
          <w:szCs w:val="22"/>
          <w:lang w:val="en-GB"/>
        </w:rPr>
      </w:pPr>
      <w:r>
        <w:rPr>
          <w:rFonts w:hint="eastAsia" w:ascii="宋体" w:hAnsi="宋体" w:eastAsia="宋体" w:cs="宋体"/>
          <w:b/>
          <w:bCs w:val="0"/>
          <w:kern w:val="2"/>
          <w:sz w:val="22"/>
          <w:szCs w:val="22"/>
          <w:lang w:val="en-GB" w:eastAsia="zh-CN" w:bidi="ar-SA"/>
        </w:rPr>
        <w:t>3</w:t>
      </w:r>
      <w:r>
        <w:rPr>
          <w:rFonts w:hint="eastAsia" w:ascii="宋体" w:hAnsi="宋体" w:eastAsia="宋体" w:cs="宋体"/>
          <w:b/>
          <w:bCs w:val="0"/>
          <w:kern w:val="2"/>
          <w:sz w:val="22"/>
          <w:szCs w:val="22"/>
          <w:lang w:val="en-US" w:eastAsia="zh-CN" w:bidi="ar-SA"/>
        </w:rPr>
        <w:t>.</w:t>
      </w:r>
      <w:r>
        <w:rPr>
          <w:rFonts w:hint="eastAsia" w:ascii="宋体" w:hAnsi="宋体" w:eastAsia="宋体" w:cs="宋体"/>
          <w:b/>
          <w:bCs w:val="0"/>
          <w:sz w:val="22"/>
          <w:szCs w:val="22"/>
          <w:lang w:val="en-GB"/>
        </w:rPr>
        <w:t>备份（介质存储）投标文件的密封与标志</w:t>
      </w:r>
    </w:p>
    <w:p w14:paraId="023D4F7E">
      <w:pPr>
        <w:pStyle w:val="51"/>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lang w:val="en-US" w:eastAsia="zh-CN"/>
        </w:rPr>
        <w:t>（</w:t>
      </w:r>
      <w:r>
        <w:rPr>
          <w:rFonts w:hint="eastAsia" w:ascii="宋体" w:hAnsi="宋体" w:eastAsia="宋体" w:cs="宋体"/>
          <w:sz w:val="22"/>
          <w:szCs w:val="22"/>
          <w:lang w:val="en-GB"/>
        </w:rPr>
        <w:t>1</w:t>
      </w:r>
      <w:r>
        <w:rPr>
          <w:rFonts w:hint="eastAsia" w:ascii="宋体" w:hAnsi="宋体" w:eastAsia="宋体" w:cs="宋体"/>
          <w:sz w:val="22"/>
          <w:szCs w:val="22"/>
          <w:lang w:val="en-GB" w:eastAsia="zh-CN"/>
        </w:rPr>
        <w:t>）</w:t>
      </w:r>
      <w:r>
        <w:rPr>
          <w:rFonts w:hint="eastAsia" w:ascii="宋体" w:hAnsi="宋体" w:eastAsia="宋体" w:cs="宋体"/>
          <w:sz w:val="22"/>
          <w:szCs w:val="22"/>
          <w:lang w:val="en-GB"/>
        </w:rPr>
        <w:t>备份投标文件须密封包装。没有密封包装的投标文件，将被拒收。</w:t>
      </w:r>
    </w:p>
    <w:p w14:paraId="41670126">
      <w:pPr>
        <w:snapToGrid w:val="0"/>
        <w:spacing w:line="440" w:lineRule="exact"/>
        <w:ind w:firstLine="440" w:firstLineChars="200"/>
        <w:rPr>
          <w:rFonts w:hint="eastAsia" w:ascii="宋体" w:hAnsi="宋体" w:eastAsia="宋体" w:cs="宋体"/>
          <w:sz w:val="22"/>
          <w:szCs w:val="22"/>
          <w:lang w:val="en-GB"/>
        </w:rPr>
      </w:pPr>
      <w:r>
        <w:rPr>
          <w:rFonts w:hint="eastAsia" w:ascii="宋体" w:hAnsi="宋体" w:eastAsia="宋体" w:cs="宋体"/>
          <w:sz w:val="22"/>
          <w:szCs w:val="22"/>
          <w:lang w:val="en-US" w:eastAsia="zh-CN"/>
        </w:rPr>
        <w:t>（2</w:t>
      </w:r>
      <w:r>
        <w:rPr>
          <w:rFonts w:hint="eastAsia" w:ascii="宋体" w:hAnsi="宋体" w:eastAsia="宋体" w:cs="宋体"/>
          <w:sz w:val="22"/>
          <w:szCs w:val="22"/>
          <w:lang w:val="en-GB" w:eastAsia="zh-CN"/>
        </w:rPr>
        <w:t>）</w:t>
      </w:r>
      <w:r>
        <w:rPr>
          <w:rFonts w:hint="eastAsia" w:ascii="宋体" w:hAnsi="宋体" w:eastAsia="宋体" w:cs="宋体"/>
          <w:sz w:val="22"/>
          <w:szCs w:val="22"/>
          <w:lang w:val="en-GB"/>
        </w:rPr>
        <w:t>备份投标文件包装</w:t>
      </w:r>
      <w:r>
        <w:rPr>
          <w:rFonts w:hint="eastAsia" w:ascii="宋体" w:hAnsi="宋体" w:eastAsia="宋体" w:cs="宋体"/>
          <w:sz w:val="22"/>
          <w:szCs w:val="22"/>
          <w:lang w:val="en-GB" w:eastAsia="zh-CN"/>
        </w:rPr>
        <w:t>封面</w:t>
      </w:r>
      <w:r>
        <w:rPr>
          <w:rFonts w:hint="eastAsia" w:ascii="宋体" w:hAnsi="宋体" w:eastAsia="宋体" w:cs="宋体"/>
          <w:sz w:val="22"/>
          <w:szCs w:val="22"/>
          <w:lang w:val="en-GB"/>
        </w:rPr>
        <w:t>应写明项目名称、投标人名称。</w:t>
      </w:r>
    </w:p>
    <w:p w14:paraId="0F82B261">
      <w:pPr>
        <w:numPr>
          <w:ilvl w:val="0"/>
          <w:numId w:val="0"/>
        </w:numPr>
        <w:autoSpaceDE w:val="0"/>
        <w:autoSpaceDN w:val="0"/>
        <w:adjustRightInd w:val="0"/>
        <w:ind w:firstLine="480" w:firstLineChars="0"/>
        <w:rPr>
          <w:rFonts w:hint="eastAsia" w:ascii="宋体" w:hAnsi="宋体" w:eastAsia="宋体" w:cs="宋体"/>
          <w:b/>
          <w:bCs w:val="0"/>
          <w:sz w:val="22"/>
          <w:szCs w:val="22"/>
          <w:lang w:val="en-GB"/>
        </w:rPr>
      </w:pPr>
      <w:r>
        <w:rPr>
          <w:rFonts w:hint="eastAsia" w:ascii="宋体" w:hAnsi="宋体" w:eastAsia="宋体" w:cs="宋体"/>
          <w:b/>
          <w:bCs w:val="0"/>
          <w:kern w:val="2"/>
          <w:sz w:val="22"/>
          <w:szCs w:val="22"/>
          <w:lang w:val="en-GB" w:eastAsia="zh-CN" w:bidi="ar-SA"/>
        </w:rPr>
        <w:t>4</w:t>
      </w:r>
      <w:r>
        <w:rPr>
          <w:rFonts w:hint="eastAsia" w:ascii="宋体" w:hAnsi="宋体" w:eastAsia="宋体" w:cs="宋体"/>
          <w:b/>
          <w:bCs w:val="0"/>
          <w:kern w:val="2"/>
          <w:sz w:val="22"/>
          <w:szCs w:val="22"/>
          <w:lang w:val="en-US" w:eastAsia="zh-CN" w:bidi="ar-SA"/>
        </w:rPr>
        <w:t>.</w:t>
      </w:r>
      <w:r>
        <w:rPr>
          <w:rFonts w:hint="eastAsia" w:ascii="宋体" w:hAnsi="宋体" w:eastAsia="宋体" w:cs="宋体"/>
          <w:b/>
          <w:bCs w:val="0"/>
          <w:sz w:val="22"/>
          <w:szCs w:val="22"/>
          <w:lang w:val="en-GB"/>
        </w:rPr>
        <w:t>磋商响应文件的上传和递交</w:t>
      </w:r>
    </w:p>
    <w:p w14:paraId="62E9F678">
      <w:pPr>
        <w:pStyle w:val="51"/>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lang w:val="en-US" w:eastAsia="zh-CN"/>
        </w:rPr>
        <w:t>（</w:t>
      </w:r>
      <w:r>
        <w:rPr>
          <w:rFonts w:hint="eastAsia" w:ascii="宋体" w:hAnsi="宋体" w:eastAsia="宋体" w:cs="宋体"/>
          <w:sz w:val="22"/>
          <w:szCs w:val="22"/>
          <w:lang w:val="en-GB"/>
        </w:rPr>
        <w:t>1</w:t>
      </w:r>
      <w:r>
        <w:rPr>
          <w:rFonts w:hint="eastAsia" w:ascii="宋体" w:hAnsi="宋体" w:eastAsia="宋体" w:cs="宋体"/>
          <w:sz w:val="22"/>
          <w:szCs w:val="22"/>
          <w:lang w:val="en-GB" w:eastAsia="zh-CN"/>
        </w:rPr>
        <w:t>）</w:t>
      </w:r>
      <w:r>
        <w:rPr>
          <w:rFonts w:hint="eastAsia" w:ascii="宋体" w:hAnsi="宋体" w:eastAsia="宋体" w:cs="宋体"/>
          <w:sz w:val="22"/>
          <w:szCs w:val="22"/>
          <w:lang w:val="en-GB"/>
        </w:rPr>
        <w:t>“磋商响应文件”的上传、递交：见</w:t>
      </w:r>
      <w:r>
        <w:rPr>
          <w:rFonts w:hint="eastAsia" w:ascii="宋体" w:hAnsi="宋体" w:eastAsia="宋体" w:cs="宋体"/>
          <w:sz w:val="22"/>
          <w:szCs w:val="22"/>
        </w:rPr>
        <w:t>竞争性磋商公告及</w:t>
      </w:r>
      <w:r>
        <w:rPr>
          <w:rFonts w:hint="eastAsia" w:ascii="宋体" w:hAnsi="宋体" w:eastAsia="宋体" w:cs="宋体"/>
          <w:sz w:val="22"/>
          <w:szCs w:val="22"/>
          <w:lang w:val="en-GB"/>
        </w:rPr>
        <w:t>《前附表》。▲未传输递交电子投标文件的，投标无效。</w:t>
      </w:r>
    </w:p>
    <w:p w14:paraId="14A794AD">
      <w:pPr>
        <w:pStyle w:val="51"/>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lang w:val="en-US" w:eastAsia="zh-CN"/>
        </w:rPr>
        <w:t>（2</w:t>
      </w:r>
      <w:r>
        <w:rPr>
          <w:rFonts w:hint="eastAsia" w:ascii="宋体" w:hAnsi="宋体" w:eastAsia="宋体" w:cs="宋体"/>
          <w:sz w:val="22"/>
          <w:szCs w:val="22"/>
          <w:lang w:val="en-GB" w:eastAsia="zh-CN"/>
        </w:rPr>
        <w:t>）</w:t>
      </w:r>
      <w:r>
        <w:rPr>
          <w:rFonts w:hint="eastAsia" w:ascii="宋体" w:hAnsi="宋体" w:eastAsia="宋体" w:cs="宋体"/>
          <w:sz w:val="22"/>
          <w:szCs w:val="22"/>
          <w:lang w:val="en-GB"/>
        </w:rPr>
        <w:t>投标人应当在投标截止时</w:t>
      </w:r>
      <w:r>
        <w:rPr>
          <w:rFonts w:hint="eastAsia" w:ascii="宋体" w:hAnsi="宋体" w:eastAsia="宋体" w:cs="宋体"/>
          <w:sz w:val="22"/>
          <w:szCs w:val="22"/>
          <w:lang w:val="en-GB" w:eastAsia="zh-CN"/>
        </w:rPr>
        <w:t>间内</w:t>
      </w:r>
      <w:r>
        <w:rPr>
          <w:rFonts w:hint="eastAsia" w:ascii="宋体" w:hAnsi="宋体" w:eastAsia="宋体" w:cs="宋体"/>
          <w:sz w:val="22"/>
          <w:szCs w:val="22"/>
          <w:lang w:val="en-GB"/>
        </w:rPr>
        <w:t>将以介质存储的数据电文形式的备份磋商响应文件送交到磋商文件规定的投标地点。▲未按规定提供相应的备份磋商响应文件，造成项目开评标活动无法进行下去的，投标无效。采购机构将拒绝接受逾期送达的磋商响应文件。</w:t>
      </w:r>
    </w:p>
    <w:p w14:paraId="099DFF83">
      <w:pPr>
        <w:numPr>
          <w:ilvl w:val="0"/>
          <w:numId w:val="0"/>
        </w:numPr>
        <w:autoSpaceDE w:val="0"/>
        <w:autoSpaceDN w:val="0"/>
        <w:adjustRightInd w:val="0"/>
        <w:ind w:firstLine="480" w:firstLineChars="0"/>
        <w:rPr>
          <w:rFonts w:hint="eastAsia" w:ascii="宋体" w:hAnsi="宋体" w:eastAsia="宋体" w:cs="宋体"/>
          <w:b/>
          <w:sz w:val="22"/>
          <w:szCs w:val="22"/>
          <w:lang w:val="en-GB"/>
        </w:rPr>
      </w:pPr>
      <w:r>
        <w:rPr>
          <w:rFonts w:hint="eastAsia" w:ascii="宋体" w:hAnsi="宋体" w:eastAsia="宋体" w:cs="宋体"/>
          <w:b/>
          <w:kern w:val="2"/>
          <w:sz w:val="22"/>
          <w:szCs w:val="22"/>
          <w:lang w:val="en-GB" w:eastAsia="zh-CN" w:bidi="ar-SA"/>
        </w:rPr>
        <w:t>5</w:t>
      </w:r>
      <w:r>
        <w:rPr>
          <w:rFonts w:hint="eastAsia" w:ascii="宋体" w:hAnsi="宋体" w:eastAsia="宋体" w:cs="宋体"/>
          <w:b/>
          <w:kern w:val="2"/>
          <w:sz w:val="22"/>
          <w:szCs w:val="22"/>
          <w:lang w:val="en-US" w:eastAsia="zh-CN" w:bidi="ar-SA"/>
        </w:rPr>
        <w:t>.</w:t>
      </w:r>
      <w:r>
        <w:rPr>
          <w:rFonts w:hint="eastAsia" w:ascii="宋体" w:hAnsi="宋体" w:eastAsia="宋体" w:cs="宋体"/>
          <w:b/>
          <w:sz w:val="22"/>
          <w:szCs w:val="22"/>
          <w:lang w:val="en-GB"/>
        </w:rPr>
        <w:t>投标文件的补充、修改、撤回</w:t>
      </w:r>
    </w:p>
    <w:p w14:paraId="6C54E50B">
      <w:pPr>
        <w:pStyle w:val="51"/>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lang w:val="en-GB" w:eastAsia="zh-CN"/>
        </w:rPr>
        <w:t>（</w:t>
      </w:r>
      <w:r>
        <w:rPr>
          <w:rFonts w:hint="eastAsia" w:ascii="宋体" w:hAnsi="宋体" w:eastAsia="宋体" w:cs="宋体"/>
          <w:sz w:val="22"/>
          <w:szCs w:val="22"/>
          <w:lang w:val="en-GB"/>
        </w:rPr>
        <w:t>1</w:t>
      </w:r>
      <w:r>
        <w:rPr>
          <w:rFonts w:hint="eastAsia" w:ascii="宋体" w:hAnsi="宋体" w:eastAsia="宋体" w:cs="宋体"/>
          <w:sz w:val="22"/>
          <w:szCs w:val="22"/>
          <w:lang w:val="en-GB" w:eastAsia="zh-CN"/>
        </w:rPr>
        <w:t>）</w:t>
      </w:r>
      <w:r>
        <w:rPr>
          <w:rFonts w:hint="eastAsia" w:ascii="宋体" w:hAnsi="宋体" w:eastAsia="宋体" w:cs="宋体"/>
          <w:sz w:val="22"/>
          <w:szCs w:val="22"/>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E769F4B">
      <w:pPr>
        <w:pStyle w:val="51"/>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lang w:val="en-GB" w:eastAsia="zh-CN"/>
        </w:rPr>
        <w:t>（2）</w:t>
      </w:r>
      <w:r>
        <w:rPr>
          <w:rFonts w:hint="eastAsia" w:ascii="宋体" w:hAnsi="宋体" w:eastAsia="宋体" w:cs="宋体"/>
          <w:sz w:val="22"/>
          <w:szCs w:val="22"/>
          <w:lang w:val="en-GB"/>
        </w:rPr>
        <w:t>投标截止时间后，</w:t>
      </w:r>
      <w:r>
        <w:rPr>
          <w:rFonts w:hint="eastAsia" w:ascii="宋体" w:hAnsi="宋体" w:eastAsia="宋体" w:cs="宋体"/>
          <w:sz w:val="22"/>
          <w:szCs w:val="22"/>
          <w:lang w:val="en-GB" w:eastAsia="zh-CN"/>
        </w:rPr>
        <w:t>投标</w:t>
      </w:r>
      <w:r>
        <w:rPr>
          <w:rFonts w:hint="eastAsia" w:ascii="宋体" w:hAnsi="宋体" w:eastAsia="宋体" w:cs="宋体"/>
          <w:sz w:val="22"/>
          <w:szCs w:val="22"/>
          <w:lang w:val="en-GB"/>
        </w:rPr>
        <w:t>人不得撤回、修改投标文件。</w:t>
      </w:r>
    </w:p>
    <w:p w14:paraId="1D139707">
      <w:pPr>
        <w:pStyle w:val="51"/>
        <w:spacing w:before="0" w:line="440" w:lineRule="exact"/>
        <w:ind w:firstLine="440"/>
        <w:rPr>
          <w:rFonts w:hint="eastAsia" w:ascii="宋体" w:hAnsi="宋体" w:eastAsia="宋体" w:cs="宋体"/>
          <w:sz w:val="22"/>
          <w:szCs w:val="22"/>
          <w:lang w:val="en-GB"/>
        </w:rPr>
      </w:pPr>
      <w:r>
        <w:rPr>
          <w:rFonts w:hint="eastAsia" w:ascii="宋体" w:hAnsi="宋体" w:eastAsia="宋体" w:cs="宋体"/>
          <w:sz w:val="22"/>
          <w:szCs w:val="22"/>
          <w:lang w:val="en-GB" w:eastAsia="zh-CN"/>
        </w:rPr>
        <w:t>（3）</w:t>
      </w:r>
      <w:r>
        <w:rPr>
          <w:rFonts w:hint="eastAsia" w:ascii="宋体" w:hAnsi="宋体" w:eastAsia="宋体" w:cs="宋体"/>
          <w:sz w:val="22"/>
          <w:szCs w:val="22"/>
          <w:lang w:val="en-GB"/>
        </w:rPr>
        <w:t>在开标后规定的投标有效期内，投标人不能撤销投标文件。</w:t>
      </w:r>
    </w:p>
    <w:p w14:paraId="5A12C91F">
      <w:pPr>
        <w:tabs>
          <w:tab w:val="left" w:pos="1418"/>
        </w:tabs>
        <w:autoSpaceDE w:val="0"/>
        <w:autoSpaceDN w:val="0"/>
        <w:adjustRightInd w:val="0"/>
        <w:spacing w:line="440" w:lineRule="exact"/>
        <w:ind w:left="480"/>
        <w:rPr>
          <w:rFonts w:hint="eastAsia" w:ascii="宋体" w:hAnsi="宋体" w:eastAsia="宋体" w:cs="宋体"/>
          <w:sz w:val="22"/>
          <w:szCs w:val="22"/>
        </w:rPr>
      </w:pPr>
      <w:r>
        <w:rPr>
          <w:rFonts w:hint="eastAsia" w:ascii="宋体" w:hAnsi="宋体" w:eastAsia="宋体" w:cs="宋体"/>
          <w:b/>
          <w:sz w:val="22"/>
          <w:szCs w:val="22"/>
        </w:rPr>
        <w:t>（三）磋商响应文件的有效期</w:t>
      </w:r>
    </w:p>
    <w:p w14:paraId="68D5833D">
      <w:pPr>
        <w:autoSpaceDE w:val="0"/>
        <w:autoSpaceDN w:val="0"/>
        <w:adjustRightInd w:val="0"/>
        <w:spacing w:line="400" w:lineRule="exact"/>
        <w:ind w:firstLine="435" w:firstLineChars="198"/>
        <w:rPr>
          <w:rFonts w:hint="eastAsia" w:ascii="宋体" w:hAnsi="宋体" w:eastAsia="宋体" w:cs="宋体"/>
          <w:sz w:val="22"/>
          <w:szCs w:val="22"/>
          <w:lang w:val="en-GB"/>
        </w:rPr>
      </w:pPr>
      <w:r>
        <w:rPr>
          <w:rFonts w:hint="eastAsia" w:ascii="宋体" w:hAnsi="宋体" w:eastAsia="宋体" w:cs="宋体"/>
          <w:sz w:val="22"/>
          <w:szCs w:val="22"/>
          <w:lang w:val="en-GB" w:eastAsia="zh-CN"/>
        </w:rPr>
        <w:t>1.</w:t>
      </w:r>
      <w:r>
        <w:rPr>
          <w:rFonts w:hint="eastAsia" w:ascii="宋体" w:hAnsi="宋体" w:eastAsia="宋体" w:cs="宋体"/>
          <w:sz w:val="22"/>
          <w:szCs w:val="22"/>
          <w:lang w:val="en-GB"/>
        </w:rPr>
        <w:t>自磋商响应截止日起90天磋商响应文件应保持有效。有效期不足的磋商响应文件将被拒绝。</w:t>
      </w:r>
    </w:p>
    <w:p w14:paraId="1A8419DC">
      <w:pPr>
        <w:autoSpaceDE w:val="0"/>
        <w:autoSpaceDN w:val="0"/>
        <w:adjustRightInd w:val="0"/>
        <w:spacing w:line="400" w:lineRule="exact"/>
        <w:ind w:firstLine="435" w:firstLineChars="198"/>
        <w:rPr>
          <w:rFonts w:hint="eastAsia" w:ascii="宋体" w:hAnsi="宋体" w:eastAsia="宋体" w:cs="宋体"/>
          <w:sz w:val="22"/>
          <w:szCs w:val="22"/>
          <w:lang w:val="en-GB"/>
        </w:rPr>
      </w:pPr>
      <w:r>
        <w:rPr>
          <w:rFonts w:hint="eastAsia" w:ascii="宋体" w:hAnsi="宋体" w:eastAsia="宋体" w:cs="宋体"/>
          <w:sz w:val="22"/>
          <w:szCs w:val="22"/>
          <w:lang w:val="en-GB" w:eastAsia="zh-CN"/>
        </w:rPr>
        <w:t>2.</w:t>
      </w:r>
      <w:r>
        <w:rPr>
          <w:rFonts w:hint="eastAsia" w:ascii="宋体" w:hAnsi="宋体" w:eastAsia="宋体" w:cs="宋体"/>
          <w:sz w:val="22"/>
          <w:szCs w:val="22"/>
          <w:lang w:val="en-GB"/>
        </w:rPr>
        <w:t>在特殊情况下，采购人可与磋商投标人协商延长磋商响应文件的有效期，这种要求和答复均以书面形式进行。</w:t>
      </w:r>
    </w:p>
    <w:p w14:paraId="77E305C0">
      <w:pPr>
        <w:autoSpaceDE w:val="0"/>
        <w:autoSpaceDN w:val="0"/>
        <w:adjustRightInd w:val="0"/>
        <w:spacing w:line="400" w:lineRule="exact"/>
        <w:ind w:firstLine="435" w:firstLineChars="198"/>
        <w:rPr>
          <w:rFonts w:hint="eastAsia" w:ascii="宋体" w:hAnsi="宋体" w:eastAsia="宋体" w:cs="宋体"/>
          <w:sz w:val="22"/>
          <w:szCs w:val="22"/>
        </w:rPr>
      </w:pPr>
      <w:r>
        <w:rPr>
          <w:rFonts w:hint="eastAsia" w:ascii="宋体" w:hAnsi="宋体" w:eastAsia="宋体" w:cs="宋体"/>
          <w:sz w:val="22"/>
          <w:szCs w:val="22"/>
        </w:rPr>
        <w:t>3.成交人的磋商响应文件自磋商之日起至合同履行完毕均应保持有效。</w:t>
      </w:r>
    </w:p>
    <w:p w14:paraId="293D012F">
      <w:pPr>
        <w:tabs>
          <w:tab w:val="left" w:pos="1418"/>
        </w:tabs>
        <w:autoSpaceDE w:val="0"/>
        <w:autoSpaceDN w:val="0"/>
        <w:adjustRightInd w:val="0"/>
        <w:spacing w:line="440" w:lineRule="exact"/>
        <w:ind w:firstLine="333" w:firstLineChars="151"/>
        <w:rPr>
          <w:rFonts w:hint="eastAsia" w:ascii="宋体" w:hAnsi="宋体" w:eastAsia="宋体" w:cs="宋体"/>
          <w:b/>
          <w:sz w:val="22"/>
          <w:szCs w:val="22"/>
        </w:rPr>
      </w:pPr>
      <w:r>
        <w:rPr>
          <w:rFonts w:hint="eastAsia" w:ascii="宋体" w:hAnsi="宋体" w:eastAsia="宋体" w:cs="宋体"/>
          <w:b/>
          <w:sz w:val="22"/>
          <w:szCs w:val="22"/>
        </w:rPr>
        <w:t>四、磋商</w:t>
      </w:r>
    </w:p>
    <w:p w14:paraId="767165B5">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b/>
          <w:sz w:val="22"/>
          <w:szCs w:val="22"/>
        </w:rPr>
        <w:t>（一）磋商程序</w:t>
      </w:r>
    </w:p>
    <w:p w14:paraId="0E6D63BB">
      <w:pPr>
        <w:autoSpaceDE w:val="0"/>
        <w:autoSpaceDN w:val="0"/>
        <w:adjustRightInd w:val="0"/>
        <w:spacing w:line="440" w:lineRule="exact"/>
        <w:ind w:firstLine="435" w:firstLineChars="198"/>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采购组织机构将在“磋商公告”规定的时间和地点进行磋商，磋商采购会议由采购组织机构工作人员主持。</w:t>
      </w:r>
    </w:p>
    <w:p w14:paraId="4C767593">
      <w:pPr>
        <w:pStyle w:val="17"/>
        <w:snapToGrid w:val="0"/>
        <w:spacing w:line="440" w:lineRule="exact"/>
        <w:ind w:firstLine="440" w:firstLineChars="200"/>
        <w:rPr>
          <w:rFonts w:hint="eastAsia" w:ascii="宋体" w:hAnsi="宋体" w:eastAsia="宋体" w:cs="宋体"/>
          <w:sz w:val="20"/>
          <w:szCs w:val="20"/>
        </w:rPr>
      </w:pPr>
      <w:r>
        <w:rPr>
          <w:rFonts w:hint="eastAsia" w:hAnsi="宋体" w:eastAsia="宋体" w:cs="宋体"/>
          <w:sz w:val="22"/>
          <w:szCs w:val="22"/>
          <w:lang w:eastAsia="zh-CN"/>
        </w:rPr>
        <w:t>2.</w:t>
      </w:r>
      <w:r>
        <w:rPr>
          <w:rFonts w:hint="eastAsia" w:ascii="宋体" w:hAnsi="宋体" w:eastAsia="宋体" w:cs="宋体"/>
          <w:sz w:val="22"/>
          <w:szCs w:val="22"/>
        </w:rPr>
        <w:t>主持人宣布磋商采购会议开始，介绍磋商现场的人员情况，宣读提交磋商响应文件的投标人名单、磋商纪律、应当回避的情形等注意事项，组织投标人签署不存在影响公平竞争的《政府采购活动现场确认声明书》。</w:t>
      </w:r>
    </w:p>
    <w:p w14:paraId="525B73EA">
      <w:pPr>
        <w:spacing w:line="440" w:lineRule="exact"/>
        <w:ind w:firstLine="440" w:firstLineChars="200"/>
        <w:rPr>
          <w:rFonts w:hint="eastAsia" w:ascii="宋体" w:hAnsi="宋体" w:eastAsia="宋体" w:cs="宋体"/>
          <w:sz w:val="22"/>
          <w:szCs w:val="28"/>
        </w:rPr>
      </w:pPr>
      <w:r>
        <w:rPr>
          <w:rFonts w:hint="eastAsia" w:ascii="宋体" w:hAnsi="宋体" w:eastAsia="宋体" w:cs="宋体"/>
          <w:sz w:val="22"/>
          <w:szCs w:val="22"/>
          <w:lang w:eastAsia="zh-CN"/>
        </w:rPr>
        <w:t>3.</w:t>
      </w:r>
      <w:r>
        <w:rPr>
          <w:rFonts w:hint="eastAsia" w:ascii="宋体" w:hAnsi="宋体" w:eastAsia="宋体" w:cs="宋体"/>
          <w:sz w:val="22"/>
          <w:szCs w:val="28"/>
        </w:rPr>
        <w:t>向各投标人发出电子加密投标文件【开始解密】通知，由投标人按磋商文件规定的时间内自行进行投标文件解密。磋商响应文件的制作和解密应使用同一个数字证书，否则将可能解密失败。</w:t>
      </w:r>
    </w:p>
    <w:p w14:paraId="1493B30C">
      <w:pPr>
        <w:spacing w:line="440" w:lineRule="exact"/>
        <w:ind w:firstLine="440" w:firstLineChars="200"/>
        <w:rPr>
          <w:rFonts w:hint="eastAsia" w:ascii="宋体" w:hAnsi="宋体" w:eastAsia="宋体" w:cs="宋体"/>
          <w:sz w:val="22"/>
          <w:szCs w:val="28"/>
        </w:rPr>
      </w:pPr>
      <w:r>
        <w:rPr>
          <w:rFonts w:hint="eastAsia" w:ascii="宋体" w:hAnsi="宋体" w:eastAsia="宋体" w:cs="宋体"/>
          <w:sz w:val="22"/>
          <w:szCs w:val="28"/>
          <w:lang w:eastAsia="zh-CN"/>
        </w:rPr>
        <w:t>4.</w:t>
      </w:r>
      <w:r>
        <w:rPr>
          <w:rFonts w:hint="eastAsia" w:ascii="宋体" w:hAnsi="宋体" w:eastAsia="宋体" w:cs="宋体"/>
          <w:sz w:val="22"/>
          <w:szCs w:val="28"/>
        </w:rPr>
        <w:t>采购组织机构点击【开启标书信息】，开启标书成功后进入开标流程。</w:t>
      </w:r>
    </w:p>
    <w:p w14:paraId="31F52B45">
      <w:pPr>
        <w:autoSpaceDE w:val="0"/>
        <w:autoSpaceDN w:val="0"/>
        <w:adjustRightInd w:val="0"/>
        <w:spacing w:line="440" w:lineRule="exact"/>
        <w:ind w:firstLine="435" w:firstLineChars="198"/>
        <w:rPr>
          <w:rFonts w:hint="eastAsia" w:ascii="宋体" w:hAnsi="宋体" w:eastAsia="宋体" w:cs="宋体"/>
          <w:sz w:val="22"/>
          <w:szCs w:val="22"/>
        </w:rPr>
      </w:pPr>
      <w:r>
        <w:rPr>
          <w:rFonts w:hint="eastAsia" w:ascii="宋体" w:hAnsi="宋体" w:eastAsia="宋体" w:cs="宋体"/>
          <w:sz w:val="22"/>
          <w:szCs w:val="22"/>
          <w:lang w:eastAsia="zh-CN"/>
        </w:rPr>
        <w:t>5.</w:t>
      </w:r>
      <w:r>
        <w:rPr>
          <w:rFonts w:hint="eastAsia" w:ascii="宋体" w:hAnsi="宋体" w:eastAsia="宋体" w:cs="宋体"/>
          <w:sz w:val="22"/>
          <w:szCs w:val="22"/>
        </w:rPr>
        <w:t>本项目采用电子评审方法，若因政采云平台原因无法正常解密，采购代理机构将上传备份（介质存储）投标文件，以完成开、评标工作。</w:t>
      </w:r>
    </w:p>
    <w:p w14:paraId="5C2FEEC1">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6.</w:t>
      </w:r>
      <w:r>
        <w:rPr>
          <w:rFonts w:hint="eastAsia" w:ascii="宋体" w:hAnsi="宋体" w:eastAsia="宋体" w:cs="宋体"/>
          <w:sz w:val="22"/>
          <w:szCs w:val="22"/>
        </w:rPr>
        <w:t>磋商小组必须按照客观、公正、审慎的原则，根据磋商文件规定的评审程序、评审方法和评审标准进行独立评审。未实质性响应磋商文件的响应文件按无效响应处理，磋商小组应当告知提交响应文件的投标人。</w:t>
      </w:r>
    </w:p>
    <w:p w14:paraId="14638FF1">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7.</w:t>
      </w:r>
      <w:r>
        <w:rPr>
          <w:rFonts w:hint="eastAsia" w:ascii="宋体" w:hAnsi="宋体" w:eastAsia="宋体" w:cs="宋体"/>
          <w:sz w:val="22"/>
          <w:szCs w:val="22"/>
        </w:rPr>
        <w:t>磋商小组所有成员集中与单一投标人分别进行磋商，并给予所有参加磋商的投标人平等的磋商机会。</w:t>
      </w:r>
    </w:p>
    <w:p w14:paraId="498D68C1">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8.</w:t>
      </w:r>
      <w:r>
        <w:rPr>
          <w:rFonts w:hint="eastAsia" w:ascii="宋体" w:hAnsi="宋体" w:eastAsia="宋体" w:cs="宋体"/>
          <w:sz w:val="22"/>
          <w:szCs w:val="22"/>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投标人。投标人应当按照磋商文件的变动情况和磋商小组的要求重新提交响应文件，并由其法定代表人（单位负责人）或授权委托代理人签字或者加盖公章。</w:t>
      </w:r>
    </w:p>
    <w:p w14:paraId="0A2FB2AE">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9.</w:t>
      </w:r>
      <w:r>
        <w:rPr>
          <w:rFonts w:hint="eastAsia" w:ascii="宋体" w:hAnsi="宋体" w:eastAsia="宋体" w:cs="宋体"/>
          <w:sz w:val="22"/>
          <w:szCs w:val="22"/>
        </w:rPr>
        <w:t xml:space="preserve">磋商文件能够详细列明采购标的技术、服务要求的，磋商结束后，磋商小组将要求所有实质性响应的投标人在规定时间内提交最后报价，最后报价是投标人响应文件的有效组成部分。 </w:t>
      </w:r>
    </w:p>
    <w:p w14:paraId="7A6B431E">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0.</w:t>
      </w:r>
      <w:r>
        <w:rPr>
          <w:rFonts w:hint="eastAsia" w:ascii="宋体" w:hAnsi="宋体" w:eastAsia="宋体" w:cs="宋体"/>
          <w:sz w:val="22"/>
          <w:szCs w:val="22"/>
        </w:rPr>
        <w:t>经磋商确定最终采购需求和提交最后报价的投标人后</w:t>
      </w:r>
      <w:r>
        <w:rPr>
          <w:rFonts w:hint="eastAsia" w:ascii="宋体" w:hAnsi="宋体" w:eastAsia="宋体" w:cs="宋体"/>
          <w:b/>
          <w:bCs/>
          <w:sz w:val="22"/>
          <w:szCs w:val="22"/>
        </w:rPr>
        <w:t>（报价明细表各项单价按最终报价/首次报价*100%的比例进行结算）</w:t>
      </w:r>
      <w:r>
        <w:rPr>
          <w:rFonts w:hint="eastAsia" w:ascii="宋体" w:hAnsi="宋体" w:eastAsia="宋体" w:cs="宋体"/>
          <w:sz w:val="22"/>
          <w:szCs w:val="22"/>
        </w:rPr>
        <w:t>，由磋商小组采用综合评分法对提交最后报价的投标人的响应文件和最后报价进行综合评分。</w:t>
      </w:r>
    </w:p>
    <w:p w14:paraId="6757247F">
      <w:pPr>
        <w:pStyle w:val="17"/>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hAnsi="宋体" w:eastAsia="宋体" w:cs="宋体"/>
          <w:sz w:val="22"/>
          <w:szCs w:val="22"/>
          <w:lang w:eastAsia="zh-CN"/>
        </w:rPr>
        <w:t>1.</w:t>
      </w:r>
      <w:r>
        <w:rPr>
          <w:rFonts w:hint="eastAsia" w:ascii="宋体" w:hAnsi="宋体" w:eastAsia="宋体" w:cs="宋体"/>
          <w:sz w:val="22"/>
          <w:szCs w:val="22"/>
        </w:rPr>
        <w:t>磋商小组根据综合评分情况，按照评审得分由高到低顺序确定预成交人，编写评审报告。</w:t>
      </w:r>
    </w:p>
    <w:p w14:paraId="59C14B9A">
      <w:pPr>
        <w:pStyle w:val="17"/>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hAnsi="宋体" w:eastAsia="宋体" w:cs="宋体"/>
          <w:sz w:val="22"/>
          <w:szCs w:val="22"/>
          <w:lang w:eastAsia="zh-CN"/>
        </w:rPr>
        <w:t>2.</w:t>
      </w:r>
      <w:r>
        <w:rPr>
          <w:rFonts w:hint="eastAsia" w:ascii="宋体" w:hAnsi="宋体" w:eastAsia="宋体" w:cs="宋体"/>
          <w:sz w:val="22"/>
          <w:szCs w:val="22"/>
        </w:rPr>
        <w:t>采购组织机构对磋商小组专家成员进行评价；</w:t>
      </w:r>
    </w:p>
    <w:p w14:paraId="573378A9">
      <w:pPr>
        <w:pStyle w:val="17"/>
        <w:snapToGrid w:val="0"/>
        <w:spacing w:line="440" w:lineRule="exact"/>
        <w:ind w:left="0" w:leftChars="0"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hAnsi="宋体" w:eastAsia="宋体" w:cs="宋体"/>
          <w:sz w:val="22"/>
          <w:szCs w:val="22"/>
          <w:lang w:eastAsia="zh-CN"/>
        </w:rPr>
        <w:t>3.</w:t>
      </w:r>
      <w:r>
        <w:rPr>
          <w:rFonts w:hint="eastAsia" w:ascii="宋体" w:hAnsi="宋体" w:eastAsia="宋体" w:cs="宋体"/>
          <w:sz w:val="22"/>
          <w:szCs w:val="22"/>
        </w:rPr>
        <w:t>主持人将当场公布磋商结果（含技术得分、最后报价、报价得分及总得分），磋商采购会议结束。</w:t>
      </w:r>
    </w:p>
    <w:p w14:paraId="7A75EC4B">
      <w:pPr>
        <w:pStyle w:val="17"/>
        <w:snapToGrid w:val="0"/>
        <w:spacing w:line="440" w:lineRule="exact"/>
        <w:ind w:left="700" w:leftChars="228" w:hanging="221" w:hangingChars="100"/>
        <w:rPr>
          <w:rFonts w:hint="eastAsia" w:ascii="宋体" w:hAnsi="宋体" w:eastAsia="宋体" w:cs="宋体"/>
          <w:sz w:val="22"/>
          <w:szCs w:val="22"/>
        </w:rPr>
      </w:pPr>
      <w:r>
        <w:rPr>
          <w:rFonts w:hint="eastAsia" w:ascii="宋体" w:hAnsi="宋体" w:eastAsia="宋体" w:cs="宋体"/>
          <w:b/>
          <w:sz w:val="22"/>
          <w:szCs w:val="22"/>
        </w:rPr>
        <w:t>（二）澄清问题的形式</w:t>
      </w:r>
    </w:p>
    <w:p w14:paraId="0567A0D6">
      <w:pPr>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磋商投标人的澄清、说明或者补正应当采用书面形式，并加盖公章，或者由法定代理人或其授权的代表签字，并不得超出磋商响应文件的范围或者改变磋商响应文件的实质性内容。</w:t>
      </w:r>
    </w:p>
    <w:p w14:paraId="49CCC90E">
      <w:pPr>
        <w:snapToGrid w:val="0"/>
        <w:spacing w:line="440" w:lineRule="exact"/>
        <w:ind w:firstLine="442" w:firstLineChars="200"/>
        <w:rPr>
          <w:rFonts w:hint="eastAsia" w:ascii="宋体" w:hAnsi="宋体" w:eastAsia="宋体" w:cs="宋体"/>
          <w:sz w:val="22"/>
          <w:szCs w:val="22"/>
        </w:rPr>
      </w:pPr>
      <w:r>
        <w:rPr>
          <w:rFonts w:hint="eastAsia" w:ascii="宋体" w:hAnsi="宋体" w:eastAsia="宋体" w:cs="宋体"/>
          <w:b/>
          <w:sz w:val="22"/>
          <w:szCs w:val="22"/>
        </w:rPr>
        <w:t>（三）错误修正</w:t>
      </w:r>
    </w:p>
    <w:p w14:paraId="77092DDA">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磋商响应文件报价出现前后不一致的，除</w:t>
      </w:r>
      <w:r>
        <w:rPr>
          <w:rFonts w:hint="eastAsia" w:ascii="宋体" w:hAnsi="宋体" w:eastAsia="宋体" w:cs="宋体"/>
          <w:bCs/>
          <w:sz w:val="22"/>
          <w:szCs w:val="22"/>
        </w:rPr>
        <w:t>磋商采购文件</w:t>
      </w:r>
      <w:r>
        <w:rPr>
          <w:rFonts w:hint="eastAsia" w:ascii="宋体" w:hAnsi="宋体" w:eastAsia="宋体" w:cs="宋体"/>
          <w:sz w:val="22"/>
          <w:szCs w:val="22"/>
        </w:rPr>
        <w:t>另有规定外，按照下列规定修正：</w:t>
      </w:r>
    </w:p>
    <w:p w14:paraId="23B9318A">
      <w:pPr>
        <w:pStyle w:val="28"/>
        <w:spacing w:before="0" w:beforeAutospacing="0" w:after="0" w:afterAutospacing="0" w:line="440" w:lineRule="exact"/>
        <w:rPr>
          <w:rFonts w:hint="eastAsia" w:ascii="宋体" w:hAnsi="宋体" w:eastAsia="宋体" w:cs="宋体"/>
          <w:sz w:val="22"/>
          <w:szCs w:val="22"/>
        </w:rPr>
      </w:pPr>
      <w:r>
        <w:rPr>
          <w:rFonts w:hint="eastAsia" w:ascii="宋体" w:hAnsi="宋体" w:eastAsia="宋体" w:cs="宋体"/>
          <w:sz w:val="22"/>
          <w:szCs w:val="22"/>
        </w:rPr>
        <w:t>　　</w:t>
      </w:r>
      <w:r>
        <w:rPr>
          <w:rFonts w:hint="eastAsia" w:eastAsia="宋体" w:cs="宋体"/>
          <w:sz w:val="22"/>
          <w:szCs w:val="22"/>
          <w:lang w:eastAsia="zh-CN"/>
        </w:rPr>
        <w:t>1.</w:t>
      </w:r>
      <w:r>
        <w:rPr>
          <w:rFonts w:hint="eastAsia" w:ascii="宋体" w:hAnsi="宋体" w:eastAsia="宋体" w:cs="宋体"/>
          <w:sz w:val="22"/>
          <w:szCs w:val="22"/>
        </w:rPr>
        <w:t>磋商响应文件中首次报价一览表内容与磋商响应文件中相应内容不一致的，以首次报价一览表为准；</w:t>
      </w:r>
    </w:p>
    <w:p w14:paraId="2AF4DDAA">
      <w:pPr>
        <w:pStyle w:val="28"/>
        <w:spacing w:before="0" w:beforeAutospacing="0" w:after="0" w:afterAutospacing="0" w:line="440" w:lineRule="exact"/>
        <w:rPr>
          <w:rFonts w:hint="eastAsia" w:ascii="宋体" w:hAnsi="宋体" w:eastAsia="宋体" w:cs="宋体"/>
          <w:sz w:val="22"/>
          <w:szCs w:val="22"/>
        </w:rPr>
      </w:pPr>
      <w:r>
        <w:rPr>
          <w:rFonts w:hint="eastAsia" w:ascii="宋体" w:hAnsi="宋体" w:eastAsia="宋体" w:cs="宋体"/>
          <w:sz w:val="22"/>
          <w:szCs w:val="22"/>
        </w:rPr>
        <w:t>　　</w:t>
      </w:r>
      <w:r>
        <w:rPr>
          <w:rFonts w:hint="eastAsia" w:eastAsia="宋体" w:cs="宋体"/>
          <w:sz w:val="22"/>
          <w:szCs w:val="22"/>
          <w:lang w:eastAsia="zh-CN"/>
        </w:rPr>
        <w:t>2.</w:t>
      </w:r>
      <w:r>
        <w:rPr>
          <w:rFonts w:hint="eastAsia" w:ascii="宋体" w:hAnsi="宋体" w:eastAsia="宋体" w:cs="宋体"/>
          <w:sz w:val="22"/>
          <w:szCs w:val="22"/>
        </w:rPr>
        <w:t>大写金额和小写金额不一致的，以大写金额为准；</w:t>
      </w:r>
    </w:p>
    <w:p w14:paraId="445B2EEA">
      <w:pPr>
        <w:pStyle w:val="28"/>
        <w:spacing w:before="0" w:beforeAutospacing="0" w:after="0" w:afterAutospacing="0" w:line="440" w:lineRule="exact"/>
        <w:rPr>
          <w:rFonts w:hint="eastAsia" w:ascii="宋体" w:hAnsi="宋体" w:eastAsia="宋体" w:cs="宋体"/>
          <w:sz w:val="22"/>
          <w:szCs w:val="22"/>
        </w:rPr>
      </w:pPr>
      <w:r>
        <w:rPr>
          <w:rFonts w:hint="eastAsia" w:ascii="宋体" w:hAnsi="宋体" w:eastAsia="宋体" w:cs="宋体"/>
          <w:sz w:val="22"/>
          <w:szCs w:val="22"/>
        </w:rPr>
        <w:t>　　</w:t>
      </w:r>
      <w:r>
        <w:rPr>
          <w:rFonts w:hint="eastAsia" w:eastAsia="宋体" w:cs="宋体"/>
          <w:sz w:val="22"/>
          <w:szCs w:val="22"/>
          <w:lang w:eastAsia="zh-CN"/>
        </w:rPr>
        <w:t>3.</w:t>
      </w:r>
      <w:r>
        <w:rPr>
          <w:rFonts w:hint="eastAsia" w:ascii="宋体" w:hAnsi="宋体" w:eastAsia="宋体" w:cs="宋体"/>
          <w:sz w:val="22"/>
          <w:szCs w:val="22"/>
        </w:rPr>
        <w:t>单价金额小数点或者百分比有明显错位的，以首次报价一览表的总价为准，并修改单价；</w:t>
      </w:r>
    </w:p>
    <w:p w14:paraId="33D3A8B5">
      <w:pPr>
        <w:pStyle w:val="28"/>
        <w:spacing w:before="0" w:beforeAutospacing="0" w:after="0" w:afterAutospacing="0" w:line="440" w:lineRule="exact"/>
        <w:rPr>
          <w:rFonts w:hint="eastAsia" w:ascii="宋体" w:hAnsi="宋体" w:eastAsia="宋体" w:cs="宋体"/>
          <w:sz w:val="22"/>
          <w:szCs w:val="22"/>
        </w:rPr>
      </w:pPr>
      <w:r>
        <w:rPr>
          <w:rFonts w:hint="eastAsia" w:ascii="宋体" w:hAnsi="宋体" w:eastAsia="宋体" w:cs="宋体"/>
          <w:sz w:val="22"/>
          <w:szCs w:val="22"/>
        </w:rPr>
        <w:t>　　</w:t>
      </w:r>
      <w:r>
        <w:rPr>
          <w:rFonts w:hint="eastAsia" w:eastAsia="宋体" w:cs="宋体"/>
          <w:sz w:val="22"/>
          <w:szCs w:val="22"/>
          <w:lang w:eastAsia="zh-CN"/>
        </w:rPr>
        <w:t>4.</w:t>
      </w:r>
      <w:r>
        <w:rPr>
          <w:rFonts w:hint="eastAsia" w:ascii="宋体" w:hAnsi="宋体" w:eastAsia="宋体" w:cs="宋体"/>
          <w:sz w:val="22"/>
          <w:szCs w:val="22"/>
        </w:rPr>
        <w:t>总价金额与按单价汇总金额不一致的，以单价金额计算结果为准。</w:t>
      </w:r>
    </w:p>
    <w:p w14:paraId="531BB01C">
      <w:pPr>
        <w:pStyle w:val="28"/>
        <w:spacing w:before="0" w:beforeAutospacing="0" w:after="0" w:afterAutospacing="0" w:line="440" w:lineRule="exact"/>
        <w:ind w:firstLine="480"/>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应当采用书面形式，并加盖公章，或者由法定代表人（单位负责人）或其授权的代表签字。修正后的报价经磋商投标人确认后产生约束力，磋商投标人不确认的，将终止磋商。</w:t>
      </w:r>
    </w:p>
    <w:p w14:paraId="30BF7831">
      <w:pPr>
        <w:pStyle w:val="28"/>
        <w:spacing w:before="0" w:beforeAutospacing="0" w:after="0" w:afterAutospacing="0" w:line="440" w:lineRule="exact"/>
        <w:ind w:firstLine="480"/>
        <w:rPr>
          <w:rFonts w:hint="eastAsia" w:ascii="宋体" w:hAnsi="宋体" w:eastAsia="宋体" w:cs="宋体"/>
          <w:sz w:val="22"/>
          <w:szCs w:val="22"/>
        </w:rPr>
      </w:pPr>
      <w:r>
        <w:rPr>
          <w:rFonts w:hint="eastAsia" w:ascii="宋体" w:hAnsi="宋体" w:eastAsia="宋体" w:cs="宋体"/>
          <w:b/>
          <w:bCs/>
          <w:sz w:val="22"/>
          <w:szCs w:val="22"/>
        </w:rPr>
        <w:t>（四）</w:t>
      </w:r>
      <w:r>
        <w:rPr>
          <w:rFonts w:hint="eastAsia" w:ascii="宋体" w:hAnsi="宋体" w:eastAsia="宋体" w:cs="宋体"/>
          <w:b/>
          <w:sz w:val="22"/>
          <w:szCs w:val="22"/>
        </w:rPr>
        <w:t>磋商投标人存在下列情况之一的，响应无效，终止磋商</w:t>
      </w:r>
    </w:p>
    <w:p w14:paraId="0BD4B7AC">
      <w:pPr>
        <w:adjustRightInd w:val="0"/>
        <w:snapToGrid w:val="0"/>
        <w:spacing w:line="440" w:lineRule="exact"/>
        <w:ind w:firstLine="440" w:firstLineChars="200"/>
        <w:rPr>
          <w:rFonts w:hint="eastAsia" w:ascii="宋体" w:hAnsi="宋体" w:eastAsia="宋体" w:cs="宋体"/>
          <w:b/>
          <w:bCs/>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磋商响应文件中的商务与技术内容中的供应货物出现重大偏差的；</w:t>
      </w:r>
    </w:p>
    <w:p w14:paraId="317F32FF">
      <w:pPr>
        <w:pStyle w:val="28"/>
        <w:tabs>
          <w:tab w:val="left" w:pos="7380"/>
        </w:tabs>
        <w:adjustRightInd w:val="0"/>
        <w:snapToGrid w:val="0"/>
        <w:spacing w:before="0" w:beforeAutospacing="0" w:after="0" w:afterAutospacing="0" w:line="440" w:lineRule="exact"/>
        <w:ind w:firstLine="440" w:firstLineChars="200"/>
        <w:rPr>
          <w:rFonts w:hint="eastAsia" w:ascii="宋体" w:hAnsi="宋体" w:eastAsia="宋体" w:cs="宋体"/>
          <w:sz w:val="22"/>
          <w:szCs w:val="22"/>
        </w:rPr>
      </w:pPr>
      <w:r>
        <w:rPr>
          <w:rFonts w:hint="eastAsia" w:eastAsia="宋体" w:cs="宋体"/>
          <w:sz w:val="22"/>
          <w:szCs w:val="22"/>
          <w:lang w:eastAsia="zh-CN"/>
        </w:rPr>
        <w:t>2.</w:t>
      </w:r>
      <w:r>
        <w:rPr>
          <w:rFonts w:hint="eastAsia" w:ascii="宋体" w:hAnsi="宋体" w:eastAsia="宋体" w:cs="宋体"/>
          <w:sz w:val="22"/>
          <w:szCs w:val="22"/>
        </w:rPr>
        <w:t>不具备磋商采购文件中规定的资格要求的。</w:t>
      </w:r>
    </w:p>
    <w:p w14:paraId="694439F4">
      <w:pPr>
        <w:pStyle w:val="28"/>
        <w:adjustRightInd w:val="0"/>
        <w:snapToGrid w:val="0"/>
        <w:spacing w:before="0" w:beforeAutospacing="0" w:after="0" w:afterAutospacing="0" w:line="440" w:lineRule="exact"/>
        <w:ind w:firstLine="440" w:firstLineChars="200"/>
        <w:rPr>
          <w:rFonts w:hint="eastAsia" w:ascii="宋体" w:hAnsi="宋体" w:eastAsia="宋体" w:cs="宋体"/>
          <w:sz w:val="22"/>
          <w:szCs w:val="22"/>
        </w:rPr>
      </w:pPr>
      <w:r>
        <w:rPr>
          <w:rFonts w:hint="eastAsia" w:eastAsia="宋体" w:cs="宋体"/>
          <w:sz w:val="22"/>
          <w:szCs w:val="22"/>
          <w:lang w:eastAsia="zh-CN"/>
        </w:rPr>
        <w:t>3.</w:t>
      </w:r>
      <w:r>
        <w:rPr>
          <w:rFonts w:hint="eastAsia" w:ascii="宋体" w:hAnsi="宋体" w:eastAsia="宋体" w:cs="宋体"/>
          <w:sz w:val="22"/>
          <w:szCs w:val="22"/>
        </w:rPr>
        <w:t>磋商响应文件含有采购人不能接受的附加条件的。</w:t>
      </w:r>
    </w:p>
    <w:p w14:paraId="74E7C290">
      <w:pPr>
        <w:adjustRightInd w:val="0"/>
        <w:snapToGrid w:val="0"/>
        <w:spacing w:line="440" w:lineRule="exact"/>
        <w:ind w:firstLine="440" w:firstLineChars="200"/>
        <w:rPr>
          <w:rFonts w:hint="eastAsia" w:ascii="宋体" w:hAnsi="宋体" w:eastAsia="宋体" w:cs="宋体"/>
          <w:bCs/>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投标人代表人未能出具身份证明或与法定代表人（单位负责人）授权委托人身份不符的；</w:t>
      </w:r>
    </w:p>
    <w:p w14:paraId="174720BB">
      <w:pPr>
        <w:pStyle w:val="28"/>
        <w:adjustRightInd w:val="0"/>
        <w:snapToGrid w:val="0"/>
        <w:spacing w:before="0" w:beforeAutospacing="0" w:after="0" w:afterAutospacing="0" w:line="440" w:lineRule="exact"/>
        <w:ind w:firstLine="440" w:firstLineChars="200"/>
        <w:rPr>
          <w:rFonts w:hint="eastAsia" w:ascii="宋体" w:hAnsi="宋体" w:eastAsia="宋体" w:cs="宋体"/>
          <w:sz w:val="22"/>
          <w:szCs w:val="22"/>
        </w:rPr>
      </w:pPr>
      <w:r>
        <w:rPr>
          <w:rFonts w:hint="eastAsia" w:eastAsia="宋体" w:cs="宋体"/>
          <w:sz w:val="22"/>
          <w:szCs w:val="22"/>
          <w:lang w:eastAsia="zh-CN"/>
        </w:rPr>
        <w:t>5.</w:t>
      </w:r>
      <w:r>
        <w:rPr>
          <w:rFonts w:hint="eastAsia" w:ascii="宋体" w:hAnsi="宋体" w:eastAsia="宋体" w:cs="宋体"/>
          <w:sz w:val="22"/>
          <w:szCs w:val="22"/>
        </w:rPr>
        <w:t>磋商小组认为投标人的报价明显低于其他通过符合性审</w:t>
      </w:r>
      <w:r>
        <w:rPr>
          <w:rFonts w:hint="eastAsia" w:ascii="宋体" w:hAnsi="宋体" w:eastAsia="宋体" w:cs="宋体"/>
          <w:sz w:val="22"/>
          <w:szCs w:val="22"/>
          <w:lang w:eastAsia="zh-CN"/>
        </w:rPr>
        <w:t>查的</w:t>
      </w:r>
      <w:r>
        <w:rPr>
          <w:rFonts w:hint="eastAsia" w:ascii="宋体" w:hAnsi="宋体" w:eastAsia="宋体" w:cs="宋体"/>
          <w:sz w:val="22"/>
          <w:szCs w:val="22"/>
        </w:rPr>
        <w:t>投标人的报价，有可能影响诚信履约的，应当要求其在评审现场合理的时间内提供书面说明，必要时提交相关证明材料；投标人不能证明其报价合理性的，磋商小组应当与其终止磋商。</w:t>
      </w:r>
    </w:p>
    <w:p w14:paraId="0B381774">
      <w:pPr>
        <w:pStyle w:val="28"/>
        <w:adjustRightInd w:val="0"/>
        <w:snapToGrid w:val="0"/>
        <w:spacing w:before="0" w:beforeAutospacing="0" w:after="0" w:afterAutospacing="0" w:line="440" w:lineRule="exact"/>
        <w:ind w:firstLine="440" w:firstLineChars="200"/>
        <w:rPr>
          <w:rFonts w:hint="eastAsia" w:ascii="宋体" w:hAnsi="宋体" w:eastAsia="宋体" w:cs="宋体"/>
          <w:sz w:val="22"/>
          <w:szCs w:val="22"/>
        </w:rPr>
      </w:pPr>
      <w:r>
        <w:rPr>
          <w:rFonts w:hint="eastAsia" w:eastAsia="宋体" w:cs="宋体"/>
          <w:sz w:val="22"/>
          <w:szCs w:val="22"/>
          <w:lang w:eastAsia="zh-CN"/>
        </w:rPr>
        <w:t>6.</w:t>
      </w:r>
      <w:r>
        <w:rPr>
          <w:rFonts w:hint="eastAsia" w:ascii="宋体" w:hAnsi="宋体" w:eastAsia="宋体" w:cs="宋体"/>
          <w:sz w:val="22"/>
          <w:szCs w:val="22"/>
        </w:rPr>
        <w:t>报价超过磋商采购文件中规定的预算金额/最高限价。</w:t>
      </w:r>
    </w:p>
    <w:p w14:paraId="35A6774C">
      <w:pPr>
        <w:tabs>
          <w:tab w:val="left" w:pos="1898"/>
        </w:tabs>
        <w:autoSpaceDE w:val="0"/>
        <w:autoSpaceDN w:val="0"/>
        <w:adjustRightInd w:val="0"/>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7.</w:t>
      </w:r>
      <w:r>
        <w:rPr>
          <w:rFonts w:hint="eastAsia" w:ascii="宋体" w:hAnsi="宋体" w:eastAsia="宋体" w:cs="宋体"/>
          <w:sz w:val="22"/>
          <w:szCs w:val="22"/>
        </w:rPr>
        <w:t>磋商参数未如实填写，完全复制粘贴磋商采购参数的。</w:t>
      </w:r>
    </w:p>
    <w:p w14:paraId="34324958">
      <w:pPr>
        <w:tabs>
          <w:tab w:val="left" w:pos="1898"/>
        </w:tabs>
        <w:autoSpaceDE w:val="0"/>
        <w:autoSpaceDN w:val="0"/>
        <w:adjustRightInd w:val="0"/>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8.</w:t>
      </w:r>
      <w:r>
        <w:rPr>
          <w:rFonts w:hint="eastAsia" w:ascii="宋体" w:hAnsi="宋体" w:eastAsia="宋体" w:cs="宋体"/>
          <w:sz w:val="22"/>
          <w:szCs w:val="22"/>
        </w:rPr>
        <w:t>磋商响应文件提供虚假材料的。</w:t>
      </w:r>
    </w:p>
    <w:p w14:paraId="1ADC4CF0">
      <w:pPr>
        <w:tabs>
          <w:tab w:val="left" w:pos="1898"/>
        </w:tabs>
        <w:autoSpaceDE w:val="0"/>
        <w:autoSpaceDN w:val="0"/>
        <w:adjustRightInd w:val="0"/>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9.</w:t>
      </w:r>
      <w:r>
        <w:rPr>
          <w:rFonts w:hint="eastAsia" w:ascii="宋体" w:hAnsi="宋体" w:eastAsia="宋体" w:cs="宋体"/>
          <w:sz w:val="22"/>
          <w:szCs w:val="22"/>
        </w:rPr>
        <w:t>不同投标人的磋商响应文件由同一单位或者个人编制；</w:t>
      </w:r>
    </w:p>
    <w:p w14:paraId="3C42BE05">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eastAsia="宋体" w:cs="宋体"/>
          <w:sz w:val="22"/>
          <w:szCs w:val="22"/>
          <w:lang w:eastAsia="zh-CN"/>
        </w:rPr>
        <w:t>0.</w:t>
      </w:r>
      <w:r>
        <w:rPr>
          <w:rFonts w:hint="eastAsia" w:ascii="宋体" w:hAnsi="宋体" w:eastAsia="宋体" w:cs="宋体"/>
          <w:sz w:val="22"/>
          <w:szCs w:val="22"/>
        </w:rPr>
        <w:t>不同投标人委托同一单位或者个人办理磋商事宜；</w:t>
      </w:r>
    </w:p>
    <w:p w14:paraId="63C827CE">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eastAsia="宋体" w:cs="宋体"/>
          <w:sz w:val="22"/>
          <w:szCs w:val="22"/>
          <w:lang w:eastAsia="zh-CN"/>
        </w:rPr>
        <w:t>1.</w:t>
      </w:r>
      <w:r>
        <w:rPr>
          <w:rFonts w:hint="eastAsia" w:ascii="宋体" w:hAnsi="宋体" w:eastAsia="宋体" w:cs="宋体"/>
          <w:sz w:val="22"/>
          <w:szCs w:val="22"/>
        </w:rPr>
        <w:t>不同投标人的磋商响应文件载明的项目管理成员或者联系人员为同一人；</w:t>
      </w:r>
    </w:p>
    <w:p w14:paraId="0C8544D3">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eastAsia="宋体" w:cs="宋体"/>
          <w:sz w:val="22"/>
          <w:szCs w:val="22"/>
          <w:lang w:eastAsia="zh-CN"/>
        </w:rPr>
        <w:t>2.</w:t>
      </w:r>
      <w:r>
        <w:rPr>
          <w:rFonts w:hint="eastAsia" w:ascii="宋体" w:hAnsi="宋体" w:eastAsia="宋体" w:cs="宋体"/>
          <w:sz w:val="22"/>
          <w:szCs w:val="22"/>
        </w:rPr>
        <w:t>不同投标人的磋商响应文件异常一致或者报价呈规律性差异；</w:t>
      </w:r>
    </w:p>
    <w:p w14:paraId="4BD69907">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eastAsia="宋体" w:cs="宋体"/>
          <w:sz w:val="22"/>
          <w:szCs w:val="22"/>
          <w:lang w:eastAsia="zh-CN"/>
        </w:rPr>
        <w:t>3.</w:t>
      </w:r>
      <w:r>
        <w:rPr>
          <w:rFonts w:hint="eastAsia" w:ascii="宋体" w:hAnsi="宋体" w:eastAsia="宋体" w:cs="宋体"/>
          <w:sz w:val="22"/>
          <w:szCs w:val="22"/>
        </w:rPr>
        <w:t>不同投标人的磋商响应文件相互混装；</w:t>
      </w:r>
    </w:p>
    <w:p w14:paraId="7F5EF77D">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eastAsia="宋体" w:cs="宋体"/>
          <w:sz w:val="22"/>
          <w:szCs w:val="22"/>
          <w:lang w:eastAsia="zh-CN"/>
        </w:rPr>
        <w:t>4.</w:t>
      </w:r>
      <w:r>
        <w:rPr>
          <w:rFonts w:hint="eastAsia" w:ascii="宋体" w:hAnsi="宋体" w:eastAsia="宋体" w:cs="宋体"/>
          <w:sz w:val="22"/>
          <w:szCs w:val="22"/>
        </w:rPr>
        <w:t>不同投标人的磋商保证金从同一单位或者个人的账户转出；</w:t>
      </w:r>
    </w:p>
    <w:p w14:paraId="11F9A6A8">
      <w:pPr>
        <w:autoSpaceDE w:val="0"/>
        <w:autoSpaceDN w:val="0"/>
        <w:adjustRightIn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5.</w:t>
      </w:r>
      <w:r>
        <w:rPr>
          <w:rFonts w:hint="eastAsia" w:ascii="宋体" w:hAnsi="宋体" w:eastAsia="宋体" w:cs="宋体"/>
          <w:sz w:val="22"/>
          <w:szCs w:val="22"/>
        </w:rPr>
        <w:t>不符合</w:t>
      </w:r>
      <w:r>
        <w:rPr>
          <w:rFonts w:hint="eastAsia" w:ascii="宋体" w:hAnsi="宋体" w:eastAsia="宋体" w:cs="宋体"/>
          <w:sz w:val="22"/>
          <w:szCs w:val="22"/>
          <w:lang w:eastAsia="zh-CN"/>
        </w:rPr>
        <w:t>法律法规</w:t>
      </w:r>
      <w:r>
        <w:rPr>
          <w:rFonts w:hint="eastAsia" w:ascii="宋体" w:hAnsi="宋体" w:eastAsia="宋体" w:cs="宋体"/>
          <w:sz w:val="22"/>
          <w:szCs w:val="22"/>
        </w:rPr>
        <w:t>和磋商采购文件中规定的其他实质性要求的（磋商采购文件中打“▲”内容及被拒绝的条款）。</w:t>
      </w:r>
    </w:p>
    <w:p w14:paraId="4C3516A0">
      <w:pPr>
        <w:spacing w:line="44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1</w:t>
      </w:r>
      <w:r>
        <w:rPr>
          <w:rFonts w:hint="eastAsia" w:ascii="宋体" w:hAnsi="宋体" w:eastAsia="宋体" w:cs="宋体"/>
          <w:sz w:val="22"/>
          <w:szCs w:val="28"/>
          <w:lang w:eastAsia="zh-CN"/>
        </w:rPr>
        <w:t>6.</w:t>
      </w:r>
      <w:r>
        <w:rPr>
          <w:rFonts w:hint="eastAsia" w:ascii="宋体" w:hAnsi="宋体" w:eastAsia="宋体" w:cs="宋体"/>
          <w:sz w:val="22"/>
          <w:szCs w:val="28"/>
        </w:rPr>
        <w:t>未传输递交电子投标文件的或者未按规定提供相应的备份投标文件，造成项目开评标活动无法进行下去的。</w:t>
      </w:r>
    </w:p>
    <w:p w14:paraId="37E6D6C2">
      <w:pPr>
        <w:autoSpaceDE w:val="0"/>
        <w:autoSpaceDN w:val="0"/>
        <w:adjustRightInd w:val="0"/>
        <w:spacing w:line="440" w:lineRule="exact"/>
        <w:ind w:firstLine="442" w:firstLineChars="200"/>
        <w:rPr>
          <w:rFonts w:hint="eastAsia" w:ascii="宋体" w:hAnsi="宋体" w:eastAsia="宋体" w:cs="宋体"/>
          <w:sz w:val="22"/>
          <w:szCs w:val="22"/>
        </w:rPr>
      </w:pPr>
      <w:r>
        <w:rPr>
          <w:rFonts w:hint="eastAsia" w:ascii="宋体" w:hAnsi="宋体" w:eastAsia="宋体" w:cs="宋体"/>
          <w:b/>
          <w:sz w:val="22"/>
          <w:szCs w:val="22"/>
        </w:rPr>
        <w:t>（五）有下列情况之一的，本次磋商终止。</w:t>
      </w:r>
    </w:p>
    <w:p w14:paraId="162424ED">
      <w:pPr>
        <w:pStyle w:val="28"/>
        <w:spacing w:before="0" w:beforeAutospacing="0" w:after="0" w:afterAutospacing="0" w:line="440" w:lineRule="exact"/>
        <w:ind w:firstLine="550" w:firstLineChars="250"/>
        <w:rPr>
          <w:rFonts w:hint="eastAsia" w:ascii="宋体" w:hAnsi="宋体" w:eastAsia="宋体" w:cs="宋体"/>
          <w:sz w:val="22"/>
          <w:szCs w:val="22"/>
        </w:rPr>
      </w:pPr>
      <w:r>
        <w:rPr>
          <w:rFonts w:hint="eastAsia" w:eastAsia="宋体" w:cs="宋体"/>
          <w:sz w:val="22"/>
          <w:szCs w:val="22"/>
          <w:lang w:eastAsia="zh-CN"/>
        </w:rPr>
        <w:t>1.</w:t>
      </w:r>
      <w:r>
        <w:rPr>
          <w:rFonts w:hint="eastAsia" w:ascii="宋体" w:hAnsi="宋体" w:eastAsia="宋体" w:cs="宋体"/>
          <w:sz w:val="22"/>
          <w:szCs w:val="22"/>
        </w:rPr>
        <w:t>出现影响采购公正的违法、违规行为的；</w:t>
      </w:r>
    </w:p>
    <w:p w14:paraId="637F192F">
      <w:pPr>
        <w:pStyle w:val="28"/>
        <w:spacing w:before="0" w:beforeAutospacing="0" w:after="0" w:afterAutospacing="0" w:line="440" w:lineRule="exact"/>
        <w:ind w:firstLine="550" w:firstLineChars="250"/>
        <w:rPr>
          <w:rFonts w:hint="eastAsia" w:ascii="宋体" w:hAnsi="宋体" w:eastAsia="宋体" w:cs="宋体"/>
          <w:sz w:val="22"/>
          <w:szCs w:val="22"/>
        </w:rPr>
      </w:pPr>
      <w:r>
        <w:rPr>
          <w:rFonts w:hint="eastAsia" w:eastAsia="宋体" w:cs="宋体"/>
          <w:sz w:val="22"/>
          <w:szCs w:val="22"/>
          <w:lang w:eastAsia="zh-CN"/>
        </w:rPr>
        <w:t>2.</w:t>
      </w:r>
      <w:r>
        <w:rPr>
          <w:rFonts w:hint="eastAsia" w:ascii="宋体" w:hAnsi="宋体" w:eastAsia="宋体" w:cs="宋体"/>
          <w:sz w:val="22"/>
          <w:szCs w:val="22"/>
        </w:rPr>
        <w:t xml:space="preserve">磋商小组发现磋商文件存在歧义、重大缺陷导致评审工作无法进行，或者磋商文件内容违反国家有关强制性规定的； </w:t>
      </w:r>
    </w:p>
    <w:p w14:paraId="3F8D53C0">
      <w:pPr>
        <w:pStyle w:val="28"/>
        <w:spacing w:before="0" w:beforeAutospacing="0" w:after="0" w:afterAutospacing="0" w:line="440" w:lineRule="exact"/>
        <w:ind w:firstLine="550" w:firstLineChars="250"/>
        <w:rPr>
          <w:rFonts w:hint="eastAsia" w:ascii="宋体" w:hAnsi="宋体" w:eastAsia="宋体" w:cs="宋体"/>
          <w:sz w:val="22"/>
          <w:szCs w:val="22"/>
        </w:rPr>
      </w:pPr>
      <w:r>
        <w:rPr>
          <w:rFonts w:hint="eastAsia" w:eastAsia="宋体" w:cs="宋体"/>
          <w:sz w:val="22"/>
          <w:szCs w:val="22"/>
          <w:lang w:eastAsia="zh-CN"/>
        </w:rPr>
        <w:t>3.</w:t>
      </w:r>
      <w:r>
        <w:rPr>
          <w:rFonts w:hint="eastAsia" w:ascii="宋体" w:hAnsi="宋体" w:eastAsia="宋体" w:cs="宋体"/>
          <w:sz w:val="22"/>
          <w:szCs w:val="22"/>
        </w:rPr>
        <w:t>因重大变故，采购任务取消的；</w:t>
      </w:r>
    </w:p>
    <w:p w14:paraId="42C4533E">
      <w:pPr>
        <w:pStyle w:val="28"/>
        <w:spacing w:before="0" w:beforeAutospacing="0" w:after="0" w:afterAutospacing="0" w:line="440" w:lineRule="exact"/>
        <w:ind w:firstLine="550" w:firstLineChars="250"/>
        <w:rPr>
          <w:rFonts w:hint="eastAsia" w:ascii="宋体" w:hAnsi="宋体" w:eastAsia="宋体" w:cs="宋体"/>
          <w:sz w:val="22"/>
          <w:szCs w:val="22"/>
        </w:rPr>
      </w:pPr>
      <w:r>
        <w:rPr>
          <w:rFonts w:hint="eastAsia" w:eastAsia="宋体" w:cs="宋体"/>
          <w:sz w:val="22"/>
          <w:szCs w:val="22"/>
          <w:lang w:eastAsia="zh-CN"/>
        </w:rPr>
        <w:t>4.</w:t>
      </w:r>
      <w:r>
        <w:rPr>
          <w:rFonts w:hint="eastAsia" w:ascii="宋体" w:hAnsi="宋体" w:eastAsia="宋体" w:cs="宋体"/>
          <w:sz w:val="22"/>
          <w:szCs w:val="22"/>
          <w:lang w:eastAsia="zh-CN"/>
        </w:rPr>
        <w:t>法律法规</w:t>
      </w:r>
      <w:r>
        <w:rPr>
          <w:rFonts w:hint="eastAsia" w:ascii="宋体" w:hAnsi="宋体" w:eastAsia="宋体" w:cs="宋体"/>
          <w:sz w:val="22"/>
          <w:szCs w:val="22"/>
        </w:rPr>
        <w:t>和磋商文件规定的其他导致评审结果无效的。</w:t>
      </w:r>
    </w:p>
    <w:p w14:paraId="0C4A7EC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5" w:firstLine="442" w:firstLineChars="200"/>
        <w:rPr>
          <w:rFonts w:hint="eastAsia" w:ascii="宋体" w:hAnsi="宋体" w:eastAsia="宋体" w:cs="宋体"/>
          <w:b/>
          <w:sz w:val="22"/>
          <w:szCs w:val="22"/>
        </w:rPr>
      </w:pPr>
      <w:r>
        <w:rPr>
          <w:rFonts w:hint="eastAsia" w:ascii="宋体" w:hAnsi="宋体" w:eastAsia="宋体" w:cs="宋体"/>
          <w:b/>
          <w:sz w:val="22"/>
          <w:szCs w:val="22"/>
        </w:rPr>
        <w:t>（六）磋商原则和方法</w:t>
      </w:r>
    </w:p>
    <w:p w14:paraId="0D3436A6">
      <w:pPr>
        <w:pStyle w:val="17"/>
        <w:snapToGrid w:val="0"/>
        <w:spacing w:line="440" w:lineRule="exact"/>
        <w:ind w:firstLine="550" w:firstLineChars="250"/>
        <w:rPr>
          <w:rFonts w:hint="eastAsia" w:ascii="宋体" w:hAnsi="宋体" w:eastAsia="宋体" w:cs="宋体"/>
          <w:sz w:val="22"/>
          <w:szCs w:val="22"/>
        </w:rPr>
      </w:pPr>
      <w:r>
        <w:rPr>
          <w:rFonts w:hint="eastAsia" w:hAnsi="宋体" w:eastAsia="宋体" w:cs="宋体"/>
          <w:sz w:val="22"/>
          <w:szCs w:val="22"/>
          <w:lang w:eastAsia="zh-CN"/>
        </w:rPr>
        <w:t>1.</w:t>
      </w:r>
      <w:r>
        <w:rPr>
          <w:rFonts w:hint="eastAsia" w:ascii="宋体" w:hAnsi="宋体" w:eastAsia="宋体" w:cs="宋体"/>
          <w:sz w:val="22"/>
          <w:szCs w:val="22"/>
        </w:rPr>
        <w:t>磋商原则。磋商小组必须公平、公正、客观，不带任何倾向性和启发性；不得向外界透露任何与评审有关的内容；任何单位和个人不得干扰、影响评审的正常进行；磋商小组及有关工作人员不得私下与磋商投标人接触。</w:t>
      </w:r>
    </w:p>
    <w:p w14:paraId="3DC2A0F2">
      <w:pPr>
        <w:pStyle w:val="17"/>
        <w:snapToGrid w:val="0"/>
        <w:spacing w:line="440" w:lineRule="exact"/>
        <w:ind w:firstLine="550" w:firstLineChars="250"/>
        <w:rPr>
          <w:rFonts w:hint="eastAsia" w:ascii="宋体" w:hAnsi="宋体" w:eastAsia="宋体" w:cs="宋体"/>
          <w:sz w:val="22"/>
          <w:szCs w:val="22"/>
        </w:rPr>
      </w:pPr>
      <w:r>
        <w:rPr>
          <w:rFonts w:hint="eastAsia" w:hAnsi="宋体" w:eastAsia="宋体" w:cs="宋体"/>
          <w:sz w:val="22"/>
          <w:szCs w:val="22"/>
          <w:lang w:eastAsia="zh-CN"/>
        </w:rPr>
        <w:t>2.</w:t>
      </w:r>
      <w:r>
        <w:rPr>
          <w:rFonts w:hint="eastAsia" w:ascii="宋体" w:hAnsi="宋体" w:eastAsia="宋体" w:cs="宋体"/>
          <w:sz w:val="22"/>
          <w:szCs w:val="22"/>
        </w:rPr>
        <w:t>磋商办法。具体磋商内容及评分标准等详见《第三章：评审方法及评分标准》。</w:t>
      </w:r>
    </w:p>
    <w:p w14:paraId="2286D801">
      <w:pPr>
        <w:pStyle w:val="17"/>
        <w:snapToGrid w:val="0"/>
        <w:spacing w:line="440" w:lineRule="exact"/>
        <w:ind w:firstLine="552" w:firstLineChars="250"/>
        <w:rPr>
          <w:rFonts w:hint="eastAsia" w:ascii="宋体" w:hAnsi="宋体" w:eastAsia="宋体" w:cs="宋体"/>
          <w:sz w:val="22"/>
          <w:szCs w:val="22"/>
        </w:rPr>
      </w:pPr>
      <w:r>
        <w:rPr>
          <w:rFonts w:hint="eastAsia" w:ascii="宋体" w:hAnsi="宋体" w:eastAsia="宋体" w:cs="宋体"/>
          <w:b/>
          <w:sz w:val="22"/>
          <w:szCs w:val="22"/>
        </w:rPr>
        <w:t>（七）评审过程的监控</w:t>
      </w:r>
    </w:p>
    <w:p w14:paraId="294CDCC7">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本项目评审过程实行全程录音、录像监控，政府采购监管部门视情进行现场监督，投标人在评审过程中所进行的试图影响评审结果的不公正活动，可能导致其被拒绝磋商。</w:t>
      </w:r>
    </w:p>
    <w:p w14:paraId="5E53B662">
      <w:pPr>
        <w:pStyle w:val="28"/>
        <w:spacing w:before="0" w:beforeAutospacing="0" w:after="0" w:afterAutospacing="0" w:line="440" w:lineRule="exact"/>
        <w:ind w:firstLine="442" w:firstLineChars="200"/>
        <w:rPr>
          <w:rFonts w:hint="eastAsia" w:ascii="宋体" w:hAnsi="宋体" w:eastAsia="宋体" w:cs="宋体"/>
          <w:sz w:val="22"/>
          <w:szCs w:val="22"/>
        </w:rPr>
      </w:pPr>
      <w:r>
        <w:rPr>
          <w:rFonts w:hint="eastAsia" w:ascii="宋体" w:hAnsi="宋体" w:eastAsia="宋体" w:cs="宋体"/>
          <w:b/>
          <w:sz w:val="22"/>
          <w:szCs w:val="22"/>
        </w:rPr>
        <w:t>五、磋商结果确定</w:t>
      </w:r>
    </w:p>
    <w:p w14:paraId="5D30A285">
      <w:pPr>
        <w:pStyle w:val="28"/>
        <w:spacing w:before="0" w:beforeAutospacing="0" w:after="0" w:afterAutospacing="0" w:line="440" w:lineRule="exact"/>
        <w:ind w:firstLine="440" w:firstLineChars="200"/>
        <w:rPr>
          <w:rFonts w:hint="eastAsia" w:ascii="宋体" w:hAnsi="宋体" w:eastAsia="宋体" w:cs="宋体"/>
          <w:sz w:val="22"/>
          <w:szCs w:val="22"/>
        </w:rPr>
      </w:pPr>
      <w:r>
        <w:rPr>
          <w:rFonts w:hint="eastAsia" w:eastAsia="宋体" w:cs="宋体"/>
          <w:sz w:val="22"/>
          <w:szCs w:val="22"/>
          <w:lang w:eastAsia="zh-CN"/>
        </w:rPr>
        <w:t>1.</w:t>
      </w:r>
      <w:r>
        <w:rPr>
          <w:rFonts w:hint="eastAsia" w:ascii="宋体" w:hAnsi="宋体" w:eastAsia="宋体" w:cs="宋体"/>
          <w:sz w:val="22"/>
          <w:szCs w:val="22"/>
        </w:rPr>
        <w:t>确定成交人。磋商小组根据采购人的《授权意见确认书》，推荐成交候选投标人或直接确定成交人。其中推荐成交候选投标人的，采购组织机构在评审结束之日起2个工作日内将评审报告送交采购人，采购人自收到评审报告之日起5个工作日内在评审报告推荐的成交候选人中按顺序确定成交人。</w:t>
      </w:r>
    </w:p>
    <w:p w14:paraId="0CFEBADF">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2.</w:t>
      </w:r>
      <w:r>
        <w:rPr>
          <w:rFonts w:hint="eastAsia" w:ascii="宋体" w:hAnsi="宋体" w:eastAsia="宋体" w:cs="宋体"/>
          <w:sz w:val="22"/>
          <w:szCs w:val="22"/>
        </w:rPr>
        <w:t>发布成交结果公告。采购组织机构应当在成交人确定后2个工作日内，在省级以上财政部门指定的政府采购信息发布媒体及相关网站上公告成交结果，并将磋商文件随同公告。</w:t>
      </w:r>
    </w:p>
    <w:p w14:paraId="5FE92830">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3.</w:t>
      </w:r>
      <w:r>
        <w:rPr>
          <w:rFonts w:hint="eastAsia" w:ascii="宋体" w:hAnsi="宋体" w:eastAsia="宋体" w:cs="宋体"/>
          <w:sz w:val="22"/>
          <w:szCs w:val="22"/>
        </w:rPr>
        <w:t>发出成交通知书。采购组织机构在发布成交结果同时，向成交人发出成交通知书。</w:t>
      </w:r>
    </w:p>
    <w:p w14:paraId="4F5ABE0E">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成交单位在中标之后领取通知书之前，应向招标代理机构交纳招标代理服务费。若成交单位未在约定时间内支付招标代理服务费，从逾期之日起按日利率千分之一承担违约金。若成交单位未按上述规定办理，需承担招标代理机构为实现债权的所有费用（包括但不限于律师费、催讨车旅费、保全担保费等）。</w:t>
      </w:r>
    </w:p>
    <w:p w14:paraId="67ED4404">
      <w:pPr>
        <w:spacing w:line="4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六、合同签订及公告</w:t>
      </w:r>
    </w:p>
    <w:p w14:paraId="5A662F27">
      <w:pPr>
        <w:pStyle w:val="15"/>
        <w:tabs>
          <w:tab w:val="left" w:pos="720"/>
          <w:tab w:val="left" w:pos="2160"/>
          <w:tab w:val="left" w:pos="2880"/>
          <w:tab w:val="left" w:pos="3600"/>
          <w:tab w:val="left" w:pos="4320"/>
          <w:tab w:val="left" w:pos="5040"/>
          <w:tab w:val="left" w:pos="5760"/>
        </w:tabs>
        <w:spacing w:line="4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（一）签订合同</w:t>
      </w:r>
    </w:p>
    <w:p w14:paraId="66D58E85">
      <w:pPr>
        <w:pStyle w:val="15"/>
        <w:tabs>
          <w:tab w:val="left" w:pos="720"/>
          <w:tab w:val="left" w:pos="2160"/>
          <w:tab w:val="left" w:pos="2880"/>
          <w:tab w:val="left" w:pos="3600"/>
          <w:tab w:val="left" w:pos="4320"/>
          <w:tab w:val="left" w:pos="5040"/>
          <w:tab w:val="left" w:pos="5760"/>
        </w:tabs>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采购人应当自成交通知书发出之日起10个工作日内，按照磋商采购文件确定的合同文本以及采购标的、采购金额、采购数量和服务要求等事项签订政府采购合同。</w:t>
      </w:r>
    </w:p>
    <w:p w14:paraId="15A0E0DD">
      <w:pPr>
        <w:pStyle w:val="15"/>
        <w:numPr>
          <w:ilvl w:val="0"/>
          <w:numId w:val="0"/>
        </w:numPr>
        <w:tabs>
          <w:tab w:val="left" w:pos="720"/>
          <w:tab w:val="left" w:pos="2160"/>
          <w:tab w:val="left" w:pos="2880"/>
          <w:tab w:val="left" w:pos="3600"/>
          <w:tab w:val="left" w:pos="4320"/>
          <w:tab w:val="left" w:pos="5040"/>
          <w:tab w:val="left" w:pos="5760"/>
        </w:tabs>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采购人不得向成交人提出超出磋商文件以外的任何要求作为签订合同的条件，不得与成交人订立背离磋商文件确定的合同文本以及采购标的、采购金额、采购数量和服务要求等实质性内容的协议。</w:t>
      </w:r>
    </w:p>
    <w:p w14:paraId="7A661630">
      <w:pPr>
        <w:pStyle w:val="15"/>
        <w:numPr>
          <w:ilvl w:val="0"/>
          <w:numId w:val="0"/>
        </w:numPr>
        <w:tabs>
          <w:tab w:val="left" w:pos="720"/>
          <w:tab w:val="left" w:pos="2160"/>
          <w:tab w:val="left" w:pos="2880"/>
          <w:tab w:val="left" w:pos="3600"/>
          <w:tab w:val="left" w:pos="4320"/>
          <w:tab w:val="left" w:pos="5040"/>
          <w:tab w:val="left" w:pos="5760"/>
        </w:tabs>
        <w:ind w:left="-22" w:leftChars="0" w:firstLine="442" w:firstLineChars="0"/>
        <w:rPr>
          <w:rFonts w:hint="eastAsia" w:ascii="宋体" w:hAnsi="宋体" w:eastAsia="宋体" w:cs="宋体"/>
          <w:b/>
          <w:bCs/>
          <w:sz w:val="22"/>
          <w:szCs w:val="22"/>
        </w:rPr>
      </w:pPr>
      <w:r>
        <w:rPr>
          <w:rFonts w:hint="eastAsia" w:ascii="宋体" w:hAnsi="宋体" w:eastAsia="宋体" w:cs="宋体"/>
          <w:b/>
          <w:bCs/>
          <w:kern w:val="2"/>
          <w:sz w:val="22"/>
          <w:szCs w:val="22"/>
          <w:lang w:val="en-US" w:eastAsia="zh-CN" w:bidi="ar-SA"/>
        </w:rPr>
        <w:t>3.</w:t>
      </w:r>
      <w:r>
        <w:rPr>
          <w:rFonts w:hint="eastAsia" w:ascii="宋体" w:hAnsi="宋体" w:eastAsia="宋体" w:cs="宋体"/>
          <w:b/>
          <w:bCs/>
          <w:sz w:val="22"/>
          <w:szCs w:val="22"/>
        </w:rPr>
        <w:t>成交人无故拖延、拒签合同的</w:t>
      </w:r>
      <w:r>
        <w:rPr>
          <w:rFonts w:hint="eastAsia" w:ascii="宋体" w:hAnsi="宋体" w:eastAsia="宋体" w:cs="宋体"/>
          <w:b/>
          <w:bCs/>
          <w:sz w:val="22"/>
          <w:szCs w:val="22"/>
          <w:lang w:eastAsia="zh-CN"/>
        </w:rPr>
        <w:t>，</w:t>
      </w:r>
      <w:r>
        <w:rPr>
          <w:rFonts w:hint="eastAsia" w:ascii="宋体" w:hAnsi="宋体" w:eastAsia="宋体" w:cs="宋体"/>
          <w:b/>
          <w:bCs/>
          <w:sz w:val="22"/>
          <w:szCs w:val="22"/>
        </w:rPr>
        <w:t>将取消成交资格并上报财政予以通报。</w:t>
      </w:r>
    </w:p>
    <w:p w14:paraId="452A6FC9">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成交人拒绝与采购人签订合同的，采购人可以按照评审报告推荐的成交候选投标人名单排序，确定下一候选投标人为成交人，也可以重新开展政府采购活动。同时，拒绝与采购人签订合同的投标人，由同级财政部门依法</w:t>
      </w:r>
      <w:r>
        <w:rPr>
          <w:rFonts w:hint="eastAsia" w:ascii="宋体" w:hAnsi="宋体" w:eastAsia="宋体" w:cs="宋体"/>
          <w:sz w:val="22"/>
          <w:szCs w:val="22"/>
          <w:lang w:eastAsia="zh-CN"/>
        </w:rPr>
        <w:t>作出</w:t>
      </w:r>
      <w:r>
        <w:rPr>
          <w:rFonts w:hint="eastAsia" w:ascii="宋体" w:hAnsi="宋体" w:eastAsia="宋体" w:cs="宋体"/>
          <w:sz w:val="22"/>
          <w:szCs w:val="22"/>
        </w:rPr>
        <w:t>处理。</w:t>
      </w:r>
    </w:p>
    <w:p w14:paraId="54250AAB">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5.</w:t>
      </w:r>
      <w:r>
        <w:rPr>
          <w:rFonts w:hint="eastAsia" w:ascii="宋体" w:hAnsi="宋体" w:eastAsia="宋体" w:cs="宋体"/>
          <w:sz w:val="22"/>
          <w:szCs w:val="22"/>
        </w:rPr>
        <w:t>询问或者质疑事项可能影响成交结果的，采购人应当暂停签订合同，已经签订合同的，应当中止履行合同（成交结果的质疑期为成交结果公告期限届满之日起七个工作日）。</w:t>
      </w:r>
    </w:p>
    <w:p w14:paraId="3D3BA43F">
      <w:pPr>
        <w:spacing w:line="4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（二）合同公告及备案</w:t>
      </w:r>
    </w:p>
    <w:p w14:paraId="33689730">
      <w:pPr>
        <w:pStyle w:val="15"/>
        <w:tabs>
          <w:tab w:val="left" w:pos="720"/>
          <w:tab w:val="left" w:pos="2160"/>
          <w:tab w:val="left" w:pos="2880"/>
          <w:tab w:val="left" w:pos="3600"/>
          <w:tab w:val="left" w:pos="4320"/>
          <w:tab w:val="left" w:pos="5040"/>
          <w:tab w:val="left" w:pos="5760"/>
        </w:tabs>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采购人应当自政府采购合同签订之日起2个工作日内，在省级以上财政部门指定的政府采购信息发布媒体及相关网站上公告。</w:t>
      </w:r>
    </w:p>
    <w:p w14:paraId="3BB9B9A0">
      <w:pPr>
        <w:pStyle w:val="15"/>
        <w:tabs>
          <w:tab w:val="left" w:pos="720"/>
          <w:tab w:val="left" w:pos="2160"/>
          <w:tab w:val="left" w:pos="2880"/>
          <w:tab w:val="left" w:pos="3600"/>
          <w:tab w:val="left" w:pos="4320"/>
          <w:tab w:val="left" w:pos="5040"/>
          <w:tab w:val="left" w:pos="5760"/>
        </w:tabs>
        <w:spacing w:line="440" w:lineRule="exact"/>
        <w:ind w:firstLine="440" w:firstLineChars="200"/>
        <w:rPr>
          <w:rFonts w:hint="eastAsia" w:ascii="宋体" w:hAnsi="宋体" w:eastAsia="宋体" w:cs="宋体"/>
          <w:b/>
          <w:kern w:val="0"/>
          <w:sz w:val="36"/>
          <w:szCs w:val="36"/>
        </w:rPr>
      </w:pPr>
      <w:r>
        <w:rPr>
          <w:rFonts w:hint="eastAsia" w:ascii="宋体" w:hAnsi="宋体" w:eastAsia="宋体" w:cs="宋体"/>
          <w:sz w:val="22"/>
          <w:szCs w:val="22"/>
          <w:lang w:eastAsia="zh-CN"/>
        </w:rPr>
        <w:t>2.</w:t>
      </w:r>
      <w:r>
        <w:rPr>
          <w:rFonts w:hint="eastAsia" w:ascii="宋体" w:hAnsi="宋体" w:eastAsia="宋体" w:cs="宋体"/>
          <w:sz w:val="22"/>
          <w:szCs w:val="22"/>
        </w:rPr>
        <w:t>采购人应当自政府采购合同签订之日起7个工作日内，将政府采购合同副本报同级人民政府财政部门备案以及采购组织机构存档。</w:t>
      </w:r>
    </w:p>
    <w:p w14:paraId="270B919C">
      <w:pPr>
        <w:shd w:val="clear" w:color="auto" w:fill="FFFFFF"/>
        <w:spacing w:line="360" w:lineRule="auto"/>
        <w:jc w:val="center"/>
        <w:textAlignment w:val="bottom"/>
        <w:rPr>
          <w:rFonts w:hint="eastAsia" w:ascii="宋体" w:hAnsi="宋体" w:eastAsia="宋体" w:cs="宋体"/>
          <w:b/>
          <w:kern w:val="0"/>
          <w:sz w:val="36"/>
          <w:szCs w:val="36"/>
        </w:rPr>
      </w:pPr>
    </w:p>
    <w:p w14:paraId="190792F7">
      <w:pPr>
        <w:shd w:val="clear" w:color="auto" w:fill="FFFFFF"/>
        <w:spacing w:line="360" w:lineRule="auto"/>
        <w:jc w:val="center"/>
        <w:textAlignment w:val="bottom"/>
        <w:rPr>
          <w:rFonts w:hint="eastAsia" w:ascii="宋体" w:hAnsi="宋体" w:eastAsia="宋体" w:cs="宋体"/>
          <w:b/>
          <w:kern w:val="0"/>
          <w:sz w:val="36"/>
          <w:szCs w:val="36"/>
        </w:rPr>
      </w:pPr>
    </w:p>
    <w:p w14:paraId="068B9F91">
      <w:pPr>
        <w:shd w:val="clear" w:color="auto" w:fill="FFFFFF"/>
        <w:spacing w:line="360" w:lineRule="auto"/>
        <w:jc w:val="center"/>
        <w:textAlignment w:val="bottom"/>
        <w:rPr>
          <w:rFonts w:hint="eastAsia" w:ascii="宋体" w:hAnsi="宋体" w:eastAsia="宋体" w:cs="宋体"/>
          <w:b/>
          <w:kern w:val="0"/>
          <w:sz w:val="36"/>
          <w:szCs w:val="36"/>
        </w:rPr>
      </w:pPr>
    </w:p>
    <w:p w14:paraId="782B489C">
      <w:pPr>
        <w:shd w:val="clear" w:color="auto" w:fill="FFFFFF"/>
        <w:spacing w:line="360" w:lineRule="auto"/>
        <w:jc w:val="center"/>
        <w:textAlignment w:val="bottom"/>
        <w:rPr>
          <w:rFonts w:hint="eastAsia" w:ascii="宋体" w:hAnsi="宋体" w:eastAsia="宋体" w:cs="宋体"/>
          <w:b/>
          <w:kern w:val="0"/>
          <w:sz w:val="36"/>
          <w:szCs w:val="36"/>
        </w:rPr>
      </w:pPr>
    </w:p>
    <w:p w14:paraId="054C6292">
      <w:pPr>
        <w:shd w:val="clear" w:color="auto" w:fill="FFFFFF"/>
        <w:spacing w:line="360" w:lineRule="auto"/>
        <w:jc w:val="center"/>
        <w:textAlignment w:val="bottom"/>
        <w:rPr>
          <w:rFonts w:hint="eastAsia" w:ascii="宋体" w:hAnsi="宋体" w:eastAsia="宋体" w:cs="宋体"/>
          <w:b/>
          <w:kern w:val="0"/>
          <w:sz w:val="36"/>
          <w:szCs w:val="36"/>
        </w:rPr>
      </w:pPr>
    </w:p>
    <w:p w14:paraId="210B2D0F">
      <w:pPr>
        <w:shd w:val="clear" w:color="auto" w:fill="FFFFFF"/>
        <w:spacing w:line="360" w:lineRule="auto"/>
        <w:jc w:val="center"/>
        <w:textAlignment w:val="bottom"/>
        <w:rPr>
          <w:rFonts w:hint="eastAsia" w:ascii="宋体" w:hAnsi="宋体" w:eastAsia="宋体" w:cs="宋体"/>
          <w:b/>
          <w:kern w:val="0"/>
          <w:sz w:val="36"/>
          <w:szCs w:val="36"/>
        </w:rPr>
      </w:pPr>
    </w:p>
    <w:p w14:paraId="7EF915AB">
      <w:pPr>
        <w:shd w:val="clear" w:color="auto" w:fill="FFFFFF"/>
        <w:spacing w:line="360" w:lineRule="auto"/>
        <w:jc w:val="center"/>
        <w:textAlignment w:val="bottom"/>
        <w:rPr>
          <w:rFonts w:hint="eastAsia" w:ascii="宋体" w:hAnsi="宋体" w:eastAsia="宋体" w:cs="宋体"/>
          <w:b/>
          <w:kern w:val="0"/>
          <w:sz w:val="36"/>
          <w:szCs w:val="36"/>
        </w:rPr>
      </w:pPr>
    </w:p>
    <w:p w14:paraId="12930EAE">
      <w:pPr>
        <w:shd w:val="clear" w:color="auto" w:fill="FFFFFF"/>
        <w:spacing w:line="360" w:lineRule="auto"/>
        <w:jc w:val="center"/>
        <w:textAlignment w:val="bottom"/>
        <w:rPr>
          <w:rFonts w:hint="eastAsia" w:ascii="宋体" w:hAnsi="宋体" w:eastAsia="宋体" w:cs="宋体"/>
          <w:b/>
          <w:kern w:val="0"/>
          <w:sz w:val="36"/>
          <w:szCs w:val="36"/>
        </w:rPr>
      </w:pPr>
    </w:p>
    <w:p w14:paraId="6815C7FD">
      <w:pPr>
        <w:shd w:val="clear" w:color="auto" w:fill="FFFFFF"/>
        <w:spacing w:line="360" w:lineRule="auto"/>
        <w:jc w:val="center"/>
        <w:textAlignment w:val="bottom"/>
        <w:rPr>
          <w:rFonts w:hint="eastAsia" w:ascii="宋体" w:hAnsi="宋体" w:eastAsia="宋体" w:cs="宋体"/>
          <w:b/>
          <w:kern w:val="0"/>
          <w:sz w:val="36"/>
          <w:szCs w:val="36"/>
        </w:rPr>
      </w:pPr>
    </w:p>
    <w:p w14:paraId="456325D0">
      <w:pPr>
        <w:shd w:val="clear" w:color="auto" w:fill="FFFFFF"/>
        <w:spacing w:line="360" w:lineRule="auto"/>
        <w:jc w:val="center"/>
        <w:textAlignment w:val="bottom"/>
        <w:rPr>
          <w:rFonts w:hint="eastAsia" w:ascii="宋体" w:hAnsi="宋体" w:eastAsia="宋体" w:cs="宋体"/>
          <w:b/>
          <w:kern w:val="0"/>
          <w:sz w:val="36"/>
          <w:szCs w:val="36"/>
        </w:rPr>
      </w:pPr>
    </w:p>
    <w:p w14:paraId="60BE511D">
      <w:pPr>
        <w:shd w:val="clear" w:color="auto" w:fill="FFFFFF"/>
        <w:spacing w:line="360" w:lineRule="auto"/>
        <w:jc w:val="center"/>
        <w:textAlignment w:val="bottom"/>
        <w:rPr>
          <w:rFonts w:hint="eastAsia" w:ascii="宋体" w:hAnsi="宋体" w:eastAsia="宋体" w:cs="宋体"/>
          <w:b/>
          <w:kern w:val="0"/>
          <w:sz w:val="36"/>
          <w:szCs w:val="36"/>
        </w:rPr>
      </w:pPr>
    </w:p>
    <w:p w14:paraId="7A0840D1">
      <w:pPr>
        <w:shd w:val="clear" w:color="auto" w:fill="FFFFFF"/>
        <w:spacing w:line="360" w:lineRule="auto"/>
        <w:jc w:val="center"/>
        <w:textAlignment w:val="bottom"/>
        <w:rPr>
          <w:rFonts w:hint="eastAsia" w:ascii="宋体" w:hAnsi="宋体" w:eastAsia="宋体" w:cs="宋体"/>
          <w:b/>
          <w:kern w:val="0"/>
          <w:sz w:val="36"/>
          <w:szCs w:val="36"/>
        </w:rPr>
      </w:pPr>
    </w:p>
    <w:p w14:paraId="26C7E909">
      <w:pPr>
        <w:shd w:val="clear" w:color="auto" w:fill="FFFFFF"/>
        <w:spacing w:line="360" w:lineRule="auto"/>
        <w:jc w:val="center"/>
        <w:textAlignment w:val="bottom"/>
        <w:rPr>
          <w:rFonts w:hint="eastAsia" w:ascii="宋体" w:hAnsi="宋体" w:eastAsia="宋体" w:cs="宋体"/>
          <w:b/>
          <w:kern w:val="0"/>
          <w:sz w:val="36"/>
          <w:szCs w:val="36"/>
        </w:rPr>
      </w:pPr>
      <w:r>
        <w:rPr>
          <w:rFonts w:hint="eastAsia" w:ascii="宋体" w:hAnsi="宋体" w:eastAsia="宋体" w:cs="宋体"/>
          <w:b/>
          <w:kern w:val="0"/>
          <w:sz w:val="36"/>
          <w:szCs w:val="36"/>
        </w:rPr>
        <w:t>第三部分 评标标准与评标办法</w:t>
      </w:r>
    </w:p>
    <w:p w14:paraId="58E0D860">
      <w:pPr>
        <w:shd w:val="clear" w:color="auto" w:fill="FFFFFF"/>
        <w:spacing w:line="440" w:lineRule="exact"/>
        <w:ind w:firstLine="440" w:firstLineChars="200"/>
        <w:jc w:val="left"/>
        <w:textAlignment w:val="bottom"/>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 xml:space="preserve">一、采购组织机构将组织磋商小组，磋商小组由3人以上单数组成，其中技术专家不少于三分之二，对投标人提供的磋商响应文件进行综合评审。   </w:t>
      </w:r>
    </w:p>
    <w:p w14:paraId="3A4E3E25">
      <w:pPr>
        <w:shd w:val="clear" w:color="auto" w:fill="FFFFFF"/>
        <w:spacing w:line="440" w:lineRule="exact"/>
        <w:ind w:firstLine="440" w:firstLineChars="200"/>
        <w:jc w:val="left"/>
        <w:textAlignment w:val="bottom"/>
        <w:rPr>
          <w:rFonts w:hint="eastAsia" w:ascii="宋体" w:hAnsi="宋体" w:eastAsia="宋体" w:cs="宋体"/>
          <w:bCs/>
          <w:kern w:val="0"/>
          <w:sz w:val="22"/>
          <w:szCs w:val="22"/>
          <w:highlight w:val="none"/>
          <w:lang w:val="zh-CN"/>
        </w:rPr>
      </w:pPr>
      <w:r>
        <w:rPr>
          <w:rFonts w:hint="eastAsia" w:ascii="宋体" w:hAnsi="宋体" w:eastAsia="宋体" w:cs="宋体"/>
          <w:bCs/>
          <w:kern w:val="0"/>
          <w:sz w:val="22"/>
          <w:szCs w:val="22"/>
          <w:lang w:val="zh-CN"/>
        </w:rPr>
        <w:t>二、本次磋商项目的评审方法</w:t>
      </w:r>
      <w:r>
        <w:rPr>
          <w:rFonts w:hint="eastAsia" w:ascii="宋体" w:hAnsi="宋体" w:eastAsia="宋体" w:cs="宋体"/>
          <w:bCs/>
          <w:kern w:val="0"/>
          <w:sz w:val="22"/>
          <w:szCs w:val="22"/>
          <w:highlight w:val="none"/>
          <w:lang w:val="zh-CN"/>
        </w:rPr>
        <w:t>为</w:t>
      </w:r>
      <w:r>
        <w:rPr>
          <w:rFonts w:hint="eastAsia" w:ascii="宋体" w:hAnsi="宋体" w:eastAsia="宋体" w:cs="宋体"/>
          <w:b/>
          <w:kern w:val="0"/>
          <w:sz w:val="22"/>
          <w:szCs w:val="22"/>
          <w:highlight w:val="none"/>
          <w:lang w:val="zh-CN"/>
        </w:rPr>
        <w:t>综合评分法</w:t>
      </w:r>
      <w:r>
        <w:rPr>
          <w:rFonts w:hint="eastAsia" w:ascii="宋体" w:hAnsi="宋体" w:eastAsia="宋体" w:cs="宋体"/>
          <w:bCs/>
          <w:kern w:val="0"/>
          <w:sz w:val="22"/>
          <w:szCs w:val="22"/>
          <w:highlight w:val="none"/>
          <w:lang w:val="zh-CN"/>
        </w:rPr>
        <w:t>，其中商务技术</w:t>
      </w:r>
      <w:r>
        <w:rPr>
          <w:rFonts w:hint="eastAsia" w:ascii="宋体" w:hAnsi="宋体" w:eastAsia="宋体" w:cs="宋体"/>
          <w:bCs/>
          <w:kern w:val="0"/>
          <w:sz w:val="22"/>
          <w:szCs w:val="22"/>
          <w:highlight w:val="none"/>
          <w:lang w:val="en-US" w:eastAsia="zh-CN"/>
        </w:rPr>
        <w:t>8</w:t>
      </w:r>
      <w:r>
        <w:rPr>
          <w:rFonts w:hint="eastAsia" w:ascii="宋体" w:hAnsi="宋体" w:eastAsia="宋体" w:cs="宋体"/>
          <w:bCs/>
          <w:kern w:val="0"/>
          <w:sz w:val="22"/>
          <w:szCs w:val="22"/>
          <w:highlight w:val="none"/>
        </w:rPr>
        <w:t>0分，商务报价为</w:t>
      </w:r>
      <w:r>
        <w:rPr>
          <w:rFonts w:hint="eastAsia" w:ascii="宋体" w:hAnsi="宋体" w:eastAsia="宋体" w:cs="宋体"/>
          <w:bCs/>
          <w:kern w:val="0"/>
          <w:sz w:val="22"/>
          <w:szCs w:val="22"/>
          <w:highlight w:val="none"/>
          <w:lang w:val="en-US" w:eastAsia="zh-CN"/>
        </w:rPr>
        <w:t>2</w:t>
      </w:r>
      <w:r>
        <w:rPr>
          <w:rFonts w:hint="eastAsia" w:ascii="宋体" w:hAnsi="宋体" w:eastAsia="宋体" w:cs="宋体"/>
          <w:bCs/>
          <w:kern w:val="0"/>
          <w:sz w:val="22"/>
          <w:szCs w:val="22"/>
          <w:highlight w:val="none"/>
        </w:rPr>
        <w:t>0分，</w:t>
      </w:r>
      <w:r>
        <w:rPr>
          <w:rFonts w:hint="eastAsia" w:ascii="宋体" w:hAnsi="宋体" w:eastAsia="宋体" w:cs="宋体"/>
          <w:bCs/>
          <w:kern w:val="0"/>
          <w:sz w:val="22"/>
          <w:szCs w:val="22"/>
          <w:highlight w:val="none"/>
          <w:lang w:val="zh-CN"/>
        </w:rPr>
        <w:t>总计100分。</w:t>
      </w:r>
    </w:p>
    <w:p w14:paraId="5C96FDF3">
      <w:pPr>
        <w:shd w:val="clear" w:color="auto" w:fill="FFFFFF"/>
        <w:spacing w:line="440" w:lineRule="exact"/>
        <w:ind w:firstLine="440" w:firstLineChars="200"/>
        <w:jc w:val="left"/>
        <w:textAlignment w:val="bottom"/>
        <w:rPr>
          <w:rFonts w:hint="eastAsia" w:ascii="宋体" w:hAnsi="宋体" w:eastAsia="宋体" w:cs="宋体"/>
          <w:bCs/>
          <w:kern w:val="0"/>
          <w:sz w:val="22"/>
          <w:szCs w:val="22"/>
          <w:highlight w:val="none"/>
          <w:lang w:val="zh-CN"/>
        </w:rPr>
      </w:pPr>
      <w:r>
        <w:rPr>
          <w:rFonts w:hint="eastAsia" w:ascii="宋体" w:hAnsi="宋体" w:eastAsia="宋体" w:cs="宋体"/>
          <w:bCs/>
          <w:kern w:val="0"/>
          <w:sz w:val="22"/>
          <w:szCs w:val="22"/>
          <w:highlight w:val="none"/>
          <w:lang w:val="zh-CN"/>
        </w:rPr>
        <w:t>（一）商务与技术文件中的客观分由磋商小组讨论后统一打分；其余在规定的分值内单独评定打分。</w:t>
      </w:r>
    </w:p>
    <w:p w14:paraId="51B61EA7">
      <w:pPr>
        <w:shd w:val="clear" w:color="auto" w:fill="FFFFFF"/>
        <w:spacing w:line="440" w:lineRule="exact"/>
        <w:ind w:firstLine="440" w:firstLineChars="200"/>
        <w:jc w:val="left"/>
        <w:textAlignment w:val="bottom"/>
        <w:rPr>
          <w:rFonts w:hint="eastAsia" w:ascii="宋体" w:hAnsi="宋体" w:eastAsia="宋体" w:cs="宋体"/>
          <w:bCs/>
          <w:kern w:val="0"/>
          <w:sz w:val="22"/>
          <w:szCs w:val="22"/>
          <w:highlight w:val="none"/>
          <w:lang w:val="zh-CN"/>
        </w:rPr>
      </w:pPr>
      <w:r>
        <w:rPr>
          <w:rFonts w:hint="eastAsia" w:ascii="宋体" w:hAnsi="宋体" w:eastAsia="宋体" w:cs="宋体"/>
          <w:bCs/>
          <w:kern w:val="0"/>
          <w:sz w:val="22"/>
          <w:szCs w:val="22"/>
          <w:highlight w:val="none"/>
          <w:lang w:val="zh-CN"/>
        </w:rPr>
        <w:t>（二）各磋商投标人商务与技术文件得分按照磋商小组成员的独立评分结果汇总后的算术平均分计算，计算公式为：</w:t>
      </w:r>
    </w:p>
    <w:p w14:paraId="42AE7108">
      <w:pPr>
        <w:shd w:val="clear" w:color="auto" w:fill="FFFFFF"/>
        <w:spacing w:line="440" w:lineRule="exact"/>
        <w:ind w:firstLine="440" w:firstLineChars="200"/>
        <w:jc w:val="left"/>
        <w:textAlignment w:val="bottom"/>
        <w:rPr>
          <w:rFonts w:hint="eastAsia" w:ascii="宋体" w:hAnsi="宋体" w:eastAsia="宋体" w:cs="宋体"/>
          <w:bCs/>
          <w:kern w:val="0"/>
          <w:sz w:val="22"/>
          <w:szCs w:val="22"/>
          <w:highlight w:val="none"/>
          <w:lang w:val="zh-CN"/>
        </w:rPr>
      </w:pPr>
      <w:r>
        <w:rPr>
          <w:rFonts w:hint="eastAsia" w:ascii="宋体" w:hAnsi="宋体" w:eastAsia="宋体" w:cs="宋体"/>
          <w:bCs/>
          <w:kern w:val="0"/>
          <w:sz w:val="22"/>
          <w:szCs w:val="22"/>
          <w:highlight w:val="none"/>
          <w:lang w:val="zh-CN"/>
        </w:rPr>
        <w:t>商务与技术文件得分=磋商小组所有成员评分合计数/磋商小组组成人员数。</w:t>
      </w:r>
    </w:p>
    <w:p w14:paraId="7454C2E5">
      <w:pPr>
        <w:shd w:val="clear" w:color="auto" w:fill="FFFFFF"/>
        <w:spacing w:line="440" w:lineRule="exact"/>
        <w:ind w:firstLine="440" w:firstLineChars="200"/>
        <w:jc w:val="left"/>
        <w:textAlignment w:val="bottom"/>
        <w:rPr>
          <w:rFonts w:hint="eastAsia" w:ascii="宋体" w:hAnsi="宋体" w:eastAsia="宋体" w:cs="宋体"/>
          <w:bCs/>
          <w:kern w:val="0"/>
          <w:sz w:val="22"/>
          <w:szCs w:val="22"/>
          <w:highlight w:val="none"/>
          <w:lang w:val="zh-CN"/>
        </w:rPr>
      </w:pPr>
      <w:r>
        <w:rPr>
          <w:rFonts w:hint="eastAsia" w:ascii="宋体" w:hAnsi="宋体" w:eastAsia="宋体" w:cs="宋体"/>
          <w:bCs/>
          <w:kern w:val="0"/>
          <w:sz w:val="22"/>
          <w:szCs w:val="22"/>
          <w:highlight w:val="none"/>
          <w:lang w:val="zh-CN"/>
        </w:rPr>
        <w:t>（三）综合评分法中的价格分统一采用低价优先法计算，即满足磋商文件要求且最后报价最低的投标人的价格作为磋商基准价，其报价得满分。其他投标人的价格分统一按照下列公式计算：</w:t>
      </w:r>
    </w:p>
    <w:p w14:paraId="2674F5D8">
      <w:pPr>
        <w:shd w:val="clear" w:color="auto" w:fill="FFFFFF"/>
        <w:spacing w:line="440" w:lineRule="exact"/>
        <w:ind w:firstLine="440" w:firstLineChars="200"/>
        <w:jc w:val="left"/>
        <w:textAlignment w:val="bottom"/>
        <w:rPr>
          <w:rFonts w:hint="eastAsia" w:ascii="宋体" w:hAnsi="宋体" w:eastAsia="宋体" w:cs="宋体"/>
          <w:bCs/>
          <w:kern w:val="0"/>
          <w:sz w:val="22"/>
          <w:szCs w:val="22"/>
          <w:highlight w:val="none"/>
          <w:u w:val="single"/>
          <w:lang w:val="zh-CN"/>
        </w:rPr>
      </w:pPr>
      <w:r>
        <w:rPr>
          <w:rFonts w:hint="eastAsia" w:ascii="宋体" w:hAnsi="宋体" w:eastAsia="宋体" w:cs="宋体"/>
          <w:bCs/>
          <w:kern w:val="0"/>
          <w:sz w:val="22"/>
          <w:szCs w:val="22"/>
          <w:highlight w:val="none"/>
          <w:u w:val="single"/>
          <w:lang w:val="zh-CN"/>
        </w:rPr>
        <w:t>磋商报价得分=(磋商基准价</w:t>
      </w:r>
      <w:r>
        <w:rPr>
          <w:rFonts w:hint="eastAsia" w:ascii="宋体" w:hAnsi="宋体" w:eastAsia="宋体" w:cs="宋体"/>
          <w:bCs/>
          <w:kern w:val="0"/>
          <w:sz w:val="22"/>
          <w:szCs w:val="22"/>
          <w:highlight w:val="none"/>
          <w:u w:val="single"/>
        </w:rPr>
        <w:t>/</w:t>
      </w:r>
      <w:r>
        <w:rPr>
          <w:rFonts w:hint="eastAsia" w:ascii="宋体" w:hAnsi="宋体" w:eastAsia="宋体" w:cs="宋体"/>
          <w:bCs/>
          <w:kern w:val="0"/>
          <w:sz w:val="22"/>
          <w:szCs w:val="22"/>
          <w:highlight w:val="none"/>
          <w:u w:val="single"/>
          <w:lang w:val="zh-CN"/>
        </w:rPr>
        <w:t>最后磋商报价）×</w:t>
      </w:r>
      <w:r>
        <w:rPr>
          <w:rFonts w:hint="eastAsia" w:ascii="宋体" w:hAnsi="宋体" w:eastAsia="宋体" w:cs="宋体"/>
          <w:bCs/>
          <w:kern w:val="0"/>
          <w:sz w:val="22"/>
          <w:szCs w:val="22"/>
          <w:highlight w:val="none"/>
          <w:u w:val="single"/>
          <w:lang w:val="en-US" w:eastAsia="zh-CN"/>
        </w:rPr>
        <w:t>2</w:t>
      </w:r>
      <w:r>
        <w:rPr>
          <w:rFonts w:hint="eastAsia" w:ascii="宋体" w:hAnsi="宋体" w:eastAsia="宋体" w:cs="宋体"/>
          <w:bCs/>
          <w:kern w:val="0"/>
          <w:sz w:val="22"/>
          <w:szCs w:val="22"/>
          <w:highlight w:val="none"/>
          <w:u w:val="single"/>
        </w:rPr>
        <w:t>0</w:t>
      </w:r>
      <w:r>
        <w:rPr>
          <w:rFonts w:hint="eastAsia" w:ascii="宋体" w:hAnsi="宋体" w:eastAsia="宋体" w:cs="宋体"/>
          <w:bCs/>
          <w:kern w:val="0"/>
          <w:sz w:val="22"/>
          <w:szCs w:val="22"/>
          <w:highlight w:val="none"/>
          <w:u w:val="single"/>
          <w:lang w:val="zh-CN"/>
        </w:rPr>
        <w:t>%×100 。</w:t>
      </w:r>
    </w:p>
    <w:p w14:paraId="160F5087">
      <w:pPr>
        <w:spacing w:line="440" w:lineRule="exact"/>
        <w:ind w:firstLine="440" w:firstLineChars="200"/>
        <w:rPr>
          <w:rFonts w:hint="eastAsia" w:ascii="宋体" w:hAnsi="宋体" w:eastAsia="宋体" w:cs="宋体"/>
          <w:sz w:val="22"/>
          <w:szCs w:val="22"/>
        </w:rPr>
      </w:pPr>
      <w:r>
        <w:rPr>
          <w:rFonts w:hint="eastAsia" w:ascii="宋体" w:hAnsi="宋体" w:eastAsia="宋体" w:cs="宋体"/>
          <w:bCs/>
          <w:kern w:val="0"/>
          <w:sz w:val="22"/>
          <w:szCs w:val="22"/>
          <w:highlight w:val="none"/>
          <w:lang w:val="zh-CN"/>
        </w:rPr>
        <w:t>注：</w:t>
      </w:r>
      <w:r>
        <w:rPr>
          <w:rFonts w:hint="eastAsia" w:ascii="宋体" w:hAnsi="宋体" w:eastAsia="宋体" w:cs="宋体"/>
          <w:b/>
          <w:bCs/>
          <w:sz w:val="22"/>
          <w:szCs w:val="22"/>
          <w:highlight w:val="none"/>
          <w:u w:val="single"/>
          <w:lang w:val="zh-CN"/>
        </w:rPr>
        <w:t>对于投标报价明显低于成本价，且</w:t>
      </w:r>
      <w:r>
        <w:rPr>
          <w:rFonts w:hint="eastAsia" w:ascii="宋体" w:hAnsi="宋体" w:eastAsia="宋体" w:cs="宋体"/>
          <w:b/>
          <w:bCs/>
          <w:sz w:val="22"/>
          <w:szCs w:val="22"/>
          <w:highlight w:val="none"/>
          <w:u w:val="single"/>
        </w:rPr>
        <w:t>投标人不能合理说明原因并</w:t>
      </w:r>
      <w:r>
        <w:rPr>
          <w:rFonts w:hint="eastAsia" w:ascii="宋体" w:hAnsi="宋体" w:eastAsia="宋体" w:cs="宋体"/>
          <w:b/>
          <w:bCs/>
          <w:sz w:val="22"/>
          <w:szCs w:val="22"/>
          <w:u w:val="single"/>
        </w:rPr>
        <w:t>提供证明材料的</w:t>
      </w:r>
      <w:r>
        <w:rPr>
          <w:rFonts w:hint="eastAsia" w:ascii="宋体" w:hAnsi="宋体" w:eastAsia="宋体" w:cs="宋体"/>
          <w:b/>
          <w:bCs/>
          <w:sz w:val="22"/>
          <w:szCs w:val="22"/>
          <w:u w:val="single"/>
          <w:lang w:val="zh-CN"/>
        </w:rPr>
        <w:t>，</w:t>
      </w:r>
      <w:r>
        <w:rPr>
          <w:rFonts w:hint="eastAsia" w:ascii="宋体" w:hAnsi="宋体" w:eastAsia="宋体" w:cs="宋体"/>
          <w:b/>
          <w:bCs/>
          <w:sz w:val="22"/>
          <w:szCs w:val="22"/>
          <w:u w:val="single"/>
        </w:rPr>
        <w:t>评标</w:t>
      </w:r>
      <w:r>
        <w:rPr>
          <w:rFonts w:hint="eastAsia" w:ascii="宋体" w:hAnsi="宋体" w:eastAsia="宋体" w:cs="宋体"/>
          <w:b/>
          <w:bCs/>
          <w:sz w:val="22"/>
          <w:szCs w:val="22"/>
          <w:u w:val="single"/>
          <w:lang w:val="zh-CN"/>
        </w:rPr>
        <w:t>小组认为其有可能影响商品质量和不能诚信履约的</w:t>
      </w:r>
      <w:r>
        <w:rPr>
          <w:rFonts w:hint="eastAsia" w:ascii="宋体" w:hAnsi="宋体" w:eastAsia="宋体" w:cs="宋体"/>
          <w:b/>
          <w:bCs/>
          <w:sz w:val="22"/>
          <w:szCs w:val="22"/>
          <w:u w:val="single"/>
        </w:rPr>
        <w:t>作</w:t>
      </w:r>
      <w:r>
        <w:rPr>
          <w:rFonts w:hint="eastAsia" w:ascii="宋体" w:hAnsi="宋体" w:eastAsia="宋体" w:cs="宋体"/>
          <w:b/>
          <w:bCs/>
          <w:sz w:val="22"/>
          <w:szCs w:val="22"/>
          <w:u w:val="single"/>
          <w:lang w:val="zh-CN"/>
        </w:rPr>
        <w:t>无效投标处理。</w:t>
      </w:r>
    </w:p>
    <w:p w14:paraId="516E0656">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（四）政府采购政策及优惠：</w:t>
      </w:r>
    </w:p>
    <w:p w14:paraId="69FA1A46">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（1）根据浙江省财政厅发布的《浙江省财政厅关于进一步加大政府采购支持中小企业力度 助力扎实稳住经济的通知》【浙财采监〔2022〕8号】规定，落实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20%的扣除，用扣除后的价格参加评审。</w:t>
      </w:r>
    </w:p>
    <w:p w14:paraId="59264C3D">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投标文件中须同时出具《政府采购促进中小企业发展管理办法》【财库（2020）46号】规定的《中小企业声明函》，否则不得享受价格扣除。</w:t>
      </w:r>
    </w:p>
    <w:p w14:paraId="191EEFB1">
      <w:pPr>
        <w:shd w:val="clear" w:color="auto" w:fill="FFFFFF"/>
        <w:spacing w:line="360" w:lineRule="auto"/>
        <w:ind w:firstLine="440" w:firstLineChars="200"/>
        <w:textAlignment w:val="bottom"/>
        <w:rPr>
          <w:rFonts w:hint="eastAsia" w:ascii="宋体" w:hAnsi="宋体" w:eastAsia="宋体" w:cs="宋体"/>
          <w:sz w:val="22"/>
          <w:szCs w:val="22"/>
          <w:highlight w:val="yellow"/>
          <w:lang w:val="zh-CN"/>
        </w:rPr>
      </w:pPr>
      <w:r>
        <w:rPr>
          <w:rFonts w:hint="eastAsia" w:ascii="宋体" w:hAnsi="宋体" w:eastAsia="宋体" w:cs="宋体"/>
          <w:sz w:val="22"/>
          <w:szCs w:val="22"/>
          <w:highlight w:val="yellow"/>
          <w:lang w:val="zh-CN"/>
        </w:rPr>
        <w:t>本项目对符合规定的小微企业（含小型企业）报价给予20%的扣除。</w:t>
      </w:r>
    </w:p>
    <w:p w14:paraId="244262C6">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（2）根据《关于政府采购支持监狱企业发展有关问题的通知》（财库〔2014〕68号）的规定，供应商如为监狱企业且所投产品为小型或微型企业生产的，其投标报价扣除20%后参与评审。</w:t>
      </w:r>
    </w:p>
    <w:p w14:paraId="548296A2">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投标文件中须同时提供：供应商的省级以上监狱管理局、戒毒管理局（含新疆生产建设兵团）出具的属于监狱企业的证明文件，未提供完整证明材料的，投标报价不予扣减。</w:t>
      </w:r>
    </w:p>
    <w:p w14:paraId="2C11E0F8">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D300E29">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享受政府采购支持政策的残疾人福利性单位应当同时满足以下条件：</w:t>
      </w:r>
    </w:p>
    <w:p w14:paraId="7630301A">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①安置的残疾人占本单位在职职工人数的比例不低于25%（含25%），并且安置的残疾人人数不少于10人（含10人）；</w:t>
      </w:r>
    </w:p>
    <w:p w14:paraId="13F3394F">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②依法与安置的每位残疾人签订了一年以上（含一年）的劳动合同或服务协议；</w:t>
      </w:r>
    </w:p>
    <w:p w14:paraId="7C530289">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③为安置的每位残疾人按月足额缴纳了基本养老保险、基本医疗保险、失业保险、工伤保险和生育保险等社会保险费；</w:t>
      </w:r>
    </w:p>
    <w:p w14:paraId="0AA5484C">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④通过银行等金融机构向安置的每位残疾人，按月支付不低于单位所在区县适用的经省级人民政府批准的月最低工资标准的工资；</w:t>
      </w:r>
    </w:p>
    <w:p w14:paraId="189C9DBE">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⑤提供本单位制造的货物、承担的工程或者服务（以下简称产品），或者提供其他残疾人福利性单位制造的货物（不包括使用非残疾人福利性单位注册商标的货物）。</w:t>
      </w:r>
    </w:p>
    <w:p w14:paraId="4E829F5D">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AE34F4">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注：得分以系统计算为准，保留2位小数。</w:t>
      </w:r>
    </w:p>
    <w:p w14:paraId="6F7F186F">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三、在最大限度地满足磋商文件实质性要求前提下，磋商小组按照磋商文件中规定的各项因素进行综合评审后，以评审总得分最高的投标人为成交候选人。</w:t>
      </w:r>
    </w:p>
    <w:p w14:paraId="3495FFBB">
      <w:pPr>
        <w:shd w:val="clear" w:color="auto" w:fill="FFFFFF"/>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zh-CN"/>
        </w:rPr>
        <w:t>四、如综合得分相同，最后报价低者为先；如综合得分且最后报价相同的，货物类采购项目以技术性能得分较高者为先，服务类采购项目以实力信誉及业绩得分较高者为先。</w:t>
      </w:r>
    </w:p>
    <w:p w14:paraId="72CF75B6">
      <w:pPr>
        <w:shd w:val="clear" w:color="auto" w:fill="FFFFFF"/>
        <w:spacing w:line="360" w:lineRule="auto"/>
        <w:ind w:firstLine="482" w:firstLineChars="200"/>
        <w:textAlignment w:val="bottom"/>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rPr>
        <w:t>五</w:t>
      </w:r>
      <w:r>
        <w:rPr>
          <w:rFonts w:hint="eastAsia" w:ascii="宋体" w:hAnsi="宋体" w:eastAsia="宋体" w:cs="宋体"/>
          <w:b/>
          <w:kern w:val="0"/>
          <w:sz w:val="24"/>
          <w:highlight w:val="none"/>
          <w:lang w:val="zh-CN"/>
        </w:rPr>
        <w:t>、本次评分具体分值细化条款如下表：</w:t>
      </w:r>
    </w:p>
    <w:tbl>
      <w:tblPr>
        <w:tblStyle w:val="33"/>
        <w:tblW w:w="5930" w:type="pct"/>
        <w:tblInd w:w="-613" w:type="dxa"/>
        <w:tblLayout w:type="fixed"/>
        <w:tblCellMar>
          <w:top w:w="0" w:type="dxa"/>
          <w:left w:w="108" w:type="dxa"/>
          <w:bottom w:w="0" w:type="dxa"/>
          <w:right w:w="108" w:type="dxa"/>
        </w:tblCellMar>
      </w:tblPr>
      <w:tblGrid>
        <w:gridCol w:w="665"/>
        <w:gridCol w:w="1005"/>
        <w:gridCol w:w="7875"/>
        <w:gridCol w:w="815"/>
      </w:tblGrid>
      <w:tr w14:paraId="65F88CD8">
        <w:tblPrEx>
          <w:tblCellMar>
            <w:top w:w="0" w:type="dxa"/>
            <w:left w:w="108" w:type="dxa"/>
            <w:bottom w:w="0" w:type="dxa"/>
            <w:right w:w="108" w:type="dxa"/>
          </w:tblCellMar>
        </w:tblPrEx>
        <w:trPr>
          <w:trHeight w:val="552" w:hRule="atLeast"/>
          <w:tblHeader/>
        </w:trPr>
        <w:tc>
          <w:tcPr>
            <w:tcW w:w="665" w:type="dxa"/>
            <w:tcBorders>
              <w:top w:val="single" w:color="auto" w:sz="4" w:space="0"/>
              <w:left w:val="single" w:color="auto" w:sz="4" w:space="0"/>
              <w:bottom w:val="single" w:color="auto" w:sz="4" w:space="0"/>
              <w:right w:val="single" w:color="auto" w:sz="4" w:space="0"/>
            </w:tcBorders>
            <w:noWrap w:val="0"/>
            <w:vAlign w:val="center"/>
          </w:tcPr>
          <w:p w14:paraId="1938AFB2">
            <w:pPr>
              <w:widowControl/>
              <w:jc w:val="center"/>
              <w:rPr>
                <w:rFonts w:hint="eastAsia" w:ascii="宋体" w:hAnsi="宋体" w:eastAsia="宋体" w:cs="宋体"/>
                <w:b/>
                <w:bCs/>
                <w:color w:val="000000"/>
                <w:kern w:val="0"/>
                <w:sz w:val="21"/>
                <w:szCs w:val="21"/>
              </w:rPr>
            </w:pPr>
            <w:bookmarkStart w:id="1" w:name="RANGE!A2"/>
            <w:r>
              <w:rPr>
                <w:rFonts w:hint="eastAsia" w:ascii="宋体" w:hAnsi="宋体" w:eastAsia="宋体" w:cs="宋体"/>
                <w:b/>
                <w:bCs/>
                <w:color w:val="000000"/>
                <w:kern w:val="0"/>
                <w:sz w:val="21"/>
                <w:szCs w:val="21"/>
              </w:rPr>
              <w:t>序号</w:t>
            </w:r>
            <w:bookmarkEnd w:id="1"/>
          </w:p>
        </w:tc>
        <w:tc>
          <w:tcPr>
            <w:tcW w:w="1005" w:type="dxa"/>
            <w:tcBorders>
              <w:top w:val="single" w:color="auto" w:sz="4" w:space="0"/>
              <w:left w:val="nil"/>
              <w:bottom w:val="single" w:color="auto" w:sz="4" w:space="0"/>
              <w:right w:val="single" w:color="auto" w:sz="4" w:space="0"/>
            </w:tcBorders>
            <w:noWrap w:val="0"/>
            <w:vAlign w:val="center"/>
          </w:tcPr>
          <w:p w14:paraId="1101F69F">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评分项目</w:t>
            </w:r>
          </w:p>
        </w:tc>
        <w:tc>
          <w:tcPr>
            <w:tcW w:w="7876" w:type="dxa"/>
            <w:tcBorders>
              <w:top w:val="single" w:color="auto" w:sz="4" w:space="0"/>
              <w:left w:val="nil"/>
              <w:bottom w:val="single" w:color="auto" w:sz="4" w:space="0"/>
              <w:right w:val="single" w:color="auto" w:sz="4" w:space="0"/>
            </w:tcBorders>
            <w:noWrap w:val="0"/>
            <w:vAlign w:val="center"/>
          </w:tcPr>
          <w:p w14:paraId="5F857DBB">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评分内容</w:t>
            </w:r>
          </w:p>
        </w:tc>
        <w:tc>
          <w:tcPr>
            <w:tcW w:w="815" w:type="dxa"/>
            <w:tcBorders>
              <w:top w:val="single" w:color="auto" w:sz="4" w:space="0"/>
              <w:left w:val="nil"/>
              <w:bottom w:val="single" w:color="auto" w:sz="4" w:space="0"/>
              <w:right w:val="single" w:color="auto" w:sz="4" w:space="0"/>
            </w:tcBorders>
            <w:noWrap w:val="0"/>
            <w:vAlign w:val="center"/>
          </w:tcPr>
          <w:p w14:paraId="3A7168BB">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r>
      <w:tr w14:paraId="49149276">
        <w:tblPrEx>
          <w:tblCellMar>
            <w:top w:w="0" w:type="dxa"/>
            <w:left w:w="108" w:type="dxa"/>
            <w:bottom w:w="0" w:type="dxa"/>
            <w:right w:w="108" w:type="dxa"/>
          </w:tblCellMar>
        </w:tblPrEx>
        <w:trPr>
          <w:trHeight w:val="765" w:hRule="atLeast"/>
        </w:trPr>
        <w:tc>
          <w:tcPr>
            <w:tcW w:w="665" w:type="dxa"/>
            <w:vMerge w:val="restart"/>
            <w:tcBorders>
              <w:top w:val="nil"/>
              <w:left w:val="single" w:color="auto" w:sz="4" w:space="0"/>
              <w:bottom w:val="single" w:color="000000" w:sz="4" w:space="0"/>
              <w:right w:val="single" w:color="auto" w:sz="4" w:space="0"/>
            </w:tcBorders>
            <w:noWrap w:val="0"/>
            <w:vAlign w:val="center"/>
          </w:tcPr>
          <w:p w14:paraId="410C9F3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05" w:type="dxa"/>
            <w:vMerge w:val="restart"/>
            <w:tcBorders>
              <w:top w:val="nil"/>
              <w:left w:val="single" w:color="auto" w:sz="4" w:space="0"/>
              <w:bottom w:val="single" w:color="000000" w:sz="4" w:space="0"/>
              <w:right w:val="single" w:color="auto" w:sz="4" w:space="0"/>
            </w:tcBorders>
            <w:noWrap w:val="0"/>
            <w:vAlign w:val="center"/>
          </w:tcPr>
          <w:p w14:paraId="481112A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投标人证书</w:t>
            </w:r>
          </w:p>
        </w:tc>
        <w:tc>
          <w:tcPr>
            <w:tcW w:w="7876" w:type="dxa"/>
            <w:tcBorders>
              <w:top w:val="nil"/>
              <w:left w:val="nil"/>
              <w:bottom w:val="single" w:color="auto" w:sz="4" w:space="0"/>
              <w:right w:val="single" w:color="auto" w:sz="4" w:space="0"/>
            </w:tcBorders>
            <w:noWrap w:val="0"/>
            <w:vAlign w:val="top"/>
          </w:tcPr>
          <w:p w14:paraId="16563D60">
            <w:pPr>
              <w:widowControl/>
              <w:snapToGrid w:val="0"/>
              <w:spacing w:line="360" w:lineRule="exac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投标人具备基础电信业务经营许可证得1分。</w:t>
            </w:r>
          </w:p>
          <w:p w14:paraId="3BC833A5">
            <w:pPr>
              <w:widowControl/>
              <w:snapToGrid w:val="0"/>
              <w:spacing w:line="360" w:lineRule="exact"/>
              <w:rPr>
                <w:rFonts w:hint="eastAsia" w:ascii="宋体" w:hAnsi="宋体" w:eastAsia="宋体" w:cs="宋体"/>
                <w:color w:val="000000"/>
                <w:kern w:val="0"/>
                <w:sz w:val="21"/>
                <w:szCs w:val="21"/>
                <w:highlight w:val="none"/>
              </w:rPr>
            </w:pPr>
            <w:r>
              <w:rPr>
                <w:rFonts w:hint="eastAsia" w:ascii="宋体" w:hAnsi="宋体" w:eastAsia="宋体" w:cs="宋体"/>
                <w:b/>
                <w:bCs/>
                <w:color w:val="auto"/>
                <w:sz w:val="21"/>
                <w:szCs w:val="21"/>
                <w:highlight w:val="none"/>
                <w:lang w:eastAsia="zh-CN"/>
              </w:rPr>
              <w:t>（提供相关证书原件扫描件并加盖公章，不提供不得分）</w:t>
            </w:r>
          </w:p>
        </w:tc>
        <w:tc>
          <w:tcPr>
            <w:tcW w:w="815" w:type="dxa"/>
            <w:tcBorders>
              <w:top w:val="nil"/>
              <w:left w:val="single" w:color="auto" w:sz="4" w:space="0"/>
              <w:bottom w:val="single" w:color="000000" w:sz="4" w:space="0"/>
              <w:right w:val="single" w:color="auto" w:sz="4" w:space="0"/>
            </w:tcBorders>
            <w:noWrap w:val="0"/>
            <w:vAlign w:val="center"/>
          </w:tcPr>
          <w:p w14:paraId="5A5EDD98">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r>
      <w:tr w14:paraId="655C35A0">
        <w:tblPrEx>
          <w:tblCellMar>
            <w:top w:w="0" w:type="dxa"/>
            <w:left w:w="108" w:type="dxa"/>
            <w:bottom w:w="0" w:type="dxa"/>
            <w:right w:w="108" w:type="dxa"/>
          </w:tblCellMar>
        </w:tblPrEx>
        <w:trPr>
          <w:trHeight w:val="765" w:hRule="atLeast"/>
        </w:trPr>
        <w:tc>
          <w:tcPr>
            <w:tcW w:w="665" w:type="dxa"/>
            <w:vMerge w:val="continue"/>
            <w:tcBorders>
              <w:top w:val="nil"/>
              <w:left w:val="single" w:color="auto" w:sz="4" w:space="0"/>
              <w:bottom w:val="single" w:color="000000" w:sz="4" w:space="0"/>
              <w:right w:val="single" w:color="auto" w:sz="4" w:space="0"/>
            </w:tcBorders>
            <w:noWrap w:val="0"/>
            <w:vAlign w:val="center"/>
          </w:tcPr>
          <w:p w14:paraId="0311AD28">
            <w:pPr>
              <w:widowControl/>
              <w:jc w:val="left"/>
              <w:rPr>
                <w:rFonts w:hint="eastAsia" w:ascii="宋体" w:hAnsi="宋体" w:eastAsia="宋体" w:cs="宋体"/>
                <w:color w:val="000000"/>
                <w:kern w:val="0"/>
                <w:sz w:val="21"/>
                <w:szCs w:val="21"/>
              </w:rPr>
            </w:pPr>
          </w:p>
        </w:tc>
        <w:tc>
          <w:tcPr>
            <w:tcW w:w="1005" w:type="dxa"/>
            <w:vMerge w:val="continue"/>
            <w:tcBorders>
              <w:top w:val="nil"/>
              <w:left w:val="single" w:color="auto" w:sz="4" w:space="0"/>
              <w:bottom w:val="single" w:color="000000" w:sz="4" w:space="0"/>
              <w:right w:val="single" w:color="auto" w:sz="4" w:space="0"/>
            </w:tcBorders>
            <w:noWrap w:val="0"/>
            <w:vAlign w:val="center"/>
          </w:tcPr>
          <w:p w14:paraId="232342A5">
            <w:pPr>
              <w:widowControl/>
              <w:jc w:val="left"/>
              <w:rPr>
                <w:rFonts w:hint="eastAsia" w:ascii="宋体" w:hAnsi="宋体" w:eastAsia="宋体" w:cs="宋体"/>
                <w:color w:val="000000"/>
                <w:kern w:val="0"/>
                <w:sz w:val="21"/>
                <w:szCs w:val="21"/>
              </w:rPr>
            </w:pPr>
          </w:p>
        </w:tc>
        <w:tc>
          <w:tcPr>
            <w:tcW w:w="7876" w:type="dxa"/>
            <w:tcBorders>
              <w:top w:val="nil"/>
              <w:left w:val="nil"/>
              <w:bottom w:val="single" w:color="auto" w:sz="4" w:space="0"/>
              <w:right w:val="single" w:color="auto" w:sz="4" w:space="0"/>
            </w:tcBorders>
            <w:noWrap w:val="0"/>
            <w:vAlign w:val="top"/>
          </w:tcPr>
          <w:p w14:paraId="6FC20DE6">
            <w:pPr>
              <w:widowControl/>
              <w:snapToGrid w:val="0"/>
              <w:spacing w:line="3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投标人具有有效的信息安全管理体系认证证书、信息技术服务管理体系认证证书，信息安全服务认证证书（CCRC）－信息系统安全集成， 并在有效期内的，每提供一个得1分,最高得4分。</w:t>
            </w:r>
            <w:r>
              <w:rPr>
                <w:rFonts w:hint="eastAsia" w:ascii="宋体" w:hAnsi="宋体" w:eastAsia="宋体" w:cs="宋体"/>
                <w:b/>
                <w:bCs/>
                <w:color w:val="auto"/>
                <w:sz w:val="21"/>
                <w:szCs w:val="21"/>
                <w:highlight w:val="none"/>
                <w:lang w:eastAsia="zh-CN"/>
              </w:rPr>
              <w:t>（提供有效证书扫描件加盖公章，不提供不得分）</w:t>
            </w:r>
          </w:p>
        </w:tc>
        <w:tc>
          <w:tcPr>
            <w:tcW w:w="815" w:type="dxa"/>
            <w:tcBorders>
              <w:top w:val="nil"/>
              <w:left w:val="single" w:color="auto" w:sz="4" w:space="0"/>
              <w:bottom w:val="single" w:color="000000" w:sz="4" w:space="0"/>
              <w:right w:val="single" w:color="auto" w:sz="4" w:space="0"/>
            </w:tcBorders>
            <w:noWrap w:val="0"/>
            <w:vAlign w:val="center"/>
          </w:tcPr>
          <w:p w14:paraId="5C068770">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14:paraId="3F4E08D5">
        <w:tblPrEx>
          <w:tblCellMar>
            <w:top w:w="0" w:type="dxa"/>
            <w:left w:w="108" w:type="dxa"/>
            <w:bottom w:w="0" w:type="dxa"/>
            <w:right w:w="108" w:type="dxa"/>
          </w:tblCellMar>
        </w:tblPrEx>
        <w:trPr>
          <w:trHeight w:val="1020" w:hRule="atLeast"/>
        </w:trPr>
        <w:tc>
          <w:tcPr>
            <w:tcW w:w="665" w:type="dxa"/>
            <w:tcBorders>
              <w:top w:val="nil"/>
              <w:left w:val="single" w:color="auto" w:sz="4" w:space="0"/>
              <w:bottom w:val="single" w:color="auto" w:sz="4" w:space="0"/>
              <w:right w:val="single" w:color="auto" w:sz="4" w:space="0"/>
            </w:tcBorders>
            <w:noWrap w:val="0"/>
            <w:vAlign w:val="center"/>
          </w:tcPr>
          <w:p w14:paraId="067F307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05" w:type="dxa"/>
            <w:tcBorders>
              <w:top w:val="nil"/>
              <w:left w:val="nil"/>
              <w:bottom w:val="single" w:color="auto" w:sz="4" w:space="0"/>
              <w:right w:val="single" w:color="auto" w:sz="4" w:space="0"/>
            </w:tcBorders>
            <w:noWrap w:val="0"/>
            <w:vAlign w:val="center"/>
          </w:tcPr>
          <w:p w14:paraId="400AD02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投标人业绩</w:t>
            </w:r>
          </w:p>
        </w:tc>
        <w:tc>
          <w:tcPr>
            <w:tcW w:w="7876" w:type="dxa"/>
            <w:tcBorders>
              <w:top w:val="nil"/>
              <w:left w:val="nil"/>
              <w:bottom w:val="single" w:color="auto" w:sz="4" w:space="0"/>
              <w:right w:val="single" w:color="auto" w:sz="4" w:space="0"/>
            </w:tcBorders>
            <w:noWrap w:val="0"/>
            <w:vAlign w:val="center"/>
          </w:tcPr>
          <w:p w14:paraId="4D293882">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投标人自2021年1月以来（以合同签订时间为准），承担过应急行业相关项目业绩项目案例的，每个得1分，最高得2分。</w:t>
            </w:r>
          </w:p>
          <w:p w14:paraId="7EC9D718">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提供合同原件扫描件、验收报告、中标通知书并加盖公章，不提供不得分</w:t>
            </w:r>
            <w:r>
              <w:rPr>
                <w:rFonts w:hint="eastAsia" w:ascii="宋体" w:hAnsi="宋体" w:eastAsia="宋体" w:cs="宋体"/>
                <w:b/>
                <w:bCs/>
                <w:color w:val="auto"/>
                <w:sz w:val="21"/>
                <w:szCs w:val="21"/>
                <w:highlight w:val="none"/>
                <w:lang w:eastAsia="zh-CN"/>
              </w:rPr>
              <w:t>）</w:t>
            </w:r>
          </w:p>
        </w:tc>
        <w:tc>
          <w:tcPr>
            <w:tcW w:w="815" w:type="dxa"/>
            <w:tcBorders>
              <w:top w:val="nil"/>
              <w:left w:val="nil"/>
              <w:bottom w:val="single" w:color="auto" w:sz="4" w:space="0"/>
              <w:right w:val="single" w:color="auto" w:sz="4" w:space="0"/>
            </w:tcBorders>
            <w:noWrap w:val="0"/>
            <w:vAlign w:val="center"/>
          </w:tcPr>
          <w:p w14:paraId="3F1797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14:paraId="18CD72F7">
        <w:tblPrEx>
          <w:tblCellMar>
            <w:top w:w="0" w:type="dxa"/>
            <w:left w:w="108" w:type="dxa"/>
            <w:bottom w:w="0" w:type="dxa"/>
            <w:right w:w="108" w:type="dxa"/>
          </w:tblCellMar>
        </w:tblPrEx>
        <w:trPr>
          <w:trHeight w:val="1530" w:hRule="atLeast"/>
        </w:trPr>
        <w:tc>
          <w:tcPr>
            <w:tcW w:w="665" w:type="dxa"/>
            <w:tcBorders>
              <w:top w:val="nil"/>
              <w:left w:val="single" w:color="auto" w:sz="4" w:space="0"/>
              <w:bottom w:val="single" w:color="auto" w:sz="4" w:space="0"/>
              <w:right w:val="single" w:color="auto" w:sz="4" w:space="0"/>
            </w:tcBorders>
            <w:noWrap w:val="0"/>
            <w:vAlign w:val="center"/>
          </w:tcPr>
          <w:p w14:paraId="2BD461B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05" w:type="dxa"/>
            <w:tcBorders>
              <w:top w:val="nil"/>
              <w:left w:val="nil"/>
              <w:bottom w:val="single" w:color="auto" w:sz="4" w:space="0"/>
              <w:right w:val="single" w:color="auto" w:sz="4" w:space="0"/>
            </w:tcBorders>
            <w:noWrap w:val="0"/>
            <w:vAlign w:val="center"/>
          </w:tcPr>
          <w:p w14:paraId="23E408B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项目负责人</w:t>
            </w:r>
          </w:p>
        </w:tc>
        <w:tc>
          <w:tcPr>
            <w:tcW w:w="7876" w:type="dxa"/>
            <w:tcBorders>
              <w:top w:val="nil"/>
              <w:left w:val="nil"/>
              <w:bottom w:val="single" w:color="auto" w:sz="4" w:space="0"/>
              <w:right w:val="single" w:color="auto" w:sz="4" w:space="0"/>
            </w:tcBorders>
            <w:noWrap w:val="0"/>
            <w:vAlign w:val="center"/>
          </w:tcPr>
          <w:p w14:paraId="5010916A">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拟派本项目的项目负责人：（由</w:t>
            </w:r>
            <w:r>
              <w:rPr>
                <w:rFonts w:hint="eastAsia" w:ascii="宋体" w:hAnsi="宋体" w:eastAsia="宋体" w:cs="宋体"/>
                <w:i w:val="0"/>
                <w:iCs w:val="0"/>
                <w:color w:val="000000"/>
                <w:kern w:val="0"/>
                <w:sz w:val="21"/>
                <w:szCs w:val="21"/>
                <w:u w:val="none"/>
                <w:lang w:val="en-US" w:eastAsia="zh-CN" w:bidi="ar"/>
              </w:rPr>
              <w:t>人社部或工信部及下属机构颁发</w:t>
            </w:r>
            <w:r>
              <w:rPr>
                <w:rFonts w:hint="eastAsia" w:ascii="宋体" w:hAnsi="宋体" w:eastAsia="宋体" w:cs="宋体"/>
                <w:color w:val="000000"/>
                <w:kern w:val="0"/>
                <w:sz w:val="21"/>
                <w:szCs w:val="21"/>
                <w:highlight w:val="none"/>
                <w:lang w:val="en-US" w:eastAsia="zh-CN"/>
              </w:rPr>
              <w:t>）</w:t>
            </w:r>
          </w:p>
          <w:p w14:paraId="7D44C404">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1.具有信息系统管理工程师（中级）的得1分</w:t>
            </w:r>
          </w:p>
          <w:p w14:paraId="4A11A56B">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2.具有高级工程师（信息技术）的得1分</w:t>
            </w:r>
          </w:p>
          <w:p w14:paraId="006D7B7D">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3.具有信息安全工程师（中级）得1分</w:t>
            </w:r>
          </w:p>
          <w:p w14:paraId="7B7920D0">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4.具有网络规划设计师（高级）的得1分</w:t>
            </w:r>
          </w:p>
          <w:p w14:paraId="7FEB147C">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5.具有通信工程师－互联网技术的得1分</w:t>
            </w:r>
          </w:p>
          <w:p w14:paraId="110B2C5D">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b/>
                <w:bCs/>
                <w:color w:val="auto"/>
                <w:sz w:val="21"/>
                <w:szCs w:val="21"/>
                <w:highlight w:val="none"/>
              </w:rPr>
              <w:t>（提供相关证书扫描件以及相关人员在本单位的近</w:t>
            </w:r>
            <w:r>
              <w:rPr>
                <w:rFonts w:hint="eastAsia" w:ascii="宋体" w:hAnsi="宋体" w:eastAsia="宋体" w:cs="宋体"/>
                <w:b/>
                <w:bCs/>
                <w:color w:val="auto"/>
                <w:sz w:val="21"/>
                <w:szCs w:val="21"/>
                <w:highlight w:val="none"/>
                <w:lang w:val="en-US" w:eastAsia="zh-CN"/>
              </w:rPr>
              <w:t>期</w:t>
            </w:r>
            <w:r>
              <w:rPr>
                <w:rFonts w:hint="eastAsia" w:ascii="宋体" w:hAnsi="宋体" w:eastAsia="宋体" w:cs="宋体"/>
                <w:b/>
                <w:bCs/>
                <w:color w:val="auto"/>
                <w:sz w:val="21"/>
                <w:szCs w:val="21"/>
                <w:highlight w:val="none"/>
              </w:rPr>
              <w:t>社保缴纳证明文件复印件，加盖公章）</w:t>
            </w:r>
          </w:p>
        </w:tc>
        <w:tc>
          <w:tcPr>
            <w:tcW w:w="815" w:type="dxa"/>
            <w:tcBorders>
              <w:top w:val="nil"/>
              <w:left w:val="nil"/>
              <w:bottom w:val="single" w:color="auto" w:sz="4" w:space="0"/>
              <w:right w:val="single" w:color="auto" w:sz="4" w:space="0"/>
            </w:tcBorders>
            <w:noWrap w:val="0"/>
            <w:vAlign w:val="center"/>
          </w:tcPr>
          <w:p w14:paraId="31B812CF">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r>
      <w:tr w14:paraId="29B19BFB">
        <w:tblPrEx>
          <w:tblCellMar>
            <w:top w:w="0" w:type="dxa"/>
            <w:left w:w="108" w:type="dxa"/>
            <w:bottom w:w="0" w:type="dxa"/>
            <w:right w:w="108" w:type="dxa"/>
          </w:tblCellMar>
        </w:tblPrEx>
        <w:trPr>
          <w:trHeight w:val="1740" w:hRule="atLeast"/>
        </w:trPr>
        <w:tc>
          <w:tcPr>
            <w:tcW w:w="665" w:type="dxa"/>
            <w:tcBorders>
              <w:top w:val="nil"/>
              <w:left w:val="single" w:color="auto" w:sz="4" w:space="0"/>
              <w:bottom w:val="single" w:color="auto" w:sz="4" w:space="0"/>
              <w:right w:val="single" w:color="auto" w:sz="4" w:space="0"/>
            </w:tcBorders>
            <w:noWrap w:val="0"/>
            <w:vAlign w:val="center"/>
          </w:tcPr>
          <w:p w14:paraId="40D785D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05" w:type="dxa"/>
            <w:tcBorders>
              <w:top w:val="nil"/>
              <w:left w:val="nil"/>
              <w:bottom w:val="single" w:color="auto" w:sz="4" w:space="0"/>
              <w:right w:val="single" w:color="auto" w:sz="4" w:space="0"/>
            </w:tcBorders>
            <w:noWrap w:val="0"/>
            <w:vAlign w:val="center"/>
          </w:tcPr>
          <w:p w14:paraId="0B48C90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技术负责人</w:t>
            </w:r>
          </w:p>
        </w:tc>
        <w:tc>
          <w:tcPr>
            <w:tcW w:w="7876" w:type="dxa"/>
            <w:tcBorders>
              <w:top w:val="nil"/>
              <w:left w:val="nil"/>
              <w:bottom w:val="single" w:color="auto" w:sz="4" w:space="0"/>
              <w:right w:val="single" w:color="auto" w:sz="4" w:space="0"/>
            </w:tcBorders>
            <w:noWrap w:val="0"/>
            <w:vAlign w:val="center"/>
          </w:tcPr>
          <w:p w14:paraId="72036525">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拟派本项目的技术负责人：（由</w:t>
            </w:r>
            <w:r>
              <w:rPr>
                <w:rFonts w:hint="eastAsia" w:ascii="宋体" w:hAnsi="宋体" w:eastAsia="宋体" w:cs="宋体"/>
                <w:i w:val="0"/>
                <w:iCs w:val="0"/>
                <w:color w:val="000000"/>
                <w:kern w:val="0"/>
                <w:sz w:val="21"/>
                <w:szCs w:val="21"/>
                <w:u w:val="none"/>
                <w:lang w:val="en-US" w:eastAsia="zh-CN" w:bidi="ar"/>
              </w:rPr>
              <w:t>人社部或工信部及下属机构颁发</w:t>
            </w:r>
            <w:r>
              <w:rPr>
                <w:rFonts w:hint="eastAsia" w:ascii="宋体" w:hAnsi="宋体" w:eastAsia="宋体" w:cs="宋体"/>
                <w:color w:val="000000"/>
                <w:kern w:val="0"/>
                <w:sz w:val="21"/>
                <w:szCs w:val="21"/>
                <w:highlight w:val="none"/>
                <w:lang w:val="en-US" w:eastAsia="zh-CN"/>
              </w:rPr>
              <w:t>）</w:t>
            </w:r>
          </w:p>
          <w:p w14:paraId="6B2D8B62">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1.具有信息系统管理工程师（中级）的得1分；</w:t>
            </w:r>
          </w:p>
          <w:p w14:paraId="335C7EA7">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2.具有系统集成项目管理工程师（中级）的得1分；</w:t>
            </w:r>
          </w:p>
          <w:p w14:paraId="78E8072B">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3.具有通信工程师－互联网技术的得1分；</w:t>
            </w:r>
          </w:p>
          <w:p w14:paraId="6706A336">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4.具有系统规划与管理师（高级）的得1分；</w:t>
            </w:r>
          </w:p>
          <w:p w14:paraId="2523CFE8">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b/>
                <w:bCs/>
                <w:color w:val="auto"/>
                <w:sz w:val="21"/>
                <w:szCs w:val="21"/>
                <w:highlight w:val="none"/>
              </w:rPr>
              <w:t>（提供相关证书扫描件以及相关人员在本单位的近</w:t>
            </w:r>
            <w:r>
              <w:rPr>
                <w:rFonts w:hint="eastAsia" w:ascii="宋体" w:hAnsi="宋体" w:eastAsia="宋体" w:cs="宋体"/>
                <w:b/>
                <w:bCs/>
                <w:color w:val="auto"/>
                <w:sz w:val="21"/>
                <w:szCs w:val="21"/>
                <w:highlight w:val="none"/>
                <w:lang w:val="en-US" w:eastAsia="zh-CN"/>
              </w:rPr>
              <w:t>期</w:t>
            </w:r>
            <w:r>
              <w:rPr>
                <w:rFonts w:hint="eastAsia" w:ascii="宋体" w:hAnsi="宋体" w:eastAsia="宋体" w:cs="宋体"/>
                <w:b/>
                <w:bCs/>
                <w:color w:val="auto"/>
                <w:sz w:val="21"/>
                <w:szCs w:val="21"/>
                <w:highlight w:val="none"/>
              </w:rPr>
              <w:t>社保缴纳证明文件复印件，加盖公章）</w:t>
            </w:r>
          </w:p>
        </w:tc>
        <w:tc>
          <w:tcPr>
            <w:tcW w:w="815" w:type="dxa"/>
            <w:tcBorders>
              <w:top w:val="nil"/>
              <w:left w:val="nil"/>
              <w:bottom w:val="single" w:color="auto" w:sz="4" w:space="0"/>
              <w:right w:val="single" w:color="auto" w:sz="4" w:space="0"/>
            </w:tcBorders>
            <w:noWrap w:val="0"/>
            <w:vAlign w:val="center"/>
          </w:tcPr>
          <w:p w14:paraId="3E9A9D7F">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r>
      <w:tr w14:paraId="4A2D2988">
        <w:tblPrEx>
          <w:tblCellMar>
            <w:top w:w="0" w:type="dxa"/>
            <w:left w:w="108" w:type="dxa"/>
            <w:bottom w:w="0" w:type="dxa"/>
            <w:right w:w="108" w:type="dxa"/>
          </w:tblCellMar>
        </w:tblPrEx>
        <w:trPr>
          <w:trHeight w:val="2040" w:hRule="atLeast"/>
        </w:trPr>
        <w:tc>
          <w:tcPr>
            <w:tcW w:w="665" w:type="dxa"/>
            <w:tcBorders>
              <w:top w:val="nil"/>
              <w:left w:val="single" w:color="auto" w:sz="4" w:space="0"/>
              <w:bottom w:val="single" w:color="auto" w:sz="4" w:space="0"/>
              <w:right w:val="single" w:color="auto" w:sz="4" w:space="0"/>
            </w:tcBorders>
            <w:noWrap w:val="0"/>
            <w:vAlign w:val="center"/>
          </w:tcPr>
          <w:p w14:paraId="5831940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05" w:type="dxa"/>
            <w:tcBorders>
              <w:top w:val="nil"/>
              <w:left w:val="nil"/>
              <w:bottom w:val="single" w:color="auto" w:sz="4" w:space="0"/>
              <w:right w:val="single" w:color="auto" w:sz="4" w:space="0"/>
            </w:tcBorders>
            <w:noWrap w:val="0"/>
            <w:vAlign w:val="center"/>
          </w:tcPr>
          <w:p w14:paraId="2429850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团队人员配备</w:t>
            </w:r>
          </w:p>
        </w:tc>
        <w:tc>
          <w:tcPr>
            <w:tcW w:w="7876" w:type="dxa"/>
            <w:tcBorders>
              <w:top w:val="nil"/>
              <w:left w:val="nil"/>
              <w:bottom w:val="single" w:color="auto" w:sz="4" w:space="0"/>
              <w:right w:val="single" w:color="auto" w:sz="4" w:space="0"/>
            </w:tcBorders>
            <w:noWrap w:val="0"/>
            <w:vAlign w:val="center"/>
          </w:tcPr>
          <w:p w14:paraId="785AF5CE">
            <w:pPr>
              <w:widowControl/>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rPr>
              <w:t>拟派本项目的项目组成员（除项目负责人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技术负责人</w:t>
            </w:r>
            <w:r>
              <w:rPr>
                <w:rFonts w:hint="eastAsia" w:ascii="宋体" w:hAnsi="宋体" w:eastAsia="宋体" w:cs="宋体"/>
                <w:color w:val="000000"/>
                <w:kern w:val="0"/>
                <w:sz w:val="21"/>
                <w:szCs w:val="21"/>
                <w:highlight w:val="none"/>
              </w:rPr>
              <w:t>外）：</w:t>
            </w:r>
            <w:r>
              <w:rPr>
                <w:rFonts w:hint="eastAsia" w:ascii="宋体" w:hAnsi="宋体" w:eastAsia="宋体" w:cs="宋体"/>
                <w:color w:val="000000"/>
                <w:kern w:val="0"/>
                <w:sz w:val="21"/>
                <w:szCs w:val="21"/>
                <w:highlight w:val="none"/>
                <w:lang w:val="en-US" w:eastAsia="zh-CN"/>
              </w:rPr>
              <w:t>（由</w:t>
            </w:r>
            <w:r>
              <w:rPr>
                <w:rFonts w:hint="eastAsia" w:ascii="宋体" w:hAnsi="宋体" w:eastAsia="宋体" w:cs="宋体"/>
                <w:i w:val="0"/>
                <w:iCs w:val="0"/>
                <w:color w:val="000000"/>
                <w:kern w:val="0"/>
                <w:sz w:val="21"/>
                <w:szCs w:val="21"/>
                <w:u w:val="none"/>
                <w:lang w:val="en-US" w:eastAsia="zh-CN" w:bidi="ar"/>
              </w:rPr>
              <w:t>人社部或工信部及下属机构颁发</w:t>
            </w:r>
            <w:r>
              <w:rPr>
                <w:rFonts w:hint="eastAsia" w:ascii="宋体" w:hAnsi="宋体" w:eastAsia="宋体" w:cs="宋体"/>
                <w:color w:val="000000"/>
                <w:kern w:val="0"/>
                <w:sz w:val="21"/>
                <w:szCs w:val="21"/>
                <w:highlight w:val="none"/>
                <w:lang w:val="en-US" w:eastAsia="zh-CN"/>
              </w:rPr>
              <w:t>）具有网络工程师（中级）、高级工程师（信息技术）、高级工程师（通信与信息系统）、</w:t>
            </w:r>
            <w:r>
              <w:rPr>
                <w:rFonts w:hint="eastAsia" w:ascii="宋体" w:hAnsi="宋体" w:eastAsia="宋体" w:cs="宋体"/>
                <w:color w:val="000000"/>
                <w:kern w:val="0"/>
                <w:sz w:val="21"/>
                <w:szCs w:val="21"/>
                <w:highlight w:val="none"/>
                <w:lang w:val="zh-CN"/>
              </w:rPr>
              <w:t>信息系统项目管理师</w:t>
            </w:r>
            <w:r>
              <w:rPr>
                <w:rFonts w:hint="eastAsia" w:ascii="宋体" w:hAnsi="宋体" w:eastAsia="宋体" w:cs="宋体"/>
                <w:color w:val="000000"/>
                <w:kern w:val="0"/>
                <w:sz w:val="21"/>
                <w:szCs w:val="21"/>
                <w:highlight w:val="none"/>
                <w:lang w:val="en-US"/>
              </w:rPr>
              <w:t>(</w:t>
            </w:r>
            <w:r>
              <w:rPr>
                <w:rFonts w:hint="eastAsia" w:ascii="宋体" w:hAnsi="宋体" w:eastAsia="宋体" w:cs="宋体"/>
                <w:color w:val="000000"/>
                <w:kern w:val="0"/>
                <w:sz w:val="21"/>
                <w:szCs w:val="21"/>
                <w:highlight w:val="none"/>
                <w:lang w:val="en-US" w:eastAsia="zh-CN"/>
              </w:rPr>
              <w:t>高级）、系统集成项目管理工程师（中级）、低压电工证、通信工程师－互联网技术、通信工程师－设备与环境，</w:t>
            </w:r>
            <w:r>
              <w:rPr>
                <w:rFonts w:hint="eastAsia" w:ascii="宋体" w:hAnsi="宋体" w:eastAsia="宋体" w:cs="宋体"/>
                <w:color w:val="000000"/>
                <w:kern w:val="0"/>
                <w:sz w:val="21"/>
                <w:szCs w:val="21"/>
                <w:highlight w:val="none"/>
                <w:lang w:val="zh-CN"/>
              </w:rPr>
              <w:t>每有其中</w:t>
            </w:r>
            <w:r>
              <w:rPr>
                <w:rFonts w:hint="eastAsia" w:ascii="宋体" w:hAnsi="宋体" w:eastAsia="宋体" w:cs="宋体"/>
                <w:color w:val="000000"/>
                <w:kern w:val="0"/>
                <w:sz w:val="21"/>
                <w:szCs w:val="21"/>
                <w:highlight w:val="none"/>
                <w:lang w:val="en-US" w:eastAsia="zh-CN"/>
              </w:rPr>
              <w:t>1种</w:t>
            </w:r>
            <w:r>
              <w:rPr>
                <w:rFonts w:hint="eastAsia" w:ascii="宋体" w:hAnsi="宋体" w:eastAsia="宋体" w:cs="宋体"/>
                <w:color w:val="000000"/>
                <w:kern w:val="0"/>
                <w:sz w:val="21"/>
                <w:szCs w:val="21"/>
                <w:highlight w:val="none"/>
                <w:lang w:val="zh-CN"/>
              </w:rPr>
              <w:t>证书的得</w:t>
            </w:r>
            <w:r>
              <w:rPr>
                <w:rFonts w:hint="eastAsia" w:ascii="宋体" w:hAnsi="宋体" w:eastAsia="宋体" w:cs="宋体"/>
                <w:color w:val="000000"/>
                <w:kern w:val="0"/>
                <w:sz w:val="21"/>
                <w:szCs w:val="21"/>
                <w:highlight w:val="none"/>
                <w:lang w:val="en-US" w:eastAsia="zh-CN"/>
              </w:rPr>
              <w:t>0.5</w:t>
            </w:r>
            <w:r>
              <w:rPr>
                <w:rFonts w:hint="eastAsia" w:ascii="宋体" w:hAnsi="宋体" w:eastAsia="宋体" w:cs="宋体"/>
                <w:color w:val="000000"/>
                <w:kern w:val="0"/>
                <w:sz w:val="21"/>
                <w:szCs w:val="21"/>
                <w:highlight w:val="none"/>
                <w:lang w:val="zh-CN"/>
              </w:rPr>
              <w:t>分，最高得</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zh-CN"/>
              </w:rPr>
              <w:t>分。</w:t>
            </w:r>
          </w:p>
          <w:p w14:paraId="576CA1B7">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本项满分4分，且一人一证，若人员重复或同类证书则不重复计分。</w:t>
            </w:r>
          </w:p>
          <w:p w14:paraId="5FF792F2">
            <w:pPr>
              <w:rPr>
                <w:rFonts w:hint="eastAsia" w:ascii="宋体" w:hAnsi="宋体" w:eastAsia="宋体" w:cs="宋体"/>
                <w:color w:val="000000"/>
                <w:kern w:val="0"/>
                <w:sz w:val="21"/>
                <w:szCs w:val="21"/>
                <w:highlight w:val="none"/>
              </w:rPr>
            </w:pPr>
            <w:r>
              <w:rPr>
                <w:rFonts w:hint="eastAsia" w:ascii="宋体" w:hAnsi="宋体" w:eastAsia="宋体" w:cs="宋体"/>
                <w:b/>
                <w:bCs/>
                <w:color w:val="auto"/>
                <w:sz w:val="21"/>
                <w:szCs w:val="21"/>
                <w:highlight w:val="none"/>
              </w:rPr>
              <w:t>（提供相关证书扫描件以及相关人员在本单位的近</w:t>
            </w:r>
            <w:r>
              <w:rPr>
                <w:rFonts w:hint="eastAsia" w:ascii="宋体" w:hAnsi="宋体" w:eastAsia="宋体" w:cs="宋体"/>
                <w:b/>
                <w:bCs/>
                <w:color w:val="auto"/>
                <w:sz w:val="21"/>
                <w:szCs w:val="21"/>
                <w:highlight w:val="none"/>
                <w:lang w:val="en-US" w:eastAsia="zh-CN"/>
              </w:rPr>
              <w:t>期</w:t>
            </w:r>
            <w:r>
              <w:rPr>
                <w:rFonts w:hint="eastAsia" w:ascii="宋体" w:hAnsi="宋体" w:eastAsia="宋体" w:cs="宋体"/>
                <w:b/>
                <w:bCs/>
                <w:color w:val="auto"/>
                <w:sz w:val="21"/>
                <w:szCs w:val="21"/>
                <w:highlight w:val="none"/>
              </w:rPr>
              <w:t>社保缴纳证明文件复印件，加盖公章）</w:t>
            </w:r>
          </w:p>
        </w:tc>
        <w:tc>
          <w:tcPr>
            <w:tcW w:w="815" w:type="dxa"/>
            <w:tcBorders>
              <w:top w:val="nil"/>
              <w:left w:val="nil"/>
              <w:bottom w:val="single" w:color="auto" w:sz="4" w:space="0"/>
              <w:right w:val="single" w:color="auto" w:sz="4" w:space="0"/>
            </w:tcBorders>
            <w:noWrap w:val="0"/>
            <w:vAlign w:val="center"/>
          </w:tcPr>
          <w:p w14:paraId="4FD8F000">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r>
      <w:tr w14:paraId="75A4465E">
        <w:tblPrEx>
          <w:tblCellMar>
            <w:top w:w="0" w:type="dxa"/>
            <w:left w:w="108" w:type="dxa"/>
            <w:bottom w:w="0" w:type="dxa"/>
            <w:right w:w="108" w:type="dxa"/>
          </w:tblCellMar>
        </w:tblPrEx>
        <w:trPr>
          <w:trHeight w:val="1020" w:hRule="atLeast"/>
        </w:trPr>
        <w:tc>
          <w:tcPr>
            <w:tcW w:w="665" w:type="dxa"/>
            <w:tcBorders>
              <w:top w:val="nil"/>
              <w:left w:val="single" w:color="auto" w:sz="4" w:space="0"/>
              <w:bottom w:val="single" w:color="auto" w:sz="4" w:space="0"/>
              <w:right w:val="single" w:color="auto" w:sz="4" w:space="0"/>
            </w:tcBorders>
            <w:noWrap w:val="0"/>
            <w:vAlign w:val="center"/>
          </w:tcPr>
          <w:p w14:paraId="0C048C7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05" w:type="dxa"/>
            <w:tcBorders>
              <w:top w:val="nil"/>
              <w:left w:val="nil"/>
              <w:bottom w:val="single" w:color="auto" w:sz="4" w:space="0"/>
              <w:right w:val="single" w:color="auto" w:sz="4" w:space="0"/>
            </w:tcBorders>
            <w:noWrap w:val="0"/>
            <w:vAlign w:val="center"/>
          </w:tcPr>
          <w:p w14:paraId="47A3662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技术参数响应情况</w:t>
            </w:r>
          </w:p>
        </w:tc>
        <w:tc>
          <w:tcPr>
            <w:tcW w:w="7876" w:type="dxa"/>
            <w:tcBorders>
              <w:top w:val="nil"/>
              <w:left w:val="nil"/>
              <w:bottom w:val="single" w:color="auto" w:sz="4" w:space="0"/>
              <w:right w:val="single" w:color="auto" w:sz="4" w:space="0"/>
            </w:tcBorders>
            <w:noWrap w:val="0"/>
            <w:vAlign w:val="center"/>
          </w:tcPr>
          <w:p w14:paraId="42758D0F">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val="en-US" w:eastAsia="zh-CN"/>
              </w:rPr>
              <w:t>根据投标人提供的设备技术参数指标完全满足（正偏离或无偏离）采购需求的，得基本分20分；带★项每负偏离一项扣2分；其他每负偏离一项扣1分，扣完为止。</w:t>
            </w:r>
            <w:r>
              <w:rPr>
                <w:rFonts w:hint="eastAsia" w:ascii="宋体" w:hAnsi="宋体" w:eastAsia="宋体" w:cs="宋体"/>
                <w:b/>
                <w:bCs/>
                <w:color w:val="auto"/>
                <w:sz w:val="21"/>
                <w:szCs w:val="21"/>
                <w:highlight w:val="none"/>
              </w:rPr>
              <w:t>（招标需求清单中要求提供相关检验报告或证书的必须提供，不提供的视为未响应）</w:t>
            </w:r>
          </w:p>
        </w:tc>
        <w:tc>
          <w:tcPr>
            <w:tcW w:w="815" w:type="dxa"/>
            <w:tcBorders>
              <w:top w:val="nil"/>
              <w:left w:val="nil"/>
              <w:bottom w:val="single" w:color="auto" w:sz="4" w:space="0"/>
              <w:right w:val="single" w:color="auto" w:sz="4" w:space="0"/>
            </w:tcBorders>
            <w:noWrap w:val="0"/>
            <w:vAlign w:val="center"/>
          </w:tcPr>
          <w:p w14:paraId="3718EFE8">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6</w:t>
            </w:r>
          </w:p>
        </w:tc>
      </w:tr>
      <w:tr w14:paraId="3E34E542">
        <w:tblPrEx>
          <w:tblCellMar>
            <w:top w:w="0" w:type="dxa"/>
            <w:left w:w="108" w:type="dxa"/>
            <w:bottom w:w="0" w:type="dxa"/>
            <w:right w:w="108" w:type="dxa"/>
          </w:tblCellMar>
        </w:tblPrEx>
        <w:trPr>
          <w:trHeight w:val="1305" w:hRule="atLeast"/>
        </w:trPr>
        <w:tc>
          <w:tcPr>
            <w:tcW w:w="665" w:type="dxa"/>
            <w:tcBorders>
              <w:top w:val="nil"/>
              <w:left w:val="single" w:color="auto" w:sz="4" w:space="0"/>
              <w:bottom w:val="single" w:color="auto" w:sz="4" w:space="0"/>
              <w:right w:val="single" w:color="auto" w:sz="4" w:space="0"/>
            </w:tcBorders>
            <w:noWrap w:val="0"/>
            <w:vAlign w:val="center"/>
          </w:tcPr>
          <w:p w14:paraId="4CC15C1B">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005" w:type="dxa"/>
            <w:tcBorders>
              <w:top w:val="nil"/>
              <w:left w:val="nil"/>
              <w:bottom w:val="single" w:color="auto" w:sz="4" w:space="0"/>
              <w:right w:val="single" w:color="auto" w:sz="4" w:space="0"/>
            </w:tcBorders>
            <w:noWrap w:val="0"/>
            <w:vAlign w:val="center"/>
          </w:tcPr>
          <w:p w14:paraId="5AC85A7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技术方案</w:t>
            </w:r>
          </w:p>
        </w:tc>
        <w:tc>
          <w:tcPr>
            <w:tcW w:w="7876" w:type="dxa"/>
            <w:tcBorders>
              <w:top w:val="nil"/>
              <w:left w:val="nil"/>
              <w:bottom w:val="single" w:color="auto" w:sz="4" w:space="0"/>
              <w:right w:val="single" w:color="auto" w:sz="4" w:space="0"/>
            </w:tcBorders>
            <w:noWrap w:val="0"/>
            <w:vAlign w:val="center"/>
          </w:tcPr>
          <w:p w14:paraId="05BA1E8C">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根据投标人的防汛乡镇村指挥会商系统</w:t>
            </w:r>
            <w:r>
              <w:rPr>
                <w:rFonts w:hint="eastAsia" w:ascii="宋体" w:hAnsi="宋体" w:eastAsia="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rPr>
              <w:t>技术方案，从方案的完整性、可实施性和技术前瞻性等角度进行综合打分：一档得5分；二档4.5分；三档4分；四档3.5分；五档3分；六档2.5分；七档2分；八档1.5分；九档1分；十档0.5分，未提及此项不得分。</w:t>
            </w:r>
          </w:p>
        </w:tc>
        <w:tc>
          <w:tcPr>
            <w:tcW w:w="815" w:type="dxa"/>
            <w:tcBorders>
              <w:top w:val="nil"/>
              <w:left w:val="nil"/>
              <w:bottom w:val="single" w:color="auto" w:sz="4" w:space="0"/>
              <w:right w:val="single" w:color="auto" w:sz="4" w:space="0"/>
            </w:tcBorders>
            <w:noWrap w:val="0"/>
            <w:vAlign w:val="center"/>
          </w:tcPr>
          <w:p w14:paraId="166B65C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r>
      <w:tr w14:paraId="6CAB1CF0">
        <w:tblPrEx>
          <w:tblCellMar>
            <w:top w:w="0" w:type="dxa"/>
            <w:left w:w="108" w:type="dxa"/>
            <w:bottom w:w="0" w:type="dxa"/>
            <w:right w:w="108" w:type="dxa"/>
          </w:tblCellMar>
        </w:tblPrEx>
        <w:trPr>
          <w:trHeight w:val="120" w:hRule="atLeast"/>
        </w:trPr>
        <w:tc>
          <w:tcPr>
            <w:tcW w:w="665" w:type="dxa"/>
            <w:tcBorders>
              <w:top w:val="nil"/>
              <w:left w:val="single" w:color="auto" w:sz="4" w:space="0"/>
              <w:bottom w:val="single" w:color="auto" w:sz="4" w:space="0"/>
              <w:right w:val="single" w:color="auto" w:sz="4" w:space="0"/>
            </w:tcBorders>
            <w:noWrap w:val="0"/>
            <w:vAlign w:val="center"/>
          </w:tcPr>
          <w:p w14:paraId="7D6273D0">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005" w:type="dxa"/>
            <w:tcBorders>
              <w:top w:val="nil"/>
              <w:left w:val="nil"/>
              <w:bottom w:val="single" w:color="auto" w:sz="4" w:space="0"/>
              <w:right w:val="single" w:color="auto" w:sz="4" w:space="0"/>
            </w:tcBorders>
            <w:noWrap w:val="0"/>
            <w:vAlign w:val="center"/>
          </w:tcPr>
          <w:p w14:paraId="2A340DCA">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运维</w:t>
            </w:r>
            <w:r>
              <w:rPr>
                <w:rFonts w:hint="eastAsia" w:ascii="宋体" w:hAnsi="宋体" w:eastAsia="宋体" w:cs="宋体"/>
                <w:color w:val="000000"/>
                <w:kern w:val="0"/>
                <w:sz w:val="21"/>
                <w:szCs w:val="21"/>
                <w:lang w:val="en-US" w:eastAsia="zh-CN"/>
              </w:rPr>
              <w:t>能力</w:t>
            </w:r>
          </w:p>
        </w:tc>
        <w:tc>
          <w:tcPr>
            <w:tcW w:w="7876" w:type="dxa"/>
            <w:tcBorders>
              <w:top w:val="nil"/>
              <w:left w:val="nil"/>
              <w:bottom w:val="single" w:color="auto" w:sz="4" w:space="0"/>
              <w:right w:val="single" w:color="auto" w:sz="4" w:space="0"/>
            </w:tcBorders>
            <w:noWrap w:val="0"/>
            <w:vAlign w:val="center"/>
          </w:tcPr>
          <w:p w14:paraId="7067B348">
            <w:pPr>
              <w:widowControl/>
              <w:jc w:val="left"/>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kern w:val="0"/>
                <w:sz w:val="21"/>
                <w:szCs w:val="21"/>
                <w:highlight w:val="none"/>
                <w:lang w:val="en-US" w:eastAsia="zh-CN"/>
              </w:rPr>
              <w:t>根据投标人对运维巡检服务、故障响应时限、传输链路运维、网络管理维护四方面的运维服务方案进行综合打分：</w:t>
            </w:r>
            <w:r>
              <w:rPr>
                <w:rFonts w:hint="eastAsia" w:ascii="宋体" w:hAnsi="宋体" w:eastAsia="宋体" w:cs="宋体"/>
                <w:color w:val="000000"/>
                <w:kern w:val="0"/>
                <w:sz w:val="21"/>
                <w:szCs w:val="21"/>
                <w:highlight w:val="none"/>
              </w:rPr>
              <w:t>一档得5分；二档4.5分；三档4分；四档3.5分；五档3分；六档2.5分；七档2分；八档1.5分；九档1分；十档0.5分</w:t>
            </w:r>
            <w:r>
              <w:rPr>
                <w:rFonts w:hint="eastAsia" w:ascii="宋体" w:hAnsi="宋体" w:eastAsia="宋体" w:cs="宋体"/>
                <w:color w:val="000000"/>
                <w:kern w:val="0"/>
                <w:sz w:val="21"/>
                <w:szCs w:val="21"/>
                <w:highlight w:val="none"/>
                <w:lang w:val="en-US" w:eastAsia="zh-CN"/>
              </w:rPr>
              <w:t>；未提及此项不得分。</w:t>
            </w:r>
          </w:p>
        </w:tc>
        <w:tc>
          <w:tcPr>
            <w:tcW w:w="815" w:type="dxa"/>
            <w:tcBorders>
              <w:top w:val="nil"/>
              <w:left w:val="nil"/>
              <w:bottom w:val="single" w:color="auto" w:sz="4" w:space="0"/>
              <w:right w:val="single" w:color="auto" w:sz="4" w:space="0"/>
            </w:tcBorders>
            <w:noWrap w:val="0"/>
            <w:vAlign w:val="center"/>
          </w:tcPr>
          <w:p w14:paraId="1684E692">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14:paraId="0CFEDB65">
        <w:tblPrEx>
          <w:tblCellMar>
            <w:top w:w="0" w:type="dxa"/>
            <w:left w:w="108" w:type="dxa"/>
            <w:bottom w:w="0" w:type="dxa"/>
            <w:right w:w="108" w:type="dxa"/>
          </w:tblCellMar>
        </w:tblPrEx>
        <w:trPr>
          <w:trHeight w:val="437" w:hRule="atLeast"/>
        </w:trPr>
        <w:tc>
          <w:tcPr>
            <w:tcW w:w="665" w:type="dxa"/>
            <w:tcBorders>
              <w:top w:val="nil"/>
              <w:left w:val="single" w:color="auto" w:sz="4" w:space="0"/>
              <w:bottom w:val="single" w:color="auto" w:sz="4" w:space="0"/>
              <w:right w:val="single" w:color="auto" w:sz="4" w:space="0"/>
            </w:tcBorders>
            <w:noWrap w:val="0"/>
            <w:vAlign w:val="center"/>
          </w:tcPr>
          <w:p w14:paraId="2F0B6CC0">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005" w:type="dxa"/>
            <w:tcBorders>
              <w:top w:val="nil"/>
              <w:left w:val="nil"/>
              <w:bottom w:val="single" w:color="auto" w:sz="4" w:space="0"/>
              <w:right w:val="single" w:color="auto" w:sz="4" w:space="0"/>
            </w:tcBorders>
            <w:noWrap w:val="0"/>
            <w:vAlign w:val="center"/>
          </w:tcPr>
          <w:p w14:paraId="7DB921F7">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基础配置情况</w:t>
            </w:r>
          </w:p>
        </w:tc>
        <w:tc>
          <w:tcPr>
            <w:tcW w:w="7876" w:type="dxa"/>
            <w:tcBorders>
              <w:top w:val="nil"/>
              <w:left w:val="nil"/>
              <w:bottom w:val="single" w:color="auto" w:sz="4" w:space="0"/>
              <w:right w:val="single" w:color="auto" w:sz="4" w:space="0"/>
            </w:tcBorders>
            <w:noWrap w:val="0"/>
            <w:vAlign w:val="center"/>
          </w:tcPr>
          <w:p w14:paraId="09D96AD3">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根据投标人的运维视频会议机房配备情况，是否具有较强的服务能力等情况进行综合评分（机房可为自有产权、租赁或共享，租赁或共享的期限需覆盖本项目服务期限）：一档得5分；二档4.5分；三档4分；四档3.5分；五档3分；六档2.5分；七档2分；八档1.5分；九档1分；十档0.5分，未提及此项不得分。</w:t>
            </w:r>
          </w:p>
        </w:tc>
        <w:tc>
          <w:tcPr>
            <w:tcW w:w="815" w:type="dxa"/>
            <w:tcBorders>
              <w:top w:val="nil"/>
              <w:left w:val="nil"/>
              <w:bottom w:val="single" w:color="auto" w:sz="4" w:space="0"/>
              <w:right w:val="single" w:color="auto" w:sz="4" w:space="0"/>
            </w:tcBorders>
            <w:noWrap w:val="0"/>
            <w:vAlign w:val="center"/>
          </w:tcPr>
          <w:p w14:paraId="2CA5F756">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14:paraId="486ABB5E">
        <w:tblPrEx>
          <w:tblCellMar>
            <w:top w:w="0" w:type="dxa"/>
            <w:left w:w="108" w:type="dxa"/>
            <w:bottom w:w="0" w:type="dxa"/>
            <w:right w:w="108" w:type="dxa"/>
          </w:tblCellMar>
        </w:tblPrEx>
        <w:trPr>
          <w:trHeight w:val="635" w:hRule="atLeast"/>
        </w:trPr>
        <w:tc>
          <w:tcPr>
            <w:tcW w:w="665" w:type="dxa"/>
            <w:tcBorders>
              <w:top w:val="nil"/>
              <w:left w:val="single" w:color="auto" w:sz="4" w:space="0"/>
              <w:bottom w:val="single" w:color="auto" w:sz="4" w:space="0"/>
              <w:right w:val="single" w:color="auto" w:sz="4" w:space="0"/>
            </w:tcBorders>
            <w:noWrap w:val="0"/>
            <w:vAlign w:val="center"/>
          </w:tcPr>
          <w:p w14:paraId="68DD4CA6">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0</w:t>
            </w:r>
          </w:p>
        </w:tc>
        <w:tc>
          <w:tcPr>
            <w:tcW w:w="1005" w:type="dxa"/>
            <w:tcBorders>
              <w:top w:val="nil"/>
              <w:left w:val="nil"/>
              <w:bottom w:val="single" w:color="auto" w:sz="4" w:space="0"/>
              <w:right w:val="single" w:color="auto" w:sz="4" w:space="0"/>
            </w:tcBorders>
            <w:noWrap w:val="0"/>
            <w:vAlign w:val="center"/>
          </w:tcPr>
          <w:p w14:paraId="1E6304B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会务</w:t>
            </w:r>
            <w:r>
              <w:rPr>
                <w:rFonts w:hint="eastAsia" w:ascii="宋体" w:hAnsi="宋体" w:eastAsia="宋体" w:cs="宋体"/>
                <w:color w:val="000000"/>
                <w:kern w:val="0"/>
                <w:sz w:val="21"/>
                <w:szCs w:val="21"/>
              </w:rPr>
              <w:t>响应时效</w:t>
            </w:r>
          </w:p>
        </w:tc>
        <w:tc>
          <w:tcPr>
            <w:tcW w:w="7876" w:type="dxa"/>
            <w:tcBorders>
              <w:top w:val="nil"/>
              <w:left w:val="nil"/>
              <w:bottom w:val="single" w:color="auto" w:sz="4" w:space="0"/>
              <w:right w:val="single" w:color="auto" w:sz="4" w:space="0"/>
            </w:tcBorders>
            <w:noWrap w:val="0"/>
            <w:vAlign w:val="center"/>
          </w:tcPr>
          <w:p w14:paraId="524DCAB1">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根据投标人针对本项目提供的防汛乡镇村指挥会商系统会务响应时间、到达现场时间等的承诺情况进行打分。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承诺接到采购方通知后，15分钟内（含）响应，半小时内（含）到达现场，的得3分；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承诺接到采购方通知后，半小时内（含）响应，1小时内（含）到达现场，的得2分；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承诺接到采购方通知后，半小时内（含）响应，2小时内（含）到达现场，</w:t>
            </w:r>
          </w:p>
          <w:p w14:paraId="33B05F1B">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的得1分；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（须提供服务响应承诺函原件并加盖投标人公章编入投标文件中，未提供的不得分）</w:t>
            </w:r>
          </w:p>
        </w:tc>
        <w:tc>
          <w:tcPr>
            <w:tcW w:w="815" w:type="dxa"/>
            <w:tcBorders>
              <w:top w:val="nil"/>
              <w:left w:val="nil"/>
              <w:bottom w:val="single" w:color="auto" w:sz="4" w:space="0"/>
              <w:right w:val="single" w:color="auto" w:sz="4" w:space="0"/>
            </w:tcBorders>
            <w:noWrap w:val="0"/>
            <w:vAlign w:val="center"/>
          </w:tcPr>
          <w:p w14:paraId="3477F8A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14:paraId="6999293B">
        <w:tblPrEx>
          <w:tblCellMar>
            <w:top w:w="0" w:type="dxa"/>
            <w:left w:w="108" w:type="dxa"/>
            <w:bottom w:w="0" w:type="dxa"/>
            <w:right w:w="108" w:type="dxa"/>
          </w:tblCellMar>
        </w:tblPrEx>
        <w:trPr>
          <w:trHeight w:val="855" w:hRule="atLeast"/>
        </w:trPr>
        <w:tc>
          <w:tcPr>
            <w:tcW w:w="665" w:type="dxa"/>
            <w:tcBorders>
              <w:top w:val="nil"/>
              <w:left w:val="single" w:color="auto" w:sz="4" w:space="0"/>
              <w:bottom w:val="single" w:color="auto" w:sz="4" w:space="0"/>
              <w:right w:val="single" w:color="auto" w:sz="4" w:space="0"/>
            </w:tcBorders>
            <w:noWrap w:val="0"/>
            <w:vAlign w:val="center"/>
          </w:tcPr>
          <w:p w14:paraId="7E871853">
            <w:pPr>
              <w:widowControl/>
              <w:jc w:val="center"/>
              <w:rPr>
                <w:rFonts w:hint="eastAsia" w:ascii="宋体" w:hAnsi="宋体" w:eastAsia="宋体" w:cs="宋体"/>
                <w:color w:val="000000"/>
                <w:kern w:val="0"/>
                <w:sz w:val="21"/>
                <w:szCs w:val="21"/>
                <w:highlight w:val="yellow"/>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p>
        </w:tc>
        <w:tc>
          <w:tcPr>
            <w:tcW w:w="1005" w:type="dxa"/>
            <w:tcBorders>
              <w:top w:val="nil"/>
              <w:left w:val="nil"/>
              <w:bottom w:val="single" w:color="auto" w:sz="4" w:space="0"/>
              <w:right w:val="single" w:color="auto" w:sz="4" w:space="0"/>
            </w:tcBorders>
            <w:noWrap w:val="0"/>
            <w:vAlign w:val="center"/>
          </w:tcPr>
          <w:p w14:paraId="609D7DDF">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故障处理承诺</w:t>
            </w:r>
          </w:p>
        </w:tc>
        <w:tc>
          <w:tcPr>
            <w:tcW w:w="7876" w:type="dxa"/>
            <w:tcBorders>
              <w:top w:val="nil"/>
              <w:left w:val="nil"/>
              <w:bottom w:val="single" w:color="auto" w:sz="4" w:space="0"/>
              <w:right w:val="single" w:color="auto" w:sz="4" w:space="0"/>
            </w:tcBorders>
            <w:noWrap w:val="0"/>
            <w:vAlign w:val="center"/>
          </w:tcPr>
          <w:p w14:paraId="42C95099">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标人承诺严格按照在防汛乡镇村指挥会商系统出现问题接到故障申报15分钟内响应、半小时内到达现场和2小时内故障处理完毕、3小时内无法解决故障提供备机服务、承诺承担规定时间内不能解决故障导致采购人寻求第三方协助产生的费用，提供相应承诺函的，得5分，否则不得分。</w:t>
            </w:r>
          </w:p>
        </w:tc>
        <w:tc>
          <w:tcPr>
            <w:tcW w:w="815" w:type="dxa"/>
            <w:tcBorders>
              <w:top w:val="nil"/>
              <w:left w:val="nil"/>
              <w:bottom w:val="single" w:color="auto" w:sz="4" w:space="0"/>
              <w:right w:val="single" w:color="auto" w:sz="4" w:space="0"/>
            </w:tcBorders>
            <w:noWrap w:val="0"/>
            <w:vAlign w:val="center"/>
          </w:tcPr>
          <w:p w14:paraId="253BB5EC">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5</w:t>
            </w:r>
          </w:p>
        </w:tc>
      </w:tr>
      <w:tr w14:paraId="5DD32B52">
        <w:tblPrEx>
          <w:tblCellMar>
            <w:top w:w="0" w:type="dxa"/>
            <w:left w:w="108" w:type="dxa"/>
            <w:bottom w:w="0" w:type="dxa"/>
            <w:right w:w="108" w:type="dxa"/>
          </w:tblCellMar>
        </w:tblPrEx>
        <w:trPr>
          <w:trHeight w:val="1140" w:hRule="atLeast"/>
        </w:trPr>
        <w:tc>
          <w:tcPr>
            <w:tcW w:w="665" w:type="dxa"/>
            <w:tcBorders>
              <w:top w:val="nil"/>
              <w:left w:val="single" w:color="auto" w:sz="4" w:space="0"/>
              <w:bottom w:val="single" w:color="auto" w:sz="4" w:space="0"/>
              <w:right w:val="single" w:color="auto" w:sz="4" w:space="0"/>
            </w:tcBorders>
            <w:noWrap w:val="0"/>
            <w:vAlign w:val="center"/>
          </w:tcPr>
          <w:p w14:paraId="1FB9406F">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005" w:type="dxa"/>
            <w:tcBorders>
              <w:top w:val="nil"/>
              <w:left w:val="nil"/>
              <w:bottom w:val="single" w:color="auto" w:sz="4" w:space="0"/>
              <w:right w:val="single" w:color="auto" w:sz="4" w:space="0"/>
            </w:tcBorders>
            <w:noWrap w:val="0"/>
            <w:vAlign w:val="center"/>
          </w:tcPr>
          <w:p w14:paraId="2BD1CD1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乡镇村会商系统集成服务能力</w:t>
            </w:r>
          </w:p>
        </w:tc>
        <w:tc>
          <w:tcPr>
            <w:tcW w:w="7876" w:type="dxa"/>
            <w:tcBorders>
              <w:top w:val="nil"/>
              <w:left w:val="nil"/>
              <w:bottom w:val="single" w:color="auto" w:sz="4" w:space="0"/>
              <w:right w:val="single" w:color="auto" w:sz="4" w:space="0"/>
            </w:tcBorders>
            <w:noWrap w:val="0"/>
            <w:vAlign w:val="center"/>
          </w:tcPr>
          <w:p w14:paraId="63F9A232">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投标人提供运营服务的电子政务视联网会议点位案例规模、会议情况等进行综合评分：一档得5分；二档4.5分；三档4分；四档3.5分；五档3分；六档2.5分；七档2分；八档1.5分；九档1分；十档0.5分，未提及此项不得分。</w:t>
            </w:r>
          </w:p>
          <w:p w14:paraId="685E384E">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提供相关证明材料并加盖</w:t>
            </w:r>
            <w:r>
              <w:rPr>
                <w:rFonts w:hint="eastAsia" w:ascii="宋体" w:hAnsi="宋体" w:eastAsia="宋体" w:cs="宋体"/>
                <w:b/>
                <w:bCs/>
                <w:color w:val="auto"/>
                <w:sz w:val="21"/>
                <w:szCs w:val="21"/>
                <w:highlight w:val="none"/>
                <w:lang w:val="en-US" w:eastAsia="zh-CN"/>
              </w:rPr>
              <w:t>原厂</w:t>
            </w:r>
            <w:r>
              <w:rPr>
                <w:rFonts w:hint="eastAsia" w:ascii="宋体" w:hAnsi="宋体" w:eastAsia="宋体" w:cs="宋体"/>
                <w:b/>
                <w:bCs/>
                <w:color w:val="auto"/>
                <w:sz w:val="21"/>
                <w:szCs w:val="21"/>
                <w:highlight w:val="none"/>
              </w:rPr>
              <w:t>厂家公章，不提供或提供材料被认证为虚假的不得分</w:t>
            </w:r>
            <w:r>
              <w:rPr>
                <w:rFonts w:hint="eastAsia" w:ascii="宋体" w:hAnsi="宋体" w:eastAsia="宋体" w:cs="宋体"/>
                <w:b/>
                <w:bCs/>
                <w:color w:val="auto"/>
                <w:sz w:val="21"/>
                <w:szCs w:val="21"/>
                <w:highlight w:val="none"/>
                <w:lang w:eastAsia="zh-CN"/>
              </w:rPr>
              <w:t>）</w:t>
            </w:r>
          </w:p>
        </w:tc>
        <w:tc>
          <w:tcPr>
            <w:tcW w:w="815" w:type="dxa"/>
            <w:tcBorders>
              <w:top w:val="nil"/>
              <w:left w:val="nil"/>
              <w:bottom w:val="single" w:color="auto" w:sz="4" w:space="0"/>
              <w:right w:val="single" w:color="auto" w:sz="4" w:space="0"/>
            </w:tcBorders>
            <w:noWrap w:val="0"/>
            <w:vAlign w:val="center"/>
          </w:tcPr>
          <w:p w14:paraId="70006F3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r>
      <w:tr w14:paraId="2AD41380">
        <w:tblPrEx>
          <w:tblCellMar>
            <w:top w:w="0" w:type="dxa"/>
            <w:left w:w="108" w:type="dxa"/>
            <w:bottom w:w="0" w:type="dxa"/>
            <w:right w:w="108" w:type="dxa"/>
          </w:tblCellMar>
        </w:tblPrEx>
        <w:trPr>
          <w:trHeight w:val="2295" w:hRule="atLeast"/>
        </w:trPr>
        <w:tc>
          <w:tcPr>
            <w:tcW w:w="665" w:type="dxa"/>
            <w:tcBorders>
              <w:top w:val="nil"/>
              <w:left w:val="single" w:color="auto" w:sz="4" w:space="0"/>
              <w:bottom w:val="single" w:color="auto" w:sz="4" w:space="0"/>
              <w:right w:val="single" w:color="auto" w:sz="4" w:space="0"/>
            </w:tcBorders>
            <w:noWrap w:val="0"/>
            <w:vAlign w:val="center"/>
          </w:tcPr>
          <w:p w14:paraId="2678BBF6">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3</w:t>
            </w:r>
          </w:p>
        </w:tc>
        <w:tc>
          <w:tcPr>
            <w:tcW w:w="1005" w:type="dxa"/>
            <w:tcBorders>
              <w:top w:val="nil"/>
              <w:left w:val="nil"/>
              <w:bottom w:val="single" w:color="auto" w:sz="4" w:space="0"/>
              <w:right w:val="single" w:color="auto" w:sz="4" w:space="0"/>
            </w:tcBorders>
            <w:noWrap w:val="0"/>
            <w:vAlign w:val="center"/>
          </w:tcPr>
          <w:p w14:paraId="6979DB32">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备品备件</w:t>
            </w:r>
          </w:p>
        </w:tc>
        <w:tc>
          <w:tcPr>
            <w:tcW w:w="7876" w:type="dxa"/>
            <w:tcBorders>
              <w:top w:val="nil"/>
              <w:left w:val="nil"/>
              <w:bottom w:val="single" w:color="auto" w:sz="4" w:space="0"/>
              <w:right w:val="single" w:color="auto" w:sz="4" w:space="0"/>
            </w:tcBorders>
            <w:noWrap w:val="0"/>
            <w:vAlign w:val="center"/>
          </w:tcPr>
          <w:p w14:paraId="5E15D982">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核心设备备品备件：</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投标人承诺提供的视联网视频会议系统终端备品备件设备应具备黄岩区本地平台接入license，可无缝接入黄岩区电子政务视联网平台，</w:t>
            </w:r>
            <w:r>
              <w:rPr>
                <w:rFonts w:hint="eastAsia" w:ascii="宋体" w:hAnsi="宋体" w:eastAsia="宋体" w:cs="宋体"/>
                <w:b/>
                <w:bCs/>
                <w:color w:val="000000"/>
                <w:kern w:val="0"/>
                <w:sz w:val="21"/>
                <w:szCs w:val="21"/>
                <w:highlight w:val="none"/>
              </w:rPr>
              <w:t>提供证明文件加盖厂商公章</w:t>
            </w:r>
            <w:r>
              <w:rPr>
                <w:rFonts w:hint="eastAsia" w:ascii="宋体" w:hAnsi="宋体" w:eastAsia="宋体" w:cs="宋体"/>
                <w:color w:val="000000"/>
                <w:kern w:val="0"/>
                <w:sz w:val="21"/>
                <w:szCs w:val="21"/>
                <w:highlight w:val="none"/>
              </w:rPr>
              <w:t>，提供1台得1分，最高3分；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其他系统备品备件：</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投标人承诺提供的</w:t>
            </w:r>
            <w:r>
              <w:rPr>
                <w:rFonts w:hint="eastAsia" w:ascii="宋体" w:hAnsi="宋体" w:eastAsia="宋体" w:cs="宋体"/>
                <w:color w:val="000000"/>
                <w:kern w:val="0"/>
                <w:sz w:val="21"/>
                <w:szCs w:val="21"/>
                <w:highlight w:val="none"/>
                <w:lang w:eastAsia="zh-CN"/>
              </w:rPr>
              <w:t>其他</w:t>
            </w:r>
            <w:r>
              <w:rPr>
                <w:rFonts w:hint="eastAsia" w:ascii="宋体" w:hAnsi="宋体" w:eastAsia="宋体" w:cs="宋体"/>
                <w:color w:val="000000"/>
                <w:kern w:val="0"/>
                <w:sz w:val="21"/>
                <w:szCs w:val="21"/>
                <w:highlight w:val="none"/>
              </w:rPr>
              <w:t>系统的备品备件的多样性，性能，稳定性等综合评分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一档得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分；二档</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.5分；三档</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分；四档</w:t>
            </w:r>
            <w:r>
              <w:rPr>
                <w:rFonts w:hint="eastAsia" w:ascii="宋体" w:hAnsi="宋体" w:eastAsia="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rPr>
              <w:t>.5分</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rPr>
              <w:t>（提供备品备件网点现场照片及房屋所有权、租赁合同等相关证明材料、视联网备品备件承诺函原件并加盖投标人公章编入投标文件中，未提供或提供不全的不得分）</w:t>
            </w:r>
          </w:p>
        </w:tc>
        <w:tc>
          <w:tcPr>
            <w:tcW w:w="815" w:type="dxa"/>
            <w:tcBorders>
              <w:top w:val="nil"/>
              <w:left w:val="nil"/>
              <w:bottom w:val="single" w:color="auto" w:sz="4" w:space="0"/>
              <w:right w:val="single" w:color="auto" w:sz="4" w:space="0"/>
            </w:tcBorders>
            <w:noWrap w:val="0"/>
            <w:vAlign w:val="center"/>
          </w:tcPr>
          <w:p w14:paraId="0559D002">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r>
      <w:tr w14:paraId="362AA520">
        <w:tblPrEx>
          <w:tblCellMar>
            <w:top w:w="0" w:type="dxa"/>
            <w:left w:w="108" w:type="dxa"/>
            <w:bottom w:w="0" w:type="dxa"/>
            <w:right w:w="108" w:type="dxa"/>
          </w:tblCellMar>
        </w:tblPrEx>
        <w:trPr>
          <w:trHeight w:val="855" w:hRule="atLeast"/>
        </w:trPr>
        <w:tc>
          <w:tcPr>
            <w:tcW w:w="665" w:type="dxa"/>
            <w:tcBorders>
              <w:top w:val="nil"/>
              <w:left w:val="single" w:color="auto" w:sz="4" w:space="0"/>
              <w:bottom w:val="single" w:color="auto" w:sz="4" w:space="0"/>
              <w:right w:val="single" w:color="auto" w:sz="4" w:space="0"/>
            </w:tcBorders>
            <w:noWrap w:val="0"/>
            <w:vAlign w:val="center"/>
          </w:tcPr>
          <w:p w14:paraId="67C865A9">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w:t>
            </w:r>
          </w:p>
        </w:tc>
        <w:tc>
          <w:tcPr>
            <w:tcW w:w="1005" w:type="dxa"/>
            <w:tcBorders>
              <w:top w:val="nil"/>
              <w:left w:val="nil"/>
              <w:bottom w:val="single" w:color="auto" w:sz="4" w:space="0"/>
              <w:right w:val="single" w:color="auto" w:sz="4" w:space="0"/>
            </w:tcBorders>
            <w:noWrap w:val="0"/>
            <w:vAlign w:val="center"/>
          </w:tcPr>
          <w:p w14:paraId="28D2222D">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额外服务承诺</w:t>
            </w:r>
          </w:p>
        </w:tc>
        <w:tc>
          <w:tcPr>
            <w:tcW w:w="7876" w:type="dxa"/>
            <w:tcBorders>
              <w:top w:val="nil"/>
              <w:left w:val="nil"/>
              <w:bottom w:val="single" w:color="auto" w:sz="4" w:space="0"/>
              <w:right w:val="single" w:color="auto" w:sz="4" w:space="0"/>
            </w:tcBorders>
            <w:noWrap w:val="0"/>
            <w:vAlign w:val="center"/>
          </w:tcPr>
          <w:p w14:paraId="148E58D9">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投标</w:t>
            </w:r>
            <w:r>
              <w:rPr>
                <w:rFonts w:hint="eastAsia" w:ascii="宋体" w:hAnsi="宋体" w:eastAsia="宋体" w:cs="宋体"/>
                <w:color w:val="000000"/>
                <w:kern w:val="0"/>
                <w:sz w:val="21"/>
                <w:szCs w:val="21"/>
                <w:highlight w:val="none"/>
              </w:rPr>
              <w:t>人针对本项目提出的额外服务承诺。根据合理性每一条加</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分，满分</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p>
        </w:tc>
        <w:tc>
          <w:tcPr>
            <w:tcW w:w="815" w:type="dxa"/>
            <w:tcBorders>
              <w:top w:val="nil"/>
              <w:left w:val="nil"/>
              <w:bottom w:val="single" w:color="auto" w:sz="4" w:space="0"/>
              <w:right w:val="single" w:color="auto" w:sz="4" w:space="0"/>
            </w:tcBorders>
            <w:noWrap w:val="0"/>
            <w:vAlign w:val="center"/>
          </w:tcPr>
          <w:p w14:paraId="459D079C">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w:t>
            </w:r>
          </w:p>
        </w:tc>
      </w:tr>
      <w:tr w14:paraId="10D8A37D">
        <w:tblPrEx>
          <w:tblCellMar>
            <w:top w:w="0" w:type="dxa"/>
            <w:left w:w="108" w:type="dxa"/>
            <w:bottom w:w="0" w:type="dxa"/>
            <w:right w:w="108" w:type="dxa"/>
          </w:tblCellMar>
        </w:tblPrEx>
        <w:trPr>
          <w:trHeight w:val="855" w:hRule="atLeast"/>
        </w:trPr>
        <w:tc>
          <w:tcPr>
            <w:tcW w:w="665" w:type="dxa"/>
            <w:tcBorders>
              <w:top w:val="nil"/>
              <w:left w:val="single" w:color="auto" w:sz="4" w:space="0"/>
              <w:bottom w:val="single" w:color="auto" w:sz="4" w:space="0"/>
              <w:right w:val="single" w:color="auto" w:sz="4" w:space="0"/>
            </w:tcBorders>
            <w:noWrap w:val="0"/>
            <w:vAlign w:val="center"/>
          </w:tcPr>
          <w:p w14:paraId="582ABF71">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005" w:type="dxa"/>
            <w:tcBorders>
              <w:top w:val="nil"/>
              <w:left w:val="nil"/>
              <w:bottom w:val="single" w:color="auto" w:sz="4" w:space="0"/>
              <w:right w:val="single" w:color="auto" w:sz="4" w:space="0"/>
            </w:tcBorders>
            <w:noWrap w:val="0"/>
            <w:vAlign w:val="center"/>
          </w:tcPr>
          <w:p w14:paraId="08F3AAB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报价得分</w:t>
            </w:r>
          </w:p>
        </w:tc>
        <w:tc>
          <w:tcPr>
            <w:tcW w:w="7876" w:type="dxa"/>
            <w:tcBorders>
              <w:top w:val="nil"/>
              <w:left w:val="nil"/>
              <w:bottom w:val="single" w:color="auto" w:sz="4" w:space="0"/>
              <w:right w:val="single" w:color="auto" w:sz="4" w:space="0"/>
            </w:tcBorders>
            <w:noWrap w:val="0"/>
            <w:vAlign w:val="center"/>
          </w:tcPr>
          <w:p w14:paraId="0352B5A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以投标合格供应商有效报价中的最低价为基准价，其价格分为满分。其他投标人的价格部分按照下列公式计算：投标报价得分=（评标基准价/投标报价）*20%*100。</w:t>
            </w:r>
          </w:p>
        </w:tc>
        <w:tc>
          <w:tcPr>
            <w:tcW w:w="815" w:type="dxa"/>
            <w:tcBorders>
              <w:top w:val="nil"/>
              <w:left w:val="nil"/>
              <w:bottom w:val="single" w:color="auto" w:sz="4" w:space="0"/>
              <w:right w:val="single" w:color="auto" w:sz="4" w:space="0"/>
            </w:tcBorders>
            <w:noWrap w:val="0"/>
            <w:vAlign w:val="center"/>
          </w:tcPr>
          <w:p w14:paraId="105CD86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r>
      <w:tr w14:paraId="6243A1CB">
        <w:tblPrEx>
          <w:tblCellMar>
            <w:top w:w="0" w:type="dxa"/>
            <w:left w:w="108" w:type="dxa"/>
            <w:bottom w:w="0" w:type="dxa"/>
            <w:right w:w="108" w:type="dxa"/>
          </w:tblCellMar>
        </w:tblPrEx>
        <w:trPr>
          <w:trHeight w:val="605" w:hRule="atLeast"/>
        </w:trPr>
        <w:tc>
          <w:tcPr>
            <w:tcW w:w="9546" w:type="dxa"/>
            <w:gridSpan w:val="3"/>
            <w:tcBorders>
              <w:top w:val="single" w:color="auto" w:sz="4" w:space="0"/>
              <w:left w:val="single" w:color="auto" w:sz="4" w:space="0"/>
              <w:bottom w:val="single" w:color="auto" w:sz="4" w:space="0"/>
              <w:right w:val="single" w:color="auto" w:sz="4" w:space="0"/>
            </w:tcBorders>
            <w:noWrap w:val="0"/>
            <w:vAlign w:val="center"/>
          </w:tcPr>
          <w:p w14:paraId="1C8C792D">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815" w:type="dxa"/>
            <w:tcBorders>
              <w:top w:val="nil"/>
              <w:left w:val="nil"/>
              <w:bottom w:val="single" w:color="auto" w:sz="4" w:space="0"/>
              <w:right w:val="single" w:color="auto" w:sz="4" w:space="0"/>
            </w:tcBorders>
            <w:noWrap w:val="0"/>
            <w:vAlign w:val="center"/>
          </w:tcPr>
          <w:p w14:paraId="6C02B930">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r>
    </w:tbl>
    <w:p w14:paraId="61585A27">
      <w:pPr>
        <w:shd w:val="clear" w:color="auto" w:fill="FFFFFF"/>
        <w:spacing w:line="360" w:lineRule="auto"/>
        <w:jc w:val="left"/>
        <w:textAlignment w:val="bottom"/>
        <w:rPr>
          <w:rFonts w:hint="eastAsia" w:ascii="宋体" w:hAnsi="宋体" w:eastAsia="宋体" w:cs="宋体"/>
          <w:b/>
          <w:sz w:val="36"/>
          <w:szCs w:val="36"/>
        </w:rPr>
      </w:pPr>
      <w:r>
        <w:rPr>
          <w:rFonts w:hint="eastAsia" w:ascii="宋体" w:hAnsi="宋体" w:eastAsia="宋体" w:cs="宋体"/>
          <w:b/>
          <w:sz w:val="22"/>
          <w:szCs w:val="22"/>
        </w:rPr>
        <w:t>注：评分标准中所</w:t>
      </w:r>
      <w:r>
        <w:rPr>
          <w:rFonts w:hint="eastAsia" w:ascii="宋体" w:hAnsi="宋体" w:eastAsia="宋体" w:cs="宋体"/>
          <w:b/>
          <w:sz w:val="22"/>
          <w:szCs w:val="22"/>
          <w:lang w:eastAsia="zh-CN"/>
        </w:rPr>
        <w:t>涉及的</w:t>
      </w:r>
      <w:r>
        <w:rPr>
          <w:rFonts w:hint="eastAsia" w:ascii="宋体" w:hAnsi="宋体" w:eastAsia="宋体" w:cs="宋体"/>
          <w:b/>
          <w:sz w:val="22"/>
          <w:szCs w:val="22"/>
        </w:rPr>
        <w:t>证书、合同等须将原件扫描件编入技术标内，若因上传内容不清晰等情况，造成不利后果由投标</w:t>
      </w:r>
      <w:r>
        <w:rPr>
          <w:rFonts w:hint="eastAsia" w:ascii="宋体" w:hAnsi="宋体" w:eastAsia="宋体" w:cs="宋体"/>
          <w:b/>
          <w:sz w:val="22"/>
          <w:szCs w:val="22"/>
          <w:lang w:eastAsia="zh-CN"/>
        </w:rPr>
        <w:t>人</w:t>
      </w:r>
      <w:r>
        <w:rPr>
          <w:rFonts w:hint="eastAsia" w:ascii="宋体" w:hAnsi="宋体" w:eastAsia="宋体" w:cs="宋体"/>
          <w:b/>
          <w:sz w:val="22"/>
          <w:szCs w:val="22"/>
        </w:rPr>
        <w:t>负责。</w:t>
      </w:r>
    </w:p>
    <w:p w14:paraId="01C67D52">
      <w:pPr>
        <w:shd w:val="clear" w:color="auto" w:fill="FFFFFF"/>
        <w:spacing w:line="360" w:lineRule="auto"/>
        <w:jc w:val="center"/>
        <w:textAlignment w:val="bottom"/>
        <w:rPr>
          <w:rFonts w:hint="eastAsia" w:ascii="宋体" w:hAnsi="宋体" w:eastAsia="宋体" w:cs="宋体"/>
          <w:b/>
          <w:bCs/>
          <w:szCs w:val="21"/>
        </w:rPr>
      </w:pPr>
      <w:r>
        <w:rPr>
          <w:rFonts w:hint="eastAsia" w:ascii="宋体" w:hAnsi="宋体" w:eastAsia="宋体" w:cs="宋体"/>
          <w:b/>
          <w:sz w:val="36"/>
          <w:szCs w:val="36"/>
        </w:rPr>
        <w:t>第四部分</w:t>
      </w:r>
      <w:r>
        <w:rPr>
          <w:rFonts w:hint="eastAsia" w:ascii="宋体" w:hAnsi="宋体" w:eastAsia="宋体" w:cs="宋体"/>
          <w:b/>
          <w:sz w:val="36"/>
          <w:szCs w:val="36"/>
          <w:lang w:val="en-US" w:eastAsia="zh-CN"/>
        </w:rPr>
        <w:t xml:space="preserve">  </w:t>
      </w:r>
      <w:r>
        <w:rPr>
          <w:rFonts w:hint="eastAsia" w:ascii="宋体" w:hAnsi="宋体" w:eastAsia="宋体" w:cs="宋体"/>
          <w:b/>
          <w:kern w:val="0"/>
          <w:sz w:val="36"/>
          <w:szCs w:val="36"/>
        </w:rPr>
        <w:t>磋商项目需求</w:t>
      </w:r>
      <w:bookmarkStart w:id="2" w:name="_Toc257892675"/>
    </w:p>
    <w:bookmarkEnd w:id="2"/>
    <w:p w14:paraId="4D740AD9">
      <w:pPr>
        <w:tabs>
          <w:tab w:val="left" w:pos="8280"/>
        </w:tabs>
        <w:autoSpaceDE w:val="0"/>
        <w:autoSpaceDN w:val="0"/>
        <w:adjustRightInd w:val="0"/>
        <w:spacing w:line="360" w:lineRule="auto"/>
        <w:ind w:right="25"/>
        <w:rPr>
          <w:rFonts w:hint="eastAsia" w:ascii="宋体" w:hAnsi="宋体" w:eastAsia="宋体" w:cs="宋体"/>
          <w:color w:val="33CCCC"/>
          <w:sz w:val="22"/>
          <w:szCs w:val="22"/>
        </w:rPr>
      </w:pPr>
      <w:r>
        <w:rPr>
          <w:rFonts w:hint="eastAsia" w:ascii="宋体" w:hAnsi="宋体" w:eastAsia="宋体" w:cs="宋体"/>
          <w:b/>
          <w:sz w:val="22"/>
          <w:szCs w:val="22"/>
        </w:rPr>
        <w:t>一、招标项目一览表</w:t>
      </w:r>
    </w:p>
    <w:tbl>
      <w:tblPr>
        <w:tblStyle w:val="3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862"/>
        <w:gridCol w:w="866"/>
        <w:gridCol w:w="867"/>
        <w:gridCol w:w="1470"/>
        <w:gridCol w:w="1166"/>
      </w:tblGrid>
      <w:tr w14:paraId="6D05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25" w:type="dxa"/>
            <w:noWrap w:val="0"/>
            <w:vAlign w:val="center"/>
          </w:tcPr>
          <w:p w14:paraId="2FC7615F">
            <w:pPr>
              <w:tabs>
                <w:tab w:val="left" w:pos="8280"/>
              </w:tabs>
              <w:autoSpaceDE w:val="0"/>
              <w:autoSpaceDN w:val="0"/>
              <w:adjustRightInd w:val="0"/>
              <w:ind w:right="25"/>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3862" w:type="dxa"/>
            <w:noWrap w:val="0"/>
            <w:vAlign w:val="center"/>
          </w:tcPr>
          <w:p w14:paraId="125B28AF">
            <w:pPr>
              <w:tabs>
                <w:tab w:val="left" w:pos="8280"/>
              </w:tabs>
              <w:autoSpaceDE w:val="0"/>
              <w:autoSpaceDN w:val="0"/>
              <w:adjustRightInd w:val="0"/>
              <w:ind w:right="25"/>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项目名称</w:t>
            </w:r>
          </w:p>
        </w:tc>
        <w:tc>
          <w:tcPr>
            <w:tcW w:w="866" w:type="dxa"/>
            <w:noWrap w:val="0"/>
            <w:vAlign w:val="center"/>
          </w:tcPr>
          <w:p w14:paraId="32D0F966">
            <w:pPr>
              <w:tabs>
                <w:tab w:val="left" w:pos="8280"/>
              </w:tabs>
              <w:autoSpaceDE w:val="0"/>
              <w:autoSpaceDN w:val="0"/>
              <w:adjustRightInd w:val="0"/>
              <w:ind w:right="25"/>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数量</w:t>
            </w:r>
          </w:p>
        </w:tc>
        <w:tc>
          <w:tcPr>
            <w:tcW w:w="867" w:type="dxa"/>
            <w:noWrap w:val="0"/>
            <w:vAlign w:val="center"/>
          </w:tcPr>
          <w:p w14:paraId="13C3B561">
            <w:pPr>
              <w:tabs>
                <w:tab w:val="left" w:pos="8280"/>
              </w:tabs>
              <w:autoSpaceDE w:val="0"/>
              <w:autoSpaceDN w:val="0"/>
              <w:adjustRightInd w:val="0"/>
              <w:ind w:right="25"/>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单位</w:t>
            </w:r>
          </w:p>
        </w:tc>
        <w:tc>
          <w:tcPr>
            <w:tcW w:w="1470" w:type="dxa"/>
            <w:noWrap w:val="0"/>
            <w:vAlign w:val="center"/>
          </w:tcPr>
          <w:p w14:paraId="5343CD2B">
            <w:pPr>
              <w:tabs>
                <w:tab w:val="left" w:pos="8280"/>
              </w:tabs>
              <w:autoSpaceDE w:val="0"/>
              <w:autoSpaceDN w:val="0"/>
              <w:adjustRightInd w:val="0"/>
              <w:ind w:right="25"/>
              <w:jc w:val="center"/>
              <w:rPr>
                <w:rFonts w:hint="eastAsia" w:ascii="宋体" w:hAnsi="宋体" w:eastAsia="宋体" w:cs="宋体"/>
                <w:b/>
                <w:sz w:val="22"/>
                <w:szCs w:val="22"/>
              </w:rPr>
            </w:pPr>
            <w:r>
              <w:rPr>
                <w:rFonts w:hint="eastAsia" w:ascii="宋体" w:hAnsi="宋体" w:eastAsia="宋体" w:cs="宋体"/>
                <w:b/>
                <w:sz w:val="22"/>
                <w:szCs w:val="22"/>
              </w:rPr>
              <w:t>预算金额</w:t>
            </w:r>
          </w:p>
        </w:tc>
        <w:tc>
          <w:tcPr>
            <w:tcW w:w="1166" w:type="dxa"/>
            <w:noWrap w:val="0"/>
            <w:vAlign w:val="center"/>
          </w:tcPr>
          <w:p w14:paraId="3286FB07">
            <w:pPr>
              <w:tabs>
                <w:tab w:val="left" w:pos="8280"/>
              </w:tabs>
              <w:autoSpaceDE w:val="0"/>
              <w:autoSpaceDN w:val="0"/>
              <w:adjustRightInd w:val="0"/>
              <w:ind w:right="25"/>
              <w:jc w:val="center"/>
              <w:rPr>
                <w:rFonts w:hint="eastAsia" w:ascii="宋体" w:hAnsi="宋体" w:eastAsia="宋体" w:cs="宋体"/>
                <w:b/>
                <w:sz w:val="22"/>
                <w:szCs w:val="22"/>
              </w:rPr>
            </w:pPr>
            <w:r>
              <w:rPr>
                <w:rFonts w:hint="eastAsia" w:ascii="宋体" w:hAnsi="宋体" w:eastAsia="宋体" w:cs="宋体"/>
                <w:b/>
                <w:sz w:val="22"/>
                <w:szCs w:val="22"/>
              </w:rPr>
              <w:t>备注</w:t>
            </w:r>
          </w:p>
        </w:tc>
      </w:tr>
      <w:tr w14:paraId="3408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25" w:type="dxa"/>
            <w:noWrap w:val="0"/>
            <w:vAlign w:val="center"/>
          </w:tcPr>
          <w:p w14:paraId="3DC0953F">
            <w:pPr>
              <w:tabs>
                <w:tab w:val="left" w:pos="8280"/>
              </w:tabs>
              <w:autoSpaceDE w:val="0"/>
              <w:autoSpaceDN w:val="0"/>
              <w:adjustRightInd w:val="0"/>
              <w:spacing w:line="360" w:lineRule="auto"/>
              <w:ind w:right="25"/>
              <w:jc w:val="center"/>
              <w:rPr>
                <w:rFonts w:hint="eastAsia" w:ascii="宋体" w:hAnsi="宋体" w:eastAsia="宋体" w:cs="宋体"/>
                <w:sz w:val="22"/>
                <w:szCs w:val="22"/>
              </w:rPr>
            </w:pPr>
            <w:r>
              <w:rPr>
                <w:rFonts w:hint="eastAsia" w:ascii="宋体" w:hAnsi="宋体" w:eastAsia="宋体" w:cs="宋体"/>
                <w:sz w:val="22"/>
                <w:szCs w:val="22"/>
              </w:rPr>
              <w:t>1</w:t>
            </w:r>
          </w:p>
        </w:tc>
        <w:tc>
          <w:tcPr>
            <w:tcW w:w="3862" w:type="dxa"/>
            <w:noWrap w:val="0"/>
            <w:vAlign w:val="center"/>
          </w:tcPr>
          <w:p w14:paraId="7ED74E5C">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黄岩区应急能力提升工程（防汛乡镇村指挥会商系统）服务项目</w:t>
            </w:r>
          </w:p>
        </w:tc>
        <w:tc>
          <w:tcPr>
            <w:tcW w:w="866" w:type="dxa"/>
            <w:noWrap w:val="0"/>
            <w:vAlign w:val="center"/>
          </w:tcPr>
          <w:p w14:paraId="2B987BA9">
            <w:pPr>
              <w:tabs>
                <w:tab w:val="left" w:pos="8280"/>
              </w:tabs>
              <w:autoSpaceDE w:val="0"/>
              <w:autoSpaceDN w:val="0"/>
              <w:adjustRightInd w:val="0"/>
              <w:spacing w:line="360" w:lineRule="auto"/>
              <w:ind w:right="25"/>
              <w:jc w:val="center"/>
              <w:rPr>
                <w:rFonts w:hint="eastAsia" w:ascii="宋体" w:hAnsi="宋体" w:eastAsia="宋体" w:cs="宋体"/>
                <w:sz w:val="22"/>
                <w:szCs w:val="22"/>
              </w:rPr>
            </w:pPr>
            <w:r>
              <w:rPr>
                <w:rFonts w:hint="eastAsia" w:ascii="宋体" w:hAnsi="宋体" w:eastAsia="宋体" w:cs="宋体"/>
                <w:sz w:val="22"/>
                <w:szCs w:val="22"/>
              </w:rPr>
              <w:t>1</w:t>
            </w:r>
          </w:p>
        </w:tc>
        <w:tc>
          <w:tcPr>
            <w:tcW w:w="867" w:type="dxa"/>
            <w:noWrap w:val="0"/>
            <w:vAlign w:val="center"/>
          </w:tcPr>
          <w:p w14:paraId="1D054B7D">
            <w:pPr>
              <w:tabs>
                <w:tab w:val="left" w:pos="8280"/>
              </w:tabs>
              <w:autoSpaceDE w:val="0"/>
              <w:autoSpaceDN w:val="0"/>
              <w:adjustRightInd w:val="0"/>
              <w:spacing w:line="360" w:lineRule="auto"/>
              <w:ind w:right="25"/>
              <w:jc w:val="center"/>
              <w:rPr>
                <w:rFonts w:hint="eastAsia" w:ascii="宋体" w:hAnsi="宋体" w:eastAsia="宋体" w:cs="宋体"/>
                <w:sz w:val="22"/>
                <w:szCs w:val="22"/>
              </w:rPr>
            </w:pPr>
            <w:r>
              <w:rPr>
                <w:rFonts w:hint="eastAsia" w:ascii="宋体" w:hAnsi="宋体" w:eastAsia="宋体" w:cs="宋体"/>
                <w:sz w:val="22"/>
                <w:szCs w:val="22"/>
              </w:rPr>
              <w:t>项</w:t>
            </w:r>
          </w:p>
        </w:tc>
        <w:tc>
          <w:tcPr>
            <w:tcW w:w="1470" w:type="dxa"/>
            <w:noWrap w:val="0"/>
            <w:vAlign w:val="center"/>
          </w:tcPr>
          <w:p w14:paraId="0A8710D6">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3919800</w:t>
            </w:r>
            <w:r>
              <w:rPr>
                <w:rFonts w:hint="eastAsia" w:ascii="宋体" w:hAnsi="宋体" w:eastAsia="宋体" w:cs="宋体"/>
                <w:sz w:val="22"/>
                <w:szCs w:val="22"/>
                <w:lang w:eastAsia="zh-CN"/>
              </w:rPr>
              <w:t>元</w:t>
            </w:r>
          </w:p>
        </w:tc>
        <w:tc>
          <w:tcPr>
            <w:tcW w:w="1166" w:type="dxa"/>
            <w:noWrap w:val="0"/>
            <w:vAlign w:val="center"/>
          </w:tcPr>
          <w:p w14:paraId="4C945C4B">
            <w:pPr>
              <w:widowControl/>
              <w:spacing w:line="360" w:lineRule="auto"/>
              <w:jc w:val="center"/>
              <w:rPr>
                <w:rFonts w:hint="eastAsia" w:ascii="宋体" w:hAnsi="宋体" w:eastAsia="宋体" w:cs="宋体"/>
                <w:sz w:val="22"/>
                <w:szCs w:val="22"/>
                <w:lang w:eastAsia="zh-CN"/>
              </w:rPr>
            </w:pPr>
          </w:p>
        </w:tc>
      </w:tr>
    </w:tbl>
    <w:p w14:paraId="1CBD8D8A">
      <w:pPr>
        <w:tabs>
          <w:tab w:val="left" w:pos="8280"/>
        </w:tabs>
        <w:autoSpaceDE w:val="0"/>
        <w:autoSpaceDN w:val="0"/>
        <w:adjustRightInd w:val="0"/>
        <w:spacing w:line="360" w:lineRule="auto"/>
        <w:ind w:right="25"/>
        <w:rPr>
          <w:rFonts w:hint="eastAsia" w:ascii="宋体" w:hAnsi="宋体" w:eastAsia="宋体" w:cs="宋体"/>
          <w:b/>
          <w:sz w:val="22"/>
          <w:szCs w:val="22"/>
        </w:rPr>
      </w:pPr>
      <w:r>
        <w:rPr>
          <w:rFonts w:hint="eastAsia" w:ascii="宋体" w:hAnsi="宋体" w:eastAsia="宋体" w:cs="宋体"/>
          <w:b/>
          <w:sz w:val="22"/>
          <w:szCs w:val="22"/>
          <w:lang w:val="en-US" w:eastAsia="zh-CN"/>
        </w:rPr>
        <w:t>二、</w:t>
      </w:r>
      <w:r>
        <w:rPr>
          <w:rFonts w:hint="eastAsia" w:ascii="宋体" w:hAnsi="宋体" w:eastAsia="宋体" w:cs="宋体"/>
          <w:b/>
          <w:sz w:val="22"/>
          <w:szCs w:val="22"/>
        </w:rPr>
        <w:t>项目概况</w:t>
      </w:r>
    </w:p>
    <w:p w14:paraId="07D64896">
      <w:pPr>
        <w:widowControl/>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黄岩区应急能力提升工程（防汛乡镇村指挥会商系统）项目，建成后已经使用超过三年时间，在经历</w:t>
      </w:r>
      <w:r>
        <w:rPr>
          <w:rFonts w:hint="eastAsia" w:ascii="宋体" w:hAnsi="宋体" w:eastAsia="宋体" w:cs="宋体"/>
          <w:sz w:val="22"/>
          <w:szCs w:val="22"/>
          <w:lang w:val="en-US" w:eastAsia="zh-CN"/>
        </w:rPr>
        <w:t>20</w:t>
      </w:r>
      <w:r>
        <w:rPr>
          <w:rFonts w:hint="eastAsia" w:ascii="宋体" w:hAnsi="宋体" w:eastAsia="宋体" w:cs="宋体"/>
          <w:sz w:val="22"/>
          <w:szCs w:val="22"/>
          <w:lang w:eastAsia="zh-CN"/>
        </w:rPr>
        <w:t>20年～</w:t>
      </w:r>
      <w:r>
        <w:rPr>
          <w:rFonts w:hint="eastAsia" w:ascii="宋体" w:hAnsi="宋体" w:eastAsia="宋体" w:cs="宋体"/>
          <w:sz w:val="22"/>
          <w:szCs w:val="22"/>
          <w:lang w:val="en-US" w:eastAsia="zh-CN"/>
        </w:rPr>
        <w:t>20</w:t>
      </w:r>
      <w:r>
        <w:rPr>
          <w:rFonts w:hint="eastAsia" w:ascii="宋体" w:hAnsi="宋体" w:eastAsia="宋体" w:cs="宋体"/>
          <w:sz w:val="22"/>
          <w:szCs w:val="22"/>
          <w:lang w:eastAsia="zh-CN"/>
        </w:rPr>
        <w:t>24年防台期间，原有设备出现不同程度的故障，对系统的指挥调度产生了影响。</w:t>
      </w:r>
    </w:p>
    <w:p w14:paraId="02E9AAA0">
      <w:pPr>
        <w:widowControl/>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系统主要包含：黄岩区防汛乡镇村会商系统服务、应急固定站通讯系统服务、中心点</w:t>
      </w:r>
      <w:r>
        <w:rPr>
          <w:rFonts w:hint="eastAsia" w:ascii="宋体" w:hAnsi="宋体" w:eastAsia="宋体" w:cs="宋体"/>
          <w:sz w:val="22"/>
          <w:szCs w:val="22"/>
          <w:lang w:val="en-US" w:eastAsia="zh-CN"/>
        </w:rPr>
        <w:t>音视频系统</w:t>
      </w:r>
      <w:r>
        <w:rPr>
          <w:rFonts w:hint="eastAsia" w:ascii="宋体" w:hAnsi="宋体" w:eastAsia="宋体" w:cs="宋体"/>
          <w:sz w:val="22"/>
          <w:szCs w:val="22"/>
          <w:lang w:eastAsia="zh-CN"/>
        </w:rPr>
        <w:t>服务、UPS供电系统服务、应急指挥系统巡检服务、村级点位线路服务。</w:t>
      </w:r>
    </w:p>
    <w:p w14:paraId="3F220233">
      <w:pPr>
        <w:tabs>
          <w:tab w:val="left" w:pos="8280"/>
        </w:tabs>
        <w:autoSpaceDE w:val="0"/>
        <w:autoSpaceDN w:val="0"/>
        <w:adjustRightInd w:val="0"/>
        <w:spacing w:line="360" w:lineRule="auto"/>
        <w:ind w:right="25"/>
        <w:rPr>
          <w:rFonts w:hint="eastAsia" w:ascii="宋体" w:hAnsi="宋体" w:eastAsia="宋体" w:cs="宋体"/>
          <w:b/>
          <w:sz w:val="22"/>
          <w:szCs w:val="22"/>
        </w:rPr>
      </w:pPr>
      <w:r>
        <w:rPr>
          <w:rFonts w:hint="eastAsia" w:ascii="宋体" w:hAnsi="宋体" w:eastAsia="宋体" w:cs="宋体"/>
          <w:b/>
          <w:sz w:val="22"/>
          <w:szCs w:val="22"/>
        </w:rPr>
        <w:t>三、服务范围</w:t>
      </w:r>
    </w:p>
    <w:tbl>
      <w:tblPr>
        <w:tblStyle w:val="33"/>
        <w:tblW w:w="56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65"/>
        <w:gridCol w:w="2017"/>
        <w:gridCol w:w="785"/>
        <w:gridCol w:w="5364"/>
      </w:tblGrid>
      <w:tr w14:paraId="5D4C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98" w:type="dxa"/>
            <w:noWrap w:val="0"/>
            <w:vAlign w:val="center"/>
          </w:tcPr>
          <w:p w14:paraId="1AFA9C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965" w:type="dxa"/>
            <w:noWrap w:val="0"/>
            <w:vAlign w:val="center"/>
          </w:tcPr>
          <w:p w14:paraId="0B029C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服务</w:t>
            </w:r>
          </w:p>
        </w:tc>
        <w:tc>
          <w:tcPr>
            <w:tcW w:w="2017" w:type="dxa"/>
            <w:noWrap w:val="0"/>
            <w:vAlign w:val="center"/>
          </w:tcPr>
          <w:p w14:paraId="1DAC0E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w:t>
            </w:r>
          </w:p>
        </w:tc>
        <w:tc>
          <w:tcPr>
            <w:tcW w:w="785" w:type="dxa"/>
            <w:noWrap w:val="0"/>
            <w:vAlign w:val="center"/>
          </w:tcPr>
          <w:p w14:paraId="6CB4CE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5364" w:type="dxa"/>
            <w:noWrap w:val="0"/>
            <w:vAlign w:val="center"/>
          </w:tcPr>
          <w:p w14:paraId="401D33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基本要求</w:t>
            </w:r>
          </w:p>
        </w:tc>
      </w:tr>
      <w:tr w14:paraId="64C0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35C307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965" w:type="dxa"/>
            <w:vMerge w:val="restart"/>
            <w:noWrap w:val="0"/>
            <w:vAlign w:val="center"/>
          </w:tcPr>
          <w:p w14:paraId="6E1F01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防汛乡镇村会商系统服务</w:t>
            </w:r>
          </w:p>
        </w:tc>
        <w:tc>
          <w:tcPr>
            <w:tcW w:w="2017" w:type="dxa"/>
            <w:noWrap w:val="0"/>
            <w:vAlign w:val="center"/>
          </w:tcPr>
          <w:p w14:paraId="6F7EF7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防汛乡镇会商系统服务</w:t>
            </w:r>
          </w:p>
        </w:tc>
        <w:tc>
          <w:tcPr>
            <w:tcW w:w="785" w:type="dxa"/>
            <w:noWrap w:val="0"/>
            <w:vAlign w:val="center"/>
          </w:tcPr>
          <w:p w14:paraId="68BD22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59738EF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提供</w:t>
            </w:r>
            <w:r>
              <w:rPr>
                <w:rFonts w:hint="eastAsia" w:ascii="宋体" w:hAnsi="宋体" w:cs="宋体"/>
                <w:color w:val="000000"/>
                <w:sz w:val="22"/>
                <w:szCs w:val="22"/>
                <w:highlight w:val="none"/>
                <w:lang w:val="en-US" w:eastAsia="zh-CN"/>
              </w:rPr>
              <w:t>覆盖全黄岩区内所有乡镇街道的</w:t>
            </w:r>
            <w:r>
              <w:rPr>
                <w:rFonts w:hint="eastAsia" w:ascii="宋体" w:hAnsi="宋体" w:cs="宋体"/>
                <w:color w:val="000000"/>
                <w:sz w:val="22"/>
                <w:szCs w:val="22"/>
                <w:highlight w:val="none"/>
              </w:rPr>
              <w:t>防汛乡镇会商系统服务</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满足</w:t>
            </w:r>
            <w:r>
              <w:rPr>
                <w:rFonts w:hint="eastAsia" w:ascii="宋体" w:hAnsi="宋体" w:cs="宋体"/>
                <w:color w:val="000000"/>
                <w:sz w:val="22"/>
                <w:szCs w:val="22"/>
                <w:highlight w:val="none"/>
              </w:rPr>
              <w:t>与原有的乡镇防汛会商系统无缝对接，满足全网远程视频系统音视频图像及双流数据互联、互通、互控需求。</w:t>
            </w:r>
          </w:p>
        </w:tc>
      </w:tr>
      <w:tr w14:paraId="37E0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4C47811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2"/>
                <w:szCs w:val="22"/>
              </w:rPr>
            </w:pPr>
          </w:p>
        </w:tc>
        <w:tc>
          <w:tcPr>
            <w:tcW w:w="965" w:type="dxa"/>
            <w:vMerge w:val="continue"/>
            <w:noWrap w:val="0"/>
            <w:vAlign w:val="center"/>
          </w:tcPr>
          <w:p w14:paraId="7F2FF5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p>
        </w:tc>
        <w:tc>
          <w:tcPr>
            <w:tcW w:w="2017" w:type="dxa"/>
            <w:noWrap w:val="0"/>
            <w:vAlign w:val="center"/>
          </w:tcPr>
          <w:p w14:paraId="227898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防汛村会商系统服务</w:t>
            </w:r>
          </w:p>
        </w:tc>
        <w:tc>
          <w:tcPr>
            <w:tcW w:w="785" w:type="dxa"/>
            <w:noWrap w:val="0"/>
            <w:vAlign w:val="center"/>
          </w:tcPr>
          <w:p w14:paraId="37AF8B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1B4579F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提供</w:t>
            </w:r>
            <w:r>
              <w:rPr>
                <w:rFonts w:hint="eastAsia" w:ascii="宋体" w:hAnsi="宋体" w:cs="宋体"/>
                <w:color w:val="000000"/>
                <w:sz w:val="22"/>
                <w:szCs w:val="22"/>
                <w:highlight w:val="none"/>
                <w:lang w:val="en-US" w:eastAsia="zh-CN"/>
              </w:rPr>
              <w:t>覆盖</w:t>
            </w:r>
            <w:r>
              <w:rPr>
                <w:rFonts w:hint="eastAsia" w:ascii="宋体" w:hAnsi="宋体" w:cs="宋体"/>
                <w:color w:val="000000"/>
                <w:sz w:val="22"/>
                <w:szCs w:val="22"/>
                <w:highlight w:val="none"/>
              </w:rPr>
              <w:t>全黄岩区内所有行政村</w:t>
            </w:r>
            <w:r>
              <w:rPr>
                <w:rFonts w:hint="eastAsia" w:ascii="宋体" w:hAnsi="宋体" w:cs="宋体"/>
                <w:color w:val="000000"/>
                <w:sz w:val="22"/>
                <w:szCs w:val="22"/>
                <w:highlight w:val="none"/>
                <w:lang w:eastAsia="zh-CN"/>
              </w:rPr>
              <w:t>、社区及居委会</w:t>
            </w:r>
            <w:r>
              <w:rPr>
                <w:rFonts w:hint="eastAsia" w:ascii="宋体" w:hAnsi="宋体" w:cs="宋体"/>
                <w:color w:val="000000"/>
                <w:sz w:val="22"/>
                <w:szCs w:val="22"/>
                <w:highlight w:val="none"/>
                <w:lang w:val="en-US" w:eastAsia="zh-CN"/>
              </w:rPr>
              <w:t>的</w:t>
            </w:r>
            <w:r>
              <w:rPr>
                <w:rFonts w:hint="eastAsia" w:ascii="宋体" w:hAnsi="宋体" w:cs="宋体"/>
                <w:color w:val="000000"/>
                <w:sz w:val="22"/>
                <w:szCs w:val="22"/>
                <w:highlight w:val="none"/>
              </w:rPr>
              <w:t>防汛村会商系统服务</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支持视联网技术（国内自主创新具有完全自主知识产权的交换式视频通信技术），满足无缝接入浙江省电子政务视联网并正常运行，可与原台州市电子政务视联网终端无缝通信。</w:t>
            </w:r>
          </w:p>
        </w:tc>
      </w:tr>
      <w:tr w14:paraId="0260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noWrap w:val="0"/>
            <w:vAlign w:val="center"/>
          </w:tcPr>
          <w:p w14:paraId="3EFEBB95">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2"/>
                <w:szCs w:val="22"/>
              </w:rPr>
            </w:pPr>
          </w:p>
        </w:tc>
        <w:tc>
          <w:tcPr>
            <w:tcW w:w="965" w:type="dxa"/>
            <w:vMerge w:val="continue"/>
            <w:noWrap w:val="0"/>
            <w:vAlign w:val="center"/>
          </w:tcPr>
          <w:p w14:paraId="5A3D4C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p>
        </w:tc>
        <w:tc>
          <w:tcPr>
            <w:tcW w:w="2017" w:type="dxa"/>
            <w:noWrap w:val="0"/>
            <w:vAlign w:val="center"/>
          </w:tcPr>
          <w:p w14:paraId="73C033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应急固定站通讯系统服务</w:t>
            </w:r>
          </w:p>
        </w:tc>
        <w:tc>
          <w:tcPr>
            <w:tcW w:w="785" w:type="dxa"/>
            <w:noWrap w:val="0"/>
            <w:vAlign w:val="center"/>
          </w:tcPr>
          <w:p w14:paraId="34C710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1项</w:t>
            </w:r>
          </w:p>
        </w:tc>
        <w:tc>
          <w:tcPr>
            <w:tcW w:w="5364" w:type="dxa"/>
            <w:noWrap w:val="0"/>
            <w:vAlign w:val="center"/>
          </w:tcPr>
          <w:p w14:paraId="362A41F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提供100套应急固定站通讯系统供黄岩区应急管理局按需使用。</w:t>
            </w:r>
            <w:r>
              <w:rPr>
                <w:rFonts w:hint="eastAsia" w:ascii="宋体" w:hAnsi="宋体" w:cs="宋体"/>
                <w:color w:val="000000"/>
                <w:sz w:val="22"/>
                <w:szCs w:val="22"/>
                <w:highlight w:val="none"/>
                <w:lang w:val="en-US" w:eastAsia="zh-CN"/>
              </w:rPr>
              <w:t>支持</w:t>
            </w:r>
            <w:r>
              <w:rPr>
                <w:rFonts w:hint="eastAsia" w:ascii="宋体" w:hAnsi="宋体" w:cs="宋体"/>
                <w:color w:val="000000"/>
                <w:sz w:val="22"/>
                <w:szCs w:val="22"/>
                <w:highlight w:val="none"/>
              </w:rPr>
              <w:t>卫星移动网络语音、短信、低数据传输速率功能，满足保障山区、林区和地震、地质灾害现场在地面通讯和数据传输中断的情况下以及冰冻雨雪、阴天大雾等极端天气条件下的应急卫星通讯需求。</w:t>
            </w:r>
          </w:p>
        </w:tc>
      </w:tr>
      <w:tr w14:paraId="7433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3C5D6C91">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2"/>
                <w:szCs w:val="22"/>
              </w:rPr>
            </w:pPr>
            <w:r>
              <w:rPr>
                <w:rFonts w:hint="eastAsia" w:ascii="宋体" w:hAnsi="宋体" w:cs="宋体"/>
                <w:color w:val="000000"/>
                <w:sz w:val="22"/>
                <w:szCs w:val="22"/>
              </w:rPr>
              <w:t>2</w:t>
            </w:r>
          </w:p>
        </w:tc>
        <w:tc>
          <w:tcPr>
            <w:tcW w:w="965" w:type="dxa"/>
            <w:vMerge w:val="restart"/>
            <w:noWrap w:val="0"/>
            <w:vAlign w:val="center"/>
          </w:tcPr>
          <w:p w14:paraId="30CA461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2"/>
                <w:szCs w:val="22"/>
              </w:rPr>
            </w:pPr>
            <w:r>
              <w:rPr>
                <w:rFonts w:hint="eastAsia" w:ascii="宋体" w:hAnsi="宋体" w:cs="宋体"/>
                <w:bCs/>
                <w:color w:val="000000"/>
                <w:kern w:val="0"/>
                <w:sz w:val="22"/>
                <w:szCs w:val="22"/>
              </w:rPr>
              <w:t>UPS供电系统服务</w:t>
            </w:r>
          </w:p>
        </w:tc>
        <w:tc>
          <w:tcPr>
            <w:tcW w:w="2017" w:type="dxa"/>
            <w:noWrap w:val="0"/>
            <w:vAlign w:val="center"/>
          </w:tcPr>
          <w:p w14:paraId="2D7D78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乡镇级UPS供电系统服务</w:t>
            </w:r>
          </w:p>
        </w:tc>
        <w:tc>
          <w:tcPr>
            <w:tcW w:w="785" w:type="dxa"/>
            <w:noWrap w:val="0"/>
            <w:vAlign w:val="center"/>
          </w:tcPr>
          <w:p w14:paraId="064FDC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276935D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提供</w:t>
            </w:r>
            <w:r>
              <w:rPr>
                <w:rFonts w:hint="eastAsia" w:ascii="宋体" w:hAnsi="宋体" w:cs="宋体"/>
                <w:color w:val="000000"/>
                <w:sz w:val="22"/>
                <w:szCs w:val="22"/>
                <w:highlight w:val="none"/>
                <w:lang w:val="en-US" w:eastAsia="zh-CN"/>
              </w:rPr>
              <w:t>覆盖全黄岩区内所有乡镇街道的</w:t>
            </w:r>
            <w:r>
              <w:rPr>
                <w:rFonts w:hint="eastAsia" w:ascii="宋体" w:hAnsi="宋体" w:cs="宋体"/>
                <w:color w:val="000000"/>
                <w:sz w:val="22"/>
                <w:szCs w:val="22"/>
                <w:highlight w:val="none"/>
              </w:rPr>
              <w:t>乡镇级UPS供电系统服务，</w:t>
            </w:r>
            <w:r>
              <w:rPr>
                <w:rFonts w:hint="eastAsia" w:ascii="宋体" w:hAnsi="宋体" w:cs="宋体"/>
                <w:color w:val="000000"/>
                <w:sz w:val="22"/>
                <w:szCs w:val="22"/>
                <w:highlight w:val="none"/>
                <w:lang w:val="en-US" w:eastAsia="zh-CN"/>
              </w:rPr>
              <w:t>支持</w:t>
            </w:r>
            <w:r>
              <w:rPr>
                <w:rFonts w:hint="eastAsia" w:ascii="宋体" w:hAnsi="宋体" w:cs="宋体"/>
                <w:color w:val="000000"/>
                <w:sz w:val="22"/>
                <w:szCs w:val="22"/>
                <w:highlight w:val="none"/>
              </w:rPr>
              <w:t>报警功能（电池低压、市电异常、UPS故障、输出过载、输出短路），保护功能（电池欠压保护、过载保护、短路保护、过温保护）</w:t>
            </w:r>
            <w:r>
              <w:rPr>
                <w:rFonts w:hint="eastAsia" w:ascii="宋体" w:hAnsi="宋体" w:cs="宋体"/>
                <w:color w:val="000000"/>
                <w:sz w:val="22"/>
                <w:szCs w:val="22"/>
                <w:highlight w:val="none"/>
                <w:lang w:val="en-US" w:eastAsia="zh-CN"/>
              </w:rPr>
              <w:t>需求</w:t>
            </w:r>
            <w:r>
              <w:rPr>
                <w:rFonts w:hint="eastAsia" w:ascii="宋体" w:hAnsi="宋体" w:cs="宋体"/>
                <w:color w:val="000000"/>
                <w:sz w:val="22"/>
                <w:szCs w:val="22"/>
                <w:highlight w:val="none"/>
              </w:rPr>
              <w:t>。</w:t>
            </w:r>
          </w:p>
        </w:tc>
      </w:tr>
      <w:tr w14:paraId="6407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98" w:type="dxa"/>
            <w:vMerge w:val="continue"/>
            <w:noWrap w:val="0"/>
            <w:vAlign w:val="center"/>
          </w:tcPr>
          <w:p w14:paraId="03C8B62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2"/>
                <w:szCs w:val="22"/>
              </w:rPr>
            </w:pPr>
          </w:p>
        </w:tc>
        <w:tc>
          <w:tcPr>
            <w:tcW w:w="965" w:type="dxa"/>
            <w:vMerge w:val="continue"/>
            <w:noWrap w:val="0"/>
            <w:vAlign w:val="center"/>
          </w:tcPr>
          <w:p w14:paraId="5FC5394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2"/>
                <w:szCs w:val="22"/>
              </w:rPr>
            </w:pPr>
          </w:p>
        </w:tc>
        <w:tc>
          <w:tcPr>
            <w:tcW w:w="2017" w:type="dxa"/>
            <w:noWrap w:val="0"/>
            <w:vAlign w:val="center"/>
          </w:tcPr>
          <w:p w14:paraId="6A8BAC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村级UPS供电系统服务</w:t>
            </w:r>
          </w:p>
        </w:tc>
        <w:tc>
          <w:tcPr>
            <w:tcW w:w="785" w:type="dxa"/>
            <w:noWrap w:val="0"/>
            <w:vAlign w:val="center"/>
          </w:tcPr>
          <w:p w14:paraId="68312D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0181405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提供覆盖全黄岩区内所有行政村</w:t>
            </w:r>
            <w:r>
              <w:rPr>
                <w:rFonts w:hint="eastAsia" w:ascii="宋体" w:hAnsi="宋体" w:cs="宋体"/>
                <w:color w:val="000000"/>
                <w:sz w:val="22"/>
                <w:szCs w:val="22"/>
                <w:highlight w:val="none"/>
                <w:lang w:eastAsia="zh-CN"/>
              </w:rPr>
              <w:t>、社区及居委会</w:t>
            </w:r>
            <w:r>
              <w:rPr>
                <w:rFonts w:hint="eastAsia" w:ascii="宋体" w:hAnsi="宋体" w:cs="宋体"/>
                <w:color w:val="000000"/>
                <w:sz w:val="22"/>
                <w:szCs w:val="22"/>
                <w:highlight w:val="none"/>
              </w:rPr>
              <w:t>的</w:t>
            </w:r>
            <w:r>
              <w:rPr>
                <w:rFonts w:hint="eastAsia" w:ascii="宋体" w:hAnsi="宋体" w:cs="宋体"/>
                <w:color w:val="000000"/>
                <w:sz w:val="22"/>
                <w:szCs w:val="22"/>
                <w:highlight w:val="none"/>
                <w:lang w:val="en-US" w:eastAsia="zh-CN"/>
              </w:rPr>
              <w:t>村级</w:t>
            </w:r>
            <w:r>
              <w:rPr>
                <w:rFonts w:hint="eastAsia" w:ascii="宋体" w:hAnsi="宋体" w:cs="宋体"/>
                <w:color w:val="000000"/>
                <w:sz w:val="22"/>
                <w:szCs w:val="22"/>
                <w:highlight w:val="none"/>
              </w:rPr>
              <w:t>UPS供电系统服务，</w:t>
            </w:r>
            <w:r>
              <w:rPr>
                <w:rFonts w:hint="eastAsia" w:ascii="宋体" w:hAnsi="宋体" w:cs="宋体"/>
                <w:color w:val="000000"/>
                <w:sz w:val="22"/>
                <w:szCs w:val="22"/>
                <w:highlight w:val="none"/>
                <w:lang w:val="en-US" w:eastAsia="zh-CN"/>
              </w:rPr>
              <w:t>支持</w:t>
            </w:r>
            <w:r>
              <w:rPr>
                <w:rFonts w:hint="eastAsia" w:ascii="宋体" w:hAnsi="宋体" w:cs="宋体"/>
                <w:color w:val="000000"/>
                <w:sz w:val="22"/>
                <w:szCs w:val="22"/>
                <w:highlight w:val="none"/>
              </w:rPr>
              <w:t>报警功能（电池低压、市电异常、UPS故障、输出过载、输出短路），保护功能（电池欠压保护、过载保护、短路保护、过温保护）需求。</w:t>
            </w:r>
          </w:p>
        </w:tc>
      </w:tr>
      <w:tr w14:paraId="7B48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14:paraId="7C4026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965" w:type="dxa"/>
            <w:noWrap w:val="0"/>
            <w:vAlign w:val="center"/>
          </w:tcPr>
          <w:p w14:paraId="6F1AC1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中心点</w:t>
            </w:r>
            <w:r>
              <w:rPr>
                <w:rFonts w:hint="eastAsia" w:ascii="宋体" w:hAnsi="宋体" w:cs="宋体"/>
                <w:color w:val="000000"/>
                <w:sz w:val="22"/>
                <w:szCs w:val="22"/>
                <w:lang w:val="en-US" w:eastAsia="zh-CN"/>
              </w:rPr>
              <w:t>指挥系统</w:t>
            </w:r>
            <w:r>
              <w:rPr>
                <w:rFonts w:hint="eastAsia" w:ascii="宋体" w:hAnsi="宋体" w:cs="宋体"/>
                <w:color w:val="000000"/>
                <w:sz w:val="22"/>
                <w:szCs w:val="22"/>
              </w:rPr>
              <w:t>服务</w:t>
            </w:r>
          </w:p>
        </w:tc>
        <w:tc>
          <w:tcPr>
            <w:tcW w:w="2017" w:type="dxa"/>
            <w:noWrap w:val="0"/>
            <w:vAlign w:val="center"/>
          </w:tcPr>
          <w:p w14:paraId="6C1EA0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中心点</w:t>
            </w:r>
            <w:r>
              <w:rPr>
                <w:rFonts w:hint="eastAsia" w:ascii="宋体" w:hAnsi="宋体" w:cs="宋体"/>
                <w:color w:val="000000"/>
                <w:sz w:val="22"/>
                <w:szCs w:val="22"/>
                <w:lang w:val="en-US" w:eastAsia="zh-CN"/>
              </w:rPr>
              <w:t>指挥系统</w:t>
            </w:r>
            <w:r>
              <w:rPr>
                <w:rFonts w:hint="eastAsia" w:ascii="宋体" w:hAnsi="宋体" w:cs="宋体"/>
                <w:color w:val="000000"/>
                <w:sz w:val="22"/>
                <w:szCs w:val="22"/>
              </w:rPr>
              <w:t>服务</w:t>
            </w:r>
          </w:p>
        </w:tc>
        <w:tc>
          <w:tcPr>
            <w:tcW w:w="785" w:type="dxa"/>
            <w:noWrap w:val="0"/>
            <w:vAlign w:val="center"/>
          </w:tcPr>
          <w:p w14:paraId="612957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33C1EBE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提供对中心点位（黄岩区应急管理局三楼会议室）音视频系统的升级改造提升服务和中心点指挥系统安全防护服务，满足对防汛乡镇村会商系统的指挥调度需求。</w:t>
            </w:r>
          </w:p>
        </w:tc>
      </w:tr>
      <w:tr w14:paraId="1177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5844E1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965" w:type="dxa"/>
            <w:vMerge w:val="restart"/>
            <w:noWrap w:val="0"/>
            <w:vAlign w:val="center"/>
          </w:tcPr>
          <w:p w14:paraId="04CC97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应急指挥系统巡检服务</w:t>
            </w:r>
          </w:p>
        </w:tc>
        <w:tc>
          <w:tcPr>
            <w:tcW w:w="2017" w:type="dxa"/>
            <w:noWrap w:val="0"/>
            <w:vAlign w:val="center"/>
          </w:tcPr>
          <w:p w14:paraId="0A45A1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乡镇级应急指挥系统巡检服务</w:t>
            </w:r>
          </w:p>
        </w:tc>
        <w:tc>
          <w:tcPr>
            <w:tcW w:w="785" w:type="dxa"/>
            <w:noWrap w:val="0"/>
            <w:vAlign w:val="center"/>
          </w:tcPr>
          <w:p w14:paraId="4C5BD3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130D1FA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提供每年乡镇级应急指挥系统巡检服务，满足每年到各街道共22个点位（含长潭水库、永宁江、人武部）现场提供不少于3次巡检服务并提供专业技术咨询；对应急指挥系统供电、网络、音视频、设备各系统和线缆接头等进行巡检调试及零星故障排除。</w:t>
            </w:r>
          </w:p>
        </w:tc>
      </w:tr>
      <w:tr w14:paraId="42F6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38DC3F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 w:val="22"/>
                <w:szCs w:val="22"/>
                <w:lang w:bidi="ar"/>
              </w:rPr>
            </w:pPr>
          </w:p>
        </w:tc>
        <w:tc>
          <w:tcPr>
            <w:tcW w:w="965" w:type="dxa"/>
            <w:vMerge w:val="continue"/>
            <w:noWrap w:val="0"/>
            <w:vAlign w:val="center"/>
          </w:tcPr>
          <w:p w14:paraId="0A77A217">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kern w:val="0"/>
                <w:sz w:val="22"/>
                <w:szCs w:val="22"/>
                <w:lang w:bidi="ar"/>
              </w:rPr>
            </w:pPr>
          </w:p>
        </w:tc>
        <w:tc>
          <w:tcPr>
            <w:tcW w:w="2017" w:type="dxa"/>
            <w:noWrap w:val="0"/>
            <w:vAlign w:val="center"/>
          </w:tcPr>
          <w:p w14:paraId="451C46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村级应急指挥系统巡检服务</w:t>
            </w:r>
          </w:p>
        </w:tc>
        <w:tc>
          <w:tcPr>
            <w:tcW w:w="785" w:type="dxa"/>
            <w:noWrap w:val="0"/>
            <w:vAlign w:val="center"/>
          </w:tcPr>
          <w:p w14:paraId="7BEB80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7D9A99E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提供每年至全黄岩区内所有行政村</w:t>
            </w:r>
            <w:r>
              <w:rPr>
                <w:rFonts w:hint="eastAsia" w:ascii="宋体" w:hAnsi="宋体" w:cs="宋体"/>
                <w:color w:val="000000"/>
                <w:sz w:val="22"/>
                <w:szCs w:val="22"/>
                <w:highlight w:val="none"/>
                <w:lang w:eastAsia="zh-CN"/>
              </w:rPr>
              <w:t>、社区及居委会</w:t>
            </w:r>
            <w:r>
              <w:rPr>
                <w:rFonts w:hint="eastAsia" w:ascii="宋体" w:hAnsi="宋体" w:cs="宋体"/>
                <w:color w:val="000000"/>
                <w:sz w:val="22"/>
                <w:szCs w:val="22"/>
                <w:highlight w:val="none"/>
              </w:rPr>
              <w:t>的村级应急指挥系统巡检服务，满足每年到各个行政村共344个点位现场提供1次巡检服务并提供专业技术咨询。</w:t>
            </w:r>
          </w:p>
        </w:tc>
      </w:tr>
      <w:tr w14:paraId="1B2B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noWrap w:val="0"/>
            <w:vAlign w:val="center"/>
          </w:tcPr>
          <w:p w14:paraId="615ABC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5</w:t>
            </w:r>
          </w:p>
        </w:tc>
        <w:tc>
          <w:tcPr>
            <w:tcW w:w="965" w:type="dxa"/>
            <w:noWrap w:val="0"/>
            <w:vAlign w:val="center"/>
          </w:tcPr>
          <w:p w14:paraId="14C0D1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村级点位线路接入服务</w:t>
            </w:r>
          </w:p>
        </w:tc>
        <w:tc>
          <w:tcPr>
            <w:tcW w:w="2017" w:type="dxa"/>
            <w:noWrap w:val="0"/>
            <w:vAlign w:val="center"/>
          </w:tcPr>
          <w:p w14:paraId="5B72E2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专线接入链路服务</w:t>
            </w:r>
          </w:p>
        </w:tc>
        <w:tc>
          <w:tcPr>
            <w:tcW w:w="785" w:type="dxa"/>
            <w:noWrap w:val="0"/>
            <w:vAlign w:val="center"/>
          </w:tcPr>
          <w:p w14:paraId="4F7B06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1项</w:t>
            </w:r>
          </w:p>
        </w:tc>
        <w:tc>
          <w:tcPr>
            <w:tcW w:w="5364" w:type="dxa"/>
            <w:noWrap w:val="0"/>
            <w:vAlign w:val="center"/>
          </w:tcPr>
          <w:p w14:paraId="607229B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提供覆盖全黄岩区内所有行政村</w:t>
            </w:r>
            <w:r>
              <w:rPr>
                <w:rFonts w:hint="eastAsia" w:ascii="宋体" w:hAnsi="宋体" w:cs="宋体"/>
                <w:color w:val="000000"/>
                <w:sz w:val="22"/>
                <w:szCs w:val="22"/>
                <w:highlight w:val="none"/>
                <w:lang w:eastAsia="zh-CN"/>
              </w:rPr>
              <w:t>、社区及居委会</w:t>
            </w:r>
            <w:r>
              <w:rPr>
                <w:rFonts w:hint="eastAsia" w:ascii="宋体" w:hAnsi="宋体" w:cs="宋体"/>
                <w:color w:val="000000"/>
                <w:sz w:val="22"/>
                <w:szCs w:val="22"/>
                <w:highlight w:val="none"/>
                <w:lang w:val="en-US" w:eastAsia="zh-CN"/>
              </w:rPr>
              <w:t>的</w:t>
            </w:r>
            <w:r>
              <w:rPr>
                <w:rFonts w:hint="eastAsia" w:ascii="宋体" w:hAnsi="宋体" w:cs="宋体"/>
                <w:color w:val="000000"/>
                <w:sz w:val="22"/>
                <w:szCs w:val="22"/>
                <w:highlight w:val="none"/>
              </w:rPr>
              <w:t>专线链路接入服务,链路带宽不低于100M，上下行均不低于100Mbps，含固定IP。</w:t>
            </w:r>
          </w:p>
        </w:tc>
      </w:tr>
    </w:tbl>
    <w:p w14:paraId="2E870EF1">
      <w:pPr>
        <w:widowControl/>
        <w:spacing w:line="400" w:lineRule="exact"/>
        <w:jc w:val="left"/>
        <w:textAlignment w:val="center"/>
        <w:rPr>
          <w:rFonts w:hint="eastAsia" w:ascii="宋体" w:hAnsi="宋体" w:eastAsia="宋体" w:cs="宋体"/>
          <w:b/>
          <w:sz w:val="24"/>
        </w:rPr>
      </w:pPr>
      <w:r>
        <w:rPr>
          <w:rFonts w:hint="eastAsia" w:ascii="宋体" w:hAnsi="宋体" w:eastAsia="宋体" w:cs="宋体"/>
          <w:b/>
          <w:sz w:val="24"/>
        </w:rPr>
        <w:t>四、具体服务需求</w:t>
      </w:r>
    </w:p>
    <w:p w14:paraId="23EC4731">
      <w:pPr>
        <w:pStyle w:val="105"/>
        <w:ind w:left="0" w:leftChars="0" w:firstLine="480"/>
        <w:rPr>
          <w:rFonts w:hint="eastAsia" w:ascii="宋体" w:hAnsi="宋体" w:eastAsia="宋体" w:cs="宋体"/>
          <w:b/>
          <w:bCs/>
          <w:sz w:val="24"/>
        </w:rPr>
      </w:pPr>
      <w:r>
        <w:rPr>
          <w:rFonts w:hint="eastAsia" w:ascii="宋体" w:hAnsi="宋体" w:eastAsia="宋体" w:cs="宋体"/>
          <w:b/>
          <w:bCs/>
          <w:sz w:val="24"/>
        </w:rPr>
        <w:t>1.防汛乡镇村会商系统集成服务</w:t>
      </w:r>
    </w:p>
    <w:p w14:paraId="72EC73C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防汛乡镇村会商系统主要功能为实现黄岩区应急管理局对各个乡镇街道及各行政村</w:t>
      </w:r>
      <w:r>
        <w:rPr>
          <w:rFonts w:hint="eastAsia" w:ascii="宋体" w:hAnsi="宋体" w:eastAsia="宋体" w:cs="宋体"/>
          <w:color w:val="000000"/>
          <w:kern w:val="0"/>
          <w:sz w:val="22"/>
          <w:szCs w:val="22"/>
        </w:rPr>
        <w:t>、社区及居委会进行</w:t>
      </w:r>
      <w:r>
        <w:rPr>
          <w:rFonts w:hint="eastAsia" w:ascii="宋体" w:hAnsi="宋体" w:eastAsia="宋体" w:cs="宋体"/>
          <w:sz w:val="22"/>
          <w:szCs w:val="22"/>
        </w:rPr>
        <w:t>防汛会商</w:t>
      </w:r>
      <w:r>
        <w:rPr>
          <w:rFonts w:hint="eastAsia" w:ascii="宋体" w:hAnsi="宋体" w:eastAsia="宋体" w:cs="宋体"/>
          <w:color w:val="000000"/>
          <w:kern w:val="0"/>
          <w:sz w:val="22"/>
          <w:szCs w:val="22"/>
        </w:rPr>
        <w:t>，实现黄岩全区域</w:t>
      </w:r>
      <w:r>
        <w:rPr>
          <w:rFonts w:hint="eastAsia" w:ascii="宋体" w:hAnsi="宋体" w:eastAsia="宋体" w:cs="宋体"/>
          <w:sz w:val="22"/>
          <w:szCs w:val="22"/>
        </w:rPr>
        <w:t>防汛乡镇村会商系统全覆盖。</w:t>
      </w:r>
    </w:p>
    <w:p w14:paraId="447011D4">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（一）</w:t>
      </w:r>
      <w:r>
        <w:rPr>
          <w:rFonts w:hint="eastAsia" w:ascii="宋体" w:hAnsi="宋体" w:eastAsia="宋体" w:cs="宋体"/>
          <w:sz w:val="22"/>
          <w:szCs w:val="22"/>
        </w:rPr>
        <w:t>防汛乡镇会商系统集成服务</w:t>
      </w:r>
    </w:p>
    <w:p w14:paraId="748179BB">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sz w:val="22"/>
          <w:szCs w:val="22"/>
        </w:rPr>
      </w:pPr>
      <w:r>
        <w:rPr>
          <w:rFonts w:hint="eastAsia" w:ascii="宋体" w:hAnsi="宋体" w:eastAsia="宋体" w:cs="宋体"/>
          <w:sz w:val="22"/>
          <w:szCs w:val="22"/>
        </w:rPr>
        <w:t>提供覆盖全黄岩区内所有乡镇街道的防汛乡镇会商系统服务，满足与原有的乡镇防汛会商系统无缝对接，满足全网远程视频系统音视频图像及双流数据互联、互通、互控需求。</w:t>
      </w:r>
    </w:p>
    <w:tbl>
      <w:tblPr>
        <w:tblStyle w:val="33"/>
        <w:tblW w:w="5188" w:type="pct"/>
        <w:jc w:val="center"/>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822"/>
        <w:gridCol w:w="7241"/>
      </w:tblGrid>
      <w:tr w14:paraId="2247B04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tblHeader/>
          <w:jc w:val="center"/>
        </w:trPr>
        <w:tc>
          <w:tcPr>
            <w:tcW w:w="1822" w:type="dxa"/>
            <w:noWrap w:val="0"/>
            <w:vAlign w:val="center"/>
          </w:tcPr>
          <w:p w14:paraId="3DC03DE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b/>
                <w:bCs/>
                <w:color w:val="000000"/>
                <w:kern w:val="0"/>
                <w:sz w:val="22"/>
                <w:szCs w:val="22"/>
              </w:rPr>
            </w:pPr>
            <w:r>
              <w:rPr>
                <w:rFonts w:hint="eastAsia" w:ascii="宋体" w:hAnsi="宋体" w:cs="宋体"/>
                <w:b/>
                <w:bCs/>
                <w:color w:val="000000"/>
                <w:kern w:val="0"/>
                <w:sz w:val="22"/>
                <w:szCs w:val="22"/>
              </w:rPr>
              <w:t>指标分类</w:t>
            </w:r>
          </w:p>
        </w:tc>
        <w:tc>
          <w:tcPr>
            <w:tcW w:w="7243" w:type="dxa"/>
            <w:noWrap w:val="0"/>
            <w:vAlign w:val="center"/>
          </w:tcPr>
          <w:p w14:paraId="1613145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b/>
                <w:bCs/>
                <w:color w:val="000000"/>
                <w:kern w:val="0"/>
                <w:sz w:val="22"/>
                <w:szCs w:val="22"/>
              </w:rPr>
            </w:pPr>
            <w:r>
              <w:rPr>
                <w:rFonts w:hint="eastAsia" w:ascii="宋体" w:hAnsi="宋体" w:cs="宋体"/>
                <w:b/>
                <w:bCs/>
                <w:color w:val="000000"/>
                <w:kern w:val="0"/>
                <w:sz w:val="22"/>
                <w:szCs w:val="22"/>
              </w:rPr>
              <w:t>详细技术参数</w:t>
            </w:r>
          </w:p>
        </w:tc>
      </w:tr>
      <w:tr w14:paraId="2577575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05" w:hRule="atLeast"/>
          <w:jc w:val="center"/>
        </w:trPr>
        <w:tc>
          <w:tcPr>
            <w:tcW w:w="1822" w:type="dxa"/>
            <w:noWrap w:val="0"/>
            <w:vAlign w:val="center"/>
          </w:tcPr>
          <w:p w14:paraId="0BCD29C9">
            <w:pPr>
              <w:pStyle w:val="9"/>
              <w:keepNext w:val="0"/>
              <w:keepLines w:val="0"/>
              <w:pageBreakBefore w:val="0"/>
              <w:widowControl w:val="0"/>
              <w:kinsoku/>
              <w:wordWrap/>
              <w:overflowPunct/>
              <w:topLinePunct w:val="0"/>
              <w:autoSpaceDE/>
              <w:autoSpaceDN/>
              <w:bidi w:val="0"/>
              <w:adjustRightInd/>
              <w:snapToGrid/>
              <w:spacing w:line="312" w:lineRule="auto"/>
              <w:ind w:firstLine="0"/>
              <w:jc w:val="both"/>
              <w:textAlignment w:val="auto"/>
              <w:rPr>
                <w:rFonts w:ascii="宋体" w:hAnsi="宋体" w:cs="宋体"/>
                <w:color w:val="000000"/>
                <w:kern w:val="0"/>
                <w:sz w:val="22"/>
                <w:szCs w:val="22"/>
              </w:rPr>
            </w:pPr>
            <w:r>
              <w:rPr>
                <w:rFonts w:hint="eastAsia" w:ascii="宋体" w:hAnsi="宋体" w:cs="宋体"/>
                <w:color w:val="000000"/>
                <w:kern w:val="0"/>
                <w:sz w:val="22"/>
                <w:szCs w:val="22"/>
              </w:rPr>
              <w:t>能力要求</w:t>
            </w:r>
          </w:p>
        </w:tc>
        <w:tc>
          <w:tcPr>
            <w:tcW w:w="7243" w:type="dxa"/>
            <w:noWrap w:val="0"/>
            <w:vAlign w:val="center"/>
          </w:tcPr>
          <w:p w14:paraId="3952B551">
            <w:pPr>
              <w:pStyle w:val="9"/>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left"/>
              <w:textAlignment w:val="auto"/>
              <w:rPr>
                <w:rFonts w:ascii="宋体" w:hAnsi="宋体" w:cs="宋体"/>
                <w:color w:val="000000"/>
                <w:kern w:val="0"/>
                <w:sz w:val="22"/>
                <w:szCs w:val="22"/>
              </w:rPr>
            </w:pPr>
            <w:r>
              <w:rPr>
                <w:rFonts w:hint="eastAsia" w:ascii="宋体" w:hAnsi="宋体" w:cs="宋体"/>
                <w:color w:val="000000"/>
                <w:kern w:val="0"/>
                <w:sz w:val="22"/>
                <w:szCs w:val="22"/>
              </w:rPr>
              <w:t>★与原有的乡镇防汛会商系统无缝对接，以实现全网远程视频系统音视频图像及双流数据互联、互通、互控。（为确保无缝对接效果，如所投设备与原有核心平台设备非同品牌，需在最终用户方进行现场对接测试并由最终用户出具无缝对接证明并加盖公章）</w:t>
            </w:r>
          </w:p>
        </w:tc>
      </w:tr>
      <w:tr w14:paraId="3068650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2" w:type="dxa"/>
            <w:noWrap w:val="0"/>
            <w:vAlign w:val="center"/>
          </w:tcPr>
          <w:p w14:paraId="35F8E77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性能要求</w:t>
            </w:r>
          </w:p>
        </w:tc>
        <w:tc>
          <w:tcPr>
            <w:tcW w:w="7243" w:type="dxa"/>
            <w:noWrap w:val="0"/>
            <w:vAlign w:val="center"/>
          </w:tcPr>
          <w:p w14:paraId="641B1137">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000000"/>
                <w:kern w:val="0"/>
                <w:sz w:val="22"/>
                <w:szCs w:val="22"/>
              </w:rPr>
            </w:pPr>
            <w:r>
              <w:rPr>
                <w:rFonts w:hint="eastAsia" w:ascii="宋体" w:hAnsi="宋体" w:cs="宋体"/>
                <w:color w:val="000000"/>
                <w:kern w:val="0"/>
                <w:sz w:val="22"/>
                <w:szCs w:val="22"/>
                <w:highlight w:val="none"/>
              </w:rPr>
              <w:t>★会议保持能力</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为保障汛期期间防汛乡镇会商系统会议正常运行，支持断网修复后会议回复时间≤12s</w:t>
            </w:r>
            <w:r>
              <w:rPr>
                <w:rFonts w:hint="eastAsia" w:ascii="宋体" w:hAnsi="宋体" w:cs="宋体"/>
                <w:color w:val="000000"/>
                <w:kern w:val="0"/>
                <w:sz w:val="22"/>
                <w:szCs w:val="22"/>
                <w:highlight w:val="none"/>
              </w:rPr>
              <w:t>。</w:t>
            </w:r>
            <w:r>
              <w:rPr>
                <w:rFonts w:hint="eastAsia" w:ascii="宋体" w:hAnsi="宋体" w:cs="宋体"/>
                <w:color w:val="000000"/>
                <w:kern w:val="0"/>
                <w:sz w:val="22"/>
                <w:szCs w:val="22"/>
              </w:rPr>
              <w:t>（提供第三方检测报告）</w:t>
            </w:r>
          </w:p>
        </w:tc>
      </w:tr>
      <w:tr w14:paraId="0F8CE72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70" w:hRule="atLeast"/>
          <w:jc w:val="center"/>
        </w:trPr>
        <w:tc>
          <w:tcPr>
            <w:tcW w:w="1822" w:type="dxa"/>
            <w:vMerge w:val="restart"/>
            <w:noWrap w:val="0"/>
            <w:vAlign w:val="center"/>
          </w:tcPr>
          <w:p w14:paraId="30B91B5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功能要求</w:t>
            </w:r>
          </w:p>
        </w:tc>
        <w:tc>
          <w:tcPr>
            <w:tcW w:w="7243" w:type="dxa"/>
            <w:noWrap w:val="0"/>
            <w:vAlign w:val="center"/>
          </w:tcPr>
          <w:p w14:paraId="2F71A6E3">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视频抗IP网络丢包能力：支持网络丢包</w:t>
            </w:r>
            <w:r>
              <w:rPr>
                <w:rFonts w:hint="eastAsia" w:ascii="宋体" w:hAnsi="宋体" w:cs="宋体"/>
                <w:color w:val="000000"/>
                <w:kern w:val="0"/>
                <w:sz w:val="22"/>
                <w:szCs w:val="22"/>
                <w:lang w:val="zh-CN"/>
              </w:rPr>
              <w:t>≥</w:t>
            </w:r>
            <w:r>
              <w:rPr>
                <w:rFonts w:hint="eastAsia" w:ascii="宋体" w:hAnsi="宋体" w:cs="宋体"/>
                <w:color w:val="000000"/>
                <w:kern w:val="0"/>
                <w:sz w:val="22"/>
                <w:szCs w:val="22"/>
                <w:lang w:val="en-US" w:eastAsia="zh-CN"/>
              </w:rPr>
              <w:t>20%时，视频通信质量保证图像清晰、无马赛克。</w:t>
            </w:r>
          </w:p>
        </w:tc>
      </w:tr>
      <w:tr w14:paraId="1B564B3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80" w:hRule="atLeast"/>
          <w:jc w:val="center"/>
        </w:trPr>
        <w:tc>
          <w:tcPr>
            <w:tcW w:w="1822" w:type="dxa"/>
            <w:vMerge w:val="continue"/>
            <w:noWrap w:val="0"/>
            <w:vAlign w:val="center"/>
          </w:tcPr>
          <w:p w14:paraId="18CD88C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color w:val="000000"/>
                <w:kern w:val="0"/>
                <w:sz w:val="22"/>
                <w:szCs w:val="22"/>
              </w:rPr>
            </w:pPr>
          </w:p>
        </w:tc>
        <w:tc>
          <w:tcPr>
            <w:tcW w:w="7243" w:type="dxa"/>
            <w:noWrap w:val="0"/>
            <w:vAlign w:val="center"/>
          </w:tcPr>
          <w:p w14:paraId="49FF729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rPr>
              <w:t>音频抗IP网络丢包能力：支持网络丢包</w:t>
            </w:r>
            <w:r>
              <w:rPr>
                <w:rFonts w:hint="eastAsia" w:ascii="宋体" w:hAnsi="宋体" w:cs="宋体"/>
                <w:color w:val="000000"/>
                <w:kern w:val="0"/>
                <w:sz w:val="22"/>
                <w:szCs w:val="22"/>
                <w:lang w:val="zh-CN"/>
              </w:rPr>
              <w:t>≥</w:t>
            </w:r>
            <w:r>
              <w:rPr>
                <w:rFonts w:hint="eastAsia" w:ascii="宋体" w:hAnsi="宋体" w:cs="宋体"/>
                <w:color w:val="000000"/>
                <w:kern w:val="0"/>
                <w:sz w:val="22"/>
                <w:szCs w:val="22"/>
                <w:lang w:val="en-US" w:eastAsia="zh-CN"/>
              </w:rPr>
              <w:t>70%时，音频通信质量保证声音连续清晰。</w:t>
            </w:r>
          </w:p>
        </w:tc>
      </w:tr>
      <w:tr w14:paraId="07675BBE">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2" w:type="dxa"/>
            <w:vMerge w:val="continue"/>
            <w:noWrap w:val="0"/>
            <w:vAlign w:val="center"/>
          </w:tcPr>
          <w:p w14:paraId="12CD583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color w:val="000000"/>
                <w:kern w:val="0"/>
                <w:sz w:val="22"/>
                <w:szCs w:val="22"/>
              </w:rPr>
            </w:pPr>
          </w:p>
        </w:tc>
        <w:tc>
          <w:tcPr>
            <w:tcW w:w="7243" w:type="dxa"/>
            <w:noWrap w:val="0"/>
            <w:vAlign w:val="center"/>
          </w:tcPr>
          <w:p w14:paraId="56F4226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视频编码能力支持在1.7Mbps带宽下实现1080P60帧/秒图像效果，1Mbps带宽下实现1080P30帧/秒图像效果，512Kbps带宽下实现720P 30帧/秒图像效果。</w:t>
            </w:r>
          </w:p>
        </w:tc>
      </w:tr>
      <w:tr w14:paraId="597AEA0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30" w:hRule="atLeast"/>
          <w:jc w:val="center"/>
        </w:trPr>
        <w:tc>
          <w:tcPr>
            <w:tcW w:w="1822" w:type="dxa"/>
            <w:vMerge w:val="continue"/>
            <w:noWrap w:val="0"/>
            <w:vAlign w:val="center"/>
          </w:tcPr>
          <w:p w14:paraId="2A5E762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color w:val="000000"/>
                <w:kern w:val="0"/>
                <w:sz w:val="22"/>
                <w:szCs w:val="22"/>
              </w:rPr>
            </w:pPr>
          </w:p>
        </w:tc>
        <w:tc>
          <w:tcPr>
            <w:tcW w:w="7243" w:type="dxa"/>
            <w:noWrap w:val="0"/>
            <w:vAlign w:val="center"/>
          </w:tcPr>
          <w:p w14:paraId="5D192018">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支持1080P 60Fps视频。</w:t>
            </w:r>
          </w:p>
        </w:tc>
      </w:tr>
    </w:tbl>
    <w:p w14:paraId="5C9A6E2C">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（二）</w:t>
      </w:r>
      <w:r>
        <w:rPr>
          <w:rFonts w:hint="eastAsia" w:ascii="宋体" w:hAnsi="宋体" w:eastAsia="宋体" w:cs="宋体"/>
          <w:sz w:val="22"/>
          <w:szCs w:val="22"/>
        </w:rPr>
        <w:t>防汛村会商系统集成服务</w:t>
      </w:r>
    </w:p>
    <w:p w14:paraId="6DB7C6C6">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提供</w:t>
      </w:r>
      <w:r>
        <w:rPr>
          <w:rFonts w:hint="eastAsia" w:ascii="宋体" w:hAnsi="宋体" w:eastAsia="宋体" w:cs="宋体"/>
          <w:sz w:val="22"/>
          <w:szCs w:val="22"/>
          <w:lang w:val="en-US" w:eastAsia="zh-CN"/>
        </w:rPr>
        <w:t>覆盖</w:t>
      </w:r>
      <w:r>
        <w:rPr>
          <w:rFonts w:hint="eastAsia" w:ascii="宋体" w:hAnsi="宋体" w:eastAsia="宋体" w:cs="宋体"/>
          <w:sz w:val="22"/>
          <w:szCs w:val="22"/>
        </w:rPr>
        <w:t>全黄岩区内所有行政村</w:t>
      </w:r>
      <w:r>
        <w:rPr>
          <w:rFonts w:hint="eastAsia" w:ascii="宋体" w:hAnsi="宋体" w:eastAsia="宋体" w:cs="宋体"/>
          <w:sz w:val="22"/>
          <w:szCs w:val="22"/>
          <w:lang w:eastAsia="zh-CN"/>
        </w:rPr>
        <w:t>、社区及居委会</w:t>
      </w:r>
      <w:r>
        <w:rPr>
          <w:rFonts w:hint="eastAsia" w:ascii="宋体" w:hAnsi="宋体" w:eastAsia="宋体" w:cs="宋体"/>
          <w:sz w:val="22"/>
          <w:szCs w:val="22"/>
          <w:lang w:val="en-US" w:eastAsia="zh-CN"/>
        </w:rPr>
        <w:t>的</w:t>
      </w:r>
      <w:r>
        <w:rPr>
          <w:rFonts w:hint="eastAsia" w:ascii="宋体" w:hAnsi="宋体" w:eastAsia="宋体" w:cs="宋体"/>
          <w:sz w:val="22"/>
          <w:szCs w:val="22"/>
        </w:rPr>
        <w:t>防汛村会商系统服务</w:t>
      </w:r>
      <w:r>
        <w:rPr>
          <w:rFonts w:hint="eastAsia" w:ascii="宋体" w:hAnsi="宋体" w:eastAsia="宋体" w:cs="宋体"/>
          <w:sz w:val="22"/>
          <w:szCs w:val="22"/>
          <w:lang w:eastAsia="zh-CN"/>
        </w:rPr>
        <w:t>，</w:t>
      </w:r>
      <w:r>
        <w:rPr>
          <w:rFonts w:hint="eastAsia" w:ascii="宋体" w:hAnsi="宋体" w:eastAsia="宋体" w:cs="宋体"/>
          <w:sz w:val="22"/>
          <w:szCs w:val="22"/>
        </w:rPr>
        <w:t>支持视联网技术（国内自主创新具有完全自主知识产权的交换式视频通信技术），满足无缝接入浙江省电子政务视联网并正常运行，可与原台州市电子政务视联网终端无缝通信。</w:t>
      </w:r>
    </w:p>
    <w:tbl>
      <w:tblPr>
        <w:tblStyle w:val="33"/>
        <w:tblW w:w="5179" w:type="pct"/>
        <w:jc w:val="center"/>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825"/>
        <w:gridCol w:w="7223"/>
      </w:tblGrid>
      <w:tr w14:paraId="2BAF765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tblHeader/>
          <w:jc w:val="center"/>
        </w:trPr>
        <w:tc>
          <w:tcPr>
            <w:tcW w:w="1825" w:type="dxa"/>
            <w:noWrap w:val="0"/>
            <w:vAlign w:val="center"/>
          </w:tcPr>
          <w:p w14:paraId="4691894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2"/>
                <w:szCs w:val="22"/>
              </w:rPr>
            </w:pPr>
            <w:r>
              <w:rPr>
                <w:rFonts w:hint="eastAsia" w:ascii="宋体" w:hAnsi="宋体" w:cs="宋体"/>
                <w:b/>
                <w:bCs/>
                <w:color w:val="000000"/>
                <w:kern w:val="0"/>
                <w:sz w:val="22"/>
                <w:szCs w:val="22"/>
              </w:rPr>
              <w:t>指标分类</w:t>
            </w:r>
          </w:p>
        </w:tc>
        <w:tc>
          <w:tcPr>
            <w:tcW w:w="7223" w:type="dxa"/>
            <w:noWrap w:val="0"/>
            <w:vAlign w:val="center"/>
          </w:tcPr>
          <w:p w14:paraId="09F7CC4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bCs/>
                <w:color w:val="000000"/>
                <w:kern w:val="0"/>
                <w:sz w:val="22"/>
                <w:szCs w:val="22"/>
              </w:rPr>
            </w:pPr>
            <w:r>
              <w:rPr>
                <w:rFonts w:hint="eastAsia" w:ascii="宋体" w:hAnsi="宋体" w:cs="宋体"/>
                <w:b/>
                <w:bCs/>
                <w:color w:val="000000"/>
                <w:kern w:val="0"/>
                <w:sz w:val="22"/>
                <w:szCs w:val="22"/>
              </w:rPr>
              <w:t>详细技术参数</w:t>
            </w:r>
          </w:p>
        </w:tc>
      </w:tr>
      <w:tr w14:paraId="757E92D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restart"/>
            <w:noWrap w:val="0"/>
            <w:vAlign w:val="center"/>
          </w:tcPr>
          <w:p w14:paraId="3A7201B2">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硬件规格</w:t>
            </w:r>
          </w:p>
        </w:tc>
        <w:tc>
          <w:tcPr>
            <w:tcW w:w="7223" w:type="dxa"/>
            <w:noWrap w:val="0"/>
            <w:vAlign w:val="center"/>
          </w:tcPr>
          <w:p w14:paraId="2FEA48AA">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ascii="宋体" w:hAnsi="宋体" w:cs="宋体"/>
                <w:color w:val="000000"/>
                <w:kern w:val="0"/>
                <w:sz w:val="22"/>
                <w:szCs w:val="22"/>
              </w:rPr>
            </w:pPr>
            <w:r>
              <w:rPr>
                <w:rFonts w:hint="eastAsia" w:ascii="宋体" w:hAnsi="宋体" w:cs="宋体"/>
                <w:color w:val="000000"/>
                <w:kern w:val="0"/>
                <w:sz w:val="22"/>
                <w:szCs w:val="22"/>
              </w:rPr>
              <w:t>视频接口：支持视频输入</w:t>
            </w:r>
            <w:r>
              <w:rPr>
                <w:rFonts w:hint="eastAsia" w:ascii="宋体" w:hAnsi="宋体" w:cs="宋体"/>
                <w:color w:val="000000"/>
                <w:kern w:val="0"/>
                <w:sz w:val="22"/>
                <w:szCs w:val="22"/>
                <w:lang w:val="en-US" w:eastAsia="zh-CN"/>
              </w:rPr>
              <w:t>接口</w:t>
            </w:r>
            <w:r>
              <w:rPr>
                <w:rFonts w:hint="eastAsia" w:ascii="宋体" w:hAnsi="宋体" w:cs="宋体"/>
                <w:color w:val="000000"/>
                <w:kern w:val="0"/>
                <w:sz w:val="22"/>
                <w:szCs w:val="22"/>
                <w:lang w:val="zh-CN"/>
              </w:rPr>
              <w:t>≥</w:t>
            </w:r>
            <w:r>
              <w:rPr>
                <w:rFonts w:hint="eastAsia" w:ascii="宋体" w:hAnsi="宋体" w:cs="宋体"/>
                <w:color w:val="000000"/>
                <w:kern w:val="0"/>
                <w:sz w:val="22"/>
                <w:szCs w:val="22"/>
              </w:rPr>
              <w:t>2路，支持视频输出</w:t>
            </w:r>
            <w:r>
              <w:rPr>
                <w:rFonts w:hint="eastAsia" w:ascii="宋体" w:hAnsi="宋体" w:cs="宋体"/>
                <w:color w:val="000000"/>
                <w:kern w:val="0"/>
                <w:sz w:val="22"/>
                <w:szCs w:val="22"/>
                <w:lang w:val="en-US" w:eastAsia="zh-CN"/>
              </w:rPr>
              <w:t>接口</w:t>
            </w:r>
            <w:r>
              <w:rPr>
                <w:rFonts w:hint="eastAsia" w:ascii="宋体" w:hAnsi="宋体" w:cs="宋体"/>
                <w:color w:val="000000"/>
                <w:kern w:val="0"/>
                <w:sz w:val="22"/>
                <w:szCs w:val="22"/>
                <w:lang w:val="zh-CN"/>
              </w:rPr>
              <w:t>≥</w:t>
            </w:r>
            <w:r>
              <w:rPr>
                <w:rFonts w:hint="eastAsia" w:ascii="宋体" w:hAnsi="宋体" w:cs="宋体"/>
                <w:color w:val="000000"/>
                <w:kern w:val="0"/>
                <w:sz w:val="22"/>
                <w:szCs w:val="22"/>
              </w:rPr>
              <w:t>2路。</w:t>
            </w:r>
          </w:p>
        </w:tc>
      </w:tr>
      <w:tr w14:paraId="3C87635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continue"/>
            <w:noWrap w:val="0"/>
            <w:vAlign w:val="center"/>
          </w:tcPr>
          <w:p w14:paraId="0CE4518A">
            <w:pPr>
              <w:pStyle w:val="9"/>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ascii="宋体" w:hAnsi="宋体" w:cs="宋体"/>
                <w:color w:val="000000"/>
                <w:kern w:val="0"/>
                <w:sz w:val="22"/>
                <w:szCs w:val="22"/>
              </w:rPr>
            </w:pPr>
          </w:p>
        </w:tc>
        <w:tc>
          <w:tcPr>
            <w:tcW w:w="7223" w:type="dxa"/>
            <w:noWrap w:val="0"/>
            <w:vAlign w:val="center"/>
          </w:tcPr>
          <w:p w14:paraId="01A000E8">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cs="宋体"/>
                <w:color w:val="000000"/>
                <w:kern w:val="0"/>
                <w:sz w:val="22"/>
                <w:szCs w:val="22"/>
              </w:rPr>
            </w:pPr>
            <w:r>
              <w:rPr>
                <w:rFonts w:hint="eastAsia" w:ascii="宋体" w:hAnsi="宋体" w:cs="宋体"/>
                <w:color w:val="000000"/>
                <w:kern w:val="0"/>
                <w:sz w:val="22"/>
                <w:szCs w:val="22"/>
              </w:rPr>
              <w:t>音频接口：支持音频输入</w:t>
            </w:r>
            <w:r>
              <w:rPr>
                <w:rFonts w:hint="eastAsia" w:ascii="宋体" w:hAnsi="宋体" w:cs="宋体"/>
                <w:color w:val="000000"/>
                <w:kern w:val="0"/>
                <w:sz w:val="22"/>
                <w:szCs w:val="22"/>
                <w:lang w:val="en-US" w:eastAsia="zh-CN"/>
              </w:rPr>
              <w:t>接口</w:t>
            </w:r>
            <w:r>
              <w:rPr>
                <w:rFonts w:hint="eastAsia" w:ascii="宋体" w:hAnsi="宋体" w:cs="宋体"/>
                <w:color w:val="000000"/>
                <w:kern w:val="0"/>
                <w:sz w:val="22"/>
                <w:szCs w:val="22"/>
                <w:lang w:val="zh-CN"/>
              </w:rPr>
              <w:t>≥</w:t>
            </w:r>
            <w:r>
              <w:rPr>
                <w:rFonts w:hint="eastAsia" w:ascii="宋体" w:hAnsi="宋体" w:cs="宋体"/>
                <w:color w:val="000000"/>
                <w:kern w:val="0"/>
                <w:sz w:val="22"/>
                <w:szCs w:val="22"/>
              </w:rPr>
              <w:t>2路，</w:t>
            </w:r>
            <w:r>
              <w:rPr>
                <w:rFonts w:hint="eastAsia" w:ascii="宋体" w:hAnsi="宋体" w:cs="宋体"/>
                <w:color w:val="000000"/>
                <w:kern w:val="0"/>
                <w:sz w:val="22"/>
                <w:szCs w:val="22"/>
                <w:lang w:val="en-US" w:eastAsia="zh-CN"/>
              </w:rPr>
              <w:t>支持</w:t>
            </w:r>
            <w:r>
              <w:rPr>
                <w:rFonts w:hint="eastAsia" w:ascii="宋体" w:hAnsi="宋体" w:cs="宋体"/>
                <w:color w:val="000000"/>
                <w:kern w:val="0"/>
                <w:sz w:val="22"/>
                <w:szCs w:val="22"/>
              </w:rPr>
              <w:t>音频输出</w:t>
            </w:r>
            <w:r>
              <w:rPr>
                <w:rFonts w:hint="eastAsia" w:ascii="宋体" w:hAnsi="宋体" w:cs="宋体"/>
                <w:color w:val="000000"/>
                <w:kern w:val="0"/>
                <w:sz w:val="22"/>
                <w:szCs w:val="22"/>
                <w:lang w:val="en-US" w:eastAsia="zh-CN"/>
              </w:rPr>
              <w:t>接口</w:t>
            </w:r>
            <w:r>
              <w:rPr>
                <w:rFonts w:hint="eastAsia" w:ascii="宋体" w:hAnsi="宋体" w:cs="宋体"/>
                <w:color w:val="000000"/>
                <w:kern w:val="0"/>
                <w:sz w:val="22"/>
                <w:szCs w:val="22"/>
                <w:lang w:val="zh-CN"/>
              </w:rPr>
              <w:t>≥</w:t>
            </w:r>
            <w:r>
              <w:rPr>
                <w:rFonts w:hint="eastAsia" w:ascii="宋体" w:hAnsi="宋体" w:cs="宋体"/>
                <w:color w:val="000000"/>
                <w:kern w:val="0"/>
                <w:sz w:val="22"/>
                <w:szCs w:val="22"/>
              </w:rPr>
              <w:t>2路。</w:t>
            </w:r>
          </w:p>
        </w:tc>
      </w:tr>
      <w:tr w14:paraId="24AFAE1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continue"/>
            <w:noWrap w:val="0"/>
            <w:vAlign w:val="center"/>
          </w:tcPr>
          <w:p w14:paraId="20B6D0A2">
            <w:pPr>
              <w:pStyle w:val="9"/>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ascii="宋体" w:hAnsi="宋体" w:cs="宋体"/>
                <w:color w:val="000000"/>
                <w:kern w:val="0"/>
                <w:sz w:val="22"/>
                <w:szCs w:val="22"/>
              </w:rPr>
            </w:pPr>
          </w:p>
        </w:tc>
        <w:tc>
          <w:tcPr>
            <w:tcW w:w="7223" w:type="dxa"/>
            <w:noWrap w:val="0"/>
            <w:vAlign w:val="center"/>
          </w:tcPr>
          <w:p w14:paraId="29BBB71A">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cs="宋体"/>
                <w:color w:val="000000"/>
                <w:kern w:val="0"/>
                <w:sz w:val="22"/>
                <w:szCs w:val="22"/>
              </w:rPr>
            </w:pPr>
            <w:r>
              <w:rPr>
                <w:rFonts w:hint="eastAsia" w:ascii="宋体" w:hAnsi="宋体" w:cs="宋体"/>
                <w:color w:val="000000"/>
                <w:kern w:val="0"/>
                <w:sz w:val="22"/>
                <w:szCs w:val="22"/>
              </w:rPr>
              <w:t>其他接口：支持RJ45 100Mbps自适应网络接口</w:t>
            </w:r>
            <w:r>
              <w:rPr>
                <w:rFonts w:hint="eastAsia" w:ascii="宋体" w:hAnsi="宋体" w:cs="宋体"/>
                <w:color w:val="000000"/>
                <w:kern w:val="0"/>
                <w:sz w:val="22"/>
                <w:szCs w:val="22"/>
                <w:lang w:val="zh-CN"/>
              </w:rPr>
              <w:t>≥</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路</w:t>
            </w:r>
            <w:r>
              <w:rPr>
                <w:rFonts w:hint="eastAsia" w:ascii="宋体" w:hAnsi="宋体" w:cs="宋体"/>
                <w:color w:val="000000"/>
                <w:kern w:val="0"/>
                <w:sz w:val="22"/>
                <w:szCs w:val="22"/>
              </w:rPr>
              <w:t>，USB接口</w:t>
            </w:r>
            <w:r>
              <w:rPr>
                <w:rFonts w:hint="eastAsia" w:ascii="宋体" w:hAnsi="宋体" w:cs="宋体"/>
                <w:color w:val="000000"/>
                <w:kern w:val="0"/>
                <w:sz w:val="22"/>
                <w:szCs w:val="22"/>
                <w:lang w:val="zh-CN"/>
              </w:rPr>
              <w:t>≥</w:t>
            </w:r>
            <w:r>
              <w:rPr>
                <w:rFonts w:hint="eastAsia" w:ascii="宋体" w:hAnsi="宋体" w:cs="宋体"/>
                <w:color w:val="000000"/>
                <w:kern w:val="0"/>
                <w:sz w:val="22"/>
                <w:szCs w:val="22"/>
                <w:lang w:val="en-US" w:eastAsia="zh-CN"/>
              </w:rPr>
              <w:t>3路</w:t>
            </w:r>
            <w:r>
              <w:rPr>
                <w:rFonts w:hint="eastAsia" w:ascii="宋体" w:hAnsi="宋体" w:cs="宋体"/>
                <w:color w:val="000000"/>
                <w:kern w:val="0"/>
                <w:sz w:val="22"/>
                <w:szCs w:val="22"/>
              </w:rPr>
              <w:t>。</w:t>
            </w:r>
          </w:p>
        </w:tc>
      </w:tr>
      <w:tr w14:paraId="623D953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noWrap w:val="0"/>
            <w:vAlign w:val="center"/>
          </w:tcPr>
          <w:p w14:paraId="044EAE28">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能力要求</w:t>
            </w:r>
          </w:p>
        </w:tc>
        <w:tc>
          <w:tcPr>
            <w:tcW w:w="7223" w:type="dxa"/>
            <w:noWrap w:val="0"/>
            <w:vAlign w:val="center"/>
          </w:tcPr>
          <w:p w14:paraId="6CD4CF3D">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★无缝接入浙江省电子政务视联网并正常运行，可与当前台州市电子政务视联网会议终端无缝通信。（提供证明文件</w:t>
            </w:r>
            <w:r>
              <w:rPr>
                <w:rFonts w:hint="eastAsia" w:ascii="宋体" w:hAnsi="宋体" w:cs="宋体"/>
                <w:color w:val="000000"/>
                <w:kern w:val="0"/>
                <w:sz w:val="22"/>
                <w:szCs w:val="22"/>
                <w:lang w:val="en-US" w:eastAsia="zh-CN"/>
              </w:rPr>
              <w:t>并</w:t>
            </w:r>
            <w:r>
              <w:rPr>
                <w:rFonts w:hint="eastAsia" w:ascii="宋体" w:hAnsi="宋体" w:cs="宋体"/>
                <w:color w:val="000000"/>
                <w:kern w:val="0"/>
                <w:sz w:val="22"/>
                <w:szCs w:val="22"/>
              </w:rPr>
              <w:t>加盖厂商公章）</w:t>
            </w:r>
          </w:p>
          <w:p w14:paraId="1400877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2"/>
                <w:szCs w:val="22"/>
              </w:rPr>
            </w:pPr>
            <w:r>
              <w:rPr>
                <w:rFonts w:hint="eastAsia" w:ascii="宋体" w:hAnsi="宋体" w:cs="宋体"/>
                <w:color w:val="000000"/>
                <w:kern w:val="0"/>
                <w:sz w:val="22"/>
                <w:szCs w:val="22"/>
              </w:rPr>
              <w:t>签订合同前提供产品制造商针对本项目的三年售后服务函。</w:t>
            </w:r>
          </w:p>
        </w:tc>
      </w:tr>
      <w:tr w14:paraId="745FA10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noWrap w:val="0"/>
            <w:vAlign w:val="center"/>
          </w:tcPr>
          <w:p w14:paraId="2BF3FDB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性能要求</w:t>
            </w:r>
          </w:p>
        </w:tc>
        <w:tc>
          <w:tcPr>
            <w:tcW w:w="7223" w:type="dxa"/>
            <w:noWrap w:val="0"/>
            <w:vAlign w:val="center"/>
          </w:tcPr>
          <w:p w14:paraId="219D492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视频通讯协议：支持V2V视联网协议，通过XMCU会议对接服务系统，兼容H.323协议，兼容SIP协议，符合以太网802.3标准</w:t>
            </w:r>
            <w:r>
              <w:rPr>
                <w:rFonts w:hint="eastAsia" w:ascii="宋体" w:hAnsi="宋体" w:cs="宋体"/>
                <w:color w:val="000000"/>
                <w:kern w:val="0"/>
                <w:sz w:val="22"/>
                <w:szCs w:val="22"/>
              </w:rPr>
              <w:t>（提供第三方检测报告）</w:t>
            </w:r>
          </w:p>
        </w:tc>
      </w:tr>
      <w:tr w14:paraId="17DF4FB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7" w:hRule="atLeast"/>
          <w:jc w:val="center"/>
        </w:trPr>
        <w:tc>
          <w:tcPr>
            <w:tcW w:w="1825" w:type="dxa"/>
            <w:vMerge w:val="restart"/>
            <w:noWrap w:val="0"/>
            <w:vAlign w:val="center"/>
          </w:tcPr>
          <w:p w14:paraId="6545F31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功能要求</w:t>
            </w:r>
          </w:p>
        </w:tc>
        <w:tc>
          <w:tcPr>
            <w:tcW w:w="7223" w:type="dxa"/>
            <w:noWrap w:val="0"/>
            <w:vAlign w:val="center"/>
          </w:tcPr>
          <w:p w14:paraId="1EC64A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采用嵌入式Linux操作系统。</w:t>
            </w:r>
          </w:p>
        </w:tc>
      </w:tr>
      <w:tr w14:paraId="58483BA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83" w:hRule="atLeast"/>
          <w:jc w:val="center"/>
        </w:trPr>
        <w:tc>
          <w:tcPr>
            <w:tcW w:w="1825" w:type="dxa"/>
            <w:vMerge w:val="continue"/>
            <w:noWrap w:val="0"/>
            <w:vAlign w:val="center"/>
          </w:tcPr>
          <w:p w14:paraId="5441C05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p>
        </w:tc>
        <w:tc>
          <w:tcPr>
            <w:tcW w:w="7223" w:type="dxa"/>
            <w:noWrap w:val="0"/>
            <w:vAlign w:val="center"/>
          </w:tcPr>
          <w:p w14:paraId="5F819AE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000000"/>
                <w:kern w:val="0"/>
                <w:sz w:val="22"/>
                <w:szCs w:val="22"/>
              </w:rPr>
            </w:pPr>
            <w:r>
              <w:rPr>
                <w:rFonts w:hint="eastAsia" w:ascii="宋体" w:hAnsi="宋体" w:cs="宋体"/>
                <w:color w:val="000000"/>
                <w:kern w:val="0"/>
                <w:sz w:val="22"/>
                <w:szCs w:val="22"/>
              </w:rPr>
              <w:t>视频支持H264 编码格式</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视频分辨率</w:t>
            </w:r>
            <w:r>
              <w:rPr>
                <w:rFonts w:hint="eastAsia" w:ascii="宋体" w:hAnsi="宋体" w:cs="宋体"/>
                <w:color w:val="000000"/>
                <w:kern w:val="0"/>
                <w:sz w:val="22"/>
                <w:szCs w:val="22"/>
              </w:rPr>
              <w:t>支持1080P30fps、720P</w:t>
            </w:r>
            <w:r>
              <w:rPr>
                <w:rFonts w:hint="eastAsia" w:ascii="宋体" w:hAnsi="宋体" w:cs="宋体"/>
                <w:color w:val="000000"/>
                <w:kern w:val="0"/>
                <w:sz w:val="22"/>
                <w:szCs w:val="22"/>
                <w:lang w:val="en-US" w:eastAsia="zh-CN"/>
              </w:rPr>
              <w:t>30fps</w:t>
            </w:r>
            <w:r>
              <w:rPr>
                <w:rFonts w:hint="eastAsia" w:ascii="宋体" w:hAnsi="宋体" w:cs="宋体"/>
                <w:color w:val="000000"/>
                <w:kern w:val="0"/>
                <w:sz w:val="22"/>
                <w:szCs w:val="22"/>
              </w:rPr>
              <w:t>。</w:t>
            </w:r>
          </w:p>
        </w:tc>
      </w:tr>
      <w:tr w14:paraId="2597C75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vMerge w:val="continue"/>
            <w:noWrap w:val="0"/>
            <w:vAlign w:val="center"/>
          </w:tcPr>
          <w:p w14:paraId="33AF3E1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p>
        </w:tc>
        <w:tc>
          <w:tcPr>
            <w:tcW w:w="7223" w:type="dxa"/>
            <w:noWrap w:val="0"/>
            <w:vAlign w:val="center"/>
          </w:tcPr>
          <w:p w14:paraId="37D4A46E">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支持辅流功能，同一组会议下，支持多个终端同时发起动态辅流，可任意选看一路，且辅流分辨率支持1080P30fps。</w:t>
            </w:r>
            <w:r>
              <w:rPr>
                <w:rFonts w:hint="eastAsia" w:ascii="宋体" w:hAnsi="宋体" w:cs="宋体"/>
                <w:color w:val="000000"/>
                <w:kern w:val="0"/>
                <w:sz w:val="22"/>
                <w:szCs w:val="22"/>
              </w:rPr>
              <w:t>（提供第三方检测报告）</w:t>
            </w:r>
          </w:p>
        </w:tc>
      </w:tr>
      <w:tr w14:paraId="4C2C9B2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6" w:hRule="atLeast"/>
          <w:jc w:val="center"/>
        </w:trPr>
        <w:tc>
          <w:tcPr>
            <w:tcW w:w="1825" w:type="dxa"/>
            <w:vMerge w:val="continue"/>
            <w:noWrap w:val="0"/>
            <w:vAlign w:val="center"/>
          </w:tcPr>
          <w:p w14:paraId="6BF432D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p>
        </w:tc>
        <w:tc>
          <w:tcPr>
            <w:tcW w:w="7223" w:type="dxa"/>
            <w:noWrap w:val="0"/>
            <w:vAlign w:val="center"/>
          </w:tcPr>
          <w:p w14:paraId="24706E9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支持唇音同步、自动噪声抑制、快速自适应回声消除。</w:t>
            </w:r>
          </w:p>
        </w:tc>
      </w:tr>
      <w:tr w14:paraId="5044E90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86" w:hRule="atLeast"/>
          <w:jc w:val="center"/>
        </w:trPr>
        <w:tc>
          <w:tcPr>
            <w:tcW w:w="1825" w:type="dxa"/>
            <w:vMerge w:val="continue"/>
            <w:noWrap w:val="0"/>
            <w:vAlign w:val="center"/>
          </w:tcPr>
          <w:p w14:paraId="27F66D3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p>
        </w:tc>
        <w:tc>
          <w:tcPr>
            <w:tcW w:w="7223" w:type="dxa"/>
            <w:noWrap w:val="0"/>
            <w:vAlign w:val="center"/>
          </w:tcPr>
          <w:p w14:paraId="502CF089">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000000"/>
                <w:kern w:val="0"/>
                <w:sz w:val="22"/>
                <w:szCs w:val="22"/>
              </w:rPr>
            </w:pPr>
            <w:r>
              <w:rPr>
                <w:rFonts w:hint="eastAsia" w:ascii="宋体" w:hAnsi="宋体" w:cs="宋体"/>
                <w:color w:val="000000"/>
                <w:kern w:val="0"/>
                <w:sz w:val="22"/>
                <w:szCs w:val="22"/>
              </w:rPr>
              <w:t>支持高清视频会议、可视电话、远程培训、视频点播、发布直播、通讯录、通过视联网监控接入服务系统进行视频监控功能。（提供第三方检测报告）</w:t>
            </w:r>
          </w:p>
        </w:tc>
      </w:tr>
      <w:tr w14:paraId="1B2B0FC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vMerge w:val="continue"/>
            <w:noWrap w:val="0"/>
            <w:vAlign w:val="center"/>
          </w:tcPr>
          <w:p w14:paraId="06E3A5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p>
        </w:tc>
        <w:tc>
          <w:tcPr>
            <w:tcW w:w="7223" w:type="dxa"/>
            <w:noWrap w:val="0"/>
            <w:vAlign w:val="center"/>
          </w:tcPr>
          <w:p w14:paraId="33A91183">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000000"/>
                <w:kern w:val="0"/>
                <w:sz w:val="22"/>
                <w:szCs w:val="22"/>
              </w:rPr>
            </w:pPr>
            <w:r>
              <w:rPr>
                <w:rFonts w:hint="eastAsia" w:ascii="宋体" w:hAnsi="宋体" w:cs="宋体"/>
                <w:color w:val="000000"/>
                <w:kern w:val="0"/>
                <w:sz w:val="22"/>
                <w:szCs w:val="22"/>
                <w:lang w:val="en-US" w:eastAsia="zh-CN"/>
              </w:rPr>
              <w:t>支持会控软件、通过流媒体服务系统进行会控APP控会方式。</w:t>
            </w:r>
            <w:r>
              <w:rPr>
                <w:rFonts w:hint="eastAsia" w:ascii="宋体" w:hAnsi="宋体" w:cs="宋体"/>
                <w:color w:val="000000"/>
                <w:kern w:val="0"/>
                <w:sz w:val="22"/>
                <w:szCs w:val="22"/>
              </w:rPr>
              <w:t>（提供第三方检测报告）</w:t>
            </w:r>
          </w:p>
        </w:tc>
      </w:tr>
      <w:tr w14:paraId="5A5FA34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vMerge w:val="continue"/>
            <w:noWrap w:val="0"/>
            <w:vAlign w:val="center"/>
          </w:tcPr>
          <w:p w14:paraId="56B76CE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color w:val="000000"/>
                <w:kern w:val="0"/>
                <w:sz w:val="22"/>
                <w:szCs w:val="22"/>
              </w:rPr>
            </w:pPr>
          </w:p>
        </w:tc>
        <w:tc>
          <w:tcPr>
            <w:tcW w:w="7223" w:type="dxa"/>
            <w:noWrap w:val="0"/>
            <w:vAlign w:val="center"/>
          </w:tcPr>
          <w:p w14:paraId="7B50F335">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支持远程导出和导入配置文件功能。</w:t>
            </w:r>
            <w:r>
              <w:rPr>
                <w:rFonts w:hint="eastAsia" w:ascii="宋体" w:hAnsi="宋体" w:cs="宋体"/>
                <w:color w:val="000000"/>
                <w:kern w:val="0"/>
                <w:sz w:val="22"/>
                <w:szCs w:val="22"/>
              </w:rPr>
              <w:t>（提供第三方检测报告）</w:t>
            </w:r>
          </w:p>
        </w:tc>
      </w:tr>
    </w:tbl>
    <w:p w14:paraId="4E0AF69D">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（三）</w:t>
      </w:r>
      <w:r>
        <w:rPr>
          <w:rFonts w:hint="eastAsia" w:ascii="宋体" w:hAnsi="宋体" w:eastAsia="宋体" w:cs="宋体"/>
          <w:sz w:val="22"/>
          <w:szCs w:val="22"/>
        </w:rPr>
        <w:t xml:space="preserve"> 应急固定站通讯系统集成服务</w:t>
      </w:r>
    </w:p>
    <w:p w14:paraId="18D68F17">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sz w:val="22"/>
          <w:szCs w:val="22"/>
        </w:rPr>
      </w:pPr>
      <w:r>
        <w:rPr>
          <w:rFonts w:hint="eastAsia" w:ascii="宋体" w:hAnsi="宋体" w:eastAsia="宋体" w:cs="宋体"/>
          <w:sz w:val="22"/>
          <w:szCs w:val="22"/>
        </w:rPr>
        <w:t>提供100套应急固定站通讯系统供黄岩区应急管理局按需使用。提供卫星移动网络语音、短信、低数据传输速率功能，满足保障山区、林区和地震、地质灾害现场在地面通讯和数据传输中断的情况下以及冰冻雨雪、阴天大雾等极端天气条件下的应急卫星通讯需求。</w:t>
      </w:r>
    </w:p>
    <w:tbl>
      <w:tblPr>
        <w:tblStyle w:val="33"/>
        <w:tblW w:w="4999" w:type="pct"/>
        <w:jc w:val="center"/>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825"/>
        <w:gridCol w:w="6908"/>
      </w:tblGrid>
      <w:tr w14:paraId="62AB452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tblHeader/>
          <w:jc w:val="center"/>
        </w:trPr>
        <w:tc>
          <w:tcPr>
            <w:tcW w:w="1825" w:type="dxa"/>
            <w:noWrap w:val="0"/>
            <w:vAlign w:val="center"/>
          </w:tcPr>
          <w:p w14:paraId="05471182">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指标分类</w:t>
            </w:r>
          </w:p>
        </w:tc>
        <w:tc>
          <w:tcPr>
            <w:tcW w:w="6908" w:type="dxa"/>
            <w:noWrap w:val="0"/>
            <w:vAlign w:val="center"/>
          </w:tcPr>
          <w:p w14:paraId="24A8C268">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详细技术参数</w:t>
            </w:r>
          </w:p>
        </w:tc>
      </w:tr>
      <w:tr w14:paraId="7ED0A83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restart"/>
            <w:noWrap w:val="0"/>
            <w:vAlign w:val="center"/>
          </w:tcPr>
          <w:p w14:paraId="27DB8792">
            <w:pPr>
              <w:pStyle w:val="9"/>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硬件规格</w:t>
            </w:r>
          </w:p>
        </w:tc>
        <w:tc>
          <w:tcPr>
            <w:tcW w:w="6908" w:type="dxa"/>
            <w:noWrap w:val="0"/>
            <w:vAlign w:val="center"/>
          </w:tcPr>
          <w:p w14:paraId="2BC8288B">
            <w:pPr>
              <w:keepNext w:val="0"/>
              <w:keepLines w:val="0"/>
              <w:pageBreakBefore w:val="0"/>
              <w:widowControl/>
              <w:kinsoku/>
              <w:wordWrap/>
              <w:overflowPunct/>
              <w:topLinePunct w:val="0"/>
              <w:autoSpaceDE/>
              <w:autoSpaceDN/>
              <w:bidi w:val="0"/>
              <w:adjustRightInd w:val="0"/>
              <w:snapToGrid w:val="0"/>
              <w:spacing w:line="240" w:lineRule="auto"/>
              <w:ind w:left="-42" w:leftChars="-20" w:right="-42" w:rightChars="-2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显示屏幕不小于3.1寸显示屏，CTP多点触控；分辨率不低于480*800；</w:t>
            </w:r>
          </w:p>
        </w:tc>
      </w:tr>
      <w:tr w14:paraId="3495DAE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continue"/>
            <w:noWrap w:val="0"/>
            <w:vAlign w:val="center"/>
          </w:tcPr>
          <w:p w14:paraId="6C8FAE18">
            <w:pPr>
              <w:pStyle w:val="9"/>
              <w:keepNext w:val="0"/>
              <w:keepLines w:val="0"/>
              <w:pageBreakBefore w:val="0"/>
              <w:kinsoku/>
              <w:wordWrap/>
              <w:overflowPunct/>
              <w:topLinePunct w:val="0"/>
              <w:autoSpaceDE/>
              <w:autoSpaceDN/>
              <w:bidi w:val="0"/>
              <w:spacing w:line="240" w:lineRule="auto"/>
              <w:ind w:firstLine="0"/>
              <w:jc w:val="center"/>
              <w:textAlignment w:val="auto"/>
              <w:rPr>
                <w:rFonts w:hint="eastAsia" w:ascii="宋体" w:hAnsi="宋体" w:eastAsia="宋体" w:cs="宋体"/>
                <w:color w:val="000000"/>
                <w:kern w:val="0"/>
                <w:sz w:val="22"/>
                <w:szCs w:val="22"/>
              </w:rPr>
            </w:pPr>
          </w:p>
        </w:tc>
        <w:tc>
          <w:tcPr>
            <w:tcW w:w="6908" w:type="dxa"/>
            <w:noWrap w:val="0"/>
            <w:vAlign w:val="center"/>
          </w:tcPr>
          <w:p w14:paraId="4CD799C5">
            <w:pPr>
              <w:pStyle w:val="9"/>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存储内存：运行内存RAM</w:t>
            </w:r>
            <w:r>
              <w:rPr>
                <w:rFonts w:hint="eastAsia" w:ascii="宋体" w:hAnsi="宋体" w:eastAsia="宋体" w:cs="宋体"/>
                <w:color w:val="000000"/>
                <w:kern w:val="0"/>
                <w:sz w:val="22"/>
                <w:szCs w:val="22"/>
                <w:lang w:val="zh-CN"/>
              </w:rPr>
              <w:t>≥</w:t>
            </w:r>
            <w:r>
              <w:rPr>
                <w:rFonts w:hint="eastAsia" w:ascii="宋体" w:hAnsi="宋体" w:eastAsia="宋体" w:cs="宋体"/>
                <w:color w:val="000000"/>
                <w:kern w:val="0"/>
                <w:sz w:val="22"/>
                <w:szCs w:val="22"/>
              </w:rPr>
              <w:t>2GB,存储内存ROM</w:t>
            </w:r>
            <w:r>
              <w:rPr>
                <w:rFonts w:hint="eastAsia" w:ascii="宋体" w:hAnsi="宋体" w:eastAsia="宋体" w:cs="宋体"/>
                <w:color w:val="000000"/>
                <w:kern w:val="0"/>
                <w:sz w:val="22"/>
                <w:szCs w:val="22"/>
                <w:lang w:val="zh-CN"/>
              </w:rPr>
              <w:t>≥</w:t>
            </w:r>
            <w:r>
              <w:rPr>
                <w:rFonts w:hint="eastAsia" w:ascii="宋体" w:hAnsi="宋体" w:eastAsia="宋体" w:cs="宋体"/>
                <w:color w:val="000000"/>
                <w:kern w:val="0"/>
                <w:sz w:val="22"/>
                <w:szCs w:val="22"/>
              </w:rPr>
              <w:t>16GB，可支持128G TF卡拓展</w:t>
            </w:r>
          </w:p>
        </w:tc>
      </w:tr>
      <w:tr w14:paraId="6B3D396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continue"/>
            <w:noWrap w:val="0"/>
            <w:vAlign w:val="center"/>
          </w:tcPr>
          <w:p w14:paraId="7602A88D">
            <w:pPr>
              <w:pStyle w:val="9"/>
              <w:keepNext w:val="0"/>
              <w:keepLines w:val="0"/>
              <w:pageBreakBefore w:val="0"/>
              <w:kinsoku/>
              <w:wordWrap/>
              <w:overflowPunct/>
              <w:topLinePunct w:val="0"/>
              <w:autoSpaceDE/>
              <w:autoSpaceDN/>
              <w:bidi w:val="0"/>
              <w:spacing w:line="240" w:lineRule="auto"/>
              <w:ind w:firstLine="0"/>
              <w:jc w:val="center"/>
              <w:textAlignment w:val="auto"/>
              <w:rPr>
                <w:rFonts w:hint="eastAsia" w:ascii="宋体" w:hAnsi="宋体" w:eastAsia="宋体" w:cs="宋体"/>
                <w:color w:val="000000"/>
                <w:kern w:val="0"/>
                <w:sz w:val="22"/>
                <w:szCs w:val="22"/>
              </w:rPr>
            </w:pPr>
          </w:p>
        </w:tc>
        <w:tc>
          <w:tcPr>
            <w:tcW w:w="6908" w:type="dxa"/>
            <w:noWrap w:val="0"/>
            <w:vAlign w:val="center"/>
          </w:tcPr>
          <w:p w14:paraId="112CE948">
            <w:pPr>
              <w:pStyle w:val="9"/>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电池/时间：电池可拆卸，容量不低于5000mAh，入网状态下待机时长不低于160小时，通话时长不低于10小时。</w:t>
            </w:r>
          </w:p>
        </w:tc>
      </w:tr>
      <w:tr w14:paraId="210F676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11" w:hRule="atLeast"/>
          <w:jc w:val="center"/>
        </w:trPr>
        <w:tc>
          <w:tcPr>
            <w:tcW w:w="1825" w:type="dxa"/>
            <w:vMerge w:val="continue"/>
            <w:noWrap w:val="0"/>
            <w:vAlign w:val="center"/>
          </w:tcPr>
          <w:p w14:paraId="3A1E0DCF">
            <w:pPr>
              <w:pStyle w:val="9"/>
              <w:keepNext w:val="0"/>
              <w:keepLines w:val="0"/>
              <w:pageBreakBefore w:val="0"/>
              <w:kinsoku/>
              <w:wordWrap/>
              <w:overflowPunct/>
              <w:topLinePunct w:val="0"/>
              <w:autoSpaceDE/>
              <w:autoSpaceDN/>
              <w:bidi w:val="0"/>
              <w:spacing w:line="240" w:lineRule="auto"/>
              <w:ind w:firstLine="0"/>
              <w:jc w:val="center"/>
              <w:textAlignment w:val="auto"/>
              <w:rPr>
                <w:rFonts w:hint="eastAsia" w:ascii="宋体" w:hAnsi="宋体" w:eastAsia="宋体" w:cs="宋体"/>
                <w:color w:val="000000"/>
                <w:kern w:val="0"/>
                <w:sz w:val="22"/>
                <w:szCs w:val="22"/>
              </w:rPr>
            </w:pPr>
          </w:p>
        </w:tc>
        <w:tc>
          <w:tcPr>
            <w:tcW w:w="6908" w:type="dxa"/>
            <w:noWrap w:val="0"/>
            <w:vAlign w:val="center"/>
          </w:tcPr>
          <w:p w14:paraId="73E9A4E6">
            <w:pPr>
              <w:pStyle w:val="9"/>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手柄话筒：支持自动摘机、挂机检测，支持免提功能</w:t>
            </w:r>
          </w:p>
        </w:tc>
      </w:tr>
      <w:tr w14:paraId="49F4EA4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44" w:hRule="atLeast"/>
          <w:jc w:val="center"/>
        </w:trPr>
        <w:tc>
          <w:tcPr>
            <w:tcW w:w="1825" w:type="dxa"/>
            <w:vMerge w:val="continue"/>
            <w:noWrap w:val="0"/>
            <w:vAlign w:val="center"/>
          </w:tcPr>
          <w:p w14:paraId="75AD6C86">
            <w:pPr>
              <w:pStyle w:val="9"/>
              <w:keepNext w:val="0"/>
              <w:keepLines w:val="0"/>
              <w:pageBreakBefore w:val="0"/>
              <w:kinsoku/>
              <w:wordWrap/>
              <w:overflowPunct/>
              <w:topLinePunct w:val="0"/>
              <w:autoSpaceDE/>
              <w:autoSpaceDN/>
              <w:bidi w:val="0"/>
              <w:spacing w:line="240" w:lineRule="auto"/>
              <w:ind w:firstLine="0"/>
              <w:jc w:val="center"/>
              <w:textAlignment w:val="auto"/>
              <w:rPr>
                <w:rFonts w:hint="eastAsia" w:ascii="宋体" w:hAnsi="宋体" w:eastAsia="宋体" w:cs="宋体"/>
                <w:color w:val="000000"/>
                <w:kern w:val="0"/>
                <w:sz w:val="22"/>
                <w:szCs w:val="22"/>
              </w:rPr>
            </w:pPr>
          </w:p>
        </w:tc>
        <w:tc>
          <w:tcPr>
            <w:tcW w:w="6908" w:type="dxa"/>
            <w:noWrap w:val="0"/>
            <w:vAlign w:val="center"/>
          </w:tcPr>
          <w:p w14:paraId="4EEE785E">
            <w:pPr>
              <w:keepNext w:val="0"/>
              <w:keepLines w:val="0"/>
              <w:pageBreakBefore w:val="0"/>
              <w:widowControl/>
              <w:kinsoku/>
              <w:wordWrap/>
              <w:overflowPunct/>
              <w:topLinePunct w:val="0"/>
              <w:autoSpaceDE/>
              <w:autoSpaceDN/>
              <w:bidi w:val="0"/>
              <w:adjustRightInd w:val="0"/>
              <w:snapToGrid w:val="0"/>
              <w:spacing w:line="240" w:lineRule="auto"/>
              <w:ind w:right="-42" w:rightChars="-2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天线：手持终端天线采用折叠式设计，折叠角度可达225°；天线状态自动监测，打开天线可自动搜星，天线折叠关闭卫星模块</w:t>
            </w:r>
          </w:p>
        </w:tc>
      </w:tr>
      <w:tr w14:paraId="244A4FB4">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vMerge w:val="continue"/>
            <w:noWrap w:val="0"/>
            <w:vAlign w:val="center"/>
          </w:tcPr>
          <w:p w14:paraId="427BA680">
            <w:pPr>
              <w:pStyle w:val="9"/>
              <w:keepNext w:val="0"/>
              <w:keepLines w:val="0"/>
              <w:pageBreakBefore w:val="0"/>
              <w:kinsoku/>
              <w:wordWrap/>
              <w:overflowPunct/>
              <w:topLinePunct w:val="0"/>
              <w:autoSpaceDE/>
              <w:autoSpaceDN/>
              <w:bidi w:val="0"/>
              <w:spacing w:line="240" w:lineRule="auto"/>
              <w:ind w:firstLine="0"/>
              <w:jc w:val="center"/>
              <w:textAlignment w:val="auto"/>
              <w:rPr>
                <w:rFonts w:hint="eastAsia" w:ascii="宋体" w:hAnsi="宋体" w:eastAsia="宋体" w:cs="宋体"/>
                <w:color w:val="000000"/>
                <w:kern w:val="0"/>
                <w:sz w:val="22"/>
                <w:szCs w:val="22"/>
              </w:rPr>
            </w:pPr>
          </w:p>
        </w:tc>
        <w:tc>
          <w:tcPr>
            <w:tcW w:w="6908" w:type="dxa"/>
            <w:noWrap w:val="0"/>
            <w:vAlign w:val="center"/>
          </w:tcPr>
          <w:p w14:paraId="28458D48">
            <w:pPr>
              <w:keepNext w:val="0"/>
              <w:keepLines w:val="0"/>
              <w:pageBreakBefore w:val="0"/>
              <w:widowControl/>
              <w:kinsoku/>
              <w:wordWrap/>
              <w:overflowPunct/>
              <w:topLinePunct w:val="0"/>
              <w:autoSpaceDE/>
              <w:autoSpaceDN/>
              <w:bidi w:val="0"/>
              <w:adjustRightInd w:val="0"/>
              <w:snapToGrid w:val="0"/>
              <w:spacing w:line="240" w:lineRule="auto"/>
              <w:ind w:right="-42" w:rightChars="-2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适配主机：支持天通移动终端自适应插入或拔出底座，主屏的简易UI操作，支持主机在室内的座机式使用。</w:t>
            </w:r>
          </w:p>
        </w:tc>
      </w:tr>
      <w:tr w14:paraId="30673A91">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5" w:type="dxa"/>
            <w:noWrap w:val="0"/>
            <w:vAlign w:val="center"/>
          </w:tcPr>
          <w:p w14:paraId="166A0BA0">
            <w:pPr>
              <w:pStyle w:val="9"/>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能力要求</w:t>
            </w:r>
          </w:p>
        </w:tc>
        <w:tc>
          <w:tcPr>
            <w:tcW w:w="6908" w:type="dxa"/>
            <w:noWrap w:val="0"/>
            <w:vAlign w:val="center"/>
          </w:tcPr>
          <w:p w14:paraId="3459DDB8">
            <w:pPr>
              <w:pStyle w:val="9"/>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天通卫星移动话音和短信，全网通4G移动话音、短信，对讲通信功能。</w:t>
            </w:r>
          </w:p>
        </w:tc>
      </w:tr>
      <w:tr w14:paraId="12CDF6E5">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noWrap w:val="0"/>
            <w:vAlign w:val="center"/>
          </w:tcPr>
          <w:p w14:paraId="0ACE205A">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性能要求</w:t>
            </w:r>
          </w:p>
        </w:tc>
        <w:tc>
          <w:tcPr>
            <w:tcW w:w="6908" w:type="dxa"/>
            <w:noWrap w:val="0"/>
            <w:vAlign w:val="center"/>
          </w:tcPr>
          <w:p w14:paraId="145B219B">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★应用处理器能力不低于 2.0 GHz四核，</w:t>
            </w:r>
            <w:r>
              <w:rPr>
                <w:rFonts w:hint="eastAsia" w:ascii="宋体" w:hAnsi="宋体" w:eastAsia="宋体" w:cs="宋体"/>
                <w:color w:val="000000"/>
                <w:kern w:val="0"/>
                <w:sz w:val="22"/>
                <w:szCs w:val="22"/>
                <w:lang w:val="en-US" w:eastAsia="zh-CN"/>
              </w:rPr>
              <w:t>操作系统支持</w:t>
            </w:r>
            <w:r>
              <w:rPr>
                <w:rFonts w:hint="eastAsia" w:ascii="宋体" w:hAnsi="宋体" w:eastAsia="宋体" w:cs="宋体"/>
                <w:color w:val="000000"/>
                <w:kern w:val="0"/>
                <w:sz w:val="22"/>
                <w:szCs w:val="22"/>
              </w:rPr>
              <w:t>智能操作系统（提供第三方检测报告）</w:t>
            </w:r>
          </w:p>
        </w:tc>
      </w:tr>
      <w:tr w14:paraId="7D7FF41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7" w:hRule="atLeast"/>
          <w:jc w:val="center"/>
        </w:trPr>
        <w:tc>
          <w:tcPr>
            <w:tcW w:w="1825" w:type="dxa"/>
            <w:vMerge w:val="restart"/>
            <w:noWrap w:val="0"/>
            <w:vAlign w:val="center"/>
          </w:tcPr>
          <w:p w14:paraId="5DDA8BB0">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功能要求</w:t>
            </w:r>
          </w:p>
        </w:tc>
        <w:tc>
          <w:tcPr>
            <w:tcW w:w="6908" w:type="dxa"/>
            <w:noWrap w:val="0"/>
            <w:vAlign w:val="center"/>
          </w:tcPr>
          <w:p w14:paraId="0362BE64">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★定位精度：水平</w:t>
            </w:r>
            <w:r>
              <w:rPr>
                <w:rFonts w:hint="eastAsia" w:ascii="宋体" w:hAnsi="宋体" w:eastAsia="宋体" w:cs="宋体"/>
                <w:color w:val="000000"/>
                <w:kern w:val="0"/>
                <w:sz w:val="22"/>
                <w:szCs w:val="22"/>
                <w:lang w:val="en-US" w:eastAsia="zh-CN"/>
              </w:rPr>
              <w:t>精度</w:t>
            </w:r>
            <w:r>
              <w:rPr>
                <w:rFonts w:hint="eastAsia" w:ascii="宋体" w:hAnsi="宋体" w:eastAsia="宋体" w:cs="宋体"/>
                <w:color w:val="000000"/>
                <w:kern w:val="0"/>
                <w:sz w:val="22"/>
                <w:szCs w:val="22"/>
                <w:lang w:val="zh-CN"/>
              </w:rPr>
              <w:t>≥</w:t>
            </w:r>
            <w:r>
              <w:rPr>
                <w:rFonts w:hint="eastAsia" w:ascii="宋体" w:hAnsi="宋体" w:eastAsia="宋体" w:cs="宋体"/>
                <w:color w:val="000000"/>
                <w:kern w:val="0"/>
                <w:sz w:val="22"/>
                <w:szCs w:val="22"/>
              </w:rPr>
              <w:t>3米，高程</w:t>
            </w:r>
            <w:r>
              <w:rPr>
                <w:rFonts w:hint="eastAsia" w:ascii="宋体" w:hAnsi="宋体" w:eastAsia="宋体" w:cs="宋体"/>
                <w:color w:val="000000"/>
                <w:kern w:val="0"/>
                <w:sz w:val="22"/>
                <w:szCs w:val="22"/>
                <w:lang w:val="en-US" w:eastAsia="zh-CN"/>
              </w:rPr>
              <w:t>精度</w:t>
            </w:r>
            <w:r>
              <w:rPr>
                <w:rFonts w:hint="eastAsia" w:ascii="宋体" w:hAnsi="宋体" w:eastAsia="宋体" w:cs="宋体"/>
                <w:color w:val="000000"/>
                <w:kern w:val="0"/>
                <w:sz w:val="22"/>
                <w:szCs w:val="22"/>
                <w:lang w:val="zh-CN"/>
              </w:rPr>
              <w:t>≥</w:t>
            </w:r>
            <w:r>
              <w:rPr>
                <w:rFonts w:hint="eastAsia" w:ascii="宋体" w:hAnsi="宋体" w:eastAsia="宋体" w:cs="宋体"/>
                <w:color w:val="000000"/>
                <w:kern w:val="0"/>
                <w:sz w:val="22"/>
                <w:szCs w:val="22"/>
              </w:rPr>
              <w:t>6米（提供第三方检测报告）</w:t>
            </w:r>
          </w:p>
        </w:tc>
      </w:tr>
      <w:tr w14:paraId="3BEC997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80" w:hRule="atLeast"/>
          <w:jc w:val="center"/>
        </w:trPr>
        <w:tc>
          <w:tcPr>
            <w:tcW w:w="1825" w:type="dxa"/>
            <w:vMerge w:val="continue"/>
            <w:noWrap w:val="0"/>
            <w:vAlign w:val="center"/>
          </w:tcPr>
          <w:p w14:paraId="5525512D">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36E4612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★支持单北斗定位功能</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zh-CN"/>
              </w:rPr>
              <w:t>支持物联网位置回传上报功能</w:t>
            </w:r>
            <w:r>
              <w:rPr>
                <w:rFonts w:hint="eastAsia" w:ascii="宋体" w:hAnsi="宋体" w:eastAsia="宋体" w:cs="宋体"/>
                <w:color w:val="000000"/>
                <w:kern w:val="0"/>
                <w:sz w:val="22"/>
                <w:szCs w:val="22"/>
              </w:rPr>
              <w:t>（提供第三方检测报告）</w:t>
            </w:r>
          </w:p>
        </w:tc>
      </w:tr>
      <w:tr w14:paraId="5BFDDCA7">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3" w:hRule="atLeast"/>
          <w:jc w:val="center"/>
        </w:trPr>
        <w:tc>
          <w:tcPr>
            <w:tcW w:w="1825" w:type="dxa"/>
            <w:vMerge w:val="continue"/>
            <w:noWrap w:val="0"/>
            <w:vAlign w:val="center"/>
          </w:tcPr>
          <w:p w14:paraId="7BE9C8A9">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4156C3CF">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zh-CN"/>
              </w:rPr>
              <w:t>★防护等级≥IP68，1米防跌落</w:t>
            </w:r>
            <w:r>
              <w:rPr>
                <w:rFonts w:hint="eastAsia" w:ascii="宋体" w:hAnsi="宋体" w:eastAsia="宋体" w:cs="宋体"/>
                <w:color w:val="000000"/>
                <w:kern w:val="0"/>
                <w:sz w:val="22"/>
                <w:szCs w:val="22"/>
                <w:lang w:val="en-US" w:eastAsia="zh-CN"/>
              </w:rPr>
              <w:t>高度</w:t>
            </w:r>
            <w:r>
              <w:rPr>
                <w:rFonts w:hint="eastAsia" w:ascii="宋体" w:hAnsi="宋体" w:eastAsia="宋体" w:cs="宋体"/>
                <w:color w:val="000000"/>
                <w:kern w:val="0"/>
                <w:sz w:val="22"/>
                <w:szCs w:val="22"/>
                <w:lang w:val="zh-CN"/>
              </w:rPr>
              <w:t>≥</w:t>
            </w:r>
            <w:r>
              <w:rPr>
                <w:rFonts w:hint="eastAsia" w:ascii="宋体" w:hAnsi="宋体" w:eastAsia="宋体" w:cs="宋体"/>
                <w:color w:val="000000"/>
                <w:kern w:val="0"/>
                <w:sz w:val="22"/>
                <w:szCs w:val="22"/>
                <w:lang w:val="en-US" w:eastAsia="zh-CN"/>
              </w:rPr>
              <w:t>1.5米</w:t>
            </w:r>
            <w:r>
              <w:rPr>
                <w:rFonts w:hint="eastAsia" w:ascii="宋体" w:hAnsi="宋体" w:eastAsia="宋体" w:cs="宋体"/>
                <w:color w:val="000000"/>
                <w:kern w:val="0"/>
                <w:sz w:val="22"/>
                <w:szCs w:val="22"/>
              </w:rPr>
              <w:t>（提供第三方检测报告）</w:t>
            </w:r>
          </w:p>
        </w:tc>
      </w:tr>
      <w:tr w14:paraId="2F356E5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03" w:hRule="atLeast"/>
          <w:jc w:val="center"/>
        </w:trPr>
        <w:tc>
          <w:tcPr>
            <w:tcW w:w="1825" w:type="dxa"/>
            <w:vMerge w:val="continue"/>
            <w:noWrap w:val="0"/>
            <w:vAlign w:val="center"/>
          </w:tcPr>
          <w:p w14:paraId="31C9AB69">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2C15905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zh-CN"/>
              </w:rPr>
              <w:t>终端应支持Wi-Fi，蓝牙连接功能</w:t>
            </w:r>
          </w:p>
        </w:tc>
      </w:tr>
      <w:tr w14:paraId="6AA91463">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03" w:hRule="atLeast"/>
          <w:jc w:val="center"/>
        </w:trPr>
        <w:tc>
          <w:tcPr>
            <w:tcW w:w="1825" w:type="dxa"/>
            <w:vMerge w:val="continue"/>
            <w:noWrap w:val="0"/>
            <w:vAlign w:val="center"/>
          </w:tcPr>
          <w:p w14:paraId="7325403F">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3E6C2E5C">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zh-CN"/>
              </w:rPr>
              <w:t xml:space="preserve">工作温度：-20℃ ~ 55℃ </w:t>
            </w:r>
          </w:p>
        </w:tc>
      </w:tr>
      <w:tr w14:paraId="349E58E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03" w:hRule="atLeast"/>
          <w:jc w:val="center"/>
        </w:trPr>
        <w:tc>
          <w:tcPr>
            <w:tcW w:w="1825" w:type="dxa"/>
            <w:vMerge w:val="continue"/>
            <w:noWrap w:val="0"/>
            <w:vAlign w:val="center"/>
          </w:tcPr>
          <w:p w14:paraId="7D20A47C">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6144312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2"/>
                <w:szCs w:val="22"/>
                <w:lang w:val="zh-CN"/>
              </w:rPr>
              <w:t>对讲：支持400-480MHz模拟对讲或数字DMR对讲。</w:t>
            </w:r>
          </w:p>
        </w:tc>
      </w:tr>
      <w:tr w14:paraId="58D5E40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vMerge w:val="continue"/>
            <w:noWrap w:val="0"/>
            <w:vAlign w:val="center"/>
          </w:tcPr>
          <w:p w14:paraId="7F9BC794">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6F3840E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2"/>
                <w:szCs w:val="22"/>
                <w:lang w:val="zh-CN"/>
              </w:rPr>
              <w:t xml:space="preserve">可支持扩展成室内座机形态；可扩展底座配件产品尺寸≤240×210×45 (mm) </w:t>
            </w:r>
          </w:p>
        </w:tc>
      </w:tr>
      <w:tr w14:paraId="400DAEE9">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5" w:type="dxa"/>
            <w:vMerge w:val="continue"/>
            <w:noWrap w:val="0"/>
            <w:vAlign w:val="center"/>
          </w:tcPr>
          <w:p w14:paraId="458F9AAD">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8" w:type="dxa"/>
            <w:noWrap w:val="0"/>
            <w:vAlign w:val="center"/>
          </w:tcPr>
          <w:p w14:paraId="0BA490A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lang w:val="zh-CN"/>
              </w:rPr>
            </w:pP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需接入黄岩区可视化应急指挥调度系统平台并提供证明</w:t>
            </w:r>
            <w:r>
              <w:rPr>
                <w:rFonts w:hint="eastAsia" w:ascii="宋体" w:hAnsi="宋体" w:eastAsia="宋体" w:cs="宋体"/>
                <w:color w:val="000000"/>
                <w:kern w:val="0"/>
                <w:sz w:val="22"/>
                <w:szCs w:val="22"/>
                <w:highlight w:val="none"/>
                <w:lang w:eastAsia="zh-CN"/>
              </w:rPr>
              <w:t>（</w:t>
            </w:r>
            <w:r>
              <w:rPr>
                <w:rFonts w:hint="eastAsia" w:ascii="宋体" w:hAnsi="宋体" w:cs="宋体"/>
                <w:color w:val="000000"/>
                <w:kern w:val="0"/>
                <w:sz w:val="22"/>
                <w:szCs w:val="22"/>
              </w:rPr>
              <w:t>需在最终用户方进行现场对接测试并由最终用户出具无缝对接证明并加盖公章</w:t>
            </w:r>
            <w:r>
              <w:rPr>
                <w:rFonts w:hint="eastAsia" w:ascii="宋体" w:hAnsi="宋体" w:eastAsia="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rPr>
              <w:t>。</w:t>
            </w:r>
          </w:p>
        </w:tc>
      </w:tr>
    </w:tbl>
    <w:p w14:paraId="08120284">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0"/>
        <w:textAlignment w:val="auto"/>
        <w:rPr>
          <w:rFonts w:hint="eastAsia" w:ascii="宋体" w:hAnsi="宋体" w:eastAsia="宋体" w:cs="宋体"/>
          <w:b/>
          <w:bCs/>
          <w:sz w:val="22"/>
          <w:szCs w:val="22"/>
        </w:rPr>
      </w:pPr>
      <w:r>
        <w:rPr>
          <w:rFonts w:hint="eastAsia" w:ascii="宋体" w:hAnsi="宋体" w:eastAsia="宋体" w:cs="宋体"/>
          <w:b/>
          <w:bCs/>
          <w:kern w:val="2"/>
          <w:sz w:val="22"/>
          <w:szCs w:val="22"/>
          <w:lang w:val="en-US" w:eastAsia="zh-CN" w:bidi="ar-SA"/>
        </w:rPr>
        <w:t>2.</w:t>
      </w:r>
      <w:r>
        <w:rPr>
          <w:rFonts w:hint="eastAsia" w:ascii="宋体" w:hAnsi="宋体" w:eastAsia="宋体" w:cs="宋体"/>
          <w:b/>
          <w:bCs/>
          <w:sz w:val="22"/>
          <w:szCs w:val="22"/>
        </w:rPr>
        <w:t>UPS供电系统集成服务</w:t>
      </w:r>
    </w:p>
    <w:p w14:paraId="2A38018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UPS供电系统主要功能为在汛期市电中断时，UPS供电系统能立即切换至电池供电，确保会商系统持续运行，避免会议中断及设备损坏，同时具备电压稳定及过载保护功能，防止设备损坏。</w:t>
      </w:r>
    </w:p>
    <w:p w14:paraId="54A8ED33">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780" w:leftChars="0" w:firstLine="0" w:firstLineChars="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（一）</w:t>
      </w:r>
      <w:r>
        <w:rPr>
          <w:rFonts w:hint="eastAsia" w:ascii="宋体" w:hAnsi="宋体" w:eastAsia="宋体" w:cs="宋体"/>
          <w:sz w:val="22"/>
          <w:szCs w:val="22"/>
        </w:rPr>
        <w:t>乡镇级UPS供电系统集成服务</w:t>
      </w:r>
    </w:p>
    <w:p w14:paraId="540BC67B">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仿宋" w:hAnsi="仿宋" w:eastAsia="仿宋" w:cs="宋体"/>
          <w:color w:val="000000"/>
          <w:kern w:val="0"/>
          <w:sz w:val="24"/>
        </w:rPr>
      </w:pPr>
      <w:r>
        <w:rPr>
          <w:rFonts w:hint="eastAsia" w:ascii="宋体" w:hAnsi="宋体" w:eastAsia="宋体" w:cs="宋体"/>
          <w:color w:val="000000"/>
          <w:kern w:val="0"/>
          <w:sz w:val="22"/>
          <w:szCs w:val="22"/>
        </w:rPr>
        <w:t>提供覆盖全黄岩区内所有乡镇街道的乡镇级UPS供电系统服务，支持报警功能（电池低压、市电异常、UPS故障、输出过载、输出短路），保护功能（电池欠压保护、过载保护、短路保护、过温保护）需求。</w:t>
      </w:r>
    </w:p>
    <w:tbl>
      <w:tblPr>
        <w:tblStyle w:val="33"/>
        <w:tblW w:w="4998" w:type="pct"/>
        <w:jc w:val="center"/>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823"/>
        <w:gridCol w:w="6909"/>
      </w:tblGrid>
      <w:tr w14:paraId="51629B1A">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35" w:hRule="atLeast"/>
          <w:jc w:val="center"/>
        </w:trPr>
        <w:tc>
          <w:tcPr>
            <w:tcW w:w="1823" w:type="dxa"/>
            <w:noWrap w:val="0"/>
            <w:vAlign w:val="center"/>
          </w:tcPr>
          <w:p w14:paraId="36294FCF">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指标分类</w:t>
            </w:r>
          </w:p>
        </w:tc>
        <w:tc>
          <w:tcPr>
            <w:tcW w:w="6909" w:type="dxa"/>
            <w:noWrap w:val="0"/>
            <w:vAlign w:val="center"/>
          </w:tcPr>
          <w:p w14:paraId="218013E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详细技术参数</w:t>
            </w:r>
          </w:p>
        </w:tc>
      </w:tr>
      <w:tr w14:paraId="1D1495D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3" w:type="dxa"/>
            <w:vMerge w:val="restart"/>
            <w:noWrap w:val="0"/>
            <w:vAlign w:val="center"/>
          </w:tcPr>
          <w:p w14:paraId="6EEC0A90">
            <w:pPr>
              <w:pStyle w:val="9"/>
              <w:keepNext w:val="0"/>
              <w:keepLines w:val="0"/>
              <w:pageBreakBefore w:val="0"/>
              <w:widowControl w:val="0"/>
              <w:kinsoku/>
              <w:wordWrap/>
              <w:overflowPunct/>
              <w:topLinePunct w:val="0"/>
              <w:autoSpaceDE/>
              <w:autoSpaceDN/>
              <w:bidi w:val="0"/>
              <w:spacing w:line="240" w:lineRule="auto"/>
              <w:ind w:firstLine="0"/>
              <w:jc w:val="both"/>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硬件要求</w:t>
            </w:r>
          </w:p>
        </w:tc>
        <w:tc>
          <w:tcPr>
            <w:tcW w:w="6909" w:type="dxa"/>
            <w:noWrap w:val="0"/>
            <w:vAlign w:val="center"/>
          </w:tcPr>
          <w:p w14:paraId="346ECA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面板显示支持蓝屏LCD显示</w:t>
            </w:r>
            <w:r>
              <w:rPr>
                <w:rFonts w:hint="eastAsia" w:ascii="宋体" w:hAnsi="宋体" w:eastAsia="宋体" w:cs="宋体"/>
                <w:color w:val="000000"/>
                <w:kern w:val="0"/>
                <w:sz w:val="22"/>
                <w:szCs w:val="22"/>
              </w:rPr>
              <w:t>，可流程化显示UPS主机的工作模式、工作参数与用户的负载量、电池剩余容量等状态，方便用户对设备进行管理。</w:t>
            </w:r>
          </w:p>
        </w:tc>
      </w:tr>
      <w:tr w14:paraId="3389CFE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3" w:type="dxa"/>
            <w:vMerge w:val="continue"/>
            <w:noWrap w:val="0"/>
            <w:vAlign w:val="center"/>
          </w:tcPr>
          <w:p w14:paraId="0AA1960A">
            <w:pPr>
              <w:pStyle w:val="9"/>
              <w:keepNext w:val="0"/>
              <w:keepLines w:val="0"/>
              <w:pageBreakBefore w:val="0"/>
              <w:widowControl w:val="0"/>
              <w:kinsoku/>
              <w:wordWrap/>
              <w:overflowPunct/>
              <w:topLinePunct w:val="0"/>
              <w:autoSpaceDE/>
              <w:autoSpaceDN/>
              <w:bidi w:val="0"/>
              <w:spacing w:line="240" w:lineRule="auto"/>
              <w:ind w:firstLine="0"/>
              <w:jc w:val="center"/>
              <w:textAlignment w:val="auto"/>
              <w:rPr>
                <w:rFonts w:hint="eastAsia" w:ascii="宋体" w:hAnsi="宋体" w:eastAsia="宋体" w:cs="宋体"/>
                <w:color w:val="000000"/>
                <w:kern w:val="0"/>
                <w:sz w:val="22"/>
                <w:szCs w:val="22"/>
              </w:rPr>
            </w:pPr>
          </w:p>
        </w:tc>
        <w:tc>
          <w:tcPr>
            <w:tcW w:w="6909" w:type="dxa"/>
            <w:noWrap w:val="0"/>
            <w:vAlign w:val="center"/>
          </w:tcPr>
          <w:p w14:paraId="5DF9B4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输出方式支持国标插座≥2个</w:t>
            </w:r>
            <w:r>
              <w:rPr>
                <w:rFonts w:hint="eastAsia" w:ascii="宋体" w:hAnsi="宋体" w:eastAsia="宋体" w:cs="宋体"/>
                <w:color w:val="000000"/>
                <w:kern w:val="0"/>
                <w:sz w:val="22"/>
                <w:szCs w:val="22"/>
                <w:highlight w:val="none"/>
              </w:rPr>
              <w:t>，方便用户负载设备连接，使用便捷。</w:t>
            </w:r>
          </w:p>
        </w:tc>
      </w:tr>
      <w:tr w14:paraId="41D5927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823" w:type="dxa"/>
            <w:noWrap w:val="0"/>
            <w:vAlign w:val="center"/>
          </w:tcPr>
          <w:p w14:paraId="205B9991">
            <w:pPr>
              <w:pStyle w:val="9"/>
              <w:keepNext w:val="0"/>
              <w:keepLines w:val="0"/>
              <w:pageBreakBefore w:val="0"/>
              <w:widowControl w:val="0"/>
              <w:kinsoku/>
              <w:wordWrap/>
              <w:overflowPunct/>
              <w:topLinePunct w:val="0"/>
              <w:autoSpaceDE/>
              <w:autoSpaceDN/>
              <w:bidi w:val="0"/>
              <w:spacing w:line="240" w:lineRule="auto"/>
              <w:ind w:firstLine="0"/>
              <w:jc w:val="both"/>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能力要求</w:t>
            </w:r>
          </w:p>
        </w:tc>
        <w:tc>
          <w:tcPr>
            <w:tcW w:w="6909" w:type="dxa"/>
            <w:noWrap w:val="0"/>
            <w:vAlign w:val="center"/>
          </w:tcPr>
          <w:p w14:paraId="2826E0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支持DSP控制技术，数据处理精确迅速，具备快速的故障自我诊断和处理能力，自我保护功能完善，可靠性更高。</w:t>
            </w:r>
          </w:p>
        </w:tc>
      </w:tr>
      <w:tr w14:paraId="4F5A2462">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3" w:type="dxa"/>
            <w:noWrap w:val="0"/>
            <w:vAlign w:val="center"/>
          </w:tcPr>
          <w:p w14:paraId="4658439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性能要求</w:t>
            </w:r>
          </w:p>
        </w:tc>
        <w:tc>
          <w:tcPr>
            <w:tcW w:w="6909" w:type="dxa"/>
            <w:noWrap w:val="0"/>
            <w:vAlign w:val="center"/>
          </w:tcPr>
          <w:p w14:paraId="5D2D0D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kern w:val="0"/>
                <w:sz w:val="22"/>
                <w:szCs w:val="22"/>
                <w:lang w:val="en-US" w:eastAsia="zh-CN"/>
              </w:rPr>
              <w:t>市电电池转换时间：输入电压为额定值、输出为50%额定阻性负载，市电与电池供电相互转换时间应为0ms。</w:t>
            </w:r>
            <w:r>
              <w:rPr>
                <w:rFonts w:hint="eastAsia" w:ascii="宋体" w:hAnsi="宋体" w:eastAsia="宋体" w:cs="宋体"/>
                <w:color w:val="000000"/>
                <w:kern w:val="0"/>
                <w:sz w:val="22"/>
                <w:szCs w:val="22"/>
              </w:rPr>
              <w:t>（提供第三方检测报告）</w:t>
            </w:r>
          </w:p>
        </w:tc>
      </w:tr>
      <w:tr w14:paraId="1D982D8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7" w:hRule="atLeast"/>
          <w:jc w:val="center"/>
        </w:trPr>
        <w:tc>
          <w:tcPr>
            <w:tcW w:w="1823" w:type="dxa"/>
            <w:vMerge w:val="restart"/>
            <w:noWrap w:val="0"/>
            <w:vAlign w:val="center"/>
          </w:tcPr>
          <w:p w14:paraId="2037C8D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功能要求</w:t>
            </w:r>
          </w:p>
        </w:tc>
        <w:tc>
          <w:tcPr>
            <w:tcW w:w="6909" w:type="dxa"/>
            <w:noWrap w:val="0"/>
            <w:vAlign w:val="center"/>
          </w:tcPr>
          <w:p w14:paraId="42CBF3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2"/>
                <w:szCs w:val="22"/>
              </w:rPr>
            </w:pPr>
            <w:r>
              <w:rPr>
                <w:rFonts w:hint="eastAsia" w:ascii="宋体" w:hAnsi="宋体" w:eastAsia="宋体" w:cs="宋体"/>
                <w:kern w:val="0"/>
                <w:sz w:val="22"/>
                <w:szCs w:val="22"/>
              </w:rPr>
              <w:t>报警功能：具备电池低压、市电异常、UPS故障、输出过载、输出短路报警功能。</w:t>
            </w:r>
          </w:p>
        </w:tc>
      </w:tr>
      <w:tr w14:paraId="0CCEC6E6">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80" w:hRule="atLeast"/>
          <w:jc w:val="center"/>
        </w:trPr>
        <w:tc>
          <w:tcPr>
            <w:tcW w:w="1823" w:type="dxa"/>
            <w:vMerge w:val="continue"/>
            <w:noWrap w:val="0"/>
            <w:vAlign w:val="center"/>
          </w:tcPr>
          <w:p w14:paraId="0782D57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9" w:type="dxa"/>
            <w:noWrap w:val="0"/>
            <w:vAlign w:val="center"/>
          </w:tcPr>
          <w:p w14:paraId="10B2682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2"/>
                <w:szCs w:val="22"/>
              </w:rPr>
            </w:pPr>
            <w:r>
              <w:rPr>
                <w:rFonts w:hint="eastAsia" w:ascii="宋体" w:hAnsi="宋体" w:eastAsia="宋体" w:cs="宋体"/>
                <w:kern w:val="0"/>
                <w:sz w:val="22"/>
                <w:szCs w:val="22"/>
              </w:rPr>
              <w:t>保护功能：具备电池欠压保护、过载保护、短路保护、过温保护功能。</w:t>
            </w:r>
          </w:p>
        </w:tc>
      </w:tr>
      <w:tr w14:paraId="597BA81C">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3" w:type="dxa"/>
            <w:vMerge w:val="continue"/>
            <w:noWrap w:val="0"/>
            <w:vAlign w:val="center"/>
          </w:tcPr>
          <w:p w14:paraId="44C48870">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9" w:type="dxa"/>
            <w:noWrap w:val="0"/>
            <w:vAlign w:val="center"/>
          </w:tcPr>
          <w:p w14:paraId="08A046DF">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kern w:val="0"/>
                <w:sz w:val="22"/>
                <w:szCs w:val="22"/>
                <w:lang w:val="en-US" w:eastAsia="zh-CN"/>
              </w:rPr>
              <w:t>过载能力：输出功率为额定值的125%时，机器正常工作时间≥15min。</w:t>
            </w:r>
            <w:r>
              <w:rPr>
                <w:rFonts w:hint="eastAsia" w:ascii="宋体" w:hAnsi="宋体" w:eastAsia="宋体" w:cs="宋体"/>
                <w:color w:val="000000"/>
                <w:kern w:val="0"/>
                <w:sz w:val="22"/>
                <w:szCs w:val="22"/>
              </w:rPr>
              <w:t>（提供第三方检测报告）</w:t>
            </w:r>
          </w:p>
        </w:tc>
      </w:tr>
      <w:tr w14:paraId="4B54627B">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3" w:type="dxa"/>
            <w:vMerge w:val="continue"/>
            <w:noWrap w:val="0"/>
            <w:vAlign w:val="center"/>
          </w:tcPr>
          <w:p w14:paraId="75FAFEB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9" w:type="dxa"/>
            <w:noWrap w:val="0"/>
            <w:vAlign w:val="center"/>
          </w:tcPr>
          <w:p w14:paraId="4B9A6968">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kern w:val="0"/>
                <w:sz w:val="22"/>
                <w:szCs w:val="22"/>
                <w:lang w:val="en-US" w:eastAsia="zh-CN"/>
              </w:rPr>
              <w:t>输出频率</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在电池逆变工作状态下，输出为额定阻性负载，输出频率≤50Hz</w:t>
            </w:r>
            <w:r>
              <w:rPr>
                <w:rFonts w:hint="eastAsia" w:ascii="宋体" w:hAnsi="宋体" w:eastAsia="宋体" w:cs="宋体"/>
                <w:color w:val="000000"/>
                <w:kern w:val="0"/>
                <w:sz w:val="22"/>
                <w:szCs w:val="22"/>
              </w:rPr>
              <w:t>（提供第三方检测报告）</w:t>
            </w:r>
          </w:p>
        </w:tc>
      </w:tr>
      <w:tr w14:paraId="622CD858">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823" w:type="dxa"/>
            <w:vMerge w:val="continue"/>
            <w:noWrap w:val="0"/>
            <w:vAlign w:val="center"/>
          </w:tcPr>
          <w:p w14:paraId="2A8427B0">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000000"/>
                <w:kern w:val="0"/>
                <w:sz w:val="22"/>
                <w:szCs w:val="22"/>
              </w:rPr>
            </w:pPr>
          </w:p>
        </w:tc>
        <w:tc>
          <w:tcPr>
            <w:tcW w:w="6909" w:type="dxa"/>
            <w:noWrap w:val="0"/>
            <w:vAlign w:val="center"/>
          </w:tcPr>
          <w:p w14:paraId="03BE7A17">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kern w:val="0"/>
                <w:sz w:val="22"/>
                <w:szCs w:val="22"/>
              </w:rPr>
            </w:pPr>
            <w:r>
              <w:rPr>
                <w:rFonts w:hint="eastAsia" w:ascii="宋体" w:hAnsi="宋体" w:eastAsia="宋体" w:cs="宋体"/>
                <w:kern w:val="0"/>
                <w:sz w:val="22"/>
                <w:szCs w:val="22"/>
                <w:highlight w:val="none"/>
              </w:rPr>
              <w:t>UPS主机产品要求具有节能功能。能出具中国节能产品认证证书、绿色之星产品认证证书。（提供以上认证证书）</w:t>
            </w:r>
          </w:p>
        </w:tc>
      </w:tr>
    </w:tbl>
    <w:p w14:paraId="29D7BBE6">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（二）</w:t>
      </w:r>
      <w:r>
        <w:rPr>
          <w:rFonts w:hint="eastAsia" w:ascii="宋体" w:hAnsi="宋体" w:eastAsia="宋体" w:cs="宋体"/>
          <w:color w:val="000000"/>
          <w:kern w:val="0"/>
          <w:sz w:val="22"/>
          <w:szCs w:val="22"/>
        </w:rPr>
        <w:t>村级UPS供电系统集成服务</w:t>
      </w:r>
    </w:p>
    <w:p w14:paraId="215D2F6C">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提供覆盖全黄岩区内所有行政村、社区及居委会的村级UPS供电系统服务，支持报警功能（电池低压、市电异常、UPS故障、输出过载、输出短路），保护功能（电池欠压保护、过载保护、短路保护、过温保护）需求。</w:t>
      </w:r>
    </w:p>
    <w:p w14:paraId="1E91C1D8">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中心点</w:t>
      </w:r>
      <w:r>
        <w:rPr>
          <w:rFonts w:hint="eastAsia" w:ascii="宋体" w:hAnsi="宋体" w:eastAsia="宋体" w:cs="宋体"/>
          <w:color w:val="000000"/>
          <w:kern w:val="0"/>
          <w:sz w:val="22"/>
          <w:szCs w:val="22"/>
          <w:lang w:val="en-US" w:eastAsia="zh-CN"/>
        </w:rPr>
        <w:t>指挥系统集成</w:t>
      </w:r>
      <w:r>
        <w:rPr>
          <w:rFonts w:hint="eastAsia" w:ascii="宋体" w:hAnsi="宋体" w:eastAsia="宋体" w:cs="宋体"/>
          <w:color w:val="000000"/>
          <w:kern w:val="0"/>
          <w:sz w:val="22"/>
          <w:szCs w:val="22"/>
        </w:rPr>
        <w:t>服务</w:t>
      </w:r>
    </w:p>
    <w:p w14:paraId="11C28704">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提供对中心点位（黄岩区应急管理局三楼会议室）</w:t>
      </w:r>
      <w:r>
        <w:rPr>
          <w:rFonts w:hint="eastAsia" w:ascii="宋体" w:hAnsi="宋体" w:eastAsia="宋体" w:cs="宋体"/>
          <w:color w:val="000000"/>
          <w:kern w:val="0"/>
          <w:sz w:val="22"/>
          <w:szCs w:val="22"/>
          <w:highlight w:val="none"/>
          <w:lang w:val="en-US" w:eastAsia="zh-CN"/>
        </w:rPr>
        <w:t>16℃-30℃可控恒温调节系统；</w:t>
      </w:r>
      <w:r>
        <w:rPr>
          <w:rFonts w:hint="eastAsia" w:ascii="宋体" w:hAnsi="宋体" w:eastAsia="宋体" w:cs="宋体"/>
          <w:color w:val="000000"/>
          <w:kern w:val="0"/>
          <w:sz w:val="22"/>
          <w:szCs w:val="22"/>
          <w:lang w:val="en-US" w:eastAsia="zh-CN"/>
        </w:rPr>
        <w:t>音视频系统的升级改造提升服务；中心点指挥系统安全防护服务，满足对防汛乡镇村会商系统的指挥调度需求。</w:t>
      </w:r>
    </w:p>
    <w:p w14:paraId="331D9ED2">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3.1 中心点位（黄岩区应急管理局三楼会议室）音视频系统</w:t>
      </w:r>
    </w:p>
    <w:tbl>
      <w:tblPr>
        <w:tblStyle w:val="33"/>
        <w:tblW w:w="5053" w:type="pct"/>
        <w:jc w:val="center"/>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745"/>
        <w:gridCol w:w="7083"/>
      </w:tblGrid>
      <w:tr w14:paraId="4E2C35E0">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745" w:type="dxa"/>
            <w:noWrap w:val="0"/>
            <w:vAlign w:val="center"/>
          </w:tcPr>
          <w:p w14:paraId="0190A60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指标分类</w:t>
            </w:r>
          </w:p>
        </w:tc>
        <w:tc>
          <w:tcPr>
            <w:tcW w:w="7083" w:type="dxa"/>
            <w:noWrap w:val="0"/>
            <w:vAlign w:val="center"/>
          </w:tcPr>
          <w:p w14:paraId="256F65E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详细技术参数</w:t>
            </w:r>
          </w:p>
        </w:tc>
      </w:tr>
      <w:tr w14:paraId="4C9D9734">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07" w:hRule="atLeast"/>
          <w:jc w:val="center"/>
        </w:trPr>
        <w:tc>
          <w:tcPr>
            <w:tcW w:w="1745" w:type="dxa"/>
            <w:vMerge w:val="restart"/>
            <w:noWrap w:val="0"/>
            <w:vAlign w:val="center"/>
          </w:tcPr>
          <w:p w14:paraId="6F79EA9F">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能力要求</w:t>
            </w:r>
          </w:p>
        </w:tc>
        <w:tc>
          <w:tcPr>
            <w:tcW w:w="7083" w:type="dxa"/>
            <w:noWrap w:val="0"/>
            <w:vAlign w:val="center"/>
          </w:tcPr>
          <w:p w14:paraId="06D3BB70">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eastAsia="zh-CN"/>
              </w:rPr>
            </w:pP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视频扩容业务处理单元</w:t>
            </w:r>
            <w:r>
              <w:rPr>
                <w:rFonts w:hint="eastAsia" w:ascii="宋体" w:hAnsi="宋体" w:eastAsia="宋体" w:cs="宋体"/>
                <w:color w:val="000000"/>
                <w:kern w:val="0"/>
                <w:sz w:val="22"/>
                <w:szCs w:val="22"/>
                <w:highlight w:val="none"/>
              </w:rPr>
              <w:t>需与当前的视频拼接</w:t>
            </w:r>
            <w:r>
              <w:rPr>
                <w:rFonts w:hint="eastAsia" w:ascii="宋体" w:hAnsi="宋体" w:eastAsia="宋体" w:cs="宋体"/>
                <w:color w:val="000000"/>
                <w:kern w:val="0"/>
                <w:sz w:val="22"/>
                <w:szCs w:val="22"/>
                <w:highlight w:val="none"/>
                <w:lang w:val="en-US" w:eastAsia="zh-CN"/>
              </w:rPr>
              <w:t>系统</w:t>
            </w:r>
            <w:r>
              <w:rPr>
                <w:rFonts w:hint="eastAsia" w:ascii="宋体" w:hAnsi="宋体" w:eastAsia="宋体" w:cs="宋体"/>
                <w:color w:val="000000"/>
                <w:kern w:val="0"/>
                <w:sz w:val="22"/>
                <w:szCs w:val="22"/>
                <w:highlight w:val="none"/>
              </w:rPr>
              <w:t>无缝兼容，并在视频拼接</w:t>
            </w:r>
            <w:r>
              <w:rPr>
                <w:rFonts w:hint="eastAsia" w:ascii="宋体" w:hAnsi="宋体" w:eastAsia="宋体" w:cs="宋体"/>
                <w:color w:val="000000"/>
                <w:kern w:val="0"/>
                <w:sz w:val="22"/>
                <w:szCs w:val="22"/>
                <w:highlight w:val="none"/>
                <w:lang w:val="en-US" w:eastAsia="zh-CN"/>
              </w:rPr>
              <w:t>系统</w:t>
            </w:r>
            <w:r>
              <w:rPr>
                <w:rFonts w:hint="eastAsia" w:ascii="宋体" w:hAnsi="宋体" w:eastAsia="宋体" w:cs="宋体"/>
                <w:color w:val="000000"/>
                <w:kern w:val="0"/>
                <w:sz w:val="22"/>
                <w:szCs w:val="22"/>
                <w:highlight w:val="none"/>
              </w:rPr>
              <w:t>的同一操作界面上统一管理</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rPr>
              <w:t>提供</w:t>
            </w:r>
            <w:r>
              <w:rPr>
                <w:rFonts w:hint="eastAsia" w:ascii="宋体" w:hAnsi="宋体" w:eastAsia="宋体" w:cs="宋体"/>
                <w:color w:val="000000"/>
                <w:kern w:val="0"/>
                <w:sz w:val="22"/>
                <w:szCs w:val="22"/>
                <w:highlight w:val="none"/>
                <w:lang w:val="en-US" w:eastAsia="zh-CN"/>
              </w:rPr>
              <w:t>的扩容业务处理单元</w:t>
            </w:r>
            <w:r>
              <w:rPr>
                <w:rFonts w:hint="eastAsia" w:ascii="宋体" w:hAnsi="宋体" w:eastAsia="宋体" w:cs="宋体"/>
                <w:color w:val="000000"/>
                <w:kern w:val="0"/>
                <w:sz w:val="22"/>
                <w:szCs w:val="22"/>
                <w:highlight w:val="none"/>
              </w:rPr>
              <w:t>测试时</w:t>
            </w:r>
            <w:r>
              <w:rPr>
                <w:rFonts w:hint="eastAsia" w:ascii="宋体" w:hAnsi="宋体" w:eastAsia="宋体" w:cs="宋体"/>
                <w:color w:val="000000"/>
                <w:kern w:val="0"/>
                <w:sz w:val="22"/>
                <w:szCs w:val="22"/>
                <w:highlight w:val="none"/>
                <w:lang w:val="en-US" w:eastAsia="zh-CN"/>
              </w:rPr>
              <w:t>满足</w:t>
            </w:r>
            <w:r>
              <w:rPr>
                <w:rFonts w:hint="eastAsia" w:ascii="宋体" w:hAnsi="宋体" w:eastAsia="宋体" w:cs="宋体"/>
                <w:color w:val="000000"/>
                <w:kern w:val="0"/>
                <w:sz w:val="22"/>
                <w:szCs w:val="22"/>
                <w:highlight w:val="none"/>
              </w:rPr>
              <w:t>在拼接</w:t>
            </w:r>
            <w:r>
              <w:rPr>
                <w:rFonts w:hint="eastAsia" w:ascii="宋体" w:hAnsi="宋体" w:eastAsia="宋体" w:cs="宋体"/>
                <w:color w:val="000000"/>
                <w:kern w:val="0"/>
                <w:sz w:val="22"/>
                <w:szCs w:val="22"/>
                <w:highlight w:val="none"/>
                <w:lang w:val="en-US" w:eastAsia="zh-CN"/>
              </w:rPr>
              <w:t>系统</w:t>
            </w:r>
            <w:r>
              <w:rPr>
                <w:rFonts w:hint="eastAsia" w:ascii="宋体" w:hAnsi="宋体" w:eastAsia="宋体" w:cs="宋体"/>
                <w:color w:val="000000"/>
                <w:kern w:val="0"/>
                <w:sz w:val="22"/>
                <w:szCs w:val="22"/>
                <w:highlight w:val="none"/>
              </w:rPr>
              <w:t>无缝兼容</w:t>
            </w:r>
            <w:r>
              <w:rPr>
                <w:rFonts w:hint="eastAsia" w:ascii="宋体" w:hAnsi="宋体" w:eastAsia="宋体" w:cs="宋体"/>
                <w:color w:val="000000"/>
                <w:kern w:val="0"/>
                <w:sz w:val="22"/>
                <w:szCs w:val="22"/>
                <w:highlight w:val="none"/>
                <w:lang w:val="en-US" w:eastAsia="zh-CN"/>
              </w:rPr>
              <w:t>的</w:t>
            </w:r>
            <w:r>
              <w:rPr>
                <w:rFonts w:hint="eastAsia" w:ascii="宋体" w:hAnsi="宋体" w:eastAsia="宋体" w:cs="宋体"/>
                <w:color w:val="000000"/>
                <w:kern w:val="0"/>
                <w:sz w:val="22"/>
                <w:szCs w:val="22"/>
                <w:highlight w:val="none"/>
              </w:rPr>
              <w:t>截图并加盖产品制造商公章</w:t>
            </w:r>
            <w:r>
              <w:rPr>
                <w:rFonts w:hint="eastAsia" w:ascii="宋体" w:hAnsi="宋体" w:eastAsia="宋体" w:cs="宋体"/>
                <w:color w:val="000000"/>
                <w:kern w:val="0"/>
                <w:sz w:val="22"/>
                <w:szCs w:val="22"/>
                <w:highlight w:val="none"/>
                <w:lang w:eastAsia="zh-CN"/>
              </w:rPr>
              <w:t>）</w:t>
            </w:r>
          </w:p>
        </w:tc>
      </w:tr>
      <w:tr w14:paraId="6EA347CF">
        <w:tblPrEx>
          <w:tblBorders>
            <w:top w:val="single" w:color="2B2B2B" w:sz="4" w:space="0"/>
            <w:left w:val="single" w:color="2B2B2B" w:sz="4" w:space="0"/>
            <w:bottom w:val="single" w:color="2B2B2B"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80" w:hRule="atLeast"/>
          <w:jc w:val="center"/>
        </w:trPr>
        <w:tc>
          <w:tcPr>
            <w:tcW w:w="1745" w:type="dxa"/>
            <w:vMerge w:val="continue"/>
            <w:noWrap w:val="0"/>
            <w:vAlign w:val="center"/>
          </w:tcPr>
          <w:p w14:paraId="6583B88C">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rPr>
            </w:pPr>
          </w:p>
        </w:tc>
        <w:tc>
          <w:tcPr>
            <w:tcW w:w="7083" w:type="dxa"/>
            <w:noWrap w:val="0"/>
            <w:vAlign w:val="center"/>
          </w:tcPr>
          <w:p w14:paraId="5787E00C">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主音频系统：</w:t>
            </w:r>
          </w:p>
          <w:p w14:paraId="69FFC15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频率范围（-10 dB）：≥150 Hz - 20 KHz；</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灵敏度（1w / 1m）：≥96 dB；</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峰值最大声压级：≥127dB；</w:t>
            </w:r>
          </w:p>
          <w:p w14:paraId="099FE23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副音频系统：</w:t>
            </w:r>
          </w:p>
          <w:p w14:paraId="3A181AE5">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频率范围（-10 dB）：≥38 Hz - 250 Hz；</w:t>
            </w:r>
          </w:p>
          <w:p w14:paraId="7B5A523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峰值最大声压级：≥132 dB；</w:t>
            </w:r>
          </w:p>
          <w:p w14:paraId="3C8C3ED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输出功率：≥2x600W @ 4 Ohms；</w:t>
            </w:r>
          </w:p>
          <w:p w14:paraId="47E74460">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DSP处理：≥96KHz。ES：≥300W/600W/1200W（连续/节目/峰值）；</w:t>
            </w:r>
          </w:p>
        </w:tc>
      </w:tr>
    </w:tbl>
    <w:p w14:paraId="518C2CF6">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3.2 中心点位指挥系统安全防护服务</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163"/>
        <w:gridCol w:w="6527"/>
      </w:tblGrid>
      <w:tr w14:paraId="4C00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2205" w:type="dxa"/>
            <w:gridSpan w:val="2"/>
            <w:noWrap w:val="0"/>
            <w:vAlign w:val="center"/>
          </w:tcPr>
          <w:p w14:paraId="5F9DBA4C">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b/>
                <w:bCs/>
                <w:color w:val="000000"/>
                <w:kern w:val="0"/>
                <w:sz w:val="22"/>
                <w:szCs w:val="22"/>
                <w:highlight w:val="none"/>
              </w:rPr>
              <w:t>指标分类</w:t>
            </w:r>
          </w:p>
        </w:tc>
        <w:tc>
          <w:tcPr>
            <w:tcW w:w="6527" w:type="dxa"/>
            <w:noWrap w:val="0"/>
            <w:vAlign w:val="center"/>
          </w:tcPr>
          <w:p w14:paraId="3F2B58B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b/>
                <w:bCs/>
                <w:color w:val="000000"/>
                <w:kern w:val="0"/>
                <w:sz w:val="22"/>
                <w:szCs w:val="22"/>
                <w:highlight w:val="none"/>
              </w:rPr>
              <w:t>详细技术参数</w:t>
            </w:r>
          </w:p>
        </w:tc>
      </w:tr>
      <w:tr w14:paraId="1A9C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05" w:type="dxa"/>
            <w:gridSpan w:val="2"/>
            <w:noWrap w:val="0"/>
            <w:vAlign w:val="center"/>
          </w:tcPr>
          <w:p w14:paraId="0E14544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硬件要求</w:t>
            </w:r>
          </w:p>
        </w:tc>
        <w:tc>
          <w:tcPr>
            <w:tcW w:w="6527" w:type="dxa"/>
            <w:noWrap w:val="0"/>
            <w:vAlign w:val="center"/>
          </w:tcPr>
          <w:p w14:paraId="35E37200">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标准2U机箱，单电源；标准2U机箱，单电源；板载8个千兆电口，8个千兆光口，6个万兆光口，内置4T硬盘；</w:t>
            </w:r>
          </w:p>
        </w:tc>
      </w:tr>
      <w:tr w14:paraId="391E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205" w:type="dxa"/>
            <w:gridSpan w:val="2"/>
            <w:vMerge w:val="restart"/>
            <w:noWrap w:val="0"/>
            <w:vAlign w:val="center"/>
          </w:tcPr>
          <w:p w14:paraId="4CA8F83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性能要求</w:t>
            </w:r>
          </w:p>
        </w:tc>
        <w:tc>
          <w:tcPr>
            <w:tcW w:w="6527" w:type="dxa"/>
            <w:noWrap w:val="0"/>
            <w:vAlign w:val="center"/>
          </w:tcPr>
          <w:p w14:paraId="296EF96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网络层吞吐量25G，并发连接≥700万，每秒新建连接数27万；</w:t>
            </w:r>
          </w:p>
        </w:tc>
      </w:tr>
      <w:tr w14:paraId="7C7E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205" w:type="dxa"/>
            <w:gridSpan w:val="2"/>
            <w:vMerge w:val="continue"/>
            <w:noWrap w:val="0"/>
            <w:vAlign w:val="center"/>
          </w:tcPr>
          <w:p w14:paraId="18552A92">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7B92120C">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★要求环境适应性良好，能够在-40°至70°环境中稳定运行，能够在环境湿度25%至95%环境中稳定运行，满足GB/T2423.1-2008要求（需提供第三方检验检测报告）</w:t>
            </w:r>
          </w:p>
        </w:tc>
      </w:tr>
      <w:tr w14:paraId="1394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205" w:type="dxa"/>
            <w:gridSpan w:val="2"/>
            <w:noWrap w:val="0"/>
            <w:vAlign w:val="center"/>
          </w:tcPr>
          <w:p w14:paraId="089E8C5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能力要求</w:t>
            </w:r>
          </w:p>
        </w:tc>
        <w:tc>
          <w:tcPr>
            <w:tcW w:w="6527" w:type="dxa"/>
            <w:noWrap w:val="0"/>
            <w:vAlign w:val="center"/>
          </w:tcPr>
          <w:p w14:paraId="1AAED3E2">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支持服务期内安全组合升级订阅服务包（含应用识别库、URL分类特征库、病毒防护特征库、入侵防御特征库升级服务及威胁情报订阅服务）</w:t>
            </w:r>
          </w:p>
        </w:tc>
      </w:tr>
      <w:tr w14:paraId="60A8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14:paraId="3E9567C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功</w:t>
            </w:r>
          </w:p>
          <w:p w14:paraId="20B52A0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能</w:t>
            </w:r>
          </w:p>
          <w:p w14:paraId="5FF62AC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w:t>
            </w:r>
          </w:p>
          <w:p w14:paraId="4028F30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求</w:t>
            </w:r>
          </w:p>
        </w:tc>
        <w:tc>
          <w:tcPr>
            <w:tcW w:w="1163" w:type="dxa"/>
            <w:vMerge w:val="restart"/>
            <w:noWrap w:val="0"/>
            <w:vAlign w:val="center"/>
          </w:tcPr>
          <w:p w14:paraId="751CC75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网络协议</w:t>
            </w:r>
          </w:p>
        </w:tc>
        <w:tc>
          <w:tcPr>
            <w:tcW w:w="6527" w:type="dxa"/>
            <w:noWrap w:val="0"/>
            <w:vAlign w:val="center"/>
          </w:tcPr>
          <w:p w14:paraId="79C4854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Identifier）、远程VTEP，手动管理VXLAN网络；支持MAC、VNI、VTEP静态绑定；VXLAN支持双栈V4和V6（需提供产品功能截图证明）</w:t>
            </w:r>
          </w:p>
        </w:tc>
      </w:tr>
      <w:tr w14:paraId="3232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2348594B">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058699A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1F84105">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必须支持MPLS流量透传；支持针对MPLS流量的安全审查，包括漏洞防护、反病毒、间谍软件防护、内容过滤、URL过滤、基于终端状态访问控制等安全防护功能；（需提供产品功能截图证明）</w:t>
            </w:r>
          </w:p>
        </w:tc>
      </w:tr>
      <w:tr w14:paraId="3908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144AD7B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noWrap w:val="0"/>
            <w:vAlign w:val="center"/>
          </w:tcPr>
          <w:p w14:paraId="48CDBB7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IPv6支持</w:t>
            </w:r>
          </w:p>
        </w:tc>
        <w:tc>
          <w:tcPr>
            <w:tcW w:w="6527" w:type="dxa"/>
            <w:noWrap w:val="0"/>
            <w:vAlign w:val="center"/>
          </w:tcPr>
          <w:p w14:paraId="1C4B6EE6">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要求支持IPv6协议，支持IPV6过渡技术，包含NAT-PT、NAT64+DNS64、NAT444的转换配置，产品通过IPv6认证</w:t>
            </w:r>
          </w:p>
        </w:tc>
      </w:tr>
      <w:tr w14:paraId="6BC1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571262C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2AC9C8E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访问控制</w:t>
            </w:r>
          </w:p>
        </w:tc>
        <w:tc>
          <w:tcPr>
            <w:tcW w:w="6527" w:type="dxa"/>
            <w:noWrap w:val="0"/>
            <w:vAlign w:val="center"/>
          </w:tcPr>
          <w:p w14:paraId="6A0C2AB5">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源安全域、目的安全域、源用户、源地址、源地区、目的地址、目的地区、服务、应用、隧道、时间、VLAN等多种方式进行访问控制，并支持地理区域对象的导入以及重复策略的检查，访问控制技术要求自主研发（要求提供第三方出具的证明文件，并加盖原厂公章）</w:t>
            </w:r>
          </w:p>
        </w:tc>
      </w:tr>
      <w:tr w14:paraId="45BB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8FC18E2">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6BC287A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0818A98">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支持发送反馈报文（当安全策略动作为阻断时，针对不同的报文类型选择发送对应的反馈报文：针对TCP报文反馈reset报文，针对UDP/ICMP报文反馈ICMP不可达报文）</w:t>
            </w:r>
          </w:p>
        </w:tc>
      </w:tr>
      <w:tr w14:paraId="4221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50DF3E12">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5F66409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8636D4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命中时间分析和安全策略推荐。命中时间分析展示被命中的安全策略的名称、状态、命中数、策略创建时间、首次命中时间和最近命中时间；安全策略推荐定可以指定策略流量，分析后自动生成源地址精度更高的安全策略。能够基于源地址精确合并和源地址子网合并，并自动生成策略名称、源对象、目的对象和服务对象。（需要提高设备截图和CNAS认证的第三方检测报告）</w:t>
            </w:r>
          </w:p>
        </w:tc>
      </w:tr>
      <w:tr w14:paraId="0A52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093ABE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42C7E9E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C1EC4D2">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支持基于IPv4/v6地址、应用的会话限制，限制动作包每IP新建、每IP并发、所有IP新建、所有IP并发，且可以基于安全域指定限制方向</w:t>
            </w:r>
          </w:p>
        </w:tc>
      </w:tr>
      <w:tr w14:paraId="6DB5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42" w:type="dxa"/>
            <w:vMerge w:val="continue"/>
            <w:noWrap w:val="0"/>
            <w:vAlign w:val="center"/>
          </w:tcPr>
          <w:p w14:paraId="7CC4696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7921335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网元管理</w:t>
            </w:r>
          </w:p>
        </w:tc>
        <w:tc>
          <w:tcPr>
            <w:tcW w:w="6527" w:type="dxa"/>
            <w:noWrap w:val="0"/>
            <w:vAlign w:val="center"/>
          </w:tcPr>
          <w:p w14:paraId="19424D6F">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需要提高设备截图和CNAS认证的第三方检测报告）</w:t>
            </w:r>
          </w:p>
        </w:tc>
      </w:tr>
      <w:tr w14:paraId="082B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42" w:type="dxa"/>
            <w:vMerge w:val="continue"/>
            <w:noWrap w:val="0"/>
            <w:vAlign w:val="center"/>
          </w:tcPr>
          <w:p w14:paraId="4519C6E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35D14CD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5B96D34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必须支持支持对网元进行健康检查，健康检查至少包括链路健康检查和回环探测</w:t>
            </w:r>
          </w:p>
        </w:tc>
      </w:tr>
      <w:tr w14:paraId="38F3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2" w:type="dxa"/>
            <w:vMerge w:val="continue"/>
            <w:noWrap w:val="0"/>
            <w:vAlign w:val="center"/>
          </w:tcPr>
          <w:p w14:paraId="59A9D18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2054DCE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引流策略</w:t>
            </w:r>
          </w:p>
        </w:tc>
        <w:tc>
          <w:tcPr>
            <w:tcW w:w="6527" w:type="dxa"/>
            <w:noWrap w:val="0"/>
            <w:vAlign w:val="center"/>
          </w:tcPr>
          <w:p w14:paraId="6E611BE6">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所投产品支持灵活的细粒度引流策略，可基于源安全域、目的安全域、源用户、源地址、目的地址、服务、VLAN、服务链、流量方向（内网到外网/外网到内网）的引流策略，并详细记录日志。</w:t>
            </w:r>
          </w:p>
        </w:tc>
      </w:tr>
      <w:tr w14:paraId="1EF3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42" w:type="dxa"/>
            <w:vMerge w:val="continue"/>
            <w:noWrap w:val="0"/>
            <w:vAlign w:val="center"/>
          </w:tcPr>
          <w:p w14:paraId="017273C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29E1704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56CA7CC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支持灵活的细粒度引流策略，可基于源安全域、目的安全域、源用户、源地址、目的地址、服务、VLAN、服务链、流量方向（内网到外网/外网到内网）的引流策略，并详细记录日志。（需提供产品功能截图证明）</w:t>
            </w:r>
          </w:p>
        </w:tc>
      </w:tr>
      <w:tr w14:paraId="2F60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5A3ADFF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noWrap w:val="0"/>
            <w:vAlign w:val="center"/>
          </w:tcPr>
          <w:p w14:paraId="312DA47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邮件过滤</w:t>
            </w:r>
          </w:p>
        </w:tc>
        <w:tc>
          <w:tcPr>
            <w:tcW w:w="6527" w:type="dxa"/>
            <w:noWrap w:val="0"/>
            <w:vAlign w:val="center"/>
          </w:tcPr>
          <w:p w14:paraId="02725A6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支持基于关键字的接收、发送或双向Email发件人、收件人过滤，并支持自定义RLB服务器地址配置，并可结合IP黑名单或白名单</w:t>
            </w:r>
          </w:p>
        </w:tc>
      </w:tr>
      <w:tr w14:paraId="6FD1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71B96E8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2B668072">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文件过滤</w:t>
            </w:r>
          </w:p>
        </w:tc>
        <w:tc>
          <w:tcPr>
            <w:tcW w:w="6527" w:type="dxa"/>
            <w:noWrap w:val="0"/>
            <w:vAlign w:val="center"/>
          </w:tcPr>
          <w:p w14:paraId="7CB3A9F2">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支持对应用的文件传输行为进行上传、下载、双向的文件类型过滤，应用至少包含即时通讯、常用协议、文件共享、论坛、博客、网页邮件五种分类；</w:t>
            </w:r>
          </w:p>
        </w:tc>
      </w:tr>
      <w:tr w14:paraId="33F6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06B9862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0F508B6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5946601">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w:t>
            </w:r>
          </w:p>
        </w:tc>
      </w:tr>
      <w:tr w14:paraId="6A83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02DD34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noWrap w:val="0"/>
            <w:vAlign w:val="center"/>
          </w:tcPr>
          <w:p w14:paraId="2CA442BB">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共享上网检测</w:t>
            </w:r>
          </w:p>
        </w:tc>
        <w:tc>
          <w:tcPr>
            <w:tcW w:w="6527" w:type="dxa"/>
            <w:noWrap w:val="0"/>
            <w:vAlign w:val="center"/>
          </w:tcPr>
          <w:p w14:paraId="4318ED8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必须支持共享上网检测功能，支持共享接入检测和共享接入管控功能，可以通过设置管控地址和例外地址优化管控功能，同时支持阻断或告警动作（需提供产品功能截图证明）</w:t>
            </w:r>
          </w:p>
        </w:tc>
      </w:tr>
      <w:tr w14:paraId="33DB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0A63116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0BF57CF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网络攻击防护</w:t>
            </w:r>
          </w:p>
        </w:tc>
        <w:tc>
          <w:tcPr>
            <w:tcW w:w="6527" w:type="dxa"/>
            <w:noWrap w:val="0"/>
            <w:vAlign w:val="center"/>
          </w:tcPr>
          <w:p w14:paraId="14BBAE8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支持基于不同安全区域防御DNS Flood、HTTP Flood攻击，并支持警告、阻断、首包丢弃、TC反弹技术、NS重定向、自动重定向、手工确认等多种防护措施</w:t>
            </w:r>
          </w:p>
        </w:tc>
      </w:tr>
      <w:tr w14:paraId="7A77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3DE0CBC2">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51691E6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0A99C51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支持基于安全区域的异常包攻击防御，异常包攻击类型至少包括Ping of Death、Teardrop、IP选项、TCP异常、Smurf、Fraggle、Land、Winnuke、DNS异常、IP分片等；并可在设备页面显示每种攻击类型的丢包统计结果；</w:t>
            </w:r>
          </w:p>
        </w:tc>
      </w:tr>
      <w:tr w14:paraId="7BAC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4A3182C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163FE4F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3D0DF8A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支持防御基于安全域的IP地址欺骗攻击，指定IP或网段必须从特定安全域流入</w:t>
            </w:r>
          </w:p>
        </w:tc>
      </w:tr>
      <w:tr w14:paraId="110C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0E85BA8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noWrap w:val="0"/>
            <w:vAlign w:val="center"/>
          </w:tcPr>
          <w:p w14:paraId="6C7A1CD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病毒防护</w:t>
            </w:r>
          </w:p>
        </w:tc>
        <w:tc>
          <w:tcPr>
            <w:tcW w:w="6527" w:type="dxa"/>
            <w:noWrap w:val="0"/>
            <w:vAlign w:val="center"/>
          </w:tcPr>
          <w:p w14:paraId="66520D30">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能够对HTTP/FTP/POP3/SMTP/IMAP/SMB/IPTUX七种协议进行病毒查杀；本地病毒库规模大于1000万，支持样本留存；支持对最多16级的压缩文件进行解压查杀（需提供产品功能截图证明）。</w:t>
            </w:r>
          </w:p>
        </w:tc>
      </w:tr>
      <w:tr w14:paraId="1F5C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52BDB56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2E0EBA7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入侵防御</w:t>
            </w:r>
          </w:p>
        </w:tc>
        <w:tc>
          <w:tcPr>
            <w:tcW w:w="6527" w:type="dxa"/>
            <w:noWrap w:val="0"/>
            <w:vAlign w:val="center"/>
          </w:tcPr>
          <w:p w14:paraId="5121C438">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入侵检测技术要求自主研发（要求提供第三方官方权威机构出具的证明文件，并加盖原厂公章）</w:t>
            </w:r>
          </w:p>
        </w:tc>
      </w:tr>
      <w:tr w14:paraId="593C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2A0984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50E251A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0E2A44C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支持在设备漏洞防护特征库直接查阅攻击的名称、CVEID、CNNVDID、严重性、影响的平台、类型、描述等详细信息</w:t>
            </w:r>
          </w:p>
        </w:tc>
      </w:tr>
      <w:tr w14:paraId="4BDA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24168F6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3BA56FF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0EB1DDB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所投产品必须支持在设备漏洞防护特征库直接查阅攻击的名称、CVEID、CNNVDID、CWEID、严重性、影响的平台、类型、描述、解决方案建议等详细信息；</w:t>
            </w:r>
          </w:p>
        </w:tc>
      </w:tr>
      <w:tr w14:paraId="2A5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3F8E04A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0977073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97B520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间谍软件防护功能，同时将间谍软件特征库分类，至少包括木马后门、病毒蠕虫、僵尸网络等三种分类;支持在防火墙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p>
        </w:tc>
      </w:tr>
      <w:tr w14:paraId="05FD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1276DED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7C432D6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蜜罐策略</w:t>
            </w:r>
          </w:p>
        </w:tc>
        <w:tc>
          <w:tcPr>
            <w:tcW w:w="6527" w:type="dxa"/>
            <w:noWrap w:val="0"/>
            <w:vAlign w:val="center"/>
          </w:tcPr>
          <w:p w14:paraId="38355FA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★必须支持IPv4和IPv6流量的蜜罐引流策略，支持配置基于源安全域、目的安全域、源地址、目的地址、服务、VLAN的引流策略，并支持强制导流，能够通过设置服务器和端口进行引流（需提供产品功能截图证明）</w:t>
            </w:r>
          </w:p>
        </w:tc>
      </w:tr>
      <w:tr w14:paraId="22DF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0CFA251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4425F1E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26A40C5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必须支持威胁引流功能，威胁引流可以通过开关设置是否开启，通过添加蜜罐地址实现引流，同时支持添加例外域名，做到精细化引流管控</w:t>
            </w:r>
          </w:p>
        </w:tc>
      </w:tr>
      <w:tr w14:paraId="6BA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0746B97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598E225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网络异常感知</w:t>
            </w:r>
          </w:p>
        </w:tc>
        <w:tc>
          <w:tcPr>
            <w:tcW w:w="6527" w:type="dxa"/>
            <w:noWrap w:val="0"/>
            <w:vAlign w:val="center"/>
          </w:tcPr>
          <w:p w14:paraId="03428AB3">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14:paraId="7509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3C1BC78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334798E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241ABD63">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支持基于主机或威胁情报视图，统计网络中存在安全风险的主机数量以及对应的风险等级，至少可查看遭遇风险的时间、威胁类别、情报来源、威胁简介、失陷主机IP、用户名、资产等信息</w:t>
            </w:r>
          </w:p>
        </w:tc>
      </w:tr>
      <w:tr w14:paraId="0D48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353367D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2239EE4B">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EB42CD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支持统计网络内威胁事件的数量及对应的风险等级；支持一键跳转查看详情并自动显示关联日志；可基于网络连接、应用名称、威胁事件处置威胁事件；（需提供产品功能截图证明）</w:t>
            </w:r>
          </w:p>
        </w:tc>
      </w:tr>
      <w:tr w14:paraId="653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5787143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7D24FD9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298AE3A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支持用户自定义重点URL分类和应用，并可基于定义的重点关注对象进行用户维度关联，并结合分析中心进行基于关联的用户/地址、URL分类、应用进行二次递进式深度分析，挖掘异常用户及异常网络行为。</w:t>
            </w:r>
          </w:p>
        </w:tc>
      </w:tr>
      <w:tr w14:paraId="7A68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730BF89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3C5F779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安全事件分析</w:t>
            </w:r>
          </w:p>
        </w:tc>
        <w:tc>
          <w:tcPr>
            <w:tcW w:w="6527" w:type="dxa"/>
            <w:noWrap w:val="0"/>
            <w:vAlign w:val="center"/>
          </w:tcPr>
          <w:p w14:paraId="4D1A1DC5">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提供关联分析面板，可将应用、威胁、URL分类、源地址、目的地址等信息关联，并支持以任意元素于为过滤条件且不少于35个维度进行数据钻取</w:t>
            </w:r>
          </w:p>
        </w:tc>
      </w:tr>
      <w:tr w14:paraId="2F6C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FD37BB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78C44E9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87475C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支持基于网络活动，威胁活动、阻止活动等多维关联统计及分析，发现异常行为</w:t>
            </w:r>
          </w:p>
        </w:tc>
      </w:tr>
      <w:tr w14:paraId="59E7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2E24551C">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157A144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8CAB8DF">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提供关联的威胁事件日志，系统可自动将产生威胁事件的连接经过防病毒、防漏洞、防间谍软件、URL过滤、文件过滤等安全模块检查的日志集中显示</w:t>
            </w:r>
          </w:p>
        </w:tc>
      </w:tr>
      <w:tr w14:paraId="270B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0DA2790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455E887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8412A31">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支持自定义一个或多个过滤条件，防火墙上的全部日志进行模糊检索或指定条件的精确检索，快速定位特定目标当前行为是否存在异常，网络中是否存在异常等问题，并可记录一个或者多个自定义过滤条件历史</w:t>
            </w:r>
          </w:p>
        </w:tc>
      </w:tr>
      <w:tr w14:paraId="5A76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128D063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47C17D5C">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策略与处置</w:t>
            </w:r>
          </w:p>
        </w:tc>
        <w:tc>
          <w:tcPr>
            <w:tcW w:w="6527" w:type="dxa"/>
            <w:noWrap w:val="0"/>
            <w:vAlign w:val="center"/>
          </w:tcPr>
          <w:p w14:paraId="7CAB5EFA">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要求可在单条策略中启用病毒防护、入侵防御、网址过滤、文件过滤、文件内容过滤、终端过滤等安全功能选项。</w:t>
            </w:r>
          </w:p>
        </w:tc>
      </w:tr>
      <w:tr w14:paraId="739A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7B4321E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2E111B5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DE11D34">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支持安全策略的快速检索及基于名称、地址、端口、协议多维度的高级策略检索，支持策略的复制、调序、查询</w:t>
            </w:r>
          </w:p>
        </w:tc>
      </w:tr>
      <w:tr w14:paraId="2967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7B7F216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478A2523">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732CD403">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支持基于受害主机的一键式阻断链接、记录日志等处置动作；</w:t>
            </w:r>
          </w:p>
        </w:tc>
      </w:tr>
      <w:tr w14:paraId="61C7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1BF168C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710088A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76D734B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支持接收针对突发重大安全事件的“应急响应消息”，并至少在界面显示安全事件名称、类型、当前防护状态、处置状态以及相应的操作等信息；并可根据设备安全配置的变化动态显示应急响应的处理结果</w:t>
            </w:r>
          </w:p>
        </w:tc>
      </w:tr>
      <w:tr w14:paraId="3B3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1F3A70A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08FCA6A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4C4691C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支持针对“应急响应消息”的手动或自动处置，处置方法至少包括基于漏洞的处置和基于威胁情报的处置</w:t>
            </w:r>
          </w:p>
        </w:tc>
      </w:tr>
      <w:tr w14:paraId="7786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53C28257">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restart"/>
            <w:noWrap w:val="0"/>
            <w:vAlign w:val="center"/>
          </w:tcPr>
          <w:p w14:paraId="69BBF50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运维管理</w:t>
            </w:r>
          </w:p>
        </w:tc>
        <w:tc>
          <w:tcPr>
            <w:tcW w:w="6527" w:type="dxa"/>
            <w:noWrap w:val="0"/>
            <w:vAlign w:val="center"/>
          </w:tcPr>
          <w:p w14:paraId="056A5BB1">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必须支持日志模板功能，可以设置置各种日志发送的哪些字段以及字段的顺序，满足日志字段定制化需求。</w:t>
            </w:r>
          </w:p>
        </w:tc>
      </w:tr>
      <w:tr w14:paraId="4C5E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340330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42296FF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0477B01">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必须支持资产管理，能够通过设置资产监控、VPN、源安全域来控制资产识别范围，支持scanner或onvif类型的扫描方式和网段，实现自动或手动资产扫描；支持通过设置IP地址、MAC地址、资产类型、生效时长、厂商、位置等信息来制定黑/白名单，方便日常资产管理，支持通过设置IP地址、MAC地址、资产类型、操作系统、应用、开放的端口和访问的端口等信息来制定资产指纹库（需提供产品功能截图证明）</w:t>
            </w:r>
          </w:p>
        </w:tc>
      </w:tr>
      <w:tr w14:paraId="2465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742EFE5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035C29F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0504E1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支持三权分立管理 ，权限设置至少包括全部权限，仅具有策略变更权限和仅具有日志审计权限、仅具有账户配置权限、虚系统配置管理权限以及虚系统审计权限；并支持以读写、只读、无权限的方式自定义权限管理，权限管理的范围至少包括策略配置、对象配置、网络配置、系统配置、统计分析、威胁处置等</w:t>
            </w:r>
          </w:p>
        </w:tc>
      </w:tr>
      <w:tr w14:paraId="00BD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ABCEE1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vMerge w:val="continue"/>
            <w:noWrap w:val="0"/>
            <w:vAlign w:val="center"/>
          </w:tcPr>
          <w:p w14:paraId="5EB1418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3810A914">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支持将告警信息以SNMP Trap、邮件、声音、短信等形式通知管理员，告警信息的范围至少包括配置变更、病毒事件、攻击事件、异常事件、CPU利用率、内存利用率、硬盘利用率、接口带宽利用率、NAT利用率等</w:t>
            </w:r>
          </w:p>
        </w:tc>
      </w:tr>
      <w:tr w14:paraId="54E1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6A34CC0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noWrap w:val="0"/>
            <w:vAlign w:val="center"/>
          </w:tcPr>
          <w:p w14:paraId="4E0DD8B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威胁情报</w:t>
            </w:r>
          </w:p>
        </w:tc>
        <w:tc>
          <w:tcPr>
            <w:tcW w:w="6527" w:type="dxa"/>
            <w:noWrap w:val="0"/>
            <w:vAlign w:val="center"/>
          </w:tcPr>
          <w:p w14:paraId="5B18D73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支持本地+云端威胁情报联动能力，本地威胁情报支持手动和自动升级，针对DNS行为可实现控制、放行、阻断和DNS sinkhole。</w:t>
            </w:r>
          </w:p>
        </w:tc>
      </w:tr>
      <w:tr w14:paraId="13D9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center"/>
          </w:tcPr>
          <w:p w14:paraId="45374616">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p>
        </w:tc>
        <w:tc>
          <w:tcPr>
            <w:tcW w:w="1163" w:type="dxa"/>
            <w:noWrap w:val="0"/>
            <w:vAlign w:val="center"/>
          </w:tcPr>
          <w:p w14:paraId="2A7068D0">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云端协同</w:t>
            </w:r>
          </w:p>
        </w:tc>
        <w:tc>
          <w:tcPr>
            <w:tcW w:w="6527" w:type="dxa"/>
            <w:noWrap w:val="0"/>
            <w:vAlign w:val="center"/>
          </w:tcPr>
          <w:p w14:paraId="0DD84158">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支持与云端联动，至少实现病毒云查杀、URL云识别、应用云识别、云沙箱、威胁情报云检测等功能</w:t>
            </w:r>
          </w:p>
        </w:tc>
      </w:tr>
      <w:tr w14:paraId="4DE0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5" w:type="dxa"/>
            <w:gridSpan w:val="2"/>
            <w:vMerge w:val="restart"/>
            <w:noWrap w:val="0"/>
            <w:vAlign w:val="center"/>
          </w:tcPr>
          <w:p w14:paraId="45D8BBD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资质证书，要求提供复印件</w:t>
            </w:r>
          </w:p>
        </w:tc>
        <w:tc>
          <w:tcPr>
            <w:tcW w:w="6527" w:type="dxa"/>
            <w:noWrap w:val="0"/>
            <w:vAlign w:val="top"/>
          </w:tcPr>
          <w:p w14:paraId="4F20C1EC">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★要求产品具备国家信息安全测评信息技术产品安全测评证书（EAL4+）</w:t>
            </w:r>
          </w:p>
        </w:tc>
      </w:tr>
      <w:tr w14:paraId="70C4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5" w:type="dxa"/>
            <w:gridSpan w:val="2"/>
            <w:vMerge w:val="continue"/>
            <w:noWrap w:val="0"/>
            <w:vAlign w:val="center"/>
          </w:tcPr>
          <w:p w14:paraId="5AE8C8A0">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top"/>
          </w:tcPr>
          <w:p w14:paraId="25620EE2">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★要求生产厂商具备《国产化信息系统集成和服务能力评估证书》（LS4）</w:t>
            </w:r>
          </w:p>
        </w:tc>
      </w:tr>
      <w:tr w14:paraId="0DD9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2"/>
            <w:vMerge w:val="continue"/>
            <w:noWrap w:val="0"/>
            <w:vAlign w:val="top"/>
          </w:tcPr>
          <w:p w14:paraId="2C85D9A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6B3D445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★要求生产厂商具备国家信息安全测评中心《信息安全服务资质-安全工程（三级）》</w:t>
            </w:r>
          </w:p>
        </w:tc>
      </w:tr>
      <w:tr w14:paraId="563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2"/>
            <w:vMerge w:val="continue"/>
            <w:noWrap w:val="0"/>
            <w:vAlign w:val="top"/>
          </w:tcPr>
          <w:p w14:paraId="0C79817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p>
        </w:tc>
        <w:tc>
          <w:tcPr>
            <w:tcW w:w="6527" w:type="dxa"/>
            <w:noWrap w:val="0"/>
            <w:vAlign w:val="center"/>
          </w:tcPr>
          <w:p w14:paraId="14752FA3">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★要求生产厂商具备CIC信息化建设及数字化能力评价证书（一级）</w:t>
            </w:r>
          </w:p>
        </w:tc>
      </w:tr>
    </w:tbl>
    <w:p w14:paraId="6FA4BD43">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kern w:val="2"/>
          <w:sz w:val="24"/>
          <w:szCs w:val="24"/>
          <w:lang w:val="en-US" w:eastAsia="zh-CN" w:bidi="ar-SA"/>
        </w:rPr>
        <w:t>4.</w:t>
      </w:r>
      <w:r>
        <w:rPr>
          <w:rFonts w:hint="eastAsia" w:ascii="宋体" w:hAnsi="宋体" w:eastAsia="宋体" w:cs="宋体"/>
          <w:b/>
          <w:bCs/>
          <w:sz w:val="24"/>
        </w:rPr>
        <w:t>应急指挥系统巡检服务</w:t>
      </w:r>
    </w:p>
    <w:p w14:paraId="1D7BFB5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应急指挥系统巡检服务主要提供每年至黄岩区域内</w:t>
      </w:r>
      <w:r>
        <w:rPr>
          <w:rFonts w:hint="eastAsia" w:ascii="宋体" w:hAnsi="宋体" w:eastAsia="宋体" w:cs="宋体"/>
          <w:color w:val="000000"/>
          <w:sz w:val="22"/>
          <w:szCs w:val="22"/>
          <w:highlight w:val="none"/>
          <w:lang w:val="en-US" w:eastAsia="zh-CN"/>
        </w:rPr>
        <w:t>所有</w:t>
      </w:r>
      <w:r>
        <w:rPr>
          <w:rFonts w:hint="eastAsia" w:ascii="宋体" w:hAnsi="宋体" w:eastAsia="宋体" w:cs="宋体"/>
          <w:color w:val="000000"/>
          <w:sz w:val="22"/>
          <w:szCs w:val="22"/>
          <w:highlight w:val="none"/>
        </w:rPr>
        <w:t>乡镇街道及所有行政村、社区及居委会提供巡检服务并提供专业技术咨询。</w:t>
      </w:r>
    </w:p>
    <w:p w14:paraId="3C7B3986">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780" w:leftChars="0" w:firstLine="0" w:firstLineChars="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（一）</w:t>
      </w:r>
      <w:r>
        <w:rPr>
          <w:rFonts w:hint="eastAsia" w:ascii="宋体" w:hAnsi="宋体" w:eastAsia="宋体" w:cs="宋体"/>
          <w:sz w:val="24"/>
        </w:rPr>
        <w:t>乡镇级应急指挥系统巡检服务</w:t>
      </w:r>
    </w:p>
    <w:p w14:paraId="2054A85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提供每年乡镇级应急指挥系统巡检服务，满足每年到各街道共22个点位（含长潭水库、永宁江、人武部）现场提供不少于3次巡检服务并提供专业技术咨询；对应急指挥系统供电、网络、音视频、设备各系统和线缆接头等进行巡检调试及零星故障排除。</w:t>
      </w:r>
    </w:p>
    <w:p w14:paraId="4875C150">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780" w:leftChars="0" w:firstLine="0" w:firstLineChars="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（二）</w:t>
      </w:r>
      <w:r>
        <w:rPr>
          <w:rFonts w:hint="eastAsia" w:ascii="宋体" w:hAnsi="宋体" w:eastAsia="宋体" w:cs="宋体"/>
          <w:sz w:val="24"/>
        </w:rPr>
        <w:t>村级应急指挥系统巡检服务</w:t>
      </w:r>
    </w:p>
    <w:p w14:paraId="63304AC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提供每年至全黄岩区内所有行政村、社区及居委会的村级应急指挥系统巡检服务，满足每年到各个行政村共344个点位现场提供1次巡检服务并提供专业技术咨询。</w:t>
      </w:r>
    </w:p>
    <w:p w14:paraId="6A71426C">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kern w:val="2"/>
          <w:sz w:val="24"/>
          <w:szCs w:val="24"/>
          <w:lang w:val="en-US" w:eastAsia="zh-CN" w:bidi="ar-SA"/>
        </w:rPr>
        <w:t>5.</w:t>
      </w:r>
      <w:r>
        <w:rPr>
          <w:rFonts w:hint="eastAsia" w:ascii="宋体" w:hAnsi="宋体" w:eastAsia="宋体" w:cs="宋体"/>
          <w:b/>
          <w:bCs/>
          <w:sz w:val="24"/>
        </w:rPr>
        <w:t>村级点位线路接入服务</w:t>
      </w:r>
    </w:p>
    <w:p w14:paraId="6035CE7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提供344条专线链路接入服务,链路带宽不低于100M，上下行均不低于100Mbps</w:t>
      </w:r>
      <w:r>
        <w:rPr>
          <w:rFonts w:hint="eastAsia" w:ascii="宋体" w:hAnsi="宋体" w:eastAsia="宋体" w:cs="宋体"/>
          <w:color w:val="000000"/>
          <w:sz w:val="22"/>
          <w:szCs w:val="22"/>
          <w:highlight w:val="none"/>
          <w:lang w:eastAsia="zh-CN"/>
        </w:rPr>
        <w:t>。</w:t>
      </w:r>
    </w:p>
    <w:p w14:paraId="101B71C7">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
          <w:sz w:val="22"/>
          <w:szCs w:val="22"/>
        </w:rPr>
      </w:pPr>
      <w:r>
        <w:rPr>
          <w:rFonts w:hint="eastAsia" w:ascii="宋体" w:hAnsi="宋体" w:eastAsia="宋体" w:cs="宋体"/>
          <w:b/>
          <w:sz w:val="22"/>
          <w:szCs w:val="22"/>
        </w:rPr>
        <w:t>五、运维服务要求</w:t>
      </w:r>
    </w:p>
    <w:p w14:paraId="77C33B28">
      <w:pPr>
        <w:keepNext w:val="0"/>
        <w:keepLines w:val="0"/>
        <w:pageBreakBefore w:val="0"/>
        <w:kinsoku/>
        <w:wordWrap/>
        <w:overflowPunct/>
        <w:topLinePunct w:val="0"/>
        <w:autoSpaceDE/>
        <w:autoSpaceDN/>
        <w:bidi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1.服务提供方必须保证防汛乡镇村会商系统的正常运行，对本项目要求的范围内的系统提供整体质保及配套技术服务，包含但不限于设备材料的维修及替换，如系统出现问题，应</w:t>
      </w:r>
      <w:r>
        <w:rPr>
          <w:rFonts w:hint="eastAsia" w:ascii="宋体" w:hAnsi="宋体" w:eastAsia="宋体" w:cs="宋体"/>
          <w:color w:val="000000"/>
          <w:sz w:val="22"/>
          <w:szCs w:val="22"/>
          <w:highlight w:val="none"/>
        </w:rPr>
        <w:t>在接到故障申报15分钟内响应、</w:t>
      </w:r>
      <w:r>
        <w:rPr>
          <w:rFonts w:hint="eastAsia" w:ascii="宋体" w:hAnsi="宋体" w:eastAsia="宋体" w:cs="宋体"/>
          <w:color w:val="000000"/>
          <w:sz w:val="22"/>
          <w:szCs w:val="22"/>
          <w:highlight w:val="none"/>
          <w:lang w:eastAsia="zh-CN"/>
        </w:rPr>
        <w:t>半</w:t>
      </w:r>
      <w:r>
        <w:rPr>
          <w:rFonts w:hint="eastAsia" w:ascii="宋体" w:hAnsi="宋体" w:eastAsia="宋体" w:cs="宋体"/>
          <w:color w:val="000000"/>
          <w:sz w:val="22"/>
          <w:szCs w:val="22"/>
          <w:highlight w:val="none"/>
        </w:rPr>
        <w:t>小时内到达现场和</w:t>
      </w:r>
      <w:r>
        <w:rPr>
          <w:rFonts w:hint="eastAsia" w:ascii="宋体" w:hAnsi="宋体" w:eastAsia="宋体" w:cs="宋体"/>
          <w:color w:val="000000"/>
          <w:sz w:val="22"/>
          <w:szCs w:val="22"/>
          <w:highlight w:val="none"/>
          <w:lang w:eastAsia="zh-CN"/>
        </w:rPr>
        <w:t>2</w:t>
      </w:r>
      <w:r>
        <w:rPr>
          <w:rFonts w:hint="eastAsia" w:ascii="宋体" w:hAnsi="宋体" w:eastAsia="宋体" w:cs="宋体"/>
          <w:color w:val="000000"/>
          <w:sz w:val="22"/>
          <w:szCs w:val="22"/>
          <w:highlight w:val="none"/>
        </w:rPr>
        <w:t>小时内故障处理完毕、</w:t>
      </w:r>
      <w:r>
        <w:rPr>
          <w:rFonts w:hint="eastAsia" w:ascii="宋体" w:hAnsi="宋体" w:eastAsia="宋体" w:cs="宋体"/>
          <w:color w:val="000000"/>
          <w:sz w:val="22"/>
          <w:szCs w:val="22"/>
          <w:highlight w:val="none"/>
          <w:lang w:eastAsia="zh-CN"/>
        </w:rPr>
        <w:t>3</w:t>
      </w:r>
      <w:r>
        <w:rPr>
          <w:rFonts w:hint="eastAsia" w:ascii="宋体" w:hAnsi="宋体" w:eastAsia="宋体" w:cs="宋体"/>
          <w:color w:val="000000"/>
          <w:sz w:val="22"/>
          <w:szCs w:val="22"/>
          <w:highlight w:val="none"/>
        </w:rPr>
        <w:t>小时内无法解决故障提供备机服务、承诺承担规定时间内不能解决故障导致采购人寻求第三方协助产生的费用</w:t>
      </w:r>
      <w:r>
        <w:rPr>
          <w:rFonts w:hint="eastAsia" w:ascii="宋体" w:hAnsi="宋体" w:eastAsia="宋体" w:cs="宋体"/>
          <w:sz w:val="22"/>
          <w:szCs w:val="22"/>
          <w:highlight w:val="none"/>
        </w:rPr>
        <w:t>；</w:t>
      </w:r>
    </w:p>
    <w:p w14:paraId="525B4E3C">
      <w:pPr>
        <w:keepNext w:val="0"/>
        <w:keepLines w:val="0"/>
        <w:pageBreakBefore w:val="0"/>
        <w:kinsoku/>
        <w:wordWrap/>
        <w:overflowPunct/>
        <w:topLinePunct w:val="0"/>
        <w:autoSpaceDE/>
        <w:autoSpaceDN/>
        <w:bidi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.投标人对于本项目要求的范围内的系统需要具备专业的技术能力，具备分析诊断问题，排除故障，系统调试的综合能力，同时为用户提供专业的技术咨询服务；</w:t>
      </w:r>
    </w:p>
    <w:p w14:paraId="164E9614">
      <w:pPr>
        <w:keepNext w:val="0"/>
        <w:keepLines w:val="0"/>
        <w:pageBreakBefore w:val="0"/>
        <w:kinsoku/>
        <w:wordWrap/>
        <w:overflowPunct/>
        <w:topLinePunct w:val="0"/>
        <w:autoSpaceDE/>
        <w:autoSpaceDN/>
        <w:bidi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.遇洪涝台风等重大自然灾害时，市防指启动</w:t>
      </w:r>
      <w:r>
        <w:rPr>
          <w:rFonts w:hint="eastAsia" w:ascii="宋体" w:hAnsi="宋体" w:eastAsia="宋体" w:cs="宋体"/>
          <w:sz w:val="22"/>
          <w:szCs w:val="22"/>
          <w:highlight w:val="none"/>
          <w:lang w:val="en-US" w:eastAsia="zh-CN"/>
        </w:rPr>
        <w:t>Ⅲ</w:t>
      </w:r>
      <w:r>
        <w:rPr>
          <w:rFonts w:hint="eastAsia" w:ascii="宋体" w:hAnsi="宋体" w:eastAsia="宋体" w:cs="宋体"/>
          <w:sz w:val="22"/>
          <w:szCs w:val="22"/>
          <w:highlight w:val="none"/>
        </w:rPr>
        <w:t>应急响应后，</w:t>
      </w:r>
      <w:r>
        <w:rPr>
          <w:rFonts w:hint="eastAsia" w:ascii="宋体" w:hAnsi="宋体" w:eastAsia="宋体" w:cs="宋体"/>
          <w:sz w:val="22"/>
          <w:szCs w:val="22"/>
          <w:highlight w:val="none"/>
          <w:lang w:val="en-US" w:eastAsia="zh-CN"/>
        </w:rPr>
        <w:t>为保障</w:t>
      </w:r>
      <w:r>
        <w:rPr>
          <w:rFonts w:hint="eastAsia" w:ascii="宋体" w:hAnsi="宋体" w:eastAsia="宋体" w:cs="宋体"/>
          <w:sz w:val="22"/>
          <w:szCs w:val="22"/>
          <w:highlight w:val="none"/>
        </w:rPr>
        <w:t>防汛乡镇村会商系统的正常运行，乙方需</w:t>
      </w:r>
      <w:r>
        <w:rPr>
          <w:rFonts w:hint="eastAsia" w:ascii="宋体" w:hAnsi="宋体" w:eastAsia="宋体" w:cs="宋体"/>
          <w:sz w:val="22"/>
          <w:szCs w:val="22"/>
          <w:highlight w:val="none"/>
          <w:lang w:val="en-US" w:eastAsia="zh-CN"/>
        </w:rPr>
        <w:t>增派</w:t>
      </w:r>
      <w:r>
        <w:rPr>
          <w:rFonts w:hint="eastAsia" w:ascii="宋体" w:hAnsi="宋体" w:eastAsia="宋体" w:cs="宋体"/>
          <w:sz w:val="22"/>
          <w:szCs w:val="22"/>
          <w:highlight w:val="none"/>
        </w:rPr>
        <w:t>人员进行现场保障；</w:t>
      </w:r>
    </w:p>
    <w:p w14:paraId="003F3B48">
      <w:pPr>
        <w:keepNext w:val="0"/>
        <w:keepLines w:val="0"/>
        <w:pageBreakBefore w:val="0"/>
        <w:kinsoku/>
        <w:wordWrap/>
        <w:overflowPunct/>
        <w:topLinePunct w:val="0"/>
        <w:autoSpaceDE/>
        <w:autoSpaceDN/>
        <w:bidi w:val="0"/>
        <w:spacing w:line="360" w:lineRule="auto"/>
        <w:ind w:firstLine="440" w:firstLineChars="200"/>
        <w:jc w:val="left"/>
        <w:rPr>
          <w:rFonts w:hint="eastAsia" w:ascii="宋体" w:hAnsi="宋体" w:eastAsia="宋体" w:cs="宋体"/>
          <w:b/>
          <w:bCs/>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投标人</w:t>
      </w:r>
      <w:r>
        <w:rPr>
          <w:rFonts w:hint="eastAsia" w:ascii="宋体" w:hAnsi="宋体" w:eastAsia="宋体" w:cs="宋体"/>
          <w:sz w:val="22"/>
          <w:szCs w:val="22"/>
        </w:rPr>
        <w:t>应协助用户进行项目相关的服务资料定期更新。</w:t>
      </w:r>
    </w:p>
    <w:p w14:paraId="7B19E786">
      <w:pPr>
        <w:keepNext w:val="0"/>
        <w:keepLines w:val="0"/>
        <w:pageBreakBefore w:val="0"/>
        <w:kinsoku/>
        <w:wordWrap/>
        <w:overflowPunct/>
        <w:topLinePunct w:val="0"/>
        <w:autoSpaceDE/>
        <w:autoSpaceDN/>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六、工作进度要求</w:t>
      </w:r>
    </w:p>
    <w:p w14:paraId="486A6C09">
      <w:pPr>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z w:val="22"/>
          <w:szCs w:val="22"/>
        </w:rPr>
      </w:pPr>
      <w:r>
        <w:rPr>
          <w:rFonts w:hint="eastAsia" w:ascii="宋体" w:hAnsi="宋体" w:eastAsia="宋体" w:cs="宋体"/>
          <w:sz w:val="22"/>
          <w:szCs w:val="22"/>
        </w:rPr>
        <w:t>为保障汛期期间系统正常运行，合同签订后</w:t>
      </w:r>
      <w:r>
        <w:rPr>
          <w:rFonts w:hint="eastAsia" w:ascii="宋体" w:hAnsi="宋体" w:eastAsia="宋体" w:cs="宋体"/>
          <w:sz w:val="22"/>
          <w:szCs w:val="22"/>
          <w:lang w:val="en-US" w:eastAsia="zh-CN"/>
        </w:rPr>
        <w:t>15</w:t>
      </w:r>
      <w:r>
        <w:rPr>
          <w:rFonts w:hint="eastAsia" w:ascii="宋体" w:hAnsi="宋体" w:eastAsia="宋体" w:cs="宋体"/>
          <w:sz w:val="22"/>
          <w:szCs w:val="22"/>
        </w:rPr>
        <w:t>日内系统整体上线运行。</w:t>
      </w:r>
    </w:p>
    <w:p w14:paraId="2C1A7982">
      <w:pPr>
        <w:keepNext w:val="0"/>
        <w:keepLines w:val="0"/>
        <w:pageBreakBefore w:val="0"/>
        <w:kinsoku/>
        <w:wordWrap/>
        <w:overflowPunct/>
        <w:topLinePunct w:val="0"/>
        <w:autoSpaceDE/>
        <w:autoSpaceDN/>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七、付款方式</w:t>
      </w:r>
    </w:p>
    <w:p w14:paraId="18487E1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2"/>
          <w:szCs w:val="22"/>
        </w:rPr>
      </w:pPr>
      <w:r>
        <w:rPr>
          <w:rFonts w:hint="eastAsia" w:ascii="宋体" w:hAnsi="宋体" w:eastAsia="宋体" w:cs="宋体"/>
          <w:sz w:val="22"/>
          <w:szCs w:val="22"/>
        </w:rPr>
        <w:t>付款方式：合同签订后服务费按年分摊支付，在合同生效后7个工作日内支付第一年度服务款项的40%作为预付款，服务期满一年后进行年度服务质量验收，验收合格后支付第一年剩余服务费用，第二年度及第三年度依次类推，项目相关发票应随付款进度及时提供。</w:t>
      </w:r>
    </w:p>
    <w:p w14:paraId="6FA34F7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2"/>
          <w:szCs w:val="22"/>
        </w:rPr>
      </w:pPr>
      <w:r>
        <w:rPr>
          <w:rFonts w:hint="eastAsia" w:ascii="宋体" w:hAnsi="宋体" w:eastAsia="宋体" w:cs="宋体"/>
          <w:sz w:val="22"/>
          <w:szCs w:val="22"/>
        </w:rPr>
        <w:t>在签订合同时，成交人明确表示无需预付款或者主动要求降低预付款比例的，采购人可不适用前述预付款的规定。</w:t>
      </w:r>
    </w:p>
    <w:p w14:paraId="0262A345">
      <w:pPr>
        <w:keepNext w:val="0"/>
        <w:keepLines w:val="0"/>
        <w:pageBreakBefore w:val="0"/>
        <w:kinsoku/>
        <w:wordWrap/>
        <w:overflowPunct/>
        <w:topLinePunct w:val="0"/>
        <w:autoSpaceDE/>
        <w:autoSpaceDN/>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14:paraId="30BB2B08">
      <w:pPr>
        <w:keepNext w:val="0"/>
        <w:keepLines w:val="0"/>
        <w:pageBreakBefore w:val="0"/>
        <w:kinsoku/>
        <w:wordWrap/>
        <w:overflowPunct/>
        <w:topLinePunct w:val="0"/>
        <w:autoSpaceDE/>
        <w:autoSpaceDN/>
        <w:bidi w:val="0"/>
        <w:adjustRightIn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本项目为交钥匙工程，全部费用均由供应商承担，计入投标报价，未列费用视为免费提供，采购人不再另行支付。</w:t>
      </w:r>
    </w:p>
    <w:p w14:paraId="7B50B291">
      <w:pPr>
        <w:keepNext w:val="0"/>
        <w:keepLines w:val="0"/>
        <w:pageBreakBefore w:val="0"/>
        <w:kinsoku/>
        <w:wordWrap/>
        <w:overflowPunct/>
        <w:topLinePunct w:val="0"/>
        <w:autoSpaceDE/>
        <w:autoSpaceDN/>
        <w:bidi w:val="0"/>
        <w:adjustRightIn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招标人在招标文件所列</w:t>
      </w:r>
      <w:r>
        <w:rPr>
          <w:rFonts w:hint="eastAsia" w:ascii="宋体" w:hAnsi="宋体" w:eastAsia="宋体" w:cs="宋体"/>
          <w:b/>
          <w:color w:val="auto"/>
          <w:sz w:val="22"/>
          <w:szCs w:val="22"/>
          <w:highlight w:val="none"/>
          <w:lang w:val="en-US" w:eastAsia="zh-CN"/>
        </w:rPr>
        <w:t>服务</w:t>
      </w:r>
      <w:r>
        <w:rPr>
          <w:rFonts w:hint="eastAsia" w:ascii="宋体" w:hAnsi="宋体" w:eastAsia="宋体" w:cs="宋体"/>
          <w:b/>
          <w:color w:val="auto"/>
          <w:sz w:val="22"/>
          <w:szCs w:val="22"/>
          <w:highlight w:val="none"/>
        </w:rPr>
        <w:t>清单中，只列主要</w:t>
      </w:r>
      <w:r>
        <w:rPr>
          <w:rFonts w:hint="eastAsia" w:ascii="宋体" w:hAnsi="宋体" w:eastAsia="宋体" w:cs="宋体"/>
          <w:b/>
          <w:color w:val="auto"/>
          <w:sz w:val="22"/>
          <w:szCs w:val="22"/>
          <w:highlight w:val="none"/>
          <w:lang w:val="en-US" w:eastAsia="zh-CN"/>
        </w:rPr>
        <w:t>服务</w:t>
      </w:r>
      <w:r>
        <w:rPr>
          <w:rFonts w:hint="eastAsia" w:ascii="宋体" w:hAnsi="宋体" w:eastAsia="宋体" w:cs="宋体"/>
          <w:b/>
          <w:color w:val="auto"/>
          <w:sz w:val="22"/>
          <w:szCs w:val="22"/>
          <w:highlight w:val="none"/>
        </w:rPr>
        <w:t>、技术参数等要求，其他辅材、配件、模块等未详细列入，均应包括在相应</w:t>
      </w:r>
      <w:r>
        <w:rPr>
          <w:rFonts w:hint="eastAsia" w:ascii="宋体" w:hAnsi="宋体" w:eastAsia="宋体" w:cs="宋体"/>
          <w:b/>
          <w:color w:val="auto"/>
          <w:sz w:val="22"/>
          <w:szCs w:val="22"/>
          <w:highlight w:val="none"/>
          <w:lang w:val="en-US" w:eastAsia="zh-CN"/>
        </w:rPr>
        <w:t>服务</w:t>
      </w:r>
      <w:r>
        <w:rPr>
          <w:rFonts w:hint="eastAsia" w:ascii="宋体" w:hAnsi="宋体" w:eastAsia="宋体" w:cs="宋体"/>
          <w:b/>
          <w:color w:val="auto"/>
          <w:sz w:val="22"/>
          <w:szCs w:val="22"/>
          <w:highlight w:val="none"/>
        </w:rPr>
        <w:t>中。 投标人有义务保证采购人系统的完整性,如项目实施过程中因缺少设备、辅材、配件、模块或服务导致采购人系统无法正常运行，中标人须免费提供，报价时自行考虑;</w:t>
      </w:r>
    </w:p>
    <w:p w14:paraId="5C1F1C92">
      <w:pPr>
        <w:keepNext w:val="0"/>
        <w:keepLines w:val="0"/>
        <w:pageBreakBefore w:val="0"/>
        <w:tabs>
          <w:tab w:val="left" w:pos="400"/>
        </w:tabs>
        <w:kinsoku/>
        <w:wordWrap/>
        <w:overflowPunct/>
        <w:topLinePunct w:val="0"/>
        <w:autoSpaceDE/>
        <w:autoSpaceDN/>
        <w:bidi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供应商投标文件中须提供检测报告、产品合格证、产品说明等相关证明资料给予佐证。</w:t>
      </w:r>
    </w:p>
    <w:p w14:paraId="5C332EE9">
      <w:pPr>
        <w:keepNext w:val="0"/>
        <w:keepLines w:val="0"/>
        <w:pageBreakBefore w:val="0"/>
        <w:kinsoku/>
        <w:wordWrap/>
        <w:overflowPunct/>
        <w:topLinePunct w:val="0"/>
        <w:autoSpaceDE/>
        <w:autoSpaceDN/>
        <w:bidi w:val="0"/>
        <w:adjustRightIn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签订合同前，采购人有权要求中标供应商提供相关证书原件予以核查。</w:t>
      </w:r>
    </w:p>
    <w:p w14:paraId="7758F279">
      <w:pPr>
        <w:pStyle w:val="106"/>
        <w:keepNext w:val="0"/>
        <w:keepLines w:val="0"/>
        <w:pageBreakBefore w:val="0"/>
        <w:kinsoku/>
        <w:wordWrap/>
        <w:overflowPunct/>
        <w:topLinePunct w:val="0"/>
        <w:autoSpaceDE/>
        <w:autoSpaceDN/>
        <w:bidi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投标供应商需保证投标资料的真实性，供货时，采购人将进行如实核对，如查实投标产品技术参数有弄虚作假行为，将上报同级监管部门，废除其中标人资格并有保留追究责任的权利。</w:t>
      </w:r>
    </w:p>
    <w:p w14:paraId="69BD52B8">
      <w:pPr>
        <w:pStyle w:val="13"/>
        <w:keepNext w:val="0"/>
        <w:keepLines w:val="0"/>
        <w:pageBreakBefore w:val="0"/>
        <w:kinsoku/>
        <w:wordWrap/>
        <w:overflowPunct/>
        <w:topLinePunct w:val="0"/>
        <w:autoSpaceDE/>
        <w:autoSpaceDN/>
        <w:bidi w:val="0"/>
        <w:spacing w:line="360" w:lineRule="auto"/>
        <w:rPr>
          <w:rFonts w:hint="eastAsia" w:ascii="宋体" w:hAnsi="宋体" w:eastAsia="宋体" w:cs="宋体"/>
          <w:sz w:val="22"/>
          <w:szCs w:val="22"/>
        </w:rPr>
        <w:sectPr>
          <w:headerReference r:id="rId7" w:type="default"/>
          <w:footerReference r:id="rId8" w:type="default"/>
          <w:pgSz w:w="11906" w:h="16838"/>
          <w:pgMar w:top="1463" w:right="1800" w:bottom="1463" w:left="1587" w:header="851" w:footer="1417" w:gutter="0"/>
          <w:pgNumType w:fmt="numberInDash" w:start="1"/>
          <w:cols w:space="720" w:num="1"/>
          <w:docGrid w:type="lines" w:linePitch="312" w:charSpace="0"/>
        </w:sectPr>
      </w:pPr>
    </w:p>
    <w:p w14:paraId="7966A09D">
      <w:pPr>
        <w:numPr>
          <w:ilvl w:val="0"/>
          <w:numId w:val="0"/>
        </w:numPr>
        <w:spacing w:line="360" w:lineRule="auto"/>
        <w:jc w:val="center"/>
        <w:rPr>
          <w:rFonts w:hint="eastAsia" w:ascii="宋体" w:hAnsi="宋体" w:eastAsia="宋体" w:cs="宋体"/>
          <w:b/>
          <w:sz w:val="32"/>
          <w:szCs w:val="32"/>
        </w:rPr>
      </w:pPr>
      <w:r>
        <w:rPr>
          <w:rFonts w:hint="eastAsia" w:ascii="宋体" w:hAnsi="宋体" w:eastAsia="宋体" w:cs="宋体"/>
          <w:b/>
          <w:kern w:val="2"/>
          <w:sz w:val="32"/>
          <w:szCs w:val="32"/>
          <w:lang w:val="en-US" w:eastAsia="zh-CN" w:bidi="ar-SA"/>
        </w:rPr>
        <w:t xml:space="preserve">第五部分  </w:t>
      </w:r>
      <w:r>
        <w:rPr>
          <w:rFonts w:hint="eastAsia" w:ascii="宋体" w:hAnsi="宋体" w:eastAsia="宋体" w:cs="宋体"/>
          <w:b/>
          <w:sz w:val="32"/>
          <w:szCs w:val="32"/>
        </w:rPr>
        <w:t>政府采购合同主要条款指引</w:t>
      </w:r>
    </w:p>
    <w:p w14:paraId="6A63B2AF">
      <w:pPr>
        <w:pStyle w:val="44"/>
        <w:rPr>
          <w:rFonts w:hint="eastAsia" w:ascii="宋体" w:hAnsi="宋体" w:eastAsia="宋体" w:cs="宋体"/>
          <w:sz w:val="24"/>
        </w:rPr>
      </w:pPr>
    </w:p>
    <w:p w14:paraId="44300FB3">
      <w:pPr>
        <w:pStyle w:val="12"/>
        <w:rPr>
          <w:rFonts w:hint="eastAsia" w:ascii="宋体" w:hAnsi="宋体" w:eastAsia="宋体" w:cs="宋体"/>
        </w:rPr>
      </w:pPr>
    </w:p>
    <w:p w14:paraId="4FA9055F">
      <w:pPr>
        <w:pStyle w:val="12"/>
        <w:rPr>
          <w:rFonts w:hint="eastAsia" w:ascii="宋体" w:hAnsi="宋体" w:eastAsia="宋体" w:cs="宋体"/>
        </w:rPr>
      </w:pPr>
    </w:p>
    <w:p w14:paraId="105D8B42">
      <w:pPr>
        <w:spacing w:line="360" w:lineRule="auto"/>
        <w:rPr>
          <w:rFonts w:hint="eastAsia" w:ascii="宋体" w:hAnsi="宋体" w:eastAsia="宋体" w:cs="宋体"/>
          <w:sz w:val="24"/>
        </w:rPr>
      </w:pPr>
    </w:p>
    <w:p w14:paraId="1AE29403">
      <w:pPr>
        <w:spacing w:line="360" w:lineRule="auto"/>
        <w:rPr>
          <w:rFonts w:hint="eastAsia" w:ascii="宋体" w:hAnsi="宋体" w:eastAsia="宋体" w:cs="宋体"/>
          <w:sz w:val="24"/>
        </w:rPr>
      </w:pPr>
    </w:p>
    <w:p w14:paraId="7CD15F76">
      <w:pPr>
        <w:spacing w:line="360" w:lineRule="auto"/>
        <w:jc w:val="center"/>
        <w:rPr>
          <w:rFonts w:hint="eastAsia" w:ascii="宋体" w:hAnsi="宋体" w:eastAsia="宋体" w:cs="宋体"/>
          <w:b/>
          <w:sz w:val="84"/>
          <w:szCs w:val="84"/>
        </w:rPr>
      </w:pPr>
      <w:r>
        <w:rPr>
          <w:rFonts w:hint="eastAsia" w:ascii="宋体" w:hAnsi="宋体" w:eastAsia="宋体" w:cs="宋体"/>
          <w:b/>
          <w:sz w:val="84"/>
          <w:szCs w:val="84"/>
        </w:rPr>
        <w:t>合  同  书</w:t>
      </w:r>
    </w:p>
    <w:p w14:paraId="30497536">
      <w:pPr>
        <w:spacing w:line="360" w:lineRule="auto"/>
        <w:rPr>
          <w:rFonts w:hint="eastAsia" w:ascii="宋体" w:hAnsi="宋体" w:eastAsia="宋体" w:cs="宋体"/>
          <w:sz w:val="24"/>
        </w:rPr>
      </w:pPr>
    </w:p>
    <w:p w14:paraId="3C3C36AA">
      <w:pPr>
        <w:spacing w:line="360" w:lineRule="auto"/>
        <w:rPr>
          <w:rFonts w:hint="eastAsia" w:ascii="宋体" w:hAnsi="宋体" w:eastAsia="宋体" w:cs="宋体"/>
          <w:sz w:val="24"/>
        </w:rPr>
      </w:pPr>
    </w:p>
    <w:p w14:paraId="7DD2DC73">
      <w:pPr>
        <w:spacing w:line="360" w:lineRule="auto"/>
        <w:rPr>
          <w:rFonts w:hint="eastAsia" w:ascii="宋体" w:hAnsi="宋体" w:eastAsia="宋体" w:cs="宋体"/>
          <w:sz w:val="24"/>
        </w:rPr>
      </w:pPr>
    </w:p>
    <w:p w14:paraId="75BD1E7C">
      <w:pPr>
        <w:spacing w:line="360" w:lineRule="auto"/>
        <w:rPr>
          <w:rFonts w:hint="eastAsia" w:ascii="宋体" w:hAnsi="宋体" w:eastAsia="宋体" w:cs="宋体"/>
          <w:sz w:val="24"/>
        </w:rPr>
      </w:pPr>
    </w:p>
    <w:p w14:paraId="60FE624E">
      <w:pPr>
        <w:spacing w:line="360" w:lineRule="auto"/>
        <w:rPr>
          <w:rFonts w:hint="eastAsia" w:ascii="宋体" w:hAnsi="宋体" w:eastAsia="宋体" w:cs="宋体"/>
          <w:sz w:val="28"/>
          <w:szCs w:val="28"/>
        </w:rPr>
      </w:pPr>
    </w:p>
    <w:p w14:paraId="56371814">
      <w:pPr>
        <w:spacing w:line="480" w:lineRule="auto"/>
        <w:ind w:firstLine="280" w:firstLineChars="100"/>
        <w:rPr>
          <w:rFonts w:hint="eastAsia" w:ascii="宋体" w:hAnsi="宋体" w:eastAsia="宋体" w:cs="宋体"/>
          <w:sz w:val="28"/>
          <w:szCs w:val="28"/>
          <w:highlight w:val="none"/>
          <w:lang w:eastAsia="zh-CN"/>
        </w:rPr>
      </w:pPr>
      <w:r>
        <w:rPr>
          <w:rFonts w:hint="eastAsia" w:ascii="宋体" w:hAnsi="宋体" w:eastAsia="宋体" w:cs="宋体"/>
          <w:sz w:val="28"/>
          <w:szCs w:val="28"/>
        </w:rPr>
        <w:t>项目</w:t>
      </w:r>
      <w:r>
        <w:rPr>
          <w:rFonts w:hint="eastAsia" w:ascii="宋体" w:hAnsi="宋体" w:eastAsia="宋体" w:cs="宋体"/>
          <w:sz w:val="28"/>
          <w:szCs w:val="28"/>
          <w:highlight w:val="none"/>
        </w:rPr>
        <w:t>名称：</w:t>
      </w:r>
      <w:r>
        <w:rPr>
          <w:rFonts w:hint="eastAsia" w:ascii="宋体" w:hAnsi="宋体" w:eastAsia="宋体" w:cs="宋体"/>
          <w:sz w:val="28"/>
          <w:szCs w:val="28"/>
          <w:highlight w:val="none"/>
          <w:u w:val="single"/>
          <w:lang w:eastAsia="zh-CN"/>
        </w:rPr>
        <w:t>黄岩区应急能力提升工程（防汛乡镇村指挥会商系统）服务项目</w:t>
      </w:r>
    </w:p>
    <w:p w14:paraId="70A5DD9D">
      <w:pPr>
        <w:spacing w:line="48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eastAsia="zh-CN"/>
        </w:rPr>
        <w:t>ZJXCX-2025-CG070</w:t>
      </w:r>
      <w:r>
        <w:rPr>
          <w:rFonts w:hint="eastAsia" w:ascii="宋体" w:hAnsi="宋体" w:eastAsia="宋体" w:cs="宋体"/>
          <w:sz w:val="28"/>
          <w:szCs w:val="28"/>
          <w:highlight w:val="none"/>
          <w:u w:val="single"/>
        </w:rPr>
        <w:t xml:space="preserve">                  </w:t>
      </w:r>
    </w:p>
    <w:p w14:paraId="54A50971">
      <w:pPr>
        <w:spacing w:line="480" w:lineRule="auto"/>
        <w:ind w:firstLine="280" w:firstLineChars="100"/>
        <w:rPr>
          <w:rFonts w:hint="eastAsia" w:ascii="宋体" w:hAnsi="宋体" w:eastAsia="宋体" w:cs="宋体"/>
          <w:sz w:val="28"/>
          <w:szCs w:val="28"/>
        </w:rPr>
      </w:pPr>
      <w:r>
        <w:rPr>
          <w:rFonts w:hint="eastAsia" w:ascii="宋体" w:hAnsi="宋体" w:eastAsia="宋体" w:cs="宋体"/>
          <w:sz w:val="28"/>
          <w:szCs w:val="28"/>
          <w:highlight w:val="none"/>
        </w:rPr>
        <w:t>甲    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eastAsia="zh-CN"/>
        </w:rPr>
        <w:t>台州市黄岩区应急管理局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u w:val="single"/>
        </w:rPr>
        <w:t xml:space="preserve">              </w:t>
      </w:r>
    </w:p>
    <w:p w14:paraId="281CF6AF">
      <w:pPr>
        <w:spacing w:line="48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乙    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C1493C6">
      <w:pPr>
        <w:spacing w:line="360" w:lineRule="auto"/>
        <w:rPr>
          <w:rFonts w:hint="eastAsia" w:ascii="宋体" w:hAnsi="宋体" w:eastAsia="宋体" w:cs="宋体"/>
          <w:sz w:val="24"/>
        </w:rPr>
      </w:pPr>
    </w:p>
    <w:p w14:paraId="13A52C27">
      <w:pPr>
        <w:spacing w:line="360" w:lineRule="auto"/>
        <w:rPr>
          <w:rFonts w:hint="eastAsia" w:ascii="宋体" w:hAnsi="宋体" w:eastAsia="宋体" w:cs="宋体"/>
          <w:sz w:val="24"/>
        </w:rPr>
      </w:pPr>
    </w:p>
    <w:p w14:paraId="2342203E">
      <w:pPr>
        <w:spacing w:line="360" w:lineRule="auto"/>
        <w:rPr>
          <w:rFonts w:hint="eastAsia" w:ascii="宋体" w:hAnsi="宋体" w:eastAsia="宋体" w:cs="宋体"/>
          <w:sz w:val="24"/>
        </w:rPr>
      </w:pPr>
    </w:p>
    <w:p w14:paraId="11ABDE82">
      <w:pPr>
        <w:spacing w:line="360" w:lineRule="auto"/>
        <w:rPr>
          <w:rFonts w:hint="eastAsia" w:ascii="宋体" w:hAnsi="宋体" w:eastAsia="宋体" w:cs="宋体"/>
          <w:sz w:val="24"/>
        </w:rPr>
      </w:pPr>
    </w:p>
    <w:p w14:paraId="33BF500D">
      <w:pPr>
        <w:spacing w:line="360" w:lineRule="auto"/>
        <w:ind w:firstLine="2520" w:firstLineChars="900"/>
        <w:rPr>
          <w:rFonts w:hint="eastAsia" w:ascii="宋体" w:hAnsi="宋体" w:eastAsia="宋体" w:cs="宋体"/>
          <w:sz w:val="28"/>
          <w:szCs w:val="28"/>
          <w:lang w:eastAsia="zh-CN"/>
        </w:rPr>
      </w:pPr>
      <w:r>
        <w:rPr>
          <w:rFonts w:hint="eastAsia" w:ascii="宋体" w:hAnsi="宋体" w:eastAsia="宋体" w:cs="宋体"/>
          <w:sz w:val="28"/>
          <w:szCs w:val="28"/>
        </w:rPr>
        <w:t>签订地点：台州市</w:t>
      </w:r>
      <w:r>
        <w:rPr>
          <w:rFonts w:hint="eastAsia" w:ascii="宋体" w:hAnsi="宋体" w:eastAsia="宋体" w:cs="宋体"/>
          <w:sz w:val="28"/>
          <w:szCs w:val="28"/>
          <w:lang w:eastAsia="zh-CN"/>
        </w:rPr>
        <w:t>黄岩区</w:t>
      </w:r>
    </w:p>
    <w:p w14:paraId="2CF61D19">
      <w:pPr>
        <w:widowControl/>
        <w:spacing w:line="360" w:lineRule="auto"/>
        <w:ind w:firstLine="2520" w:firstLineChars="900"/>
        <w:jc w:val="left"/>
        <w:rPr>
          <w:rFonts w:hint="eastAsia" w:ascii="宋体" w:hAnsi="宋体" w:eastAsia="宋体" w:cs="宋体"/>
          <w:color w:val="000000"/>
          <w:kern w:val="0"/>
          <w:sz w:val="22"/>
          <w:szCs w:val="22"/>
        </w:rPr>
      </w:pPr>
      <w:r>
        <w:rPr>
          <w:rFonts w:hint="eastAsia" w:ascii="宋体" w:hAnsi="宋体" w:eastAsia="宋体" w:cs="宋体"/>
          <w:sz w:val="28"/>
          <w:szCs w:val="28"/>
        </w:rPr>
        <w:t>签订日期：202</w:t>
      </w:r>
      <w:r>
        <w:rPr>
          <w:rFonts w:hint="eastAsia" w:ascii="宋体" w:hAnsi="宋体" w:eastAsia="宋体" w:cs="宋体"/>
          <w:sz w:val="28"/>
          <w:szCs w:val="28"/>
          <w:lang w:val="en-US" w:eastAsia="zh-CN"/>
        </w:rPr>
        <w:t>5</w:t>
      </w:r>
      <w:r>
        <w:rPr>
          <w:rFonts w:hint="eastAsia" w:ascii="宋体" w:hAnsi="宋体" w:eastAsia="宋体" w:cs="宋体"/>
          <w:sz w:val="28"/>
          <w:szCs w:val="28"/>
        </w:rPr>
        <w:t>年    月   日</w:t>
      </w:r>
    </w:p>
    <w:p w14:paraId="3545ACDF">
      <w:pPr>
        <w:widowControl/>
        <w:snapToGrid w:val="0"/>
        <w:spacing w:line="440" w:lineRule="exact"/>
        <w:jc w:val="both"/>
        <w:rPr>
          <w:rFonts w:hint="eastAsia" w:ascii="宋体" w:hAnsi="宋体" w:eastAsia="宋体" w:cs="宋体"/>
          <w:b/>
          <w:bCs/>
          <w:color w:val="000000"/>
          <w:kern w:val="0"/>
          <w:sz w:val="32"/>
          <w:szCs w:val="32"/>
        </w:rPr>
      </w:pPr>
    </w:p>
    <w:p w14:paraId="2635775E">
      <w:pPr>
        <w:widowControl/>
        <w:snapToGrid w:val="0"/>
        <w:spacing w:line="440" w:lineRule="exact"/>
        <w:ind w:firstLine="643" w:firstLineChars="200"/>
        <w:jc w:val="center"/>
        <w:rPr>
          <w:rFonts w:hint="eastAsia" w:ascii="宋体" w:hAnsi="宋体" w:eastAsia="宋体" w:cs="宋体"/>
          <w:b/>
          <w:bCs/>
          <w:color w:val="000000"/>
          <w:kern w:val="0"/>
          <w:sz w:val="32"/>
          <w:szCs w:val="32"/>
        </w:rPr>
      </w:pPr>
    </w:p>
    <w:p w14:paraId="5DE6B833">
      <w:pPr>
        <w:widowControl/>
        <w:snapToGrid w:val="0"/>
        <w:spacing w:line="440" w:lineRule="exact"/>
        <w:ind w:firstLine="643" w:firstLineChars="20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合同主要条款</w:t>
      </w:r>
    </w:p>
    <w:p w14:paraId="36EE9AAB">
      <w:pPr>
        <w:widowControl/>
        <w:snapToGrid w:val="0"/>
        <w:spacing w:line="440" w:lineRule="exact"/>
        <w:ind w:firstLine="480" w:firstLineChars="200"/>
        <w:jc w:val="left"/>
        <w:rPr>
          <w:rFonts w:hint="eastAsia" w:ascii="宋体" w:hAnsi="宋体" w:eastAsia="宋体" w:cs="宋体"/>
          <w:color w:val="000000"/>
          <w:kern w:val="0"/>
          <w:sz w:val="15"/>
          <w:szCs w:val="15"/>
        </w:rPr>
      </w:pPr>
      <w:r>
        <w:rPr>
          <w:rFonts w:hint="eastAsia" w:ascii="宋体" w:hAnsi="宋体" w:eastAsia="宋体" w:cs="宋体"/>
          <w:color w:val="000000"/>
          <w:kern w:val="0"/>
          <w:sz w:val="24"/>
          <w:szCs w:val="24"/>
        </w:rPr>
        <w:t>项目名称：                            项目编号：</w:t>
      </w:r>
    </w:p>
    <w:p w14:paraId="14110865">
      <w:pPr>
        <w:widowControl/>
        <w:snapToGrid w:val="0"/>
        <w:spacing w:line="440" w:lineRule="exact"/>
        <w:ind w:firstLine="480" w:firstLineChars="200"/>
        <w:jc w:val="left"/>
        <w:rPr>
          <w:rFonts w:hint="eastAsia" w:ascii="宋体" w:hAnsi="宋体" w:eastAsia="宋体" w:cs="宋体"/>
          <w:color w:val="000000"/>
          <w:kern w:val="0"/>
          <w:sz w:val="15"/>
          <w:szCs w:val="15"/>
        </w:rPr>
      </w:pPr>
      <w:r>
        <w:rPr>
          <w:rFonts w:hint="eastAsia" w:ascii="宋体" w:hAnsi="宋体" w:eastAsia="宋体" w:cs="宋体"/>
          <w:color w:val="000000"/>
          <w:kern w:val="0"/>
          <w:sz w:val="24"/>
          <w:szCs w:val="24"/>
        </w:rPr>
        <w:t xml:space="preserve">甲方：（采购人）                     </w:t>
      </w:r>
    </w:p>
    <w:p w14:paraId="55247C91">
      <w:pPr>
        <w:widowControl/>
        <w:snapToGrid w:val="0"/>
        <w:spacing w:line="440" w:lineRule="exact"/>
        <w:ind w:firstLine="480" w:firstLineChars="200"/>
        <w:jc w:val="left"/>
        <w:rPr>
          <w:rFonts w:hint="eastAsia" w:ascii="宋体" w:hAnsi="宋体" w:eastAsia="宋体" w:cs="宋体"/>
          <w:color w:val="000000"/>
          <w:kern w:val="0"/>
          <w:sz w:val="13"/>
          <w:szCs w:val="13"/>
        </w:rPr>
      </w:pPr>
      <w:r>
        <w:rPr>
          <w:rFonts w:hint="eastAsia" w:ascii="宋体" w:hAnsi="宋体" w:eastAsia="宋体" w:cs="宋体"/>
          <w:color w:val="000000"/>
          <w:kern w:val="0"/>
          <w:sz w:val="24"/>
          <w:szCs w:val="24"/>
        </w:rPr>
        <w:t xml:space="preserve">乙方：（中标人）   </w:t>
      </w:r>
      <w:r>
        <w:rPr>
          <w:rFonts w:hint="eastAsia" w:ascii="宋体" w:hAnsi="宋体" w:eastAsia="宋体" w:cs="宋体"/>
          <w:color w:val="000000"/>
          <w:kern w:val="0"/>
          <w:sz w:val="22"/>
          <w:szCs w:val="22"/>
        </w:rPr>
        <w:t xml:space="preserve">                  </w:t>
      </w:r>
    </w:p>
    <w:p w14:paraId="0E200A53">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甲、乙双方根据关于</w:t>
      </w:r>
      <w:r>
        <w:rPr>
          <w:rFonts w:hint="eastAsia" w:ascii="宋体" w:hAnsi="宋体" w:eastAsia="宋体" w:cs="宋体"/>
          <w:sz w:val="24"/>
          <w:szCs w:val="24"/>
          <w:u w:val="single"/>
        </w:rPr>
        <w:t xml:space="preserve">                                        </w:t>
      </w:r>
      <w:r>
        <w:rPr>
          <w:rFonts w:hint="eastAsia" w:ascii="宋体" w:hAnsi="宋体" w:eastAsia="宋体" w:cs="宋体"/>
          <w:sz w:val="24"/>
          <w:szCs w:val="24"/>
        </w:rPr>
        <w:t>公开招标的结果，签署本合同。</w:t>
      </w:r>
    </w:p>
    <w:p w14:paraId="6595283C">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一、服务内容：</w:t>
      </w:r>
    </w:p>
    <w:p w14:paraId="57B5427C">
      <w:pPr>
        <w:pStyle w:val="17"/>
        <w:snapToGrid w:val="0"/>
        <w:spacing w:before="120" w:after="120"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详见磋商文件第四部分项目需求</w:t>
      </w:r>
    </w:p>
    <w:p w14:paraId="12048412">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二、合同金额</w:t>
      </w:r>
    </w:p>
    <w:p w14:paraId="79586F75">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本合同金额为（大写）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 xml:space="preserve">元）人民币。 </w:t>
      </w:r>
    </w:p>
    <w:p w14:paraId="197057C4">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kern w:val="0"/>
          <w:sz w:val="24"/>
        </w:rPr>
        <w:t>本合同价款包含所有乙方提供合同约定的服务内容的报酬及乙方提供该项服务所支出的必要费用，甲方在上述合同价款之外不再向乙方支付其他任何费用。</w:t>
      </w:r>
    </w:p>
    <w:p w14:paraId="1BEAD11A">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三、技术资料</w:t>
      </w:r>
    </w:p>
    <w:p w14:paraId="1E4F9FE9">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1.乙方应按招标文件规定的时间完成甲方要求的全部工作。</w:t>
      </w:r>
    </w:p>
    <w:p w14:paraId="4C37C4BF">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CFD5CE">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四、知识产权</w:t>
      </w:r>
    </w:p>
    <w:p w14:paraId="7397FA50">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w:t>
      </w:r>
    </w:p>
    <w:p w14:paraId="5365B7A1">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五、转包或分包</w:t>
      </w:r>
    </w:p>
    <w:p w14:paraId="4CD69310">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14:paraId="79CCD805">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2.除非得到甲方的书面同意，乙方不得将本合同范围的服务全部或部分分包给他人供应；</w:t>
      </w:r>
    </w:p>
    <w:p w14:paraId="4567C65A">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3.如有转让和未经甲方同意的分包行为，甲方有权解除合同，并追究乙方的违约责任。</w:t>
      </w:r>
    </w:p>
    <w:p w14:paraId="3FD11A47">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六、合同服务期限、履行地点</w:t>
      </w:r>
    </w:p>
    <w:p w14:paraId="491962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服务期限：</w:t>
      </w:r>
    </w:p>
    <w:p w14:paraId="69206645">
      <w:pPr>
        <w:pStyle w:val="17"/>
        <w:snapToGrid w:val="0"/>
        <w:spacing w:before="120" w:after="120"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default" w:ascii="宋体" w:hAnsi="宋体" w:eastAsia="宋体" w:cs="宋体"/>
          <w:color w:val="000000"/>
          <w:sz w:val="24"/>
          <w:lang w:val="en-US" w:eastAsia="zh-CN"/>
        </w:rPr>
        <w:t>本项目</w:t>
      </w:r>
      <w:r>
        <w:rPr>
          <w:rFonts w:hint="eastAsia" w:ascii="宋体" w:hAnsi="宋体" w:eastAsia="宋体" w:cs="宋体"/>
          <w:color w:val="000000"/>
          <w:sz w:val="24"/>
          <w:lang w:val="en-US" w:eastAsia="zh-CN"/>
        </w:rPr>
        <w:t>中标人</w:t>
      </w:r>
      <w:r>
        <w:rPr>
          <w:rFonts w:hint="default" w:ascii="宋体" w:hAnsi="宋体" w:eastAsia="宋体" w:cs="宋体"/>
          <w:color w:val="000000"/>
          <w:sz w:val="24"/>
          <w:lang w:val="en-US" w:eastAsia="zh-CN"/>
        </w:rPr>
        <w:t>需提供</w:t>
      </w:r>
      <w:r>
        <w:rPr>
          <w:rFonts w:hint="eastAsia" w:ascii="宋体" w:hAnsi="宋体" w:eastAsia="宋体" w:cs="宋体"/>
          <w:color w:val="000000"/>
          <w:sz w:val="24"/>
          <w:lang w:val="en-US" w:eastAsia="zh-CN"/>
        </w:rPr>
        <w:t>3</w:t>
      </w:r>
      <w:r>
        <w:rPr>
          <w:rFonts w:hint="default" w:ascii="宋体" w:hAnsi="宋体" w:eastAsia="宋体" w:cs="宋体"/>
          <w:color w:val="000000"/>
          <w:sz w:val="24"/>
          <w:lang w:val="en-US" w:eastAsia="zh-CN"/>
        </w:rPr>
        <w:t>年</w:t>
      </w:r>
      <w:r>
        <w:rPr>
          <w:rFonts w:hint="eastAsia" w:ascii="宋体" w:hAnsi="宋体" w:eastAsia="宋体" w:cs="宋体"/>
          <w:color w:val="000000"/>
          <w:sz w:val="24"/>
          <w:lang w:val="en-US" w:eastAsia="zh-CN"/>
        </w:rPr>
        <w:t>的免费</w:t>
      </w:r>
      <w:r>
        <w:rPr>
          <w:rFonts w:hint="default" w:ascii="宋体" w:hAnsi="宋体" w:eastAsia="宋体" w:cs="宋体"/>
          <w:color w:val="000000"/>
          <w:sz w:val="24"/>
          <w:lang w:val="en-US" w:eastAsia="zh-CN"/>
        </w:rPr>
        <w:t>质保服务及运行维护服务</w:t>
      </w:r>
      <w:r>
        <w:rPr>
          <w:rFonts w:hint="eastAsia" w:ascii="宋体" w:hAnsi="宋体" w:eastAsia="宋体" w:cs="宋体"/>
          <w:color w:val="000000"/>
          <w:sz w:val="24"/>
          <w:lang w:val="en-US" w:eastAsia="zh-CN"/>
        </w:rPr>
        <w:t>，</w:t>
      </w:r>
      <w:r>
        <w:rPr>
          <w:rFonts w:hint="default" w:ascii="宋体" w:hAnsi="宋体" w:eastAsia="宋体" w:cs="宋体"/>
          <w:color w:val="000000"/>
          <w:sz w:val="24"/>
          <w:lang w:val="en-US" w:eastAsia="zh-CN"/>
        </w:rPr>
        <w:t>质保期从竣工验收合格</w:t>
      </w:r>
      <w:r>
        <w:rPr>
          <w:rFonts w:hint="eastAsia" w:ascii="宋体" w:hAnsi="宋体" w:eastAsia="宋体" w:cs="宋体"/>
          <w:color w:val="000000"/>
          <w:sz w:val="24"/>
          <w:lang w:val="en-US" w:eastAsia="zh-CN"/>
        </w:rPr>
        <w:t>后</w:t>
      </w:r>
      <w:r>
        <w:rPr>
          <w:rFonts w:hint="default" w:ascii="宋体" w:hAnsi="宋体" w:eastAsia="宋体" w:cs="宋体"/>
          <w:color w:val="000000"/>
          <w:sz w:val="24"/>
          <w:lang w:val="en-US" w:eastAsia="zh-CN"/>
        </w:rPr>
        <w:t>开始计算，服务期间的网络、水、电费用由</w:t>
      </w:r>
      <w:r>
        <w:rPr>
          <w:rFonts w:hint="eastAsia" w:ascii="宋体" w:hAnsi="宋体" w:eastAsia="宋体" w:cs="宋体"/>
          <w:color w:val="000000"/>
          <w:sz w:val="24"/>
          <w:lang w:val="en-US" w:eastAsia="zh-CN"/>
        </w:rPr>
        <w:t>中标人</w:t>
      </w:r>
      <w:r>
        <w:rPr>
          <w:rFonts w:hint="default" w:ascii="宋体" w:hAnsi="宋体" w:eastAsia="宋体" w:cs="宋体"/>
          <w:color w:val="000000"/>
          <w:sz w:val="24"/>
          <w:lang w:val="en-US" w:eastAsia="zh-CN"/>
        </w:rPr>
        <w:t>负责</w:t>
      </w:r>
      <w:r>
        <w:rPr>
          <w:rFonts w:hint="eastAsia" w:ascii="宋体" w:hAnsi="宋体" w:eastAsia="宋体" w:cs="宋体"/>
          <w:color w:val="000000"/>
          <w:sz w:val="24"/>
          <w:lang w:val="en-US" w:eastAsia="zh-CN"/>
        </w:rPr>
        <w:t>；</w:t>
      </w:r>
    </w:p>
    <w:p w14:paraId="54B7613C">
      <w:pPr>
        <w:pStyle w:val="17"/>
        <w:snapToGrid w:val="0"/>
        <w:spacing w:before="120" w:after="120"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default" w:ascii="宋体" w:hAnsi="宋体" w:eastAsia="宋体" w:cs="宋体"/>
          <w:color w:val="000000"/>
          <w:sz w:val="24"/>
          <w:lang w:val="en-US" w:eastAsia="zh-CN"/>
        </w:rPr>
        <w:t>投标人需提供完善可靠的技术支持，并针对本项目组建运行维护团队，指定专门的负责人负责与用户的对接及协调，提供7*24小时电话服务，一般故障30分钟内做出响应，3小时的现场服务请求响应，排除一般故障不超过24小时，确保满足系统正常运行的需要，确保满足系统正常运行的需要，逾期未作出响应，投标人应承担由于故障所造成的全部损失</w:t>
      </w:r>
      <w:r>
        <w:rPr>
          <w:rFonts w:hint="eastAsia" w:ascii="宋体" w:hAnsi="宋体" w:eastAsia="宋体" w:cs="宋体"/>
          <w:color w:val="000000"/>
          <w:sz w:val="24"/>
          <w:lang w:val="en-US" w:eastAsia="zh-CN"/>
        </w:rPr>
        <w:t>；</w:t>
      </w:r>
    </w:p>
    <w:p w14:paraId="4DA82059">
      <w:pPr>
        <w:pStyle w:val="17"/>
        <w:snapToGrid w:val="0"/>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szCs w:val="24"/>
        </w:rPr>
        <w:t>2.履行地点：台州市黄岩区</w:t>
      </w:r>
    </w:p>
    <w:p w14:paraId="2480D280">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七、付款方式：</w:t>
      </w:r>
    </w:p>
    <w:p w14:paraId="217FF608">
      <w:pPr>
        <w:pStyle w:val="17"/>
        <w:snapToGrid w:val="0"/>
        <w:spacing w:before="120" w:after="120"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合同签订后服务费按年分摊支付，在合同生效后7个工作日内支付第一年度服务款项的40%作为预付款，服务期满一年后进行年度服务质量验收，验收合格后支付第一年剩余服务费用，第二年度及第三年度依次类推，项目相关发票应随付款进度及时提供。</w:t>
      </w:r>
    </w:p>
    <w:p w14:paraId="0F8D70C0">
      <w:pPr>
        <w:pStyle w:val="17"/>
        <w:snapToGrid w:val="0"/>
        <w:spacing w:before="120" w:after="120" w:line="360" w:lineRule="auto"/>
        <w:rPr>
          <w:rFonts w:hint="eastAsia" w:ascii="宋体" w:hAnsi="宋体" w:eastAsia="宋体" w:cs="宋体"/>
          <w:b/>
          <w:bCs/>
          <w:sz w:val="24"/>
          <w:szCs w:val="24"/>
        </w:rPr>
      </w:pPr>
      <w:r>
        <w:rPr>
          <w:rFonts w:hint="eastAsia" w:hAnsi="宋体" w:eastAsia="宋体" w:cs="宋体"/>
          <w:b/>
          <w:bCs/>
          <w:sz w:val="24"/>
          <w:szCs w:val="24"/>
          <w:lang w:eastAsia="zh-CN"/>
        </w:rPr>
        <w:t>八</w:t>
      </w:r>
      <w:r>
        <w:rPr>
          <w:rFonts w:hint="eastAsia" w:ascii="宋体" w:hAnsi="宋体" w:eastAsia="宋体" w:cs="宋体"/>
          <w:b/>
          <w:bCs/>
          <w:sz w:val="24"/>
          <w:szCs w:val="24"/>
        </w:rPr>
        <w:t>、税费</w:t>
      </w:r>
    </w:p>
    <w:p w14:paraId="472E8538">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BB6ACA2">
      <w:pPr>
        <w:pStyle w:val="17"/>
        <w:snapToGrid w:val="0"/>
        <w:spacing w:before="120" w:after="120" w:line="360" w:lineRule="auto"/>
        <w:rPr>
          <w:rFonts w:hint="eastAsia" w:ascii="宋体" w:hAnsi="宋体" w:eastAsia="宋体" w:cs="宋体"/>
          <w:b/>
          <w:bCs/>
          <w:sz w:val="24"/>
          <w:szCs w:val="24"/>
        </w:rPr>
      </w:pPr>
      <w:r>
        <w:rPr>
          <w:rFonts w:hint="eastAsia" w:hAnsi="宋体" w:eastAsia="宋体" w:cs="宋体"/>
          <w:b/>
          <w:bCs/>
          <w:sz w:val="24"/>
          <w:szCs w:val="24"/>
          <w:lang w:eastAsia="zh-CN"/>
        </w:rPr>
        <w:t>九</w:t>
      </w:r>
      <w:r>
        <w:rPr>
          <w:rFonts w:hint="eastAsia" w:ascii="宋体" w:hAnsi="宋体" w:eastAsia="宋体" w:cs="宋体"/>
          <w:b/>
          <w:bCs/>
          <w:sz w:val="24"/>
          <w:szCs w:val="24"/>
        </w:rPr>
        <w:t>、质量保证及后续服务</w:t>
      </w:r>
    </w:p>
    <w:p w14:paraId="4007C487">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1.乙方应按招标文件规定向甲方提供服务。</w:t>
      </w:r>
    </w:p>
    <w:p w14:paraId="2EF0DE64">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2.乙方提供的服务成果在服务质量保证期内发生故障，乙方应负责免费提供后续服务。对达不到要求者，根据实际情况，经双方协商，可按以下办法处理：</w:t>
      </w:r>
    </w:p>
    <w:p w14:paraId="35300F1F">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（1）重做：由乙方承担所发生的全部费用。</w:t>
      </w:r>
    </w:p>
    <w:p w14:paraId="4BEB3FC5">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（2）解除合同。</w:t>
      </w:r>
    </w:p>
    <w:p w14:paraId="74C0E755">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3、在服务质量保证期内，乙方应对出现的质量及安全问题负责处理解决并承担一切费用。</w:t>
      </w:r>
    </w:p>
    <w:p w14:paraId="7713B275">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十、违约责任</w:t>
      </w:r>
    </w:p>
    <w:p w14:paraId="4D3786E4">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1.在合同有效期内，若甲方原因解除合同的，甲方根据乙方已完成的实际工作量支付设计费，因乙方原因解除合同的，乙方按合同金额的20%承担违约责任；</w:t>
      </w:r>
    </w:p>
    <w:p w14:paraId="30AA5153">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2.甲方无故逾期验收和办理款项支付手续的，甲方应按逾期付款总额每日千分之三向乙方支付违约金；</w:t>
      </w:r>
    </w:p>
    <w:p w14:paraId="7C43EC96">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乙方原因服务延期的，每日向甲方支付合同款项的千分之三作为违约金，延期超过10个工作日的，甲方可解除本合同。乙方未能如期提供服务或因其他违约行为导致甲方解除合同的，乙方应向甲方支付合同总值5%的违约金，如造成甲方损失超过违约金的，超出部分由乙方继续承担赔偿责任。</w:t>
      </w:r>
    </w:p>
    <w:p w14:paraId="13673258">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hAnsi="宋体" w:eastAsia="宋体" w:cs="宋体"/>
          <w:b/>
          <w:bCs/>
          <w:sz w:val="24"/>
          <w:szCs w:val="24"/>
          <w:lang w:eastAsia="zh-CN"/>
        </w:rPr>
        <w:t>一</w:t>
      </w:r>
      <w:r>
        <w:rPr>
          <w:rFonts w:hint="eastAsia" w:ascii="宋体" w:hAnsi="宋体" w:eastAsia="宋体" w:cs="宋体"/>
          <w:b/>
          <w:bCs/>
          <w:sz w:val="24"/>
          <w:szCs w:val="24"/>
        </w:rPr>
        <w:t>、不可抗力事件处理</w:t>
      </w:r>
    </w:p>
    <w:p w14:paraId="3A7DEA78">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27142B55">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1069B1E7">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3.不可抗力事件延续10天以上，双方应通过友好协商，确定是否继续履行合同。</w:t>
      </w:r>
    </w:p>
    <w:p w14:paraId="07622B3A">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hAnsi="宋体" w:eastAsia="宋体" w:cs="宋体"/>
          <w:b/>
          <w:bCs/>
          <w:sz w:val="24"/>
          <w:szCs w:val="24"/>
          <w:lang w:eastAsia="zh-CN"/>
        </w:rPr>
        <w:t>二</w:t>
      </w:r>
      <w:r>
        <w:rPr>
          <w:rFonts w:hint="eastAsia" w:ascii="宋体" w:hAnsi="宋体" w:eastAsia="宋体" w:cs="宋体"/>
          <w:b/>
          <w:bCs/>
          <w:sz w:val="24"/>
          <w:szCs w:val="24"/>
        </w:rPr>
        <w:t>、争议解决</w:t>
      </w:r>
    </w:p>
    <w:p w14:paraId="2231B4BF">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双方在执行合同中所发生的一切争议，应通过协商解决。如协商不成，双方应在黄岩人民法院解决。</w:t>
      </w:r>
    </w:p>
    <w:p w14:paraId="3585322C">
      <w:pPr>
        <w:pStyle w:val="17"/>
        <w:snapToGrid w:val="0"/>
        <w:spacing w:before="120" w:after="120"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hAnsi="宋体" w:eastAsia="宋体" w:cs="宋体"/>
          <w:b/>
          <w:bCs/>
          <w:sz w:val="24"/>
          <w:szCs w:val="24"/>
          <w:lang w:eastAsia="zh-CN"/>
        </w:rPr>
        <w:t>三</w:t>
      </w:r>
      <w:r>
        <w:rPr>
          <w:rFonts w:hint="eastAsia" w:ascii="宋体" w:hAnsi="宋体" w:eastAsia="宋体" w:cs="宋体"/>
          <w:b/>
          <w:bCs/>
          <w:sz w:val="24"/>
          <w:szCs w:val="24"/>
        </w:rPr>
        <w:t>、合同生效及其</w:t>
      </w:r>
      <w:r>
        <w:rPr>
          <w:rFonts w:hint="eastAsia" w:hAnsi="宋体" w:eastAsia="宋体" w:cs="宋体"/>
          <w:b/>
          <w:bCs/>
          <w:sz w:val="24"/>
          <w:szCs w:val="24"/>
          <w:lang w:eastAsia="zh-CN"/>
        </w:rPr>
        <w:t>他</w:t>
      </w:r>
    </w:p>
    <w:p w14:paraId="381C40ED">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14:paraId="7DDDB3D8">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2.招标文件、投标文件及评标过程中形成的文字资料、询标纪要均作为本合同的组成部分，具有同等效力。本合同未尽事宜，遵照《</w:t>
      </w:r>
      <w:r>
        <w:rPr>
          <w:rFonts w:hint="eastAsia" w:hAnsi="宋体" w:eastAsia="宋体" w:cs="宋体"/>
          <w:sz w:val="24"/>
          <w:szCs w:val="24"/>
          <w:lang w:eastAsia="zh-CN"/>
        </w:rPr>
        <w:t>中华人民共和国民法典</w:t>
      </w:r>
      <w:r>
        <w:rPr>
          <w:rFonts w:hint="eastAsia" w:ascii="宋体" w:hAnsi="宋体" w:eastAsia="宋体" w:cs="宋体"/>
          <w:sz w:val="24"/>
          <w:szCs w:val="24"/>
        </w:rPr>
        <w:t>》有关条文执行。</w:t>
      </w:r>
    </w:p>
    <w:p w14:paraId="7EB39F97">
      <w:pPr>
        <w:pStyle w:val="17"/>
        <w:snapToGrid w:val="0"/>
        <w:spacing w:before="120" w:after="120" w:line="360" w:lineRule="auto"/>
        <w:ind w:firstLine="480" w:firstLineChars="200"/>
        <w:rPr>
          <w:rFonts w:hint="eastAsia" w:ascii="宋体" w:hAnsi="宋体" w:eastAsia="宋体" w:cs="宋体"/>
        </w:rPr>
      </w:pPr>
      <w:r>
        <w:rPr>
          <w:rFonts w:hint="eastAsia" w:ascii="宋体" w:hAnsi="宋体" w:eastAsia="宋体" w:cs="宋体"/>
          <w:sz w:val="24"/>
          <w:szCs w:val="24"/>
        </w:rPr>
        <w:t>3.本合同一式陆份，具有同等法律效力，甲乙双方及招标代理机构各执两份。</w:t>
      </w:r>
    </w:p>
    <w:p w14:paraId="60505299">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3A419B5E">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3DC26D45">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或受委托人（签字）：                       或受委托人（签字）：  </w:t>
      </w:r>
    </w:p>
    <w:p w14:paraId="3F94C9E3">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                                   联系人：</w:t>
      </w:r>
    </w:p>
    <w:p w14:paraId="5CA3B9D7">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地址： </w:t>
      </w:r>
    </w:p>
    <w:p w14:paraId="3D005209">
      <w:pPr>
        <w:pStyle w:val="17"/>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                                     电话：</w:t>
      </w:r>
    </w:p>
    <w:p w14:paraId="60AD80B2">
      <w:pPr>
        <w:snapToGrid w:val="0"/>
        <w:spacing w:line="360" w:lineRule="auto"/>
        <w:ind w:firstLine="482" w:firstLineChars="200"/>
        <w:outlineLvl w:val="0"/>
        <w:rPr>
          <w:rFonts w:hint="eastAsia" w:ascii="宋体" w:hAnsi="宋体" w:eastAsia="宋体" w:cs="宋体"/>
          <w:b/>
          <w:color w:val="000000"/>
          <w:sz w:val="24"/>
          <w:highlight w:val="yellow"/>
          <w:u w:val="single"/>
        </w:rPr>
      </w:pPr>
      <w:r>
        <w:rPr>
          <w:rFonts w:hint="eastAsia" w:ascii="宋体" w:hAnsi="宋体" w:eastAsia="宋体" w:cs="宋体"/>
          <w:b/>
          <w:color w:val="000000"/>
          <w:sz w:val="24"/>
          <w:u w:val="single"/>
        </w:rPr>
        <w:t>本合同条款为参考使用，正式合同签订前将根据甲方要求及乙方在投标过程中提供</w:t>
      </w:r>
      <w:r>
        <w:rPr>
          <w:rFonts w:hint="eastAsia" w:ascii="宋体" w:hAnsi="宋体" w:eastAsia="宋体" w:cs="宋体"/>
          <w:b/>
          <w:color w:val="000000"/>
          <w:sz w:val="24"/>
          <w:u w:val="single"/>
          <w:lang w:eastAsia="zh-CN"/>
        </w:rPr>
        <w:t>的</w:t>
      </w:r>
      <w:r>
        <w:rPr>
          <w:rFonts w:hint="eastAsia" w:ascii="宋体" w:hAnsi="宋体" w:eastAsia="宋体" w:cs="宋体"/>
          <w:b/>
          <w:color w:val="000000"/>
          <w:sz w:val="24"/>
          <w:u w:val="single"/>
        </w:rPr>
        <w:t>优惠条件进行部分修改完善。</w:t>
      </w:r>
    </w:p>
    <w:p w14:paraId="2D4FA404">
      <w:pPr>
        <w:shd w:val="clear" w:color="auto" w:fill="FFFFFF"/>
        <w:spacing w:line="360" w:lineRule="auto"/>
        <w:jc w:val="center"/>
        <w:textAlignment w:val="bottom"/>
        <w:rPr>
          <w:rFonts w:hint="eastAsia" w:ascii="宋体" w:hAnsi="宋体" w:eastAsia="宋体" w:cs="宋体"/>
          <w:b/>
          <w:kern w:val="0"/>
          <w:sz w:val="36"/>
          <w:szCs w:val="36"/>
        </w:rPr>
      </w:pPr>
    </w:p>
    <w:p w14:paraId="3F9D15AB">
      <w:pPr>
        <w:shd w:val="clear" w:color="auto" w:fill="FFFFFF"/>
        <w:spacing w:line="360" w:lineRule="auto"/>
        <w:jc w:val="center"/>
        <w:textAlignment w:val="bottom"/>
        <w:rPr>
          <w:rFonts w:hint="eastAsia" w:ascii="宋体" w:hAnsi="宋体" w:eastAsia="宋体" w:cs="宋体"/>
          <w:b/>
          <w:kern w:val="0"/>
          <w:sz w:val="36"/>
          <w:szCs w:val="36"/>
        </w:rPr>
      </w:pPr>
    </w:p>
    <w:p w14:paraId="5A1B6A75">
      <w:pPr>
        <w:shd w:val="clear" w:color="auto" w:fill="FFFFFF"/>
        <w:spacing w:line="360" w:lineRule="auto"/>
        <w:jc w:val="center"/>
        <w:textAlignment w:val="bottom"/>
        <w:rPr>
          <w:rFonts w:hint="eastAsia" w:ascii="宋体" w:hAnsi="宋体" w:eastAsia="宋体" w:cs="宋体"/>
          <w:b/>
          <w:kern w:val="0"/>
          <w:sz w:val="36"/>
          <w:szCs w:val="36"/>
        </w:rPr>
      </w:pPr>
    </w:p>
    <w:p w14:paraId="30ECD08E">
      <w:pPr>
        <w:shd w:val="clear" w:color="auto" w:fill="FFFFFF"/>
        <w:spacing w:line="360" w:lineRule="auto"/>
        <w:jc w:val="center"/>
        <w:textAlignment w:val="bottom"/>
        <w:rPr>
          <w:rFonts w:hint="eastAsia" w:ascii="宋体" w:hAnsi="宋体" w:eastAsia="宋体" w:cs="宋体"/>
          <w:b/>
          <w:kern w:val="0"/>
          <w:sz w:val="36"/>
          <w:szCs w:val="36"/>
        </w:rPr>
      </w:pPr>
    </w:p>
    <w:p w14:paraId="09F3D3D1">
      <w:pPr>
        <w:shd w:val="clear" w:color="auto" w:fill="FFFFFF"/>
        <w:spacing w:line="360" w:lineRule="auto"/>
        <w:jc w:val="center"/>
        <w:textAlignment w:val="bottom"/>
        <w:rPr>
          <w:rFonts w:hint="eastAsia" w:ascii="宋体" w:hAnsi="宋体" w:eastAsia="宋体" w:cs="宋体"/>
          <w:b/>
          <w:kern w:val="0"/>
          <w:sz w:val="36"/>
          <w:szCs w:val="36"/>
        </w:rPr>
      </w:pPr>
    </w:p>
    <w:p w14:paraId="466E15EF">
      <w:pPr>
        <w:shd w:val="clear" w:color="auto" w:fill="FFFFFF"/>
        <w:spacing w:line="360" w:lineRule="auto"/>
        <w:jc w:val="center"/>
        <w:textAlignment w:val="bottom"/>
        <w:rPr>
          <w:rFonts w:hint="eastAsia" w:ascii="宋体" w:hAnsi="宋体" w:eastAsia="宋体" w:cs="宋体"/>
          <w:b/>
          <w:kern w:val="0"/>
          <w:sz w:val="36"/>
          <w:szCs w:val="36"/>
        </w:rPr>
      </w:pPr>
    </w:p>
    <w:p w14:paraId="31008B96">
      <w:pPr>
        <w:shd w:val="clear" w:color="auto" w:fill="FFFFFF"/>
        <w:spacing w:line="360" w:lineRule="auto"/>
        <w:jc w:val="center"/>
        <w:textAlignment w:val="bottom"/>
        <w:rPr>
          <w:rFonts w:hint="eastAsia" w:ascii="宋体" w:hAnsi="宋体" w:eastAsia="宋体" w:cs="宋体"/>
          <w:b/>
          <w:kern w:val="0"/>
          <w:sz w:val="36"/>
          <w:szCs w:val="36"/>
        </w:rPr>
      </w:pPr>
    </w:p>
    <w:p w14:paraId="20D20C5E">
      <w:pPr>
        <w:shd w:val="clear" w:color="auto" w:fill="FFFFFF"/>
        <w:spacing w:line="360" w:lineRule="auto"/>
        <w:jc w:val="center"/>
        <w:textAlignment w:val="bottom"/>
        <w:rPr>
          <w:rFonts w:hint="eastAsia" w:ascii="宋体" w:hAnsi="宋体" w:eastAsia="宋体" w:cs="宋体"/>
          <w:b/>
          <w:kern w:val="0"/>
          <w:sz w:val="36"/>
          <w:szCs w:val="36"/>
        </w:rPr>
      </w:pPr>
    </w:p>
    <w:p w14:paraId="7FAD8B0E">
      <w:pPr>
        <w:shd w:val="clear" w:color="auto" w:fill="FFFFFF"/>
        <w:spacing w:line="360" w:lineRule="auto"/>
        <w:jc w:val="center"/>
        <w:textAlignment w:val="bottom"/>
        <w:rPr>
          <w:rFonts w:hint="eastAsia" w:ascii="宋体" w:hAnsi="宋体" w:eastAsia="宋体" w:cs="宋体"/>
          <w:b/>
          <w:kern w:val="0"/>
          <w:sz w:val="36"/>
          <w:szCs w:val="36"/>
        </w:rPr>
      </w:pPr>
    </w:p>
    <w:p w14:paraId="543EB017">
      <w:pPr>
        <w:shd w:val="clear" w:color="auto" w:fill="FFFFFF"/>
        <w:spacing w:line="360" w:lineRule="auto"/>
        <w:jc w:val="center"/>
        <w:textAlignment w:val="bottom"/>
        <w:rPr>
          <w:rFonts w:hint="eastAsia" w:ascii="宋体" w:hAnsi="宋体" w:eastAsia="宋体" w:cs="宋体"/>
          <w:b/>
          <w:kern w:val="0"/>
          <w:sz w:val="36"/>
          <w:szCs w:val="36"/>
        </w:rPr>
      </w:pPr>
    </w:p>
    <w:p w14:paraId="2ED5CD7A">
      <w:pPr>
        <w:shd w:val="clear" w:color="auto" w:fill="FFFFFF"/>
        <w:spacing w:line="360" w:lineRule="auto"/>
        <w:jc w:val="center"/>
        <w:textAlignment w:val="bottom"/>
        <w:rPr>
          <w:rFonts w:hint="eastAsia" w:ascii="宋体" w:hAnsi="宋体" w:eastAsia="宋体" w:cs="宋体"/>
          <w:b/>
          <w:kern w:val="0"/>
          <w:sz w:val="36"/>
          <w:szCs w:val="36"/>
        </w:rPr>
      </w:pPr>
    </w:p>
    <w:p w14:paraId="0CDC6979">
      <w:pPr>
        <w:shd w:val="clear" w:color="auto" w:fill="FFFFFF"/>
        <w:spacing w:line="360" w:lineRule="auto"/>
        <w:jc w:val="center"/>
        <w:textAlignment w:val="bottom"/>
        <w:rPr>
          <w:rFonts w:hint="eastAsia" w:ascii="宋体" w:hAnsi="宋体" w:eastAsia="宋体" w:cs="宋体"/>
          <w:b/>
          <w:kern w:val="0"/>
          <w:sz w:val="36"/>
          <w:szCs w:val="36"/>
        </w:rPr>
      </w:pPr>
    </w:p>
    <w:p w14:paraId="2E7672A9">
      <w:pPr>
        <w:shd w:val="clear" w:color="auto" w:fill="FFFFFF"/>
        <w:spacing w:line="360" w:lineRule="auto"/>
        <w:jc w:val="center"/>
        <w:textAlignment w:val="bottom"/>
        <w:rPr>
          <w:rFonts w:hint="eastAsia" w:ascii="宋体" w:hAnsi="宋体" w:eastAsia="宋体" w:cs="宋体"/>
          <w:b/>
          <w:kern w:val="0"/>
          <w:sz w:val="36"/>
          <w:szCs w:val="36"/>
        </w:rPr>
      </w:pPr>
    </w:p>
    <w:p w14:paraId="342B8763">
      <w:pPr>
        <w:shd w:val="clear" w:color="auto" w:fill="FFFFFF"/>
        <w:spacing w:line="360" w:lineRule="auto"/>
        <w:jc w:val="center"/>
        <w:textAlignment w:val="bottom"/>
        <w:rPr>
          <w:rFonts w:hint="eastAsia" w:ascii="宋体" w:hAnsi="宋体" w:eastAsia="宋体" w:cs="宋体"/>
          <w:b/>
          <w:kern w:val="0"/>
          <w:sz w:val="36"/>
          <w:szCs w:val="36"/>
        </w:rPr>
      </w:pPr>
    </w:p>
    <w:p w14:paraId="207F8A98">
      <w:pPr>
        <w:shd w:val="clear" w:color="auto" w:fill="FFFFFF"/>
        <w:spacing w:line="360" w:lineRule="auto"/>
        <w:jc w:val="center"/>
        <w:textAlignment w:val="bottom"/>
        <w:rPr>
          <w:rFonts w:hint="eastAsia" w:ascii="宋体" w:hAnsi="宋体" w:eastAsia="宋体" w:cs="宋体"/>
          <w:b/>
          <w:kern w:val="0"/>
          <w:sz w:val="36"/>
          <w:szCs w:val="36"/>
        </w:rPr>
      </w:pPr>
    </w:p>
    <w:p w14:paraId="3434AB41">
      <w:pPr>
        <w:shd w:val="clear" w:color="auto" w:fill="FFFFFF"/>
        <w:spacing w:line="360" w:lineRule="auto"/>
        <w:jc w:val="center"/>
        <w:textAlignment w:val="bottom"/>
        <w:rPr>
          <w:rFonts w:hint="eastAsia" w:ascii="宋体" w:hAnsi="宋体" w:eastAsia="宋体" w:cs="宋体"/>
          <w:b/>
          <w:kern w:val="0"/>
          <w:sz w:val="36"/>
          <w:szCs w:val="36"/>
        </w:rPr>
      </w:pPr>
    </w:p>
    <w:p w14:paraId="2EE2707B">
      <w:pPr>
        <w:shd w:val="clear" w:color="auto" w:fill="FFFFFF"/>
        <w:spacing w:line="360" w:lineRule="auto"/>
        <w:jc w:val="center"/>
        <w:textAlignment w:val="bottom"/>
        <w:rPr>
          <w:rFonts w:hint="eastAsia" w:ascii="宋体" w:hAnsi="宋体" w:eastAsia="宋体" w:cs="宋体"/>
          <w:b/>
          <w:kern w:val="0"/>
          <w:sz w:val="36"/>
          <w:szCs w:val="36"/>
        </w:rPr>
      </w:pPr>
    </w:p>
    <w:p w14:paraId="5A253D03">
      <w:pPr>
        <w:shd w:val="clear" w:color="auto" w:fill="FFFFFF"/>
        <w:spacing w:line="360" w:lineRule="auto"/>
        <w:jc w:val="center"/>
        <w:textAlignment w:val="bottom"/>
        <w:rPr>
          <w:rFonts w:hint="eastAsia" w:ascii="宋体" w:hAnsi="宋体" w:eastAsia="宋体" w:cs="宋体"/>
          <w:b/>
          <w:kern w:val="0"/>
          <w:sz w:val="36"/>
          <w:szCs w:val="36"/>
        </w:rPr>
      </w:pPr>
    </w:p>
    <w:p w14:paraId="6AAF2A7D">
      <w:pPr>
        <w:shd w:val="clear" w:color="auto" w:fill="FFFFFF"/>
        <w:spacing w:line="360" w:lineRule="auto"/>
        <w:jc w:val="center"/>
        <w:textAlignment w:val="bottom"/>
        <w:rPr>
          <w:rFonts w:hint="eastAsia" w:ascii="宋体" w:hAnsi="宋体" w:eastAsia="宋体" w:cs="宋体"/>
          <w:b/>
          <w:kern w:val="0"/>
          <w:sz w:val="36"/>
          <w:szCs w:val="36"/>
        </w:rPr>
      </w:pPr>
      <w:r>
        <w:rPr>
          <w:rFonts w:hint="eastAsia" w:ascii="宋体" w:hAnsi="宋体" w:eastAsia="宋体" w:cs="宋体"/>
          <w:b/>
          <w:kern w:val="0"/>
          <w:sz w:val="36"/>
          <w:szCs w:val="36"/>
        </w:rPr>
        <w:t>第六部分</w:t>
      </w:r>
      <w:r>
        <w:rPr>
          <w:rFonts w:hint="eastAsia" w:ascii="宋体" w:hAnsi="宋体" w:cs="宋体"/>
          <w:b/>
          <w:kern w:val="0"/>
          <w:sz w:val="36"/>
          <w:szCs w:val="36"/>
          <w:lang w:val="en-US" w:eastAsia="zh-CN"/>
        </w:rPr>
        <w:t xml:space="preserve">  </w:t>
      </w:r>
      <w:r>
        <w:rPr>
          <w:rFonts w:hint="eastAsia" w:ascii="宋体" w:hAnsi="宋体" w:eastAsia="宋体" w:cs="宋体"/>
          <w:b/>
          <w:kern w:val="0"/>
          <w:sz w:val="36"/>
          <w:szCs w:val="36"/>
        </w:rPr>
        <w:t>响应文件格式附件</w:t>
      </w:r>
    </w:p>
    <w:p w14:paraId="2D9DC32A">
      <w:pPr>
        <w:snapToGrid w:val="0"/>
        <w:spacing w:before="156" w:beforeLines="50" w:after="50"/>
        <w:jc w:val="center"/>
        <w:outlineLvl w:val="1"/>
        <w:rPr>
          <w:rFonts w:hint="eastAsia" w:ascii="宋体" w:hAnsi="宋体" w:eastAsia="宋体" w:cs="宋体"/>
          <w:b/>
          <w:bCs/>
          <w:sz w:val="24"/>
        </w:rPr>
      </w:pPr>
      <w:bookmarkStart w:id="3" w:name="_Toc381081902"/>
      <w:r>
        <w:rPr>
          <w:rFonts w:hint="eastAsia" w:ascii="宋体" w:hAnsi="宋体" w:eastAsia="宋体" w:cs="宋体"/>
          <w:b/>
          <w:bCs/>
          <w:sz w:val="24"/>
        </w:rPr>
        <w:t>一、投标文件外包装、封面格式</w:t>
      </w:r>
      <w:bookmarkEnd w:id="3"/>
    </w:p>
    <w:p w14:paraId="22FF8AF2">
      <w:pPr>
        <w:snapToGrid w:val="0"/>
        <w:spacing w:before="156" w:beforeLines="50" w:after="50"/>
        <w:jc w:val="center"/>
        <w:rPr>
          <w:rFonts w:hint="eastAsia" w:ascii="宋体" w:hAnsi="宋体" w:eastAsia="宋体" w:cs="宋体"/>
          <w:b/>
          <w:bCs/>
          <w:sz w:val="24"/>
          <w:szCs w:val="20"/>
        </w:rPr>
      </w:pPr>
    </w:p>
    <w:p w14:paraId="411E02EB">
      <w:pPr>
        <w:snapToGrid w:val="0"/>
        <w:spacing w:before="156" w:beforeLines="50" w:after="50"/>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kern w:val="0"/>
          <w:sz w:val="24"/>
        </w:rPr>
        <w:t xml:space="preserve"> 备份电子标文件</w:t>
      </w:r>
      <w:r>
        <w:rPr>
          <w:rFonts w:hint="eastAsia" w:ascii="宋体" w:hAnsi="宋体" w:eastAsia="宋体" w:cs="宋体"/>
          <w:b/>
          <w:sz w:val="24"/>
        </w:rPr>
        <w:t>外包装格式：</w:t>
      </w:r>
    </w:p>
    <w:p w14:paraId="26603FE7">
      <w:pPr>
        <w:snapToGrid w:val="0"/>
        <w:spacing w:before="156" w:beforeLines="50" w:after="50"/>
        <w:jc w:val="center"/>
        <w:rPr>
          <w:rFonts w:hint="eastAsia" w:ascii="宋体" w:hAnsi="宋体" w:eastAsia="宋体" w:cs="宋体"/>
          <w:b/>
          <w:bCs/>
          <w:sz w:val="32"/>
          <w:szCs w:val="32"/>
        </w:rPr>
      </w:pPr>
    </w:p>
    <w:p w14:paraId="2E6667C2">
      <w:pPr>
        <w:snapToGrid w:val="0"/>
        <w:spacing w:before="156" w:beforeLines="50" w:after="50"/>
        <w:jc w:val="center"/>
        <w:rPr>
          <w:rFonts w:hint="eastAsia" w:ascii="宋体" w:hAnsi="宋体" w:eastAsia="宋体" w:cs="宋体"/>
          <w:b/>
          <w:bCs/>
          <w:sz w:val="32"/>
          <w:szCs w:val="32"/>
        </w:rPr>
      </w:pPr>
      <w:r>
        <w:rPr>
          <w:rFonts w:hint="eastAsia" w:ascii="宋体" w:hAnsi="宋体" w:eastAsia="宋体" w:cs="宋体"/>
          <w:b/>
          <w:bCs/>
          <w:sz w:val="32"/>
          <w:szCs w:val="32"/>
        </w:rPr>
        <w:t>备份电子标文件</w:t>
      </w:r>
    </w:p>
    <w:p w14:paraId="165F62CB">
      <w:pPr>
        <w:snapToGrid w:val="0"/>
        <w:spacing w:line="480" w:lineRule="auto"/>
        <w:ind w:firstLine="1068" w:firstLineChars="445"/>
        <w:rPr>
          <w:rFonts w:hint="eastAsia" w:ascii="宋体" w:hAnsi="宋体" w:eastAsia="宋体" w:cs="宋体"/>
          <w:bCs/>
          <w:sz w:val="24"/>
          <w:szCs w:val="20"/>
        </w:rPr>
      </w:pPr>
      <w:r>
        <w:rPr>
          <w:rFonts w:hint="eastAsia" w:ascii="宋体" w:hAnsi="宋体" w:eastAsia="宋体" w:cs="宋体"/>
          <w:bCs/>
          <w:sz w:val="24"/>
        </w:rPr>
        <w:t>项目名称：</w:t>
      </w:r>
    </w:p>
    <w:p w14:paraId="1B0D13BA">
      <w:pPr>
        <w:snapToGrid w:val="0"/>
        <w:spacing w:line="480" w:lineRule="auto"/>
        <w:ind w:firstLine="1068" w:firstLineChars="445"/>
        <w:rPr>
          <w:rFonts w:hint="eastAsia" w:ascii="宋体" w:hAnsi="宋体" w:eastAsia="宋体" w:cs="宋体"/>
          <w:bCs/>
          <w:sz w:val="24"/>
        </w:rPr>
      </w:pPr>
      <w:r>
        <w:rPr>
          <w:rFonts w:hint="eastAsia" w:ascii="宋体" w:hAnsi="宋体" w:eastAsia="宋体" w:cs="宋体"/>
          <w:bCs/>
          <w:sz w:val="24"/>
        </w:rPr>
        <w:t xml:space="preserve">项目编号： </w:t>
      </w:r>
    </w:p>
    <w:p w14:paraId="1EE85327">
      <w:pPr>
        <w:pStyle w:val="9"/>
        <w:snapToGrid w:val="0"/>
        <w:spacing w:line="480" w:lineRule="auto"/>
        <w:ind w:firstLine="1068" w:firstLineChars="445"/>
        <w:rPr>
          <w:rFonts w:hint="eastAsia" w:ascii="宋体" w:hAnsi="宋体" w:eastAsia="宋体" w:cs="宋体"/>
          <w:bCs/>
        </w:rPr>
      </w:pPr>
      <w:r>
        <w:rPr>
          <w:rFonts w:hint="eastAsia" w:ascii="宋体" w:hAnsi="宋体" w:eastAsia="宋体" w:cs="宋体"/>
          <w:bCs/>
        </w:rPr>
        <w:t>投标文件名称：</w:t>
      </w:r>
      <w:r>
        <w:rPr>
          <w:rFonts w:hint="eastAsia" w:ascii="宋体" w:hAnsi="宋体" w:eastAsia="宋体" w:cs="宋体"/>
        </w:rPr>
        <w:t>资信商务及技术文件</w:t>
      </w:r>
      <w:r>
        <w:rPr>
          <w:rFonts w:hint="eastAsia" w:ascii="宋体" w:hAnsi="宋体" w:eastAsia="宋体" w:cs="宋体"/>
          <w:bCs/>
        </w:rPr>
        <w:t>、报价文件</w:t>
      </w:r>
    </w:p>
    <w:p w14:paraId="0C7D4D46">
      <w:pPr>
        <w:pStyle w:val="9"/>
        <w:snapToGrid w:val="0"/>
        <w:spacing w:line="480" w:lineRule="auto"/>
        <w:ind w:firstLine="1068" w:firstLineChars="445"/>
        <w:rPr>
          <w:rFonts w:hint="eastAsia" w:ascii="宋体" w:hAnsi="宋体" w:eastAsia="宋体" w:cs="宋体"/>
          <w:bCs/>
        </w:rPr>
      </w:pPr>
      <w:r>
        <w:rPr>
          <w:rFonts w:hint="eastAsia" w:ascii="宋体" w:hAnsi="宋体" w:eastAsia="宋体" w:cs="宋体"/>
          <w:bCs/>
        </w:rPr>
        <w:t>投标人名称（盖章）：</w:t>
      </w:r>
    </w:p>
    <w:p w14:paraId="2D2BD569">
      <w:pPr>
        <w:pStyle w:val="9"/>
        <w:snapToGrid w:val="0"/>
        <w:spacing w:line="480" w:lineRule="auto"/>
        <w:ind w:firstLine="1068" w:firstLineChars="445"/>
        <w:rPr>
          <w:rFonts w:hint="eastAsia" w:ascii="宋体" w:hAnsi="宋体" w:eastAsia="宋体" w:cs="宋体"/>
          <w:bCs/>
        </w:rPr>
      </w:pPr>
      <w:r>
        <w:rPr>
          <w:rFonts w:hint="eastAsia" w:ascii="宋体" w:hAnsi="宋体" w:eastAsia="宋体" w:cs="宋体"/>
          <w:bCs/>
        </w:rPr>
        <w:t>法定代表人（签字或盖章）：</w:t>
      </w:r>
    </w:p>
    <w:p w14:paraId="46C1EE41">
      <w:pPr>
        <w:pStyle w:val="9"/>
        <w:snapToGrid w:val="0"/>
        <w:spacing w:line="480" w:lineRule="auto"/>
        <w:ind w:firstLine="1068" w:firstLineChars="445"/>
        <w:rPr>
          <w:rFonts w:hint="eastAsia" w:ascii="宋体" w:hAnsi="宋体" w:eastAsia="宋体" w:cs="宋体"/>
          <w:bCs/>
        </w:rPr>
      </w:pPr>
      <w:r>
        <w:rPr>
          <w:rFonts w:hint="eastAsia" w:ascii="宋体" w:hAnsi="宋体" w:eastAsia="宋体" w:cs="宋体"/>
          <w:bCs/>
        </w:rPr>
        <w:t>在    年   月   日        时之前不得启封</w:t>
      </w:r>
    </w:p>
    <w:p w14:paraId="6129C94A">
      <w:pPr>
        <w:snapToGrid w:val="0"/>
        <w:spacing w:before="156" w:beforeLines="50" w:after="50"/>
        <w:ind w:firstLine="1068" w:firstLineChars="445"/>
        <w:rPr>
          <w:rFonts w:hint="eastAsia" w:ascii="宋体" w:hAnsi="宋体" w:eastAsia="宋体" w:cs="宋体"/>
          <w:bCs/>
          <w:sz w:val="24"/>
          <w:szCs w:val="20"/>
        </w:rPr>
      </w:pPr>
    </w:p>
    <w:p w14:paraId="33307D4C">
      <w:pPr>
        <w:snapToGrid w:val="0"/>
        <w:spacing w:before="156" w:beforeLines="50" w:after="50"/>
        <w:ind w:firstLine="645"/>
        <w:jc w:val="center"/>
        <w:rPr>
          <w:rFonts w:hint="eastAsia" w:ascii="宋体" w:hAnsi="宋体" w:eastAsia="宋体" w:cs="宋体"/>
          <w:bCs/>
          <w:sz w:val="24"/>
          <w:szCs w:val="20"/>
        </w:rPr>
      </w:pPr>
      <w:r>
        <w:rPr>
          <w:rFonts w:hint="eastAsia" w:ascii="宋体" w:hAnsi="宋体" w:eastAsia="宋体" w:cs="宋体"/>
          <w:bCs/>
          <w:sz w:val="24"/>
        </w:rPr>
        <w:t xml:space="preserve">                        年  月  日</w:t>
      </w:r>
    </w:p>
    <w:p w14:paraId="535604ED">
      <w:pPr>
        <w:pStyle w:val="15"/>
        <w:ind w:firstLine="0"/>
        <w:rPr>
          <w:rFonts w:hint="eastAsia" w:ascii="宋体" w:hAnsi="宋体" w:eastAsia="宋体" w:cs="宋体"/>
        </w:rPr>
      </w:pPr>
    </w:p>
    <w:p w14:paraId="6BBA8FB8">
      <w:pPr>
        <w:rPr>
          <w:rFonts w:hint="eastAsia" w:ascii="宋体" w:hAnsi="宋体" w:eastAsia="宋体" w:cs="宋体"/>
        </w:rPr>
      </w:pPr>
    </w:p>
    <w:p w14:paraId="75460E21">
      <w:pPr>
        <w:pStyle w:val="15"/>
        <w:rPr>
          <w:rFonts w:hint="eastAsia" w:ascii="宋体" w:hAnsi="宋体" w:eastAsia="宋体" w:cs="宋体"/>
        </w:rPr>
      </w:pPr>
    </w:p>
    <w:p w14:paraId="36B94D96">
      <w:pPr>
        <w:rPr>
          <w:rFonts w:hint="eastAsia" w:ascii="宋体" w:hAnsi="宋体" w:eastAsia="宋体" w:cs="宋体"/>
        </w:rPr>
      </w:pPr>
    </w:p>
    <w:p w14:paraId="09923282">
      <w:pPr>
        <w:pStyle w:val="15"/>
        <w:rPr>
          <w:rFonts w:hint="eastAsia" w:ascii="宋体" w:hAnsi="宋体" w:eastAsia="宋体" w:cs="宋体"/>
        </w:rPr>
      </w:pPr>
    </w:p>
    <w:p w14:paraId="7AEFB0C7">
      <w:pPr>
        <w:rPr>
          <w:rFonts w:hint="eastAsia" w:ascii="宋体" w:hAnsi="宋体" w:eastAsia="宋体" w:cs="宋体"/>
        </w:rPr>
      </w:pPr>
    </w:p>
    <w:p w14:paraId="13DB0C32">
      <w:pPr>
        <w:pStyle w:val="15"/>
        <w:rPr>
          <w:rFonts w:hint="eastAsia" w:ascii="宋体" w:hAnsi="宋体" w:eastAsia="宋体" w:cs="宋体"/>
        </w:rPr>
      </w:pPr>
    </w:p>
    <w:p w14:paraId="028BF76B">
      <w:pPr>
        <w:rPr>
          <w:rFonts w:hint="eastAsia" w:ascii="宋体" w:hAnsi="宋体" w:eastAsia="宋体" w:cs="宋体"/>
        </w:rPr>
      </w:pPr>
    </w:p>
    <w:p w14:paraId="52400BC3">
      <w:pPr>
        <w:pStyle w:val="15"/>
        <w:rPr>
          <w:rFonts w:hint="eastAsia" w:ascii="宋体" w:hAnsi="宋体" w:eastAsia="宋体" w:cs="宋体"/>
        </w:rPr>
      </w:pPr>
    </w:p>
    <w:p w14:paraId="41C94FF4">
      <w:pPr>
        <w:rPr>
          <w:rFonts w:hint="eastAsia" w:ascii="宋体" w:hAnsi="宋体" w:eastAsia="宋体" w:cs="宋体"/>
        </w:rPr>
      </w:pPr>
    </w:p>
    <w:p w14:paraId="50CFA1B7">
      <w:pPr>
        <w:pStyle w:val="15"/>
        <w:rPr>
          <w:rFonts w:hint="eastAsia" w:ascii="宋体" w:hAnsi="宋体" w:eastAsia="宋体" w:cs="宋体"/>
        </w:rPr>
      </w:pPr>
    </w:p>
    <w:p w14:paraId="7C34AAC1">
      <w:pPr>
        <w:rPr>
          <w:rFonts w:hint="eastAsia" w:ascii="宋体" w:hAnsi="宋体" w:eastAsia="宋体" w:cs="宋体"/>
        </w:rPr>
      </w:pPr>
    </w:p>
    <w:p w14:paraId="1F30260E">
      <w:pPr>
        <w:rPr>
          <w:rFonts w:hint="eastAsia" w:ascii="宋体" w:hAnsi="宋体" w:eastAsia="宋体" w:cs="宋体"/>
        </w:rPr>
      </w:pPr>
    </w:p>
    <w:p w14:paraId="17021CF4">
      <w:pPr>
        <w:pStyle w:val="15"/>
        <w:rPr>
          <w:rFonts w:hint="eastAsia" w:ascii="宋体" w:hAnsi="宋体" w:eastAsia="宋体" w:cs="宋体"/>
        </w:rPr>
      </w:pPr>
    </w:p>
    <w:p w14:paraId="3ACB30F8">
      <w:pPr>
        <w:spacing w:line="360" w:lineRule="auto"/>
        <w:rPr>
          <w:rFonts w:hint="eastAsia" w:ascii="宋体" w:hAnsi="宋体" w:eastAsia="宋体" w:cs="宋体"/>
          <w:b/>
          <w:sz w:val="28"/>
          <w:szCs w:val="28"/>
          <w:lang w:val="zh-CN"/>
        </w:rPr>
      </w:pPr>
      <w:r>
        <w:rPr>
          <w:rFonts w:hint="eastAsia" w:ascii="宋体" w:hAnsi="宋体" w:eastAsia="宋体" w:cs="宋体"/>
          <w:b/>
          <w:sz w:val="28"/>
          <w:szCs w:val="28"/>
          <w:lang w:val="zh-CN"/>
        </w:rPr>
        <w:t xml:space="preserve">附件1                              　　　         </w:t>
      </w:r>
      <w:r>
        <w:rPr>
          <w:rFonts w:hint="eastAsia" w:ascii="宋体" w:hAnsi="宋体" w:eastAsia="宋体" w:cs="宋体"/>
          <w:b/>
          <w:sz w:val="28"/>
          <w:szCs w:val="28"/>
        </w:rPr>
        <w:t xml:space="preserve"> </w:t>
      </w:r>
    </w:p>
    <w:p w14:paraId="54D5AE60">
      <w:pPr>
        <w:spacing w:line="360" w:lineRule="auto"/>
        <w:rPr>
          <w:rFonts w:hint="eastAsia" w:ascii="宋体" w:hAnsi="宋体" w:eastAsia="宋体" w:cs="宋体"/>
          <w:bCs/>
          <w:sz w:val="24"/>
          <w:lang w:val="zh-CN"/>
        </w:rPr>
      </w:pPr>
    </w:p>
    <w:p w14:paraId="26C8A3E3">
      <w:pPr>
        <w:spacing w:line="360" w:lineRule="auto"/>
        <w:jc w:val="center"/>
        <w:rPr>
          <w:rFonts w:hint="eastAsia" w:ascii="宋体" w:hAnsi="宋体" w:eastAsia="宋体" w:cs="宋体"/>
          <w:bCs/>
          <w:sz w:val="52"/>
          <w:szCs w:val="52"/>
          <w:lang w:val="zh-CN"/>
        </w:rPr>
      </w:pPr>
      <w:r>
        <w:rPr>
          <w:rFonts w:hint="eastAsia" w:ascii="宋体" w:hAnsi="宋体" w:eastAsia="宋体" w:cs="宋体"/>
          <w:bCs/>
          <w:sz w:val="52"/>
          <w:szCs w:val="52"/>
          <w:lang w:val="zh-CN"/>
        </w:rPr>
        <w:t>项目名称</w:t>
      </w:r>
    </w:p>
    <w:p w14:paraId="5105CB4C">
      <w:pPr>
        <w:spacing w:line="360" w:lineRule="auto"/>
        <w:ind w:firstLine="2160" w:firstLineChars="600"/>
        <w:rPr>
          <w:rFonts w:hint="eastAsia" w:ascii="宋体" w:hAnsi="宋体" w:eastAsia="宋体" w:cs="宋体"/>
          <w:bCs/>
          <w:sz w:val="36"/>
          <w:szCs w:val="36"/>
          <w:lang w:val="zh-CN"/>
        </w:rPr>
      </w:pPr>
      <w:r>
        <w:rPr>
          <w:rFonts w:hint="eastAsia" w:ascii="宋体" w:hAnsi="宋体" w:eastAsia="宋体" w:cs="宋体"/>
          <w:bCs/>
          <w:sz w:val="36"/>
          <w:szCs w:val="36"/>
          <w:lang w:val="zh-CN"/>
        </w:rPr>
        <w:t>项目编号：</w:t>
      </w:r>
      <w:r>
        <w:rPr>
          <w:rFonts w:hint="eastAsia" w:ascii="宋体" w:hAnsi="宋体" w:eastAsia="宋体" w:cs="宋体"/>
          <w:bCs/>
          <w:sz w:val="36"/>
          <w:szCs w:val="36"/>
          <w:u w:val="single"/>
          <w:lang w:val="zh-CN"/>
        </w:rPr>
        <w:t xml:space="preserve">            </w:t>
      </w:r>
    </w:p>
    <w:p w14:paraId="5AED5DB6">
      <w:pPr>
        <w:spacing w:line="360" w:lineRule="auto"/>
        <w:rPr>
          <w:rFonts w:hint="eastAsia" w:ascii="宋体" w:hAnsi="宋体" w:eastAsia="宋体" w:cs="宋体"/>
          <w:bCs/>
          <w:sz w:val="24"/>
          <w:lang w:val="zh-CN"/>
        </w:rPr>
      </w:pPr>
    </w:p>
    <w:p w14:paraId="70360879">
      <w:pPr>
        <w:spacing w:line="360" w:lineRule="auto"/>
        <w:rPr>
          <w:rFonts w:hint="eastAsia" w:ascii="宋体" w:hAnsi="宋体" w:eastAsia="宋体" w:cs="宋体"/>
          <w:bCs/>
          <w:sz w:val="24"/>
          <w:lang w:val="zh-CN"/>
        </w:rPr>
      </w:pPr>
    </w:p>
    <w:p w14:paraId="7F2CB7D4">
      <w:pPr>
        <w:spacing w:line="360" w:lineRule="auto"/>
        <w:jc w:val="center"/>
        <w:rPr>
          <w:rFonts w:hint="eastAsia" w:ascii="宋体" w:hAnsi="宋体" w:eastAsia="宋体" w:cs="宋体"/>
          <w:b/>
          <w:sz w:val="72"/>
          <w:szCs w:val="72"/>
          <w:lang w:val="zh-CN"/>
        </w:rPr>
      </w:pPr>
      <w:r>
        <w:rPr>
          <w:rFonts w:hint="eastAsia" w:ascii="宋体" w:hAnsi="宋体" w:eastAsia="宋体" w:cs="宋体"/>
          <w:b/>
          <w:sz w:val="72"/>
          <w:szCs w:val="72"/>
          <w:lang w:val="zh-CN"/>
        </w:rPr>
        <w:t>磋</w:t>
      </w:r>
    </w:p>
    <w:p w14:paraId="19D39DA4">
      <w:pPr>
        <w:spacing w:line="360" w:lineRule="auto"/>
        <w:jc w:val="center"/>
        <w:rPr>
          <w:rFonts w:hint="eastAsia" w:ascii="宋体" w:hAnsi="宋体" w:eastAsia="宋体" w:cs="宋体"/>
          <w:b/>
          <w:sz w:val="72"/>
          <w:szCs w:val="72"/>
          <w:lang w:val="zh-CN"/>
        </w:rPr>
      </w:pPr>
      <w:r>
        <w:rPr>
          <w:rFonts w:hint="eastAsia" w:ascii="宋体" w:hAnsi="宋体" w:eastAsia="宋体" w:cs="宋体"/>
          <w:b/>
          <w:sz w:val="72"/>
          <w:szCs w:val="72"/>
          <w:lang w:val="zh-CN"/>
        </w:rPr>
        <w:t>商</w:t>
      </w:r>
    </w:p>
    <w:p w14:paraId="74890735">
      <w:pPr>
        <w:spacing w:line="360" w:lineRule="auto"/>
        <w:jc w:val="center"/>
        <w:rPr>
          <w:rFonts w:hint="eastAsia" w:ascii="宋体" w:hAnsi="宋体" w:eastAsia="宋体" w:cs="宋体"/>
          <w:b/>
          <w:sz w:val="72"/>
          <w:szCs w:val="72"/>
          <w:lang w:val="zh-CN"/>
        </w:rPr>
      </w:pPr>
      <w:r>
        <w:rPr>
          <w:rFonts w:hint="eastAsia" w:ascii="宋体" w:hAnsi="宋体" w:eastAsia="宋体" w:cs="宋体"/>
          <w:b/>
          <w:sz w:val="72"/>
          <w:szCs w:val="72"/>
          <w:lang w:val="zh-CN"/>
        </w:rPr>
        <w:t>响</w:t>
      </w:r>
    </w:p>
    <w:p w14:paraId="7F411489">
      <w:pPr>
        <w:spacing w:line="360" w:lineRule="auto"/>
        <w:jc w:val="center"/>
        <w:rPr>
          <w:rFonts w:hint="eastAsia" w:ascii="宋体" w:hAnsi="宋体" w:eastAsia="宋体" w:cs="宋体"/>
          <w:b/>
          <w:sz w:val="72"/>
          <w:szCs w:val="72"/>
          <w:lang w:val="zh-CN"/>
        </w:rPr>
      </w:pPr>
      <w:r>
        <w:rPr>
          <w:rFonts w:hint="eastAsia" w:ascii="宋体" w:hAnsi="宋体" w:eastAsia="宋体" w:cs="宋体"/>
          <w:b/>
          <w:sz w:val="72"/>
          <w:szCs w:val="72"/>
          <w:lang w:val="zh-CN"/>
        </w:rPr>
        <w:t>应</w:t>
      </w:r>
    </w:p>
    <w:p w14:paraId="33A60F13">
      <w:pPr>
        <w:spacing w:line="360" w:lineRule="auto"/>
        <w:jc w:val="center"/>
        <w:rPr>
          <w:rFonts w:hint="eastAsia" w:ascii="宋体" w:hAnsi="宋体" w:eastAsia="宋体" w:cs="宋体"/>
          <w:b/>
          <w:sz w:val="72"/>
          <w:szCs w:val="72"/>
          <w:lang w:val="zh-CN"/>
        </w:rPr>
      </w:pPr>
      <w:r>
        <w:rPr>
          <w:rFonts w:hint="eastAsia" w:ascii="宋体" w:hAnsi="宋体" w:eastAsia="宋体" w:cs="宋体"/>
          <w:b/>
          <w:sz w:val="72"/>
          <w:szCs w:val="72"/>
          <w:lang w:val="zh-CN"/>
        </w:rPr>
        <w:t>文</w:t>
      </w:r>
    </w:p>
    <w:p w14:paraId="5E4E8B23">
      <w:pPr>
        <w:spacing w:line="360" w:lineRule="auto"/>
        <w:jc w:val="center"/>
        <w:rPr>
          <w:rFonts w:hint="eastAsia" w:ascii="宋体" w:hAnsi="宋体" w:eastAsia="宋体" w:cs="宋体"/>
          <w:b/>
          <w:sz w:val="72"/>
          <w:szCs w:val="72"/>
          <w:lang w:val="zh-CN"/>
        </w:rPr>
      </w:pPr>
      <w:r>
        <w:rPr>
          <w:rFonts w:hint="eastAsia" w:ascii="宋体" w:hAnsi="宋体" w:eastAsia="宋体" w:cs="宋体"/>
          <w:b/>
          <w:sz w:val="72"/>
          <w:szCs w:val="72"/>
          <w:lang w:val="zh-CN"/>
        </w:rPr>
        <w:t>件</w:t>
      </w:r>
    </w:p>
    <w:p w14:paraId="27CF5F09">
      <w:pPr>
        <w:spacing w:line="360" w:lineRule="auto"/>
        <w:rPr>
          <w:rFonts w:hint="eastAsia" w:ascii="宋体" w:hAnsi="宋体" w:eastAsia="宋体" w:cs="宋体"/>
          <w:bCs/>
          <w:sz w:val="24"/>
          <w:lang w:val="zh-CN"/>
        </w:rPr>
      </w:pPr>
    </w:p>
    <w:p w14:paraId="692ADE49">
      <w:pPr>
        <w:spacing w:line="360" w:lineRule="auto"/>
        <w:rPr>
          <w:rFonts w:hint="eastAsia" w:ascii="宋体" w:hAnsi="宋体" w:eastAsia="宋体" w:cs="宋体"/>
          <w:bCs/>
          <w:sz w:val="24"/>
          <w:lang w:val="zh-CN"/>
        </w:rPr>
      </w:pPr>
    </w:p>
    <w:p w14:paraId="382D47D8">
      <w:pPr>
        <w:spacing w:line="360" w:lineRule="auto"/>
        <w:rPr>
          <w:rFonts w:hint="eastAsia" w:ascii="宋体" w:hAnsi="宋体" w:eastAsia="宋体" w:cs="宋体"/>
          <w:bCs/>
          <w:sz w:val="36"/>
          <w:szCs w:val="36"/>
          <w:lang w:val="zh-CN"/>
        </w:rPr>
      </w:pPr>
      <w:r>
        <w:rPr>
          <w:rFonts w:hint="eastAsia" w:ascii="宋体" w:hAnsi="宋体" w:eastAsia="宋体" w:cs="宋体"/>
          <w:bCs/>
          <w:sz w:val="36"/>
          <w:szCs w:val="36"/>
          <w:lang w:val="zh-CN"/>
        </w:rPr>
        <w:t>投标人全称（公章）：</w:t>
      </w:r>
    </w:p>
    <w:p w14:paraId="48EAA5E2">
      <w:pPr>
        <w:spacing w:line="360" w:lineRule="auto"/>
        <w:rPr>
          <w:rFonts w:hint="eastAsia" w:ascii="宋体" w:hAnsi="宋体" w:eastAsia="宋体" w:cs="宋体"/>
          <w:bCs/>
          <w:sz w:val="36"/>
          <w:szCs w:val="36"/>
          <w:lang w:val="zh-CN"/>
        </w:rPr>
      </w:pPr>
      <w:r>
        <w:rPr>
          <w:rFonts w:hint="eastAsia" w:ascii="宋体" w:hAnsi="宋体" w:eastAsia="宋体" w:cs="宋体"/>
          <w:bCs/>
          <w:sz w:val="36"/>
          <w:szCs w:val="36"/>
          <w:lang w:val="zh-CN"/>
        </w:rPr>
        <w:t>地    址：</w:t>
      </w:r>
    </w:p>
    <w:p w14:paraId="6A9B7121">
      <w:pPr>
        <w:spacing w:line="360" w:lineRule="auto"/>
        <w:rPr>
          <w:rFonts w:hint="eastAsia" w:ascii="宋体" w:hAnsi="宋体" w:eastAsia="宋体" w:cs="宋体"/>
          <w:bCs/>
          <w:sz w:val="36"/>
          <w:szCs w:val="36"/>
          <w:lang w:val="zh-CN"/>
        </w:rPr>
      </w:pPr>
      <w:r>
        <w:rPr>
          <w:rFonts w:hint="eastAsia" w:ascii="宋体" w:hAnsi="宋体" w:eastAsia="宋体" w:cs="宋体"/>
          <w:bCs/>
          <w:sz w:val="36"/>
          <w:szCs w:val="36"/>
          <w:lang w:val="zh-CN"/>
        </w:rPr>
        <w:t>时    间：</w:t>
      </w:r>
    </w:p>
    <w:p w14:paraId="08911CC2">
      <w:pPr>
        <w:pStyle w:val="12"/>
        <w:rPr>
          <w:rFonts w:hint="eastAsia" w:ascii="宋体" w:hAnsi="宋体" w:eastAsia="宋体" w:cs="宋体"/>
          <w:bCs/>
          <w:sz w:val="36"/>
          <w:szCs w:val="36"/>
          <w:lang w:val="zh-CN"/>
        </w:rPr>
      </w:pPr>
    </w:p>
    <w:p w14:paraId="3DF33356">
      <w:pPr>
        <w:spacing w:line="360" w:lineRule="auto"/>
        <w:jc w:val="center"/>
        <w:rPr>
          <w:rFonts w:hint="eastAsia" w:ascii="宋体" w:hAnsi="宋体" w:eastAsia="宋体" w:cs="宋体"/>
          <w:b/>
          <w:sz w:val="36"/>
          <w:szCs w:val="36"/>
          <w:lang w:val="zh-CN"/>
        </w:rPr>
      </w:pPr>
    </w:p>
    <w:p w14:paraId="0E2B99A6">
      <w:pPr>
        <w:spacing w:line="360" w:lineRule="auto"/>
        <w:jc w:val="center"/>
        <w:rPr>
          <w:rFonts w:hint="eastAsia" w:ascii="宋体" w:hAnsi="宋体" w:eastAsia="宋体" w:cs="宋体"/>
          <w:b/>
          <w:sz w:val="36"/>
          <w:szCs w:val="36"/>
          <w:lang w:val="zh-CN"/>
        </w:rPr>
      </w:pPr>
    </w:p>
    <w:p w14:paraId="52466D9F">
      <w:pPr>
        <w:spacing w:line="360" w:lineRule="auto"/>
        <w:rPr>
          <w:rFonts w:hint="eastAsia" w:ascii="宋体" w:hAnsi="宋体" w:eastAsia="宋体" w:cs="宋体"/>
          <w:b/>
          <w:sz w:val="36"/>
          <w:szCs w:val="36"/>
          <w:lang w:val="zh-CN"/>
        </w:rPr>
      </w:pPr>
    </w:p>
    <w:p w14:paraId="729FB01B">
      <w:pPr>
        <w:spacing w:line="360" w:lineRule="auto"/>
        <w:jc w:val="center"/>
        <w:rPr>
          <w:rFonts w:hint="eastAsia" w:ascii="宋体" w:hAnsi="宋体" w:eastAsia="宋体" w:cs="宋体"/>
          <w:b/>
          <w:sz w:val="36"/>
          <w:szCs w:val="36"/>
          <w:lang w:val="zh-CN"/>
        </w:rPr>
      </w:pPr>
      <w:r>
        <w:rPr>
          <w:rFonts w:hint="eastAsia" w:ascii="宋体" w:hAnsi="宋体" w:eastAsia="宋体" w:cs="宋体"/>
          <w:b/>
          <w:sz w:val="36"/>
          <w:szCs w:val="36"/>
          <w:lang w:val="zh-CN"/>
        </w:rPr>
        <w:t>磋商响应文件目录</w:t>
      </w:r>
    </w:p>
    <w:p w14:paraId="2068FF89">
      <w:pPr>
        <w:spacing w:line="360" w:lineRule="auto"/>
        <w:rPr>
          <w:rFonts w:hint="eastAsia" w:ascii="宋体" w:hAnsi="宋体" w:eastAsia="宋体" w:cs="宋体"/>
          <w:bCs/>
          <w:sz w:val="24"/>
          <w:lang w:val="zh-CN"/>
        </w:rPr>
      </w:pPr>
    </w:p>
    <w:p w14:paraId="12F08CFF">
      <w:pPr>
        <w:spacing w:line="360" w:lineRule="auto"/>
        <w:rPr>
          <w:rFonts w:hint="eastAsia" w:ascii="宋体" w:hAnsi="宋体" w:eastAsia="宋体" w:cs="宋体"/>
          <w:b/>
          <w:sz w:val="28"/>
          <w:szCs w:val="28"/>
          <w:lang w:val="zh-CN"/>
        </w:rPr>
      </w:pPr>
      <w:r>
        <w:rPr>
          <w:rFonts w:hint="eastAsia" w:ascii="宋体" w:hAnsi="宋体" w:eastAsia="宋体" w:cs="宋体"/>
          <w:b/>
          <w:sz w:val="28"/>
          <w:szCs w:val="28"/>
          <w:lang w:val="zh-CN"/>
        </w:rPr>
        <w:t>第一部分：资格证明部分</w:t>
      </w:r>
    </w:p>
    <w:p w14:paraId="547BF2BF">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（1）磋商声明书；（附件1）</w:t>
      </w:r>
    </w:p>
    <w:p w14:paraId="245EEB73">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（2）授权委托书（法定代表人亲自办理投标事宜，则无需提交）；（附件2）</w:t>
      </w:r>
    </w:p>
    <w:p w14:paraId="77A0A51F">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（3）法人或者其他组织的营业执照等证明文件，自然人的身份证明；</w:t>
      </w:r>
    </w:p>
    <w:p w14:paraId="21288DC6">
      <w:pPr>
        <w:snapToGrid w:val="0"/>
        <w:spacing w:line="400" w:lineRule="exact"/>
        <w:ind w:firstLine="440" w:firstLineChars="200"/>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w:t>
      </w:r>
      <w:r>
        <w:rPr>
          <w:rFonts w:hint="eastAsia" w:ascii="宋体" w:hAnsi="宋体" w:eastAsia="宋体" w:cs="宋体"/>
          <w:bCs/>
          <w:kern w:val="0"/>
          <w:sz w:val="22"/>
          <w:szCs w:val="22"/>
        </w:rPr>
        <w:t>4</w:t>
      </w:r>
      <w:r>
        <w:rPr>
          <w:rFonts w:hint="eastAsia" w:ascii="宋体" w:hAnsi="宋体" w:eastAsia="宋体" w:cs="宋体"/>
          <w:bCs/>
          <w:kern w:val="0"/>
          <w:sz w:val="22"/>
          <w:szCs w:val="22"/>
          <w:lang w:val="zh-CN"/>
        </w:rPr>
        <w:t>）提供未被 “信用中国”（www.creditchina.gov.cn）、中国政府采购网（www.ccgp.gov.cn）列入失信被执行人、重大税收违法案件当事人名单、政府采购严重违法失信行为记录名单的截图；</w:t>
      </w:r>
    </w:p>
    <w:p w14:paraId="03A1D92E">
      <w:pPr>
        <w:spacing w:line="360" w:lineRule="auto"/>
        <w:ind w:firstLine="480" w:firstLineChars="200"/>
        <w:rPr>
          <w:rFonts w:hint="eastAsia" w:ascii="宋体" w:hAnsi="宋体" w:eastAsia="宋体" w:cs="宋体"/>
          <w:bCs/>
          <w:sz w:val="24"/>
          <w:lang w:val="zh-CN"/>
        </w:rPr>
      </w:pPr>
    </w:p>
    <w:p w14:paraId="104EC145">
      <w:pPr>
        <w:spacing w:line="360" w:lineRule="auto"/>
        <w:ind w:firstLine="480" w:firstLineChars="200"/>
        <w:rPr>
          <w:rFonts w:hint="eastAsia" w:ascii="宋体" w:hAnsi="宋体" w:eastAsia="宋体" w:cs="宋体"/>
          <w:bCs/>
          <w:sz w:val="24"/>
          <w:lang w:val="zh-CN"/>
        </w:rPr>
      </w:pPr>
    </w:p>
    <w:p w14:paraId="51FCA381">
      <w:pPr>
        <w:spacing w:line="360" w:lineRule="auto"/>
        <w:ind w:firstLine="480" w:firstLineChars="200"/>
        <w:rPr>
          <w:rFonts w:hint="eastAsia" w:ascii="宋体" w:hAnsi="宋体" w:eastAsia="宋体" w:cs="宋体"/>
          <w:bCs/>
          <w:sz w:val="24"/>
          <w:lang w:val="zh-CN"/>
        </w:rPr>
      </w:pPr>
    </w:p>
    <w:p w14:paraId="7FB7772A">
      <w:pPr>
        <w:spacing w:line="360" w:lineRule="auto"/>
        <w:ind w:firstLine="480" w:firstLineChars="200"/>
        <w:rPr>
          <w:rFonts w:hint="eastAsia" w:ascii="宋体" w:hAnsi="宋体" w:eastAsia="宋体" w:cs="宋体"/>
          <w:bCs/>
          <w:sz w:val="24"/>
          <w:lang w:val="zh-CN"/>
        </w:rPr>
      </w:pPr>
    </w:p>
    <w:p w14:paraId="69FB85B5">
      <w:pPr>
        <w:spacing w:line="360" w:lineRule="auto"/>
        <w:ind w:firstLine="480" w:firstLineChars="200"/>
        <w:rPr>
          <w:rFonts w:hint="eastAsia" w:ascii="宋体" w:hAnsi="宋体" w:eastAsia="宋体" w:cs="宋体"/>
          <w:bCs/>
          <w:sz w:val="24"/>
          <w:lang w:val="zh-CN"/>
        </w:rPr>
      </w:pPr>
    </w:p>
    <w:p w14:paraId="190CD995">
      <w:pPr>
        <w:spacing w:line="360" w:lineRule="auto"/>
        <w:ind w:firstLine="480" w:firstLineChars="200"/>
        <w:rPr>
          <w:rFonts w:hint="eastAsia" w:ascii="宋体" w:hAnsi="宋体" w:eastAsia="宋体" w:cs="宋体"/>
          <w:bCs/>
          <w:sz w:val="24"/>
          <w:lang w:val="zh-CN"/>
        </w:rPr>
      </w:pPr>
    </w:p>
    <w:p w14:paraId="574C26A7">
      <w:pPr>
        <w:spacing w:line="360" w:lineRule="auto"/>
        <w:ind w:firstLine="480" w:firstLineChars="200"/>
        <w:rPr>
          <w:rFonts w:hint="eastAsia" w:ascii="宋体" w:hAnsi="宋体" w:eastAsia="宋体" w:cs="宋体"/>
          <w:bCs/>
          <w:sz w:val="24"/>
          <w:lang w:val="zh-CN"/>
        </w:rPr>
      </w:pPr>
    </w:p>
    <w:p w14:paraId="5F27BE81">
      <w:pPr>
        <w:spacing w:line="360" w:lineRule="auto"/>
        <w:ind w:firstLine="480" w:firstLineChars="200"/>
        <w:rPr>
          <w:rFonts w:hint="eastAsia" w:ascii="宋体" w:hAnsi="宋体" w:eastAsia="宋体" w:cs="宋体"/>
          <w:bCs/>
          <w:sz w:val="24"/>
          <w:lang w:val="zh-CN"/>
        </w:rPr>
      </w:pPr>
    </w:p>
    <w:p w14:paraId="3575C7EF">
      <w:pPr>
        <w:spacing w:line="360" w:lineRule="auto"/>
        <w:ind w:firstLine="480" w:firstLineChars="200"/>
        <w:rPr>
          <w:rFonts w:hint="eastAsia" w:ascii="宋体" w:hAnsi="宋体" w:eastAsia="宋体" w:cs="宋体"/>
          <w:bCs/>
          <w:sz w:val="24"/>
          <w:lang w:val="zh-CN"/>
        </w:rPr>
      </w:pPr>
    </w:p>
    <w:p w14:paraId="381BB200">
      <w:pPr>
        <w:spacing w:line="360" w:lineRule="auto"/>
        <w:ind w:firstLine="480" w:firstLineChars="200"/>
        <w:rPr>
          <w:rFonts w:hint="eastAsia" w:ascii="宋体" w:hAnsi="宋体" w:eastAsia="宋体" w:cs="宋体"/>
          <w:bCs/>
          <w:sz w:val="24"/>
          <w:lang w:val="zh-CN"/>
        </w:rPr>
      </w:pPr>
    </w:p>
    <w:p w14:paraId="16D1FDB8">
      <w:pPr>
        <w:spacing w:line="360" w:lineRule="auto"/>
        <w:ind w:firstLine="480" w:firstLineChars="200"/>
        <w:rPr>
          <w:rFonts w:hint="eastAsia" w:ascii="宋体" w:hAnsi="宋体" w:eastAsia="宋体" w:cs="宋体"/>
          <w:bCs/>
          <w:sz w:val="24"/>
          <w:lang w:val="zh-CN"/>
        </w:rPr>
      </w:pPr>
    </w:p>
    <w:p w14:paraId="602ADE4E">
      <w:pPr>
        <w:spacing w:line="360" w:lineRule="auto"/>
        <w:ind w:firstLine="480" w:firstLineChars="200"/>
        <w:rPr>
          <w:rFonts w:hint="eastAsia" w:ascii="宋体" w:hAnsi="宋体" w:eastAsia="宋体" w:cs="宋体"/>
          <w:bCs/>
          <w:sz w:val="24"/>
          <w:lang w:val="zh-CN"/>
        </w:rPr>
      </w:pPr>
    </w:p>
    <w:p w14:paraId="63070A71">
      <w:pPr>
        <w:spacing w:line="360" w:lineRule="auto"/>
        <w:ind w:firstLine="480" w:firstLineChars="200"/>
        <w:rPr>
          <w:rFonts w:hint="eastAsia" w:ascii="宋体" w:hAnsi="宋体" w:eastAsia="宋体" w:cs="宋体"/>
          <w:bCs/>
          <w:sz w:val="24"/>
          <w:lang w:val="zh-CN"/>
        </w:rPr>
      </w:pPr>
    </w:p>
    <w:p w14:paraId="0FBAFF22">
      <w:pPr>
        <w:pStyle w:val="3"/>
        <w:numPr>
          <w:ilvl w:val="0"/>
          <w:numId w:val="0"/>
        </w:numPr>
        <w:ind w:left="1600" w:right="210"/>
        <w:rPr>
          <w:rFonts w:hint="eastAsia" w:ascii="宋体" w:hAnsi="宋体" w:eastAsia="宋体" w:cs="宋体"/>
          <w:bCs/>
          <w:lang w:val="zh-CN"/>
        </w:rPr>
      </w:pPr>
    </w:p>
    <w:p w14:paraId="54D71352">
      <w:pPr>
        <w:pStyle w:val="9"/>
        <w:ind w:firstLine="480"/>
        <w:rPr>
          <w:rFonts w:hint="eastAsia" w:ascii="宋体" w:hAnsi="宋体" w:eastAsia="宋体" w:cs="宋体"/>
          <w:bCs/>
          <w:lang w:val="zh-CN"/>
        </w:rPr>
      </w:pPr>
    </w:p>
    <w:p w14:paraId="3FD0C521">
      <w:pPr>
        <w:pStyle w:val="15"/>
        <w:rPr>
          <w:rFonts w:hint="eastAsia" w:ascii="宋体" w:hAnsi="宋体" w:eastAsia="宋体" w:cs="宋体"/>
          <w:bCs/>
          <w:sz w:val="24"/>
          <w:lang w:val="zh-CN"/>
        </w:rPr>
      </w:pPr>
    </w:p>
    <w:p w14:paraId="252F0CE8">
      <w:pPr>
        <w:rPr>
          <w:rFonts w:hint="eastAsia" w:ascii="宋体" w:hAnsi="宋体" w:eastAsia="宋体" w:cs="宋体"/>
          <w:lang w:val="zh-CN"/>
        </w:rPr>
      </w:pPr>
    </w:p>
    <w:p w14:paraId="0EA9A61B">
      <w:pPr>
        <w:spacing w:line="360" w:lineRule="auto"/>
        <w:rPr>
          <w:rFonts w:hint="eastAsia" w:ascii="宋体" w:hAnsi="宋体" w:eastAsia="宋体" w:cs="宋体"/>
          <w:bCs/>
          <w:sz w:val="24"/>
          <w:lang w:val="zh-CN"/>
        </w:rPr>
      </w:pPr>
    </w:p>
    <w:p w14:paraId="5D983661">
      <w:pPr>
        <w:spacing w:line="360" w:lineRule="auto"/>
        <w:rPr>
          <w:rFonts w:hint="eastAsia" w:ascii="宋体" w:hAnsi="宋体" w:eastAsia="宋体" w:cs="宋体"/>
          <w:bCs/>
          <w:sz w:val="24"/>
          <w:lang w:val="zh-CN"/>
        </w:rPr>
      </w:pPr>
    </w:p>
    <w:p w14:paraId="6640405D">
      <w:pPr>
        <w:pStyle w:val="9"/>
        <w:ind w:firstLine="480"/>
        <w:rPr>
          <w:rFonts w:hint="eastAsia" w:ascii="宋体" w:hAnsi="宋体" w:eastAsia="宋体" w:cs="宋体"/>
          <w:lang w:val="zh-CN"/>
        </w:rPr>
      </w:pPr>
    </w:p>
    <w:p w14:paraId="67576AA9">
      <w:pPr>
        <w:spacing w:line="360" w:lineRule="auto"/>
        <w:rPr>
          <w:rFonts w:hint="eastAsia" w:ascii="宋体" w:hAnsi="宋体" w:eastAsia="宋体" w:cs="宋体"/>
          <w:b/>
          <w:sz w:val="28"/>
          <w:szCs w:val="28"/>
          <w:lang w:val="zh-CN"/>
        </w:rPr>
      </w:pPr>
      <w:r>
        <w:rPr>
          <w:rFonts w:hint="eastAsia" w:ascii="宋体" w:hAnsi="宋体" w:eastAsia="宋体" w:cs="宋体"/>
          <w:b/>
          <w:sz w:val="28"/>
          <w:szCs w:val="28"/>
          <w:lang w:val="zh-CN"/>
        </w:rPr>
        <w:t>附件</w:t>
      </w:r>
      <w:r>
        <w:rPr>
          <w:rFonts w:hint="eastAsia" w:ascii="宋体" w:hAnsi="宋体" w:eastAsia="宋体" w:cs="宋体"/>
          <w:b/>
          <w:sz w:val="28"/>
          <w:szCs w:val="28"/>
        </w:rPr>
        <w:t>1</w:t>
      </w:r>
    </w:p>
    <w:p w14:paraId="668205EC">
      <w:pPr>
        <w:spacing w:line="360" w:lineRule="auto"/>
        <w:jc w:val="center"/>
        <w:rPr>
          <w:rFonts w:hint="eastAsia" w:ascii="宋体" w:hAnsi="宋体" w:eastAsia="宋体" w:cs="宋体"/>
          <w:b/>
          <w:sz w:val="28"/>
          <w:szCs w:val="28"/>
          <w:lang w:val="zh-CN"/>
        </w:rPr>
      </w:pPr>
      <w:r>
        <w:rPr>
          <w:rFonts w:hint="eastAsia" w:ascii="宋体" w:hAnsi="宋体" w:eastAsia="宋体" w:cs="宋体"/>
          <w:b/>
          <w:sz w:val="28"/>
          <w:szCs w:val="28"/>
          <w:lang w:val="zh-CN"/>
        </w:rPr>
        <w:t>磋商声明书</w:t>
      </w:r>
    </w:p>
    <w:p w14:paraId="55FFB29B">
      <w:pPr>
        <w:spacing w:line="360" w:lineRule="auto"/>
        <w:rPr>
          <w:rFonts w:hint="eastAsia" w:ascii="宋体" w:hAnsi="宋体" w:eastAsia="宋体" w:cs="宋体"/>
          <w:bCs/>
          <w:sz w:val="22"/>
          <w:szCs w:val="22"/>
          <w:lang w:val="zh-CN"/>
        </w:rPr>
      </w:pPr>
      <w:r>
        <w:rPr>
          <w:rFonts w:hint="eastAsia" w:ascii="宋体" w:hAnsi="宋体" w:eastAsia="宋体" w:cs="宋体"/>
          <w:bCs/>
          <w:sz w:val="22"/>
          <w:szCs w:val="22"/>
          <w:lang w:val="zh-CN"/>
        </w:rPr>
        <w:t>浙江新诚信工程咨询有限公司：</w:t>
      </w:r>
    </w:p>
    <w:p w14:paraId="23C396E4">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zh-CN"/>
        </w:rPr>
        <w:t>（投标人名称）系中华人民共和国合法企业，经营地址。</w:t>
      </w:r>
    </w:p>
    <w:p w14:paraId="58843DEC">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zh-CN"/>
        </w:rPr>
        <w:t>我</w:t>
      </w:r>
      <w:r>
        <w:rPr>
          <w:rFonts w:hint="eastAsia" w:ascii="宋体" w:hAnsi="宋体" w:eastAsia="宋体" w:cs="宋体"/>
          <w:bCs/>
          <w:sz w:val="22"/>
          <w:szCs w:val="22"/>
          <w:u w:val="single"/>
          <w:lang w:val="zh-CN"/>
        </w:rPr>
        <w:t>（ 姓名 ）</w:t>
      </w:r>
      <w:r>
        <w:rPr>
          <w:rFonts w:hint="eastAsia" w:ascii="宋体" w:hAnsi="宋体" w:eastAsia="宋体" w:cs="宋体"/>
          <w:bCs/>
          <w:sz w:val="22"/>
          <w:szCs w:val="22"/>
          <w:lang w:val="zh-CN"/>
        </w:rPr>
        <w:t>系</w:t>
      </w:r>
      <w:r>
        <w:rPr>
          <w:rFonts w:hint="eastAsia" w:ascii="宋体" w:hAnsi="宋体" w:eastAsia="宋体" w:cs="宋体"/>
          <w:bCs/>
          <w:sz w:val="22"/>
          <w:szCs w:val="22"/>
          <w:u w:val="single"/>
          <w:lang w:val="zh-CN"/>
        </w:rPr>
        <w:t>（ 投标人名称 ）</w:t>
      </w:r>
      <w:r>
        <w:rPr>
          <w:rFonts w:hint="eastAsia" w:ascii="宋体" w:hAnsi="宋体" w:eastAsia="宋体" w:cs="宋体"/>
          <w:bCs/>
          <w:sz w:val="22"/>
          <w:szCs w:val="22"/>
          <w:lang w:val="zh-CN"/>
        </w:rPr>
        <w:t>的法定代表人，我公司自愿参加贵方组织的</w:t>
      </w:r>
      <w:r>
        <w:rPr>
          <w:rFonts w:hint="eastAsia" w:ascii="宋体" w:hAnsi="宋体" w:eastAsia="宋体" w:cs="宋体"/>
          <w:bCs/>
          <w:sz w:val="22"/>
          <w:szCs w:val="22"/>
          <w:u w:val="single"/>
          <w:lang w:val="zh-CN"/>
        </w:rPr>
        <w:t>黄岩区应急能力提升工程（防汛乡镇村指挥会商系统）服务项目</w:t>
      </w:r>
      <w:r>
        <w:rPr>
          <w:rFonts w:hint="eastAsia" w:ascii="宋体" w:hAnsi="宋体" w:eastAsia="宋体" w:cs="宋体"/>
          <w:bCs/>
          <w:sz w:val="22"/>
          <w:szCs w:val="22"/>
          <w:lang w:val="zh-CN"/>
        </w:rPr>
        <w:t>（编号为</w:t>
      </w:r>
      <w:r>
        <w:rPr>
          <w:rFonts w:hint="eastAsia" w:ascii="宋体" w:hAnsi="宋体" w:eastAsia="宋体" w:cs="宋体"/>
          <w:sz w:val="22"/>
          <w:szCs w:val="22"/>
          <w:highlight w:val="none"/>
          <w:u w:val="single"/>
          <w:lang w:eastAsia="zh-CN"/>
        </w:rPr>
        <w:t>ZJXCX-2025-CG070</w:t>
      </w:r>
      <w:r>
        <w:rPr>
          <w:rFonts w:hint="eastAsia" w:ascii="宋体" w:hAnsi="宋体" w:eastAsia="宋体" w:cs="宋体"/>
          <w:bCs/>
          <w:sz w:val="22"/>
          <w:szCs w:val="22"/>
          <w:highlight w:val="none"/>
          <w:lang w:val="zh-CN"/>
        </w:rPr>
        <w:t>）</w:t>
      </w:r>
      <w:r>
        <w:rPr>
          <w:rFonts w:hint="eastAsia" w:ascii="宋体" w:hAnsi="宋体" w:eastAsia="宋体" w:cs="宋体"/>
          <w:bCs/>
          <w:sz w:val="22"/>
          <w:szCs w:val="22"/>
          <w:lang w:val="zh-CN"/>
        </w:rPr>
        <w:t>的磋商，为此，我公司就本次磋商有关事项郑重声明如下：</w:t>
      </w:r>
    </w:p>
    <w:p w14:paraId="58F17C5D">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rPr>
        <w:t>1、</w:t>
      </w:r>
      <w:r>
        <w:rPr>
          <w:rFonts w:hint="eastAsia" w:ascii="宋体" w:hAnsi="宋体" w:eastAsia="宋体" w:cs="宋体"/>
          <w:bCs/>
          <w:sz w:val="22"/>
          <w:szCs w:val="22"/>
          <w:lang w:val="zh-CN"/>
        </w:rPr>
        <w:t>我公司声明截止磋商时间近三年以来：在参加采购活动过程中无任何不良行为记录；无重大违法记录（重大违法记录是指投标人因违法经营受到刑事处罚或者责令停产停业、吊销许可证或者执照、较大数额罚款等行政处罚）。</w:t>
      </w:r>
    </w:p>
    <w:p w14:paraId="6629E33A">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rPr>
        <w:t>2、</w:t>
      </w:r>
      <w:r>
        <w:rPr>
          <w:rFonts w:hint="eastAsia" w:ascii="宋体" w:hAnsi="宋体" w:eastAsia="宋体" w:cs="宋体"/>
          <w:bCs/>
          <w:sz w:val="22"/>
          <w:szCs w:val="22"/>
          <w:lang w:val="zh-CN"/>
        </w:rPr>
        <w:t>我公司在参与磋商前已详细审查了磋商采购文件和所有相关资料，我方完全明白并认为此磋商采购文件没有倾向性，也没有存在排斥潜在投标人的内容，我方同意磋商采购文件的相关条款，放弃对磋商采购文件提出误解和质疑的一切权利。</w:t>
      </w:r>
    </w:p>
    <w:p w14:paraId="4F396212">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zh-CN"/>
        </w:rPr>
        <w:t>3、我公司不是采购人的附属机构；在获知本项目采购信息后，与采购人聘请的为此项目提供咨询服务的公司及其附属机构没有任何联系。</w:t>
      </w:r>
    </w:p>
    <w:p w14:paraId="4742A919">
      <w:pPr>
        <w:spacing w:line="360" w:lineRule="auto"/>
        <w:ind w:firstLine="440" w:firstLineChars="200"/>
        <w:rPr>
          <w:rFonts w:hint="eastAsia" w:ascii="宋体" w:hAnsi="宋体" w:eastAsia="宋体" w:cs="宋体"/>
          <w:bCs/>
          <w:sz w:val="22"/>
          <w:szCs w:val="22"/>
          <w:lang w:val="af-ZA"/>
        </w:rPr>
      </w:pPr>
      <w:r>
        <w:rPr>
          <w:rFonts w:hint="eastAsia" w:ascii="宋体" w:hAnsi="宋体" w:eastAsia="宋体" w:cs="宋体"/>
          <w:bCs/>
          <w:sz w:val="22"/>
          <w:szCs w:val="22"/>
          <w:lang w:val="zh-CN"/>
        </w:rPr>
        <w:t>4、我公司保证，</w:t>
      </w:r>
      <w:r>
        <w:rPr>
          <w:rFonts w:hint="eastAsia" w:ascii="宋体" w:hAnsi="宋体" w:eastAsia="宋体" w:cs="宋体"/>
          <w:bCs/>
          <w:sz w:val="22"/>
          <w:szCs w:val="22"/>
          <w:lang w:val="af-ZA"/>
        </w:rPr>
        <w:t>采购人在中华人民共和国境内使用</w:t>
      </w:r>
      <w:r>
        <w:rPr>
          <w:rFonts w:hint="eastAsia" w:ascii="宋体" w:hAnsi="宋体" w:eastAsia="宋体" w:cs="宋体"/>
          <w:bCs/>
          <w:sz w:val="22"/>
          <w:szCs w:val="22"/>
          <w:lang w:val="zh-CN"/>
        </w:rPr>
        <w:t>我公司</w:t>
      </w:r>
      <w:r>
        <w:rPr>
          <w:rFonts w:hint="eastAsia" w:ascii="宋体" w:hAnsi="宋体" w:eastAsia="宋体" w:cs="宋体"/>
          <w:bCs/>
          <w:sz w:val="22"/>
          <w:szCs w:val="22"/>
          <w:lang w:val="af-ZA"/>
        </w:rPr>
        <w:t>磋商响应的货物、资料、技术、服务或其任何一部分时，享有不受限制的无偿使用权，如有第三方向采购人提出侵犯其专利权、商标权或</w:t>
      </w:r>
      <w:r>
        <w:rPr>
          <w:rFonts w:hint="eastAsia" w:ascii="宋体" w:hAnsi="宋体" w:eastAsia="宋体" w:cs="宋体"/>
          <w:bCs/>
          <w:sz w:val="22"/>
          <w:szCs w:val="22"/>
          <w:lang w:val="af-ZA" w:eastAsia="zh-CN"/>
        </w:rPr>
        <w:t>其他</w:t>
      </w:r>
      <w:r>
        <w:rPr>
          <w:rFonts w:hint="eastAsia" w:ascii="宋体" w:hAnsi="宋体" w:eastAsia="宋体" w:cs="宋体"/>
          <w:bCs/>
          <w:sz w:val="22"/>
          <w:szCs w:val="22"/>
          <w:lang w:val="af-ZA"/>
        </w:rPr>
        <w:t>知识产权的主张，该责任由我方承担。我方的总报价已包含所有应向所有权人支付的专利权、商标权或</w:t>
      </w:r>
      <w:r>
        <w:rPr>
          <w:rFonts w:hint="eastAsia" w:ascii="宋体" w:hAnsi="宋体" w:eastAsia="宋体" w:cs="宋体"/>
          <w:bCs/>
          <w:sz w:val="22"/>
          <w:szCs w:val="22"/>
          <w:lang w:val="af-ZA" w:eastAsia="zh-CN"/>
        </w:rPr>
        <w:t>其他</w:t>
      </w:r>
      <w:r>
        <w:rPr>
          <w:rFonts w:hint="eastAsia" w:ascii="宋体" w:hAnsi="宋体" w:eastAsia="宋体" w:cs="宋体"/>
          <w:bCs/>
          <w:sz w:val="22"/>
          <w:szCs w:val="22"/>
          <w:lang w:val="af-ZA"/>
        </w:rPr>
        <w:t>知识产权的一切相关费用。</w:t>
      </w:r>
    </w:p>
    <w:p w14:paraId="5A20FCE3">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af-ZA"/>
        </w:rPr>
        <w:t>5、我</w:t>
      </w:r>
      <w:r>
        <w:rPr>
          <w:rFonts w:hint="eastAsia" w:ascii="宋体" w:hAnsi="宋体" w:eastAsia="宋体" w:cs="宋体"/>
          <w:bCs/>
          <w:sz w:val="22"/>
          <w:szCs w:val="22"/>
          <w:lang w:val="zh-CN"/>
        </w:rPr>
        <w:t>公司</w:t>
      </w:r>
      <w:r>
        <w:rPr>
          <w:rFonts w:hint="eastAsia" w:ascii="宋体" w:hAnsi="宋体" w:eastAsia="宋体" w:cs="宋体"/>
          <w:bCs/>
          <w:sz w:val="22"/>
          <w:szCs w:val="22"/>
          <w:lang w:val="af-ZA"/>
        </w:rPr>
        <w:t>严格履行采购合同，不降低合同约定的产品质量和服务，不擅自变更、中止、终止合同，或拒绝履行合同义务；</w:t>
      </w:r>
    </w:p>
    <w:p w14:paraId="2C108246">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zh-CN"/>
        </w:rPr>
        <w:t>6、以上事项如有虚假或隐瞒，我公司愿意承担一切后果，并不再寻求任何旨在减轻或免除法律责任的辩解。</w:t>
      </w:r>
    </w:p>
    <w:p w14:paraId="1EA28A4E">
      <w:pPr>
        <w:spacing w:line="360" w:lineRule="auto"/>
        <w:ind w:firstLine="3300" w:firstLineChars="1500"/>
        <w:rPr>
          <w:rFonts w:hint="eastAsia" w:ascii="宋体" w:hAnsi="宋体" w:eastAsia="宋体" w:cs="宋体"/>
          <w:bCs/>
          <w:sz w:val="22"/>
          <w:szCs w:val="22"/>
          <w:lang w:val="zh-CN"/>
        </w:rPr>
      </w:pPr>
      <w:r>
        <w:rPr>
          <w:rFonts w:hint="eastAsia" w:ascii="宋体" w:hAnsi="宋体" w:eastAsia="宋体" w:cs="宋体"/>
          <w:bCs/>
          <w:sz w:val="22"/>
          <w:szCs w:val="22"/>
          <w:lang w:val="zh-CN"/>
        </w:rPr>
        <w:t>投标人名称(公章）：</w:t>
      </w:r>
    </w:p>
    <w:p w14:paraId="43CA9AB3">
      <w:pPr>
        <w:spacing w:line="360" w:lineRule="auto"/>
        <w:ind w:firstLine="3300" w:firstLineChars="1500"/>
        <w:rPr>
          <w:rFonts w:hint="eastAsia" w:ascii="宋体" w:hAnsi="宋体" w:eastAsia="宋体" w:cs="宋体"/>
          <w:bCs/>
          <w:sz w:val="22"/>
          <w:szCs w:val="22"/>
          <w:lang w:val="zh-CN"/>
        </w:rPr>
      </w:pPr>
      <w:r>
        <w:rPr>
          <w:rFonts w:hint="eastAsia" w:ascii="宋体" w:hAnsi="宋体" w:eastAsia="宋体" w:cs="宋体"/>
          <w:bCs/>
          <w:sz w:val="22"/>
          <w:szCs w:val="22"/>
          <w:lang w:val="zh-CN"/>
        </w:rPr>
        <w:t>法定代表人或授权委托人(签字）：</w:t>
      </w:r>
    </w:p>
    <w:p w14:paraId="317384D6">
      <w:pPr>
        <w:spacing w:line="360" w:lineRule="auto"/>
        <w:ind w:firstLine="3300" w:firstLineChars="1500"/>
        <w:rPr>
          <w:rFonts w:hint="eastAsia" w:ascii="宋体" w:hAnsi="宋体" w:eastAsia="宋体" w:cs="宋体"/>
          <w:bCs/>
          <w:sz w:val="22"/>
          <w:szCs w:val="22"/>
          <w:lang w:val="zh-CN"/>
        </w:rPr>
      </w:pPr>
      <w:r>
        <w:rPr>
          <w:rFonts w:hint="eastAsia" w:ascii="宋体" w:hAnsi="宋体" w:eastAsia="宋体" w:cs="宋体"/>
          <w:bCs/>
          <w:sz w:val="22"/>
          <w:szCs w:val="22"/>
          <w:lang w:val="zh-CN"/>
        </w:rPr>
        <w:t>日期：</w:t>
      </w:r>
      <w:r>
        <w:rPr>
          <w:rFonts w:hint="eastAsia" w:ascii="宋体" w:hAnsi="宋体" w:eastAsia="宋体" w:cs="宋体"/>
          <w:bCs/>
          <w:sz w:val="22"/>
          <w:szCs w:val="22"/>
        </w:rPr>
        <w:t xml:space="preserve">   </w:t>
      </w:r>
      <w:r>
        <w:rPr>
          <w:rFonts w:hint="eastAsia" w:ascii="宋体" w:hAnsi="宋体" w:eastAsia="宋体" w:cs="宋体"/>
          <w:bCs/>
          <w:sz w:val="22"/>
          <w:szCs w:val="22"/>
          <w:lang w:val="zh-CN"/>
        </w:rPr>
        <w:t>年</w:t>
      </w:r>
      <w:r>
        <w:rPr>
          <w:rFonts w:hint="eastAsia" w:ascii="宋体" w:hAnsi="宋体" w:eastAsia="宋体" w:cs="宋体"/>
          <w:bCs/>
          <w:sz w:val="22"/>
          <w:szCs w:val="22"/>
        </w:rPr>
        <w:t xml:space="preserve">   </w:t>
      </w:r>
      <w:r>
        <w:rPr>
          <w:rFonts w:hint="eastAsia" w:ascii="宋体" w:hAnsi="宋体" w:eastAsia="宋体" w:cs="宋体"/>
          <w:bCs/>
          <w:sz w:val="22"/>
          <w:szCs w:val="22"/>
          <w:lang w:val="zh-CN"/>
        </w:rPr>
        <w:t>月</w:t>
      </w:r>
      <w:r>
        <w:rPr>
          <w:rFonts w:hint="eastAsia" w:ascii="宋体" w:hAnsi="宋体" w:eastAsia="宋体" w:cs="宋体"/>
          <w:bCs/>
          <w:sz w:val="22"/>
          <w:szCs w:val="22"/>
        </w:rPr>
        <w:t xml:space="preserve">   </w:t>
      </w:r>
      <w:r>
        <w:rPr>
          <w:rFonts w:hint="eastAsia" w:ascii="宋体" w:hAnsi="宋体" w:eastAsia="宋体" w:cs="宋体"/>
          <w:bCs/>
          <w:sz w:val="22"/>
          <w:szCs w:val="22"/>
          <w:lang w:val="zh-CN"/>
        </w:rPr>
        <w:t>日</w:t>
      </w:r>
    </w:p>
    <w:p w14:paraId="6D392204">
      <w:pPr>
        <w:spacing w:line="360" w:lineRule="auto"/>
        <w:rPr>
          <w:rFonts w:hint="eastAsia" w:ascii="宋体" w:hAnsi="宋体" w:eastAsia="宋体" w:cs="宋体"/>
          <w:b/>
          <w:sz w:val="28"/>
          <w:szCs w:val="28"/>
          <w:lang w:val="zh-CN"/>
        </w:rPr>
      </w:pPr>
    </w:p>
    <w:p w14:paraId="4C8DDB8D">
      <w:pPr>
        <w:spacing w:line="360" w:lineRule="auto"/>
        <w:rPr>
          <w:rFonts w:hint="eastAsia" w:ascii="宋体" w:hAnsi="宋体" w:eastAsia="宋体" w:cs="宋体"/>
          <w:b/>
          <w:sz w:val="24"/>
          <w:lang w:val="zh-CN"/>
        </w:rPr>
      </w:pPr>
    </w:p>
    <w:p w14:paraId="4CBFF8B7">
      <w:pPr>
        <w:spacing w:line="360" w:lineRule="auto"/>
        <w:rPr>
          <w:rFonts w:hint="eastAsia"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2</w:t>
      </w:r>
    </w:p>
    <w:p w14:paraId="258C387D">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授权委托书</w:t>
      </w:r>
    </w:p>
    <w:p w14:paraId="6A448BFB">
      <w:pPr>
        <w:spacing w:line="360" w:lineRule="auto"/>
        <w:rPr>
          <w:rFonts w:hint="eastAsia" w:ascii="宋体" w:hAnsi="宋体" w:eastAsia="宋体" w:cs="宋体"/>
          <w:b/>
          <w:sz w:val="22"/>
          <w:szCs w:val="22"/>
          <w:u w:val="single"/>
          <w:lang w:val="zh-CN"/>
        </w:rPr>
      </w:pPr>
      <w:r>
        <w:rPr>
          <w:rFonts w:hint="eastAsia" w:ascii="宋体" w:hAnsi="宋体" w:eastAsia="宋体" w:cs="宋体"/>
          <w:b/>
          <w:sz w:val="22"/>
          <w:szCs w:val="22"/>
          <w:u w:val="single"/>
          <w:lang w:val="zh-CN"/>
        </w:rPr>
        <w:t>浙江新诚信工程咨询有限公司：</w:t>
      </w:r>
    </w:p>
    <w:p w14:paraId="203BB505">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zh-CN"/>
        </w:rPr>
        <w:t>（投标人全称）</w:t>
      </w:r>
      <w:r>
        <w:rPr>
          <w:rFonts w:hint="eastAsia" w:ascii="宋体" w:hAnsi="宋体" w:eastAsia="宋体" w:cs="宋体"/>
          <w:bCs/>
          <w:sz w:val="22"/>
          <w:szCs w:val="22"/>
          <w:u w:val="single"/>
        </w:rPr>
        <w:t xml:space="preserve"> </w:t>
      </w:r>
      <w:r>
        <w:rPr>
          <w:rFonts w:hint="eastAsia" w:ascii="宋体" w:hAnsi="宋体" w:eastAsia="宋体" w:cs="宋体"/>
          <w:bCs/>
          <w:sz w:val="22"/>
          <w:szCs w:val="22"/>
          <w:lang w:val="zh-CN"/>
        </w:rPr>
        <w:t>法定代表人（或营业执照中单位负责人）</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zh-CN"/>
        </w:rPr>
        <w:t>（法定代表人或营业执照中单位负责人姓名）</w:t>
      </w:r>
      <w:r>
        <w:rPr>
          <w:rFonts w:hint="eastAsia" w:ascii="宋体" w:hAnsi="宋体" w:eastAsia="宋体" w:cs="宋体"/>
          <w:bCs/>
          <w:sz w:val="22"/>
          <w:szCs w:val="22"/>
          <w:u w:val="single"/>
        </w:rPr>
        <w:t xml:space="preserve"> </w:t>
      </w:r>
      <w:r>
        <w:rPr>
          <w:rFonts w:hint="eastAsia" w:ascii="宋体" w:hAnsi="宋体" w:eastAsia="宋体" w:cs="宋体"/>
          <w:bCs/>
          <w:sz w:val="22"/>
          <w:szCs w:val="22"/>
          <w:lang w:val="zh-CN"/>
        </w:rPr>
        <w:t>授权</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zh-CN"/>
        </w:rPr>
        <w:t xml:space="preserve">（授权委托代理人姓名） </w:t>
      </w:r>
      <w:r>
        <w:rPr>
          <w:rFonts w:hint="eastAsia" w:ascii="宋体" w:hAnsi="宋体" w:eastAsia="宋体" w:cs="宋体"/>
          <w:bCs/>
          <w:sz w:val="22"/>
          <w:szCs w:val="22"/>
          <w:lang w:val="zh-CN"/>
        </w:rPr>
        <w:t>为授权委托代理人，参加贵单位组织的</w:t>
      </w:r>
      <w:r>
        <w:rPr>
          <w:rFonts w:hint="eastAsia" w:ascii="宋体" w:hAnsi="宋体" w:eastAsia="宋体" w:cs="宋体"/>
          <w:b/>
          <w:kern w:val="0"/>
          <w:sz w:val="22"/>
          <w:szCs w:val="22"/>
          <w:u w:val="single"/>
          <w:lang w:eastAsia="zh-CN"/>
        </w:rPr>
        <w:t>黄岩区应急能力提升工程（防汛乡镇村指挥会商系统）服务项目</w:t>
      </w:r>
      <w:r>
        <w:rPr>
          <w:rFonts w:hint="eastAsia" w:ascii="宋体" w:hAnsi="宋体" w:eastAsia="宋体" w:cs="宋体"/>
          <w:bCs/>
          <w:sz w:val="22"/>
          <w:szCs w:val="22"/>
          <w:lang w:val="zh-CN"/>
        </w:rPr>
        <w:t>的采购活动，并代表我方全权办理针对上述项目的磋商、签约等具体事务和签署相关文件。我方对授权委托代理人的签字事项负全部责任。</w:t>
      </w:r>
    </w:p>
    <w:p w14:paraId="5E22C861">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zh-CN"/>
        </w:rPr>
        <w:t>在撤销授权的书面通知以前，本授权书一直有效。授权委托代理人在授权委托书有效期内签署的所有文件不因授权的撤销而失效。</w:t>
      </w:r>
    </w:p>
    <w:p w14:paraId="07CD2CB5">
      <w:pPr>
        <w:spacing w:line="360" w:lineRule="auto"/>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zh-CN"/>
        </w:rPr>
        <w:t>授权委托代理人无转委托权，特此委托。</w:t>
      </w:r>
    </w:p>
    <w:p w14:paraId="57EC9B99">
      <w:pPr>
        <w:spacing w:line="360" w:lineRule="auto"/>
        <w:rPr>
          <w:rFonts w:hint="eastAsia" w:ascii="宋体" w:hAnsi="宋体" w:eastAsia="宋体" w:cs="宋体"/>
          <w:bCs/>
          <w:sz w:val="22"/>
          <w:szCs w:val="22"/>
          <w:lang w:val="zh-CN"/>
        </w:rPr>
      </w:pPr>
    </w:p>
    <w:p w14:paraId="06800C65">
      <w:pPr>
        <w:spacing w:line="360" w:lineRule="auto"/>
        <w:rPr>
          <w:rFonts w:hint="eastAsia" w:ascii="宋体" w:hAnsi="宋体" w:eastAsia="宋体" w:cs="宋体"/>
          <w:bCs/>
          <w:sz w:val="22"/>
          <w:szCs w:val="22"/>
          <w:lang w:val="zh-CN"/>
        </w:rPr>
      </w:pPr>
      <w:r>
        <w:rPr>
          <w:rFonts w:hint="eastAsia" w:ascii="宋体" w:hAnsi="宋体" w:eastAsia="宋体" w:cs="宋体"/>
          <w:bCs/>
          <w:sz w:val="22"/>
          <w:szCs w:val="22"/>
          <w:lang w:val="zh-CN"/>
        </w:rPr>
        <w:t>法定代表人签字或盖章：</w:t>
      </w:r>
    </w:p>
    <w:p w14:paraId="7DD0BCD4">
      <w:pPr>
        <w:spacing w:line="360" w:lineRule="auto"/>
        <w:rPr>
          <w:rFonts w:hint="eastAsia" w:ascii="宋体" w:hAnsi="宋体" w:eastAsia="宋体" w:cs="宋体"/>
          <w:bCs/>
          <w:sz w:val="22"/>
          <w:szCs w:val="22"/>
          <w:lang w:val="zh-CN"/>
        </w:rPr>
      </w:pPr>
      <w:r>
        <w:rPr>
          <w:rFonts w:hint="eastAsia" w:ascii="宋体" w:hAnsi="宋体" w:eastAsia="宋体" w:cs="宋体"/>
          <w:bCs/>
          <w:sz w:val="22"/>
          <w:szCs w:val="22"/>
          <w:lang w:val="zh-CN"/>
        </w:rPr>
        <w:t>投标人全称（公章）：                              日期：</w:t>
      </w:r>
    </w:p>
    <w:p w14:paraId="6A4F58E0">
      <w:pPr>
        <w:spacing w:line="360" w:lineRule="auto"/>
        <w:rPr>
          <w:rFonts w:hint="eastAsia" w:ascii="宋体" w:hAnsi="宋体" w:eastAsia="宋体" w:cs="宋体"/>
          <w:bCs/>
          <w:sz w:val="22"/>
          <w:szCs w:val="22"/>
          <w:lang w:val="zh-CN"/>
        </w:rPr>
      </w:pPr>
    </w:p>
    <w:p w14:paraId="6613AA72">
      <w:pPr>
        <w:spacing w:line="360" w:lineRule="auto"/>
        <w:rPr>
          <w:rFonts w:hint="eastAsia" w:ascii="宋体" w:hAnsi="宋体" w:eastAsia="宋体" w:cs="宋体"/>
          <w:b/>
          <w:sz w:val="22"/>
          <w:szCs w:val="22"/>
        </w:rPr>
      </w:pPr>
      <w:r>
        <w:rPr>
          <w:rFonts w:hint="eastAsia" w:ascii="宋体" w:hAnsi="宋体" w:eastAsia="宋体" w:cs="宋体"/>
          <w:b/>
          <w:sz w:val="22"/>
          <w:szCs w:val="22"/>
        </w:rPr>
        <w:t>附：</w:t>
      </w:r>
    </w:p>
    <w:tbl>
      <w:tblPr>
        <w:tblStyle w:val="3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CA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04BB6CA1">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法定代表身份证复印件</w:t>
            </w:r>
            <w:r>
              <w:rPr>
                <w:rFonts w:hint="eastAsia" w:ascii="宋体" w:hAnsi="宋体" w:eastAsia="宋体" w:cs="宋体"/>
                <w:b/>
                <w:sz w:val="22"/>
                <w:szCs w:val="22"/>
                <w:lang w:eastAsia="zh-CN"/>
              </w:rPr>
              <w:t>粘贴</w:t>
            </w:r>
            <w:r>
              <w:rPr>
                <w:rFonts w:hint="eastAsia" w:ascii="宋体" w:hAnsi="宋体" w:eastAsia="宋体" w:cs="宋体"/>
                <w:b/>
                <w:sz w:val="22"/>
                <w:szCs w:val="22"/>
              </w:rPr>
              <w:t>处</w:t>
            </w:r>
          </w:p>
        </w:tc>
      </w:tr>
    </w:tbl>
    <w:p w14:paraId="3217D817">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法定代表人姓名：                                 </w:t>
      </w:r>
    </w:p>
    <w:p w14:paraId="7369697B">
      <w:pPr>
        <w:spacing w:line="360" w:lineRule="auto"/>
        <w:rPr>
          <w:rFonts w:hint="eastAsia" w:ascii="宋体" w:hAnsi="宋体" w:eastAsia="宋体" w:cs="宋体"/>
          <w:sz w:val="22"/>
          <w:szCs w:val="22"/>
        </w:rPr>
      </w:pPr>
      <w:r>
        <w:rPr>
          <w:rFonts w:hint="eastAsia" w:ascii="宋体" w:hAnsi="宋体" w:eastAsia="宋体" w:cs="宋体"/>
          <w:sz w:val="22"/>
          <w:szCs w:val="22"/>
        </w:rPr>
        <w:t>传真：</w:t>
      </w:r>
    </w:p>
    <w:p w14:paraId="6E5025CA">
      <w:pPr>
        <w:spacing w:line="360" w:lineRule="auto"/>
        <w:rPr>
          <w:rFonts w:hint="eastAsia" w:ascii="宋体" w:hAnsi="宋体" w:eastAsia="宋体" w:cs="宋体"/>
          <w:sz w:val="22"/>
          <w:szCs w:val="22"/>
        </w:rPr>
      </w:pPr>
      <w:r>
        <w:rPr>
          <w:rFonts w:hint="eastAsia" w:ascii="宋体" w:hAnsi="宋体" w:eastAsia="宋体" w:cs="宋体"/>
          <w:sz w:val="22"/>
          <w:szCs w:val="22"/>
        </w:rPr>
        <w:t>电话：</w:t>
      </w:r>
    </w:p>
    <w:p w14:paraId="63F16B82">
      <w:pPr>
        <w:spacing w:line="360" w:lineRule="auto"/>
        <w:rPr>
          <w:rFonts w:hint="eastAsia" w:ascii="宋体" w:hAnsi="宋体" w:eastAsia="宋体" w:cs="宋体"/>
          <w:sz w:val="22"/>
          <w:szCs w:val="22"/>
        </w:rPr>
      </w:pPr>
      <w:r>
        <w:rPr>
          <w:rFonts w:hint="eastAsia" w:ascii="宋体" w:hAnsi="宋体" w:eastAsia="宋体" w:cs="宋体"/>
          <w:sz w:val="22"/>
          <w:szCs w:val="22"/>
          <w:lang w:eastAsia="zh-CN"/>
        </w:rPr>
        <w:t>详细通信地址</w:t>
      </w:r>
      <w:r>
        <w:rPr>
          <w:rFonts w:hint="eastAsia" w:ascii="宋体" w:hAnsi="宋体" w:eastAsia="宋体" w:cs="宋体"/>
          <w:sz w:val="22"/>
          <w:szCs w:val="22"/>
        </w:rPr>
        <w:t>：</w:t>
      </w:r>
    </w:p>
    <w:p w14:paraId="63057718">
      <w:pPr>
        <w:spacing w:line="360" w:lineRule="auto"/>
        <w:rPr>
          <w:rFonts w:hint="eastAsia" w:ascii="宋体" w:hAnsi="宋体" w:eastAsia="宋体" w:cs="宋体"/>
          <w:sz w:val="22"/>
          <w:szCs w:val="22"/>
        </w:rPr>
      </w:pPr>
      <w:r>
        <w:rPr>
          <w:rFonts w:hint="eastAsia" w:ascii="宋体" w:hAnsi="宋体" w:eastAsia="宋体" w:cs="宋体"/>
          <w:sz w:val="22"/>
          <w:szCs w:val="22"/>
        </w:rPr>
        <w:t>邮政编码：</w:t>
      </w:r>
    </w:p>
    <w:tbl>
      <w:tblPr>
        <w:tblStyle w:val="3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93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533B1E0B">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授权委托代理人身份证复印件</w:t>
            </w:r>
            <w:r>
              <w:rPr>
                <w:rFonts w:hint="eastAsia" w:ascii="宋体" w:hAnsi="宋体" w:eastAsia="宋体" w:cs="宋体"/>
                <w:b/>
                <w:sz w:val="22"/>
                <w:szCs w:val="22"/>
                <w:lang w:eastAsia="zh-CN"/>
              </w:rPr>
              <w:t>粘贴</w:t>
            </w:r>
            <w:r>
              <w:rPr>
                <w:rFonts w:hint="eastAsia" w:ascii="宋体" w:hAnsi="宋体" w:eastAsia="宋体" w:cs="宋体"/>
                <w:b/>
                <w:sz w:val="22"/>
                <w:szCs w:val="22"/>
              </w:rPr>
              <w:t>处</w:t>
            </w:r>
          </w:p>
        </w:tc>
      </w:tr>
    </w:tbl>
    <w:p w14:paraId="0FF07345">
      <w:pPr>
        <w:spacing w:line="360" w:lineRule="auto"/>
        <w:rPr>
          <w:rFonts w:hint="eastAsia" w:ascii="宋体" w:hAnsi="宋体" w:eastAsia="宋体" w:cs="宋体"/>
          <w:sz w:val="22"/>
          <w:szCs w:val="22"/>
        </w:rPr>
      </w:pPr>
    </w:p>
    <w:p w14:paraId="1C493452">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授权委托代理人姓名：       </w:t>
      </w:r>
    </w:p>
    <w:p w14:paraId="0913403E">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职务：                           </w:t>
      </w:r>
    </w:p>
    <w:p w14:paraId="55321053">
      <w:pPr>
        <w:spacing w:line="360" w:lineRule="auto"/>
        <w:rPr>
          <w:rFonts w:hint="eastAsia" w:ascii="宋体" w:hAnsi="宋体" w:eastAsia="宋体" w:cs="宋体"/>
          <w:sz w:val="22"/>
          <w:szCs w:val="22"/>
        </w:rPr>
      </w:pPr>
      <w:r>
        <w:rPr>
          <w:rFonts w:hint="eastAsia" w:ascii="宋体" w:hAnsi="宋体" w:eastAsia="宋体" w:cs="宋体"/>
          <w:sz w:val="22"/>
          <w:szCs w:val="22"/>
        </w:rPr>
        <w:t>传真：</w:t>
      </w:r>
    </w:p>
    <w:p w14:paraId="0DE916AD">
      <w:pPr>
        <w:spacing w:line="360" w:lineRule="auto"/>
        <w:rPr>
          <w:rFonts w:hint="eastAsia" w:ascii="宋体" w:hAnsi="宋体" w:eastAsia="宋体" w:cs="宋体"/>
          <w:sz w:val="22"/>
          <w:szCs w:val="22"/>
        </w:rPr>
      </w:pPr>
      <w:r>
        <w:rPr>
          <w:rFonts w:hint="eastAsia" w:ascii="宋体" w:hAnsi="宋体" w:eastAsia="宋体" w:cs="宋体"/>
          <w:sz w:val="22"/>
          <w:szCs w:val="22"/>
        </w:rPr>
        <w:t>电话：</w:t>
      </w:r>
    </w:p>
    <w:p w14:paraId="5BBE60FB">
      <w:pPr>
        <w:spacing w:line="360" w:lineRule="auto"/>
        <w:rPr>
          <w:rFonts w:hint="eastAsia" w:ascii="宋体" w:hAnsi="宋体" w:eastAsia="宋体" w:cs="宋体"/>
          <w:sz w:val="22"/>
          <w:szCs w:val="22"/>
        </w:rPr>
      </w:pPr>
      <w:r>
        <w:rPr>
          <w:rFonts w:hint="eastAsia" w:ascii="宋体" w:hAnsi="宋体" w:eastAsia="宋体" w:cs="宋体"/>
          <w:sz w:val="22"/>
          <w:szCs w:val="22"/>
          <w:lang w:eastAsia="zh-CN"/>
        </w:rPr>
        <w:t>详细通信地址</w:t>
      </w:r>
      <w:r>
        <w:rPr>
          <w:rFonts w:hint="eastAsia" w:ascii="宋体" w:hAnsi="宋体" w:eastAsia="宋体" w:cs="宋体"/>
          <w:sz w:val="22"/>
          <w:szCs w:val="22"/>
        </w:rPr>
        <w:t>：</w:t>
      </w:r>
    </w:p>
    <w:p w14:paraId="086A9B17">
      <w:pPr>
        <w:spacing w:line="360" w:lineRule="auto"/>
        <w:rPr>
          <w:rFonts w:hint="eastAsia" w:ascii="宋体" w:hAnsi="宋体" w:eastAsia="宋体" w:cs="宋体"/>
          <w:sz w:val="22"/>
          <w:szCs w:val="22"/>
        </w:rPr>
      </w:pPr>
      <w:r>
        <w:rPr>
          <w:rFonts w:hint="eastAsia" w:ascii="宋体" w:hAnsi="宋体" w:eastAsia="宋体" w:cs="宋体"/>
          <w:sz w:val="22"/>
          <w:szCs w:val="22"/>
        </w:rPr>
        <w:t>邮政编码：</w:t>
      </w:r>
    </w:p>
    <w:p w14:paraId="1A317EEB">
      <w:pPr>
        <w:pStyle w:val="77"/>
        <w:widowControl w:val="0"/>
        <w:snapToGrid w:val="0"/>
        <w:spacing w:line="500" w:lineRule="exact"/>
        <w:rPr>
          <w:rFonts w:hint="eastAsia" w:ascii="宋体" w:hAnsi="宋体" w:eastAsia="宋体" w:cs="宋体"/>
          <w:color w:val="000000"/>
          <w:sz w:val="28"/>
          <w:szCs w:val="28"/>
        </w:rPr>
      </w:pPr>
    </w:p>
    <w:p w14:paraId="25987BE8">
      <w:pPr>
        <w:spacing w:line="360" w:lineRule="auto"/>
        <w:jc w:val="center"/>
        <w:rPr>
          <w:rFonts w:hint="eastAsia" w:ascii="宋体" w:hAnsi="宋体" w:eastAsia="宋体" w:cs="宋体"/>
          <w:b/>
          <w:sz w:val="28"/>
          <w:szCs w:val="28"/>
          <w:lang w:val="zh-CN"/>
        </w:rPr>
      </w:pPr>
      <w:r>
        <w:rPr>
          <w:rFonts w:hint="eastAsia" w:ascii="宋体" w:hAnsi="宋体" w:eastAsia="宋体" w:cs="宋体"/>
          <w:b/>
          <w:sz w:val="28"/>
          <w:szCs w:val="28"/>
          <w:lang w:val="zh-CN"/>
        </w:rPr>
        <w:t>第二部分：商务与技术部分</w:t>
      </w:r>
    </w:p>
    <w:p w14:paraId="2AC76A7F">
      <w:pPr>
        <w:pStyle w:val="9"/>
        <w:widowControl/>
        <w:adjustRightInd w:val="0"/>
        <w:snapToGrid w:val="0"/>
        <w:spacing w:line="440" w:lineRule="exact"/>
        <w:ind w:firstLine="440"/>
        <w:rPr>
          <w:rFonts w:hint="eastAsia" w:ascii="宋体" w:hAnsi="宋体" w:eastAsia="宋体" w:cs="宋体"/>
          <w:sz w:val="22"/>
          <w:szCs w:val="22"/>
        </w:rPr>
      </w:pPr>
      <w:r>
        <w:rPr>
          <w:rFonts w:hint="eastAsia" w:ascii="宋体" w:hAnsi="宋体" w:eastAsia="宋体" w:cs="宋体"/>
          <w:sz w:val="22"/>
          <w:szCs w:val="22"/>
        </w:rPr>
        <w:t>（1）目录</w:t>
      </w:r>
    </w:p>
    <w:p w14:paraId="0FFE8422">
      <w:pPr>
        <w:pStyle w:val="9"/>
        <w:widowControl/>
        <w:adjustRightInd w:val="0"/>
        <w:snapToGrid w:val="0"/>
        <w:spacing w:line="440" w:lineRule="exact"/>
        <w:ind w:firstLine="440"/>
        <w:rPr>
          <w:rFonts w:hint="eastAsia" w:ascii="宋体" w:hAnsi="宋体" w:eastAsia="宋体" w:cs="宋体"/>
          <w:sz w:val="22"/>
          <w:szCs w:val="22"/>
        </w:rPr>
      </w:pPr>
      <w:r>
        <w:rPr>
          <w:rFonts w:hint="eastAsia" w:ascii="宋体" w:hAnsi="宋体" w:eastAsia="宋体" w:cs="宋体"/>
          <w:sz w:val="22"/>
          <w:szCs w:val="22"/>
        </w:rPr>
        <w:t>（2）自评表</w:t>
      </w:r>
      <w:r>
        <w:rPr>
          <w:rFonts w:hint="eastAsia" w:ascii="宋体" w:hAnsi="宋体" w:eastAsia="宋体" w:cs="宋体"/>
          <w:sz w:val="22"/>
          <w:szCs w:val="22"/>
          <w:lang w:val="zh-CN"/>
        </w:rPr>
        <w:t>（附件</w:t>
      </w:r>
      <w:r>
        <w:rPr>
          <w:rFonts w:hint="eastAsia" w:ascii="宋体" w:hAnsi="宋体" w:eastAsia="宋体" w:cs="宋体"/>
          <w:sz w:val="22"/>
          <w:szCs w:val="22"/>
        </w:rPr>
        <w:t>3</w:t>
      </w:r>
      <w:r>
        <w:rPr>
          <w:rFonts w:hint="eastAsia" w:ascii="宋体" w:hAnsi="宋体" w:eastAsia="宋体" w:cs="宋体"/>
          <w:sz w:val="22"/>
          <w:szCs w:val="22"/>
          <w:lang w:val="zh-CN"/>
        </w:rPr>
        <w:t>）</w:t>
      </w:r>
    </w:p>
    <w:p w14:paraId="7A9AAA7C">
      <w:pPr>
        <w:snapToGri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（3）投标人情况介绍（附件</w:t>
      </w:r>
      <w:r>
        <w:rPr>
          <w:rFonts w:hint="eastAsia" w:ascii="宋体" w:hAnsi="宋体" w:eastAsia="宋体" w:cs="宋体"/>
          <w:sz w:val="22"/>
          <w:szCs w:val="22"/>
        </w:rPr>
        <w:t>4</w:t>
      </w:r>
      <w:r>
        <w:rPr>
          <w:rFonts w:hint="eastAsia" w:ascii="宋体" w:hAnsi="宋体" w:eastAsia="宋体" w:cs="宋体"/>
          <w:sz w:val="22"/>
          <w:szCs w:val="22"/>
          <w:lang w:val="zh-CN"/>
        </w:rPr>
        <w:t>）</w:t>
      </w:r>
    </w:p>
    <w:p w14:paraId="2DA8B4F5">
      <w:pPr>
        <w:snapToGri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（4）企业实力（企业资质）</w:t>
      </w:r>
    </w:p>
    <w:p w14:paraId="1D2BDCE5">
      <w:pPr>
        <w:snapToGri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（5）项目实施人员一览表（附件</w:t>
      </w:r>
      <w:r>
        <w:rPr>
          <w:rFonts w:hint="eastAsia" w:ascii="宋体" w:hAnsi="宋体" w:eastAsia="宋体" w:cs="宋体"/>
          <w:sz w:val="22"/>
          <w:szCs w:val="22"/>
        </w:rPr>
        <w:t>5</w:t>
      </w:r>
      <w:r>
        <w:rPr>
          <w:rFonts w:hint="eastAsia" w:ascii="宋体" w:hAnsi="宋体" w:eastAsia="宋体" w:cs="宋体"/>
          <w:sz w:val="22"/>
          <w:szCs w:val="22"/>
          <w:lang w:val="zh-CN"/>
        </w:rPr>
        <w:t>）</w:t>
      </w:r>
    </w:p>
    <w:p w14:paraId="774BAAF0">
      <w:pPr>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zh-CN"/>
        </w:rPr>
        <w:t>（</w:t>
      </w:r>
      <w:r>
        <w:rPr>
          <w:rFonts w:hint="eastAsia" w:ascii="宋体" w:hAnsi="宋体" w:eastAsia="宋体" w:cs="宋体"/>
          <w:sz w:val="22"/>
          <w:szCs w:val="22"/>
        </w:rPr>
        <w:t>6</w:t>
      </w:r>
      <w:r>
        <w:rPr>
          <w:rFonts w:hint="eastAsia" w:ascii="宋体" w:hAnsi="宋体" w:eastAsia="宋体" w:cs="宋体"/>
          <w:sz w:val="22"/>
          <w:szCs w:val="22"/>
          <w:lang w:val="zh-CN"/>
        </w:rPr>
        <w:t>）项目负责人资格情况表（附件</w:t>
      </w:r>
      <w:r>
        <w:rPr>
          <w:rFonts w:hint="eastAsia" w:ascii="宋体" w:hAnsi="宋体" w:eastAsia="宋体" w:cs="宋体"/>
          <w:sz w:val="22"/>
          <w:szCs w:val="22"/>
        </w:rPr>
        <w:t>6</w:t>
      </w:r>
      <w:r>
        <w:rPr>
          <w:rFonts w:hint="eastAsia" w:ascii="宋体" w:hAnsi="宋体" w:eastAsia="宋体" w:cs="宋体"/>
          <w:sz w:val="22"/>
          <w:szCs w:val="22"/>
          <w:lang w:val="zh-CN"/>
        </w:rPr>
        <w:t>）</w:t>
      </w:r>
    </w:p>
    <w:p w14:paraId="49F616D0">
      <w:pPr>
        <w:snapToGrid w:val="0"/>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zh-CN"/>
        </w:rPr>
        <w:t>（</w:t>
      </w:r>
      <w:r>
        <w:rPr>
          <w:rFonts w:hint="eastAsia" w:ascii="宋体" w:hAnsi="宋体" w:eastAsia="宋体" w:cs="宋体"/>
          <w:sz w:val="22"/>
          <w:szCs w:val="22"/>
        </w:rPr>
        <w:t>7</w:t>
      </w:r>
      <w:r>
        <w:rPr>
          <w:rFonts w:hint="eastAsia" w:ascii="宋体" w:hAnsi="宋体" w:eastAsia="宋体" w:cs="宋体"/>
          <w:sz w:val="22"/>
          <w:szCs w:val="22"/>
          <w:lang w:val="zh-CN"/>
        </w:rPr>
        <w:t>）商务及技术响应表</w:t>
      </w:r>
      <w:r>
        <w:rPr>
          <w:rFonts w:hint="eastAsia" w:ascii="宋体" w:hAnsi="宋体" w:eastAsia="宋体" w:cs="宋体"/>
          <w:sz w:val="22"/>
          <w:szCs w:val="22"/>
        </w:rPr>
        <w:t>（</w:t>
      </w:r>
      <w:r>
        <w:rPr>
          <w:rFonts w:hint="eastAsia" w:ascii="宋体" w:hAnsi="宋体" w:eastAsia="宋体" w:cs="宋体"/>
          <w:sz w:val="22"/>
          <w:szCs w:val="22"/>
          <w:lang w:val="zh-CN"/>
        </w:rPr>
        <w:t>附件</w:t>
      </w:r>
      <w:r>
        <w:rPr>
          <w:rFonts w:hint="eastAsia" w:ascii="宋体" w:hAnsi="宋体" w:eastAsia="宋体" w:cs="宋体"/>
          <w:sz w:val="22"/>
          <w:szCs w:val="22"/>
        </w:rPr>
        <w:t>7）</w:t>
      </w:r>
    </w:p>
    <w:p w14:paraId="796BA840">
      <w:pPr>
        <w:snapToGrid w:val="0"/>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w:t>
      </w:r>
      <w:r>
        <w:rPr>
          <w:rFonts w:hint="eastAsia" w:ascii="宋体" w:hAnsi="宋体" w:eastAsia="宋体" w:cs="宋体"/>
          <w:sz w:val="22"/>
          <w:szCs w:val="22"/>
        </w:rPr>
        <w:t>8</w:t>
      </w:r>
      <w:r>
        <w:rPr>
          <w:rFonts w:hint="eastAsia" w:ascii="宋体" w:hAnsi="宋体" w:eastAsia="宋体" w:cs="宋体"/>
          <w:sz w:val="22"/>
          <w:szCs w:val="22"/>
          <w:lang w:val="zh-CN"/>
        </w:rPr>
        <w:t>）类似项目实施情况一览表（附件</w:t>
      </w:r>
      <w:r>
        <w:rPr>
          <w:rFonts w:hint="eastAsia" w:ascii="宋体" w:hAnsi="宋体" w:eastAsia="宋体" w:cs="宋体"/>
          <w:sz w:val="22"/>
          <w:szCs w:val="22"/>
        </w:rPr>
        <w:t>8</w:t>
      </w:r>
      <w:r>
        <w:rPr>
          <w:rFonts w:hint="eastAsia" w:ascii="宋体" w:hAnsi="宋体" w:eastAsia="宋体" w:cs="宋体"/>
          <w:sz w:val="22"/>
          <w:szCs w:val="22"/>
          <w:lang w:val="zh-CN"/>
        </w:rPr>
        <w:t>）</w:t>
      </w:r>
    </w:p>
    <w:p w14:paraId="6C522425">
      <w:pPr>
        <w:snapToGrid w:val="0"/>
        <w:spacing w:line="440" w:lineRule="exact"/>
        <w:ind w:firstLine="440" w:firstLineChars="200"/>
        <w:rPr>
          <w:rFonts w:hint="eastAsia" w:ascii="宋体" w:hAnsi="宋体" w:eastAsia="宋体" w:cs="宋体"/>
          <w:lang w:val="zh-CN"/>
        </w:rPr>
      </w:pPr>
      <w:r>
        <w:rPr>
          <w:rFonts w:hint="eastAsia" w:ascii="宋体" w:hAnsi="宋体" w:eastAsia="宋体" w:cs="宋体"/>
          <w:sz w:val="22"/>
          <w:szCs w:val="22"/>
          <w:lang w:val="zh-CN"/>
        </w:rPr>
        <w:t>（</w:t>
      </w:r>
      <w:r>
        <w:rPr>
          <w:rFonts w:hint="eastAsia" w:ascii="宋体" w:hAnsi="宋体" w:eastAsia="宋体" w:cs="宋体"/>
          <w:sz w:val="22"/>
          <w:szCs w:val="22"/>
        </w:rPr>
        <w:t>9</w:t>
      </w:r>
      <w:r>
        <w:rPr>
          <w:rFonts w:hint="eastAsia" w:ascii="宋体" w:hAnsi="宋体" w:eastAsia="宋体" w:cs="宋体"/>
          <w:sz w:val="22"/>
          <w:szCs w:val="22"/>
          <w:lang w:val="zh-CN"/>
        </w:rPr>
        <w:t>）针对磋商，响应投标人认为其他需要说明的（包括可能影响投标人商务与技术评分项的各类证明材料）</w:t>
      </w:r>
    </w:p>
    <w:p w14:paraId="49F82C83">
      <w:pPr>
        <w:spacing w:line="360" w:lineRule="auto"/>
        <w:jc w:val="center"/>
        <w:rPr>
          <w:rFonts w:hint="eastAsia" w:ascii="宋体" w:hAnsi="宋体" w:eastAsia="宋体" w:cs="宋体"/>
          <w:b/>
          <w:sz w:val="28"/>
          <w:szCs w:val="28"/>
          <w:lang w:val="zh-CN"/>
        </w:rPr>
      </w:pPr>
    </w:p>
    <w:p w14:paraId="224D12EA">
      <w:pPr>
        <w:spacing w:line="360" w:lineRule="auto"/>
        <w:jc w:val="center"/>
        <w:rPr>
          <w:rFonts w:hint="eastAsia" w:ascii="宋体" w:hAnsi="宋体" w:eastAsia="宋体" w:cs="宋体"/>
          <w:b/>
          <w:sz w:val="28"/>
          <w:szCs w:val="28"/>
          <w:lang w:val="zh-CN"/>
        </w:rPr>
      </w:pPr>
    </w:p>
    <w:p w14:paraId="3E77E443">
      <w:pPr>
        <w:spacing w:line="360" w:lineRule="auto"/>
        <w:rPr>
          <w:rFonts w:hint="eastAsia" w:ascii="宋体" w:hAnsi="宋体" w:eastAsia="宋体" w:cs="宋体"/>
          <w:b/>
          <w:sz w:val="24"/>
          <w:lang w:val="zh-CN"/>
        </w:rPr>
      </w:pPr>
    </w:p>
    <w:p w14:paraId="11653C68">
      <w:pPr>
        <w:spacing w:line="360" w:lineRule="auto"/>
        <w:rPr>
          <w:rFonts w:hint="eastAsia" w:ascii="宋体" w:hAnsi="宋体" w:eastAsia="宋体" w:cs="宋体"/>
          <w:b/>
          <w:sz w:val="24"/>
          <w:lang w:val="zh-CN"/>
        </w:rPr>
      </w:pPr>
    </w:p>
    <w:p w14:paraId="04B126E7">
      <w:pPr>
        <w:spacing w:line="360" w:lineRule="auto"/>
        <w:rPr>
          <w:rFonts w:hint="eastAsia" w:ascii="宋体" w:hAnsi="宋体" w:eastAsia="宋体" w:cs="宋体"/>
          <w:b/>
          <w:sz w:val="24"/>
          <w:lang w:val="zh-CN"/>
        </w:rPr>
      </w:pPr>
    </w:p>
    <w:p w14:paraId="56DE0BB7">
      <w:pPr>
        <w:spacing w:line="360" w:lineRule="auto"/>
        <w:rPr>
          <w:rFonts w:hint="eastAsia" w:ascii="宋体" w:hAnsi="宋体" w:eastAsia="宋体" w:cs="宋体"/>
          <w:b/>
          <w:sz w:val="24"/>
          <w:lang w:val="zh-CN"/>
        </w:rPr>
      </w:pPr>
    </w:p>
    <w:p w14:paraId="2F47DC81">
      <w:pPr>
        <w:spacing w:line="360" w:lineRule="auto"/>
        <w:rPr>
          <w:rFonts w:hint="eastAsia" w:ascii="宋体" w:hAnsi="宋体" w:eastAsia="宋体" w:cs="宋体"/>
          <w:b/>
          <w:sz w:val="24"/>
          <w:lang w:val="zh-CN"/>
        </w:rPr>
      </w:pPr>
    </w:p>
    <w:p w14:paraId="5335B0FC">
      <w:pPr>
        <w:spacing w:line="360" w:lineRule="auto"/>
        <w:rPr>
          <w:rFonts w:hint="eastAsia" w:ascii="宋体" w:hAnsi="宋体" w:eastAsia="宋体" w:cs="宋体"/>
          <w:b/>
          <w:sz w:val="24"/>
          <w:lang w:val="zh-CN"/>
        </w:rPr>
      </w:pPr>
    </w:p>
    <w:p w14:paraId="0F878264">
      <w:pPr>
        <w:spacing w:line="360" w:lineRule="auto"/>
        <w:rPr>
          <w:rFonts w:hint="eastAsia" w:ascii="宋体" w:hAnsi="宋体" w:eastAsia="宋体" w:cs="宋体"/>
          <w:b/>
          <w:sz w:val="24"/>
          <w:lang w:val="zh-CN"/>
        </w:rPr>
      </w:pPr>
    </w:p>
    <w:p w14:paraId="3EAC5E00">
      <w:pPr>
        <w:spacing w:line="360" w:lineRule="auto"/>
        <w:rPr>
          <w:rFonts w:hint="eastAsia" w:ascii="宋体" w:hAnsi="宋体" w:eastAsia="宋体" w:cs="宋体"/>
          <w:b/>
          <w:sz w:val="24"/>
          <w:lang w:val="zh-CN"/>
        </w:rPr>
      </w:pPr>
    </w:p>
    <w:p w14:paraId="4FDC6751">
      <w:pPr>
        <w:spacing w:line="360" w:lineRule="auto"/>
        <w:rPr>
          <w:rFonts w:hint="eastAsia" w:ascii="宋体" w:hAnsi="宋体" w:eastAsia="宋体" w:cs="宋体"/>
          <w:b/>
          <w:sz w:val="24"/>
          <w:lang w:val="zh-CN"/>
        </w:rPr>
      </w:pPr>
    </w:p>
    <w:p w14:paraId="577F68A3">
      <w:pPr>
        <w:spacing w:line="360" w:lineRule="auto"/>
        <w:rPr>
          <w:rFonts w:hint="eastAsia" w:ascii="宋体" w:hAnsi="宋体" w:eastAsia="宋体" w:cs="宋体"/>
          <w:b/>
          <w:sz w:val="24"/>
          <w:lang w:val="zh-CN"/>
        </w:rPr>
      </w:pPr>
    </w:p>
    <w:p w14:paraId="5E190056">
      <w:pPr>
        <w:spacing w:line="360" w:lineRule="auto"/>
        <w:rPr>
          <w:rFonts w:hint="eastAsia" w:ascii="宋体" w:hAnsi="宋体" w:eastAsia="宋体" w:cs="宋体"/>
          <w:b/>
          <w:sz w:val="24"/>
          <w:lang w:val="zh-CN"/>
        </w:rPr>
      </w:pPr>
    </w:p>
    <w:p w14:paraId="4CE63DB5">
      <w:pPr>
        <w:spacing w:line="360" w:lineRule="auto"/>
        <w:rPr>
          <w:rFonts w:hint="eastAsia" w:ascii="宋体" w:hAnsi="宋体" w:eastAsia="宋体" w:cs="宋体"/>
          <w:b/>
          <w:sz w:val="24"/>
          <w:lang w:val="zh-CN"/>
        </w:rPr>
      </w:pPr>
    </w:p>
    <w:p w14:paraId="35684E12">
      <w:pPr>
        <w:spacing w:line="360" w:lineRule="auto"/>
        <w:rPr>
          <w:rFonts w:hint="eastAsia" w:ascii="宋体" w:hAnsi="宋体" w:eastAsia="宋体" w:cs="宋体"/>
          <w:b/>
          <w:sz w:val="24"/>
          <w:lang w:val="zh-CN"/>
        </w:rPr>
      </w:pPr>
    </w:p>
    <w:p w14:paraId="78F5FC68">
      <w:pPr>
        <w:spacing w:line="360" w:lineRule="auto"/>
        <w:rPr>
          <w:rFonts w:hint="eastAsia" w:ascii="宋体" w:hAnsi="宋体" w:eastAsia="宋体" w:cs="宋体"/>
          <w:b/>
          <w:sz w:val="24"/>
          <w:lang w:val="zh-CN"/>
        </w:rPr>
      </w:pPr>
    </w:p>
    <w:p w14:paraId="7BC81081">
      <w:pPr>
        <w:spacing w:line="360" w:lineRule="auto"/>
        <w:rPr>
          <w:rFonts w:hint="eastAsia" w:ascii="宋体" w:hAnsi="宋体" w:eastAsia="宋体" w:cs="宋体"/>
          <w:b/>
          <w:sz w:val="24"/>
          <w:lang w:val="zh-CN"/>
        </w:rPr>
      </w:pPr>
    </w:p>
    <w:p w14:paraId="37E988E9">
      <w:pPr>
        <w:spacing w:line="360" w:lineRule="auto"/>
        <w:rPr>
          <w:rFonts w:hint="eastAsia" w:ascii="宋体" w:hAnsi="宋体" w:eastAsia="宋体" w:cs="宋体"/>
          <w:b/>
          <w:sz w:val="24"/>
          <w:lang w:val="zh-CN"/>
        </w:rPr>
      </w:pPr>
    </w:p>
    <w:p w14:paraId="05218085">
      <w:pPr>
        <w:spacing w:line="360" w:lineRule="auto"/>
        <w:rPr>
          <w:rFonts w:hint="eastAsia"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3</w:t>
      </w:r>
    </w:p>
    <w:p w14:paraId="1FEDD875">
      <w:pPr>
        <w:spacing w:line="440" w:lineRule="exact"/>
        <w:jc w:val="center"/>
        <w:rPr>
          <w:rStyle w:val="104"/>
          <w:rFonts w:hint="eastAsia" w:ascii="宋体" w:hAnsi="宋体" w:eastAsia="宋体" w:cs="宋体"/>
          <w:bCs w:val="0"/>
          <w:szCs w:val="24"/>
        </w:rPr>
      </w:pPr>
    </w:p>
    <w:p w14:paraId="34364BB1">
      <w:pPr>
        <w:spacing w:line="440" w:lineRule="exact"/>
        <w:jc w:val="center"/>
        <w:rPr>
          <w:rFonts w:hint="eastAsia" w:ascii="宋体" w:hAnsi="宋体" w:eastAsia="宋体" w:cs="宋体"/>
          <w:sz w:val="32"/>
          <w:szCs w:val="32"/>
        </w:rPr>
      </w:pPr>
      <w:r>
        <w:rPr>
          <w:rStyle w:val="104"/>
          <w:rFonts w:hint="eastAsia" w:ascii="宋体" w:hAnsi="宋体" w:eastAsia="宋体" w:cs="宋体"/>
          <w:bCs w:val="0"/>
          <w:sz w:val="32"/>
        </w:rPr>
        <w:t xml:space="preserve"> 自评表</w:t>
      </w:r>
    </w:p>
    <w:tbl>
      <w:tblPr>
        <w:tblStyle w:val="33"/>
        <w:tblW w:w="852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127"/>
        <w:gridCol w:w="4892"/>
        <w:gridCol w:w="1254"/>
        <w:gridCol w:w="1255"/>
      </w:tblGrid>
      <w:tr w14:paraId="2209F1A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A337C27">
            <w:pPr>
              <w:widowControl/>
              <w:tabs>
                <w:tab w:val="left" w:pos="312"/>
              </w:tabs>
              <w:spacing w:line="440" w:lineRule="exact"/>
              <w:jc w:val="center"/>
              <w:rPr>
                <w:rFonts w:hint="eastAsia" w:ascii="宋体" w:hAnsi="宋体" w:eastAsia="宋体" w:cs="宋体"/>
                <w:bCs/>
                <w:sz w:val="24"/>
              </w:rPr>
            </w:pPr>
            <w:r>
              <w:rPr>
                <w:rFonts w:hint="eastAsia" w:ascii="宋体" w:hAnsi="宋体" w:eastAsia="宋体" w:cs="宋体"/>
                <w:bCs/>
                <w:sz w:val="24"/>
              </w:rPr>
              <w:t>评分项</w:t>
            </w: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CE85A21">
            <w:pPr>
              <w:widowControl/>
              <w:tabs>
                <w:tab w:val="left" w:pos="312"/>
              </w:tabs>
              <w:spacing w:line="440" w:lineRule="exact"/>
              <w:jc w:val="center"/>
              <w:rPr>
                <w:rFonts w:hint="eastAsia" w:ascii="宋体" w:hAnsi="宋体" w:eastAsia="宋体" w:cs="宋体"/>
                <w:bCs/>
                <w:sz w:val="24"/>
              </w:rPr>
            </w:pPr>
            <w:r>
              <w:rPr>
                <w:rFonts w:hint="eastAsia" w:ascii="宋体" w:hAnsi="宋体" w:eastAsia="宋体" w:cs="宋体"/>
                <w:bCs/>
                <w:sz w:val="24"/>
              </w:rPr>
              <w:t>细则</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4DF055E">
            <w:pPr>
              <w:widowControl/>
              <w:tabs>
                <w:tab w:val="left" w:pos="312"/>
              </w:tabs>
              <w:spacing w:line="440" w:lineRule="exact"/>
              <w:jc w:val="center"/>
              <w:rPr>
                <w:rFonts w:hint="eastAsia" w:ascii="宋体" w:hAnsi="宋体" w:eastAsia="宋体" w:cs="宋体"/>
                <w:bCs/>
                <w:sz w:val="24"/>
              </w:rPr>
            </w:pPr>
            <w:r>
              <w:rPr>
                <w:rFonts w:hint="eastAsia" w:ascii="宋体" w:hAnsi="宋体" w:eastAsia="宋体" w:cs="宋体"/>
                <w:bCs/>
                <w:sz w:val="24"/>
              </w:rPr>
              <w:t>自评分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B8825EB">
            <w:pPr>
              <w:widowControl/>
              <w:tabs>
                <w:tab w:val="left" w:pos="312"/>
              </w:tabs>
              <w:spacing w:line="440" w:lineRule="exact"/>
              <w:jc w:val="center"/>
              <w:rPr>
                <w:rFonts w:hint="eastAsia" w:ascii="宋体" w:hAnsi="宋体" w:eastAsia="宋体" w:cs="宋体"/>
                <w:bCs/>
                <w:sz w:val="24"/>
              </w:rPr>
            </w:pPr>
            <w:r>
              <w:rPr>
                <w:rFonts w:hint="eastAsia" w:ascii="宋体" w:hAnsi="宋体" w:eastAsia="宋体" w:cs="宋体"/>
                <w:bCs/>
                <w:sz w:val="24"/>
              </w:rPr>
              <w:t>页码</w:t>
            </w:r>
          </w:p>
        </w:tc>
      </w:tr>
      <w:tr w14:paraId="7EA8FA0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ED2DBBE">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5101FE4">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81E12AF">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DE9A159">
            <w:pPr>
              <w:widowControl/>
              <w:tabs>
                <w:tab w:val="left" w:pos="312"/>
              </w:tabs>
              <w:spacing w:line="440" w:lineRule="exact"/>
              <w:ind w:firstLine="440"/>
              <w:jc w:val="left"/>
              <w:rPr>
                <w:rFonts w:hint="eastAsia" w:ascii="宋体" w:hAnsi="宋体" w:eastAsia="宋体" w:cs="宋体"/>
                <w:bCs/>
                <w:sz w:val="24"/>
                <w:u w:val="single"/>
              </w:rPr>
            </w:pPr>
          </w:p>
        </w:tc>
      </w:tr>
      <w:tr w14:paraId="4770F40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right w:val="single" w:color="auto" w:sz="4" w:space="0"/>
            </w:tcBorders>
            <w:noWrap w:val="0"/>
            <w:vAlign w:val="center"/>
          </w:tcPr>
          <w:p w14:paraId="05B6404E">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right w:val="single" w:color="auto" w:sz="4" w:space="0"/>
            </w:tcBorders>
            <w:noWrap w:val="0"/>
            <w:vAlign w:val="center"/>
          </w:tcPr>
          <w:p w14:paraId="0FB55083">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right w:val="single" w:color="auto" w:sz="4" w:space="0"/>
            </w:tcBorders>
            <w:noWrap w:val="0"/>
            <w:vAlign w:val="center"/>
          </w:tcPr>
          <w:p w14:paraId="66256185">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right w:val="single" w:color="auto" w:sz="4" w:space="0"/>
            </w:tcBorders>
            <w:noWrap w:val="0"/>
            <w:vAlign w:val="center"/>
          </w:tcPr>
          <w:p w14:paraId="25CF4B58">
            <w:pPr>
              <w:widowControl/>
              <w:tabs>
                <w:tab w:val="left" w:pos="312"/>
              </w:tabs>
              <w:spacing w:line="440" w:lineRule="exact"/>
              <w:ind w:firstLine="440"/>
              <w:jc w:val="left"/>
              <w:rPr>
                <w:rFonts w:hint="eastAsia" w:ascii="宋体" w:hAnsi="宋体" w:eastAsia="宋体" w:cs="宋体"/>
                <w:bCs/>
                <w:sz w:val="24"/>
                <w:u w:val="single"/>
              </w:rPr>
            </w:pPr>
          </w:p>
        </w:tc>
      </w:tr>
      <w:tr w14:paraId="20D2F88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right w:val="single" w:color="auto" w:sz="4" w:space="0"/>
            </w:tcBorders>
            <w:noWrap w:val="0"/>
            <w:vAlign w:val="center"/>
          </w:tcPr>
          <w:p w14:paraId="52B065B0">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right w:val="single" w:color="auto" w:sz="4" w:space="0"/>
            </w:tcBorders>
            <w:noWrap w:val="0"/>
            <w:vAlign w:val="center"/>
          </w:tcPr>
          <w:p w14:paraId="53195057">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right w:val="single" w:color="auto" w:sz="4" w:space="0"/>
            </w:tcBorders>
            <w:noWrap w:val="0"/>
            <w:vAlign w:val="center"/>
          </w:tcPr>
          <w:p w14:paraId="7DD2C815">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right w:val="single" w:color="auto" w:sz="4" w:space="0"/>
            </w:tcBorders>
            <w:noWrap w:val="0"/>
            <w:vAlign w:val="center"/>
          </w:tcPr>
          <w:p w14:paraId="283B7069">
            <w:pPr>
              <w:widowControl/>
              <w:tabs>
                <w:tab w:val="left" w:pos="312"/>
              </w:tabs>
              <w:spacing w:line="440" w:lineRule="exact"/>
              <w:ind w:firstLine="440"/>
              <w:jc w:val="left"/>
              <w:rPr>
                <w:rFonts w:hint="eastAsia" w:ascii="宋体" w:hAnsi="宋体" w:eastAsia="宋体" w:cs="宋体"/>
                <w:bCs/>
                <w:sz w:val="24"/>
                <w:u w:val="single"/>
              </w:rPr>
            </w:pPr>
          </w:p>
        </w:tc>
      </w:tr>
      <w:tr w14:paraId="0DD8228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15C4B920">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455745C">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DF558DD">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2CE2702">
            <w:pPr>
              <w:widowControl/>
              <w:tabs>
                <w:tab w:val="left" w:pos="312"/>
              </w:tabs>
              <w:spacing w:line="440" w:lineRule="exact"/>
              <w:ind w:firstLine="440"/>
              <w:jc w:val="left"/>
              <w:rPr>
                <w:rFonts w:hint="eastAsia" w:ascii="宋体" w:hAnsi="宋体" w:eastAsia="宋体" w:cs="宋体"/>
                <w:bCs/>
                <w:sz w:val="24"/>
                <w:u w:val="single"/>
              </w:rPr>
            </w:pPr>
          </w:p>
        </w:tc>
      </w:tr>
      <w:tr w14:paraId="4E420DD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49EAE1D8">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3CD369EE">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1C638D3">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85926D7">
            <w:pPr>
              <w:widowControl/>
              <w:tabs>
                <w:tab w:val="left" w:pos="312"/>
              </w:tabs>
              <w:spacing w:line="440" w:lineRule="exact"/>
              <w:ind w:firstLine="440"/>
              <w:jc w:val="left"/>
              <w:rPr>
                <w:rFonts w:hint="eastAsia" w:ascii="宋体" w:hAnsi="宋体" w:eastAsia="宋体" w:cs="宋体"/>
                <w:bCs/>
                <w:sz w:val="24"/>
                <w:u w:val="single"/>
              </w:rPr>
            </w:pPr>
          </w:p>
        </w:tc>
      </w:tr>
      <w:tr w14:paraId="3334472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0174A497">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34763D77">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C12A578">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457DF2C">
            <w:pPr>
              <w:widowControl/>
              <w:tabs>
                <w:tab w:val="left" w:pos="312"/>
              </w:tabs>
              <w:spacing w:line="440" w:lineRule="exact"/>
              <w:ind w:firstLine="440"/>
              <w:jc w:val="left"/>
              <w:rPr>
                <w:rFonts w:hint="eastAsia" w:ascii="宋体" w:hAnsi="宋体" w:eastAsia="宋体" w:cs="宋体"/>
                <w:bCs/>
                <w:sz w:val="24"/>
                <w:u w:val="single"/>
              </w:rPr>
            </w:pPr>
          </w:p>
        </w:tc>
      </w:tr>
      <w:tr w14:paraId="76C74C4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26C220A8">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5AFF172">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F73DDB3">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E7D7C4F">
            <w:pPr>
              <w:widowControl/>
              <w:tabs>
                <w:tab w:val="left" w:pos="312"/>
              </w:tabs>
              <w:spacing w:line="440" w:lineRule="exact"/>
              <w:ind w:firstLine="440"/>
              <w:jc w:val="left"/>
              <w:rPr>
                <w:rFonts w:hint="eastAsia" w:ascii="宋体" w:hAnsi="宋体" w:eastAsia="宋体" w:cs="宋体"/>
                <w:bCs/>
                <w:sz w:val="24"/>
                <w:u w:val="single"/>
              </w:rPr>
            </w:pPr>
          </w:p>
        </w:tc>
      </w:tr>
      <w:tr w14:paraId="3434F86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42A2A53">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A0F89BC">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F0C1678">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CD35EAB">
            <w:pPr>
              <w:widowControl/>
              <w:tabs>
                <w:tab w:val="left" w:pos="312"/>
              </w:tabs>
              <w:spacing w:line="440" w:lineRule="exact"/>
              <w:ind w:firstLine="440"/>
              <w:jc w:val="left"/>
              <w:rPr>
                <w:rFonts w:hint="eastAsia" w:ascii="宋体" w:hAnsi="宋体" w:eastAsia="宋体" w:cs="宋体"/>
                <w:bCs/>
                <w:sz w:val="24"/>
                <w:u w:val="single"/>
              </w:rPr>
            </w:pPr>
          </w:p>
        </w:tc>
      </w:tr>
      <w:tr w14:paraId="281D2E3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F950A21">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75E920BD">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E1F88AA">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8ECE4AD">
            <w:pPr>
              <w:widowControl/>
              <w:tabs>
                <w:tab w:val="left" w:pos="312"/>
              </w:tabs>
              <w:spacing w:line="440" w:lineRule="exact"/>
              <w:ind w:firstLine="440"/>
              <w:jc w:val="left"/>
              <w:rPr>
                <w:rFonts w:hint="eastAsia" w:ascii="宋体" w:hAnsi="宋体" w:eastAsia="宋体" w:cs="宋体"/>
                <w:bCs/>
                <w:sz w:val="24"/>
                <w:u w:val="single"/>
              </w:rPr>
            </w:pPr>
          </w:p>
        </w:tc>
      </w:tr>
      <w:tr w14:paraId="4889BD8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951E09A">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4A24212C">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68D8A06">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C6B8386">
            <w:pPr>
              <w:widowControl/>
              <w:tabs>
                <w:tab w:val="left" w:pos="312"/>
              </w:tabs>
              <w:spacing w:line="440" w:lineRule="exact"/>
              <w:ind w:firstLine="440"/>
              <w:jc w:val="left"/>
              <w:rPr>
                <w:rFonts w:hint="eastAsia" w:ascii="宋体" w:hAnsi="宋体" w:eastAsia="宋体" w:cs="宋体"/>
                <w:bCs/>
                <w:sz w:val="24"/>
                <w:u w:val="single"/>
              </w:rPr>
            </w:pPr>
          </w:p>
        </w:tc>
      </w:tr>
      <w:tr w14:paraId="7357A3E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2D626BD">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337F615D">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5748706">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D400B4C">
            <w:pPr>
              <w:widowControl/>
              <w:tabs>
                <w:tab w:val="left" w:pos="312"/>
              </w:tabs>
              <w:spacing w:line="440" w:lineRule="exact"/>
              <w:ind w:firstLine="440"/>
              <w:jc w:val="left"/>
              <w:rPr>
                <w:rFonts w:hint="eastAsia" w:ascii="宋体" w:hAnsi="宋体" w:eastAsia="宋体" w:cs="宋体"/>
                <w:bCs/>
                <w:sz w:val="24"/>
                <w:u w:val="single"/>
              </w:rPr>
            </w:pPr>
          </w:p>
        </w:tc>
      </w:tr>
      <w:tr w14:paraId="614FB13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38A72B52">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8A1AC23">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2238131">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BA6821B">
            <w:pPr>
              <w:widowControl/>
              <w:tabs>
                <w:tab w:val="left" w:pos="312"/>
              </w:tabs>
              <w:spacing w:line="440" w:lineRule="exact"/>
              <w:ind w:firstLine="440"/>
              <w:jc w:val="left"/>
              <w:rPr>
                <w:rFonts w:hint="eastAsia" w:ascii="宋体" w:hAnsi="宋体" w:eastAsia="宋体" w:cs="宋体"/>
                <w:bCs/>
                <w:sz w:val="24"/>
                <w:u w:val="single"/>
              </w:rPr>
            </w:pPr>
          </w:p>
        </w:tc>
      </w:tr>
      <w:tr w14:paraId="00F6BAF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EFC3A2A">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EFA9DDF">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F7375E1">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E17F6A7">
            <w:pPr>
              <w:widowControl/>
              <w:tabs>
                <w:tab w:val="left" w:pos="312"/>
              </w:tabs>
              <w:spacing w:line="440" w:lineRule="exact"/>
              <w:ind w:firstLine="440"/>
              <w:jc w:val="left"/>
              <w:rPr>
                <w:rFonts w:hint="eastAsia" w:ascii="宋体" w:hAnsi="宋体" w:eastAsia="宋体" w:cs="宋体"/>
                <w:bCs/>
                <w:sz w:val="24"/>
                <w:u w:val="single"/>
              </w:rPr>
            </w:pPr>
          </w:p>
        </w:tc>
      </w:tr>
      <w:tr w14:paraId="72A9AC1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8E9B39C">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DA77D6C">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31C9638">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0D47FF2">
            <w:pPr>
              <w:widowControl/>
              <w:tabs>
                <w:tab w:val="left" w:pos="312"/>
              </w:tabs>
              <w:spacing w:line="440" w:lineRule="exact"/>
              <w:ind w:firstLine="440"/>
              <w:jc w:val="left"/>
              <w:rPr>
                <w:rFonts w:hint="eastAsia" w:ascii="宋体" w:hAnsi="宋体" w:eastAsia="宋体" w:cs="宋体"/>
                <w:bCs/>
                <w:sz w:val="24"/>
                <w:u w:val="single"/>
              </w:rPr>
            </w:pPr>
          </w:p>
        </w:tc>
      </w:tr>
      <w:tr w14:paraId="15CC751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0CD53A99">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7B436B4C">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C7443C2">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FF7EBF3">
            <w:pPr>
              <w:widowControl/>
              <w:tabs>
                <w:tab w:val="left" w:pos="312"/>
              </w:tabs>
              <w:spacing w:line="440" w:lineRule="exact"/>
              <w:ind w:firstLine="440"/>
              <w:jc w:val="left"/>
              <w:rPr>
                <w:rFonts w:hint="eastAsia" w:ascii="宋体" w:hAnsi="宋体" w:eastAsia="宋体" w:cs="宋体"/>
                <w:bCs/>
                <w:sz w:val="24"/>
                <w:u w:val="single"/>
              </w:rPr>
            </w:pPr>
          </w:p>
        </w:tc>
      </w:tr>
      <w:tr w14:paraId="10E6A13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11CCFD07">
            <w:pPr>
              <w:widowControl/>
              <w:tabs>
                <w:tab w:val="left" w:pos="312"/>
              </w:tabs>
              <w:spacing w:line="440" w:lineRule="exact"/>
              <w:ind w:firstLine="440"/>
              <w:jc w:val="left"/>
              <w:rPr>
                <w:rFonts w:hint="eastAsia" w:ascii="宋体" w:hAnsi="宋体" w:eastAsia="宋体" w:cs="宋体"/>
                <w:bCs/>
                <w:sz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46F3C468">
            <w:pPr>
              <w:widowControl/>
              <w:tabs>
                <w:tab w:val="left" w:pos="312"/>
              </w:tabs>
              <w:spacing w:line="440" w:lineRule="exact"/>
              <w:ind w:firstLine="440"/>
              <w:jc w:val="left"/>
              <w:rPr>
                <w:rFonts w:hint="eastAsia" w:ascii="宋体" w:hAnsi="宋体" w:eastAsia="宋体" w:cs="宋体"/>
                <w:bCs/>
                <w:sz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A8034DF">
            <w:pPr>
              <w:widowControl/>
              <w:tabs>
                <w:tab w:val="left" w:pos="312"/>
              </w:tabs>
              <w:spacing w:line="440" w:lineRule="exact"/>
              <w:ind w:firstLine="440"/>
              <w:jc w:val="left"/>
              <w:rPr>
                <w:rFonts w:hint="eastAsia" w:ascii="宋体" w:hAnsi="宋体" w:eastAsia="宋体" w:cs="宋体"/>
                <w:bCs/>
                <w:sz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875637B">
            <w:pPr>
              <w:widowControl/>
              <w:tabs>
                <w:tab w:val="left" w:pos="312"/>
              </w:tabs>
              <w:spacing w:line="440" w:lineRule="exact"/>
              <w:ind w:firstLine="440"/>
              <w:jc w:val="left"/>
              <w:rPr>
                <w:rFonts w:hint="eastAsia" w:ascii="宋体" w:hAnsi="宋体" w:eastAsia="宋体" w:cs="宋体"/>
                <w:bCs/>
                <w:sz w:val="24"/>
                <w:u w:val="single"/>
              </w:rPr>
            </w:pPr>
          </w:p>
        </w:tc>
      </w:tr>
    </w:tbl>
    <w:p w14:paraId="1D5C2C73">
      <w:pPr>
        <w:widowControl/>
        <w:tabs>
          <w:tab w:val="left" w:pos="312"/>
        </w:tabs>
        <w:spacing w:line="440" w:lineRule="exact"/>
        <w:ind w:firstLine="440"/>
        <w:jc w:val="left"/>
        <w:rPr>
          <w:rFonts w:hint="eastAsia" w:ascii="宋体" w:hAnsi="宋体" w:eastAsia="宋体" w:cs="宋体"/>
          <w:sz w:val="24"/>
        </w:rPr>
      </w:pPr>
      <w:r>
        <w:rPr>
          <w:rFonts w:hint="eastAsia" w:ascii="宋体" w:hAnsi="宋体" w:eastAsia="宋体" w:cs="宋体"/>
          <w:bCs/>
          <w:sz w:val="24"/>
        </w:rPr>
        <w:t>注：此自评表仅供评标委员评分参考用，不作为最终得分的依据。</w:t>
      </w:r>
    </w:p>
    <w:p w14:paraId="2293847D">
      <w:pPr>
        <w:pStyle w:val="9"/>
        <w:ind w:firstLine="480"/>
        <w:rPr>
          <w:rFonts w:hint="eastAsia" w:ascii="宋体" w:hAnsi="宋体" w:eastAsia="宋体" w:cs="宋体"/>
        </w:rPr>
      </w:pPr>
    </w:p>
    <w:p w14:paraId="1A93482B">
      <w:pPr>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投标人（电子章）：</w:t>
      </w:r>
    </w:p>
    <w:p w14:paraId="3C82CC35">
      <w:pPr>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 xml:space="preserve">日  期： </w:t>
      </w:r>
    </w:p>
    <w:p w14:paraId="2871C759">
      <w:pPr>
        <w:pStyle w:val="31"/>
        <w:ind w:firstLine="480"/>
        <w:rPr>
          <w:rFonts w:hint="eastAsia" w:ascii="宋体" w:hAnsi="宋体" w:eastAsia="宋体" w:cs="宋体"/>
          <w:sz w:val="24"/>
        </w:rPr>
      </w:pPr>
    </w:p>
    <w:p w14:paraId="6461B1A1">
      <w:pPr>
        <w:spacing w:line="480" w:lineRule="exact"/>
        <w:rPr>
          <w:rFonts w:hint="eastAsia" w:ascii="宋体" w:hAnsi="宋体" w:eastAsia="宋体" w:cs="宋体"/>
          <w:b/>
          <w:bCs/>
          <w:sz w:val="28"/>
          <w:szCs w:val="36"/>
          <w:lang w:val="zh-CN"/>
        </w:rPr>
      </w:pPr>
    </w:p>
    <w:p w14:paraId="385AD64A">
      <w:pPr>
        <w:spacing w:line="480" w:lineRule="exact"/>
        <w:rPr>
          <w:rFonts w:hint="eastAsia" w:ascii="宋体" w:hAnsi="宋体" w:eastAsia="宋体" w:cs="宋体"/>
          <w:b/>
          <w:bCs/>
          <w:sz w:val="28"/>
          <w:szCs w:val="36"/>
          <w:lang w:val="zh-CN"/>
        </w:rPr>
      </w:pPr>
    </w:p>
    <w:p w14:paraId="3F86DC15">
      <w:pPr>
        <w:spacing w:line="480" w:lineRule="exact"/>
        <w:rPr>
          <w:rFonts w:hint="eastAsia" w:ascii="宋体" w:hAnsi="宋体" w:eastAsia="宋体" w:cs="宋体"/>
          <w:b/>
          <w:bCs/>
          <w:sz w:val="28"/>
          <w:szCs w:val="36"/>
          <w:lang w:val="zh-CN"/>
        </w:rPr>
      </w:pPr>
    </w:p>
    <w:p w14:paraId="7452041F">
      <w:pPr>
        <w:spacing w:line="480" w:lineRule="exact"/>
        <w:rPr>
          <w:rFonts w:hint="eastAsia" w:ascii="宋体" w:hAnsi="宋体" w:eastAsia="宋体" w:cs="宋体"/>
          <w:b/>
          <w:bCs/>
          <w:sz w:val="28"/>
          <w:szCs w:val="36"/>
          <w:lang w:val="zh-CN"/>
        </w:rPr>
      </w:pPr>
    </w:p>
    <w:p w14:paraId="126D4ABB">
      <w:pPr>
        <w:spacing w:line="480" w:lineRule="exact"/>
        <w:rPr>
          <w:rFonts w:hint="eastAsia" w:ascii="宋体" w:hAnsi="宋体" w:eastAsia="宋体" w:cs="宋体"/>
          <w:b/>
          <w:bCs/>
          <w:sz w:val="28"/>
          <w:szCs w:val="36"/>
          <w:lang w:val="zh-CN"/>
        </w:rPr>
      </w:pPr>
    </w:p>
    <w:p w14:paraId="2FA40501">
      <w:pPr>
        <w:spacing w:line="480" w:lineRule="exact"/>
        <w:rPr>
          <w:rFonts w:hint="eastAsia" w:ascii="宋体" w:hAnsi="宋体" w:eastAsia="宋体" w:cs="宋体"/>
          <w:b/>
          <w:bCs/>
          <w:sz w:val="28"/>
          <w:szCs w:val="36"/>
          <w:lang w:val="zh-CN"/>
        </w:rPr>
      </w:pPr>
    </w:p>
    <w:p w14:paraId="6AFAF70E">
      <w:pPr>
        <w:spacing w:line="360" w:lineRule="auto"/>
        <w:rPr>
          <w:rFonts w:hint="eastAsia"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4</w:t>
      </w:r>
    </w:p>
    <w:p w14:paraId="2EEFC8E0">
      <w:pPr>
        <w:spacing w:line="360" w:lineRule="auto"/>
        <w:jc w:val="center"/>
        <w:rPr>
          <w:rFonts w:hint="eastAsia" w:ascii="宋体" w:hAnsi="宋体" w:eastAsia="宋体" w:cs="宋体"/>
          <w:b/>
          <w:sz w:val="28"/>
          <w:szCs w:val="28"/>
          <w:lang w:val="zh-CN"/>
        </w:rPr>
      </w:pPr>
      <w:r>
        <w:rPr>
          <w:rFonts w:hint="eastAsia" w:ascii="宋体" w:hAnsi="宋体" w:eastAsia="宋体" w:cs="宋体"/>
          <w:b/>
          <w:sz w:val="28"/>
          <w:szCs w:val="28"/>
          <w:lang w:val="zh-CN"/>
        </w:rPr>
        <w:t>投标人基本情况表</w:t>
      </w:r>
    </w:p>
    <w:tbl>
      <w:tblPr>
        <w:tblStyle w:val="33"/>
        <w:tblW w:w="0" w:type="auto"/>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515"/>
        <w:gridCol w:w="675"/>
        <w:gridCol w:w="660"/>
        <w:gridCol w:w="420"/>
        <w:gridCol w:w="60"/>
        <w:gridCol w:w="870"/>
        <w:gridCol w:w="540"/>
        <w:gridCol w:w="510"/>
        <w:gridCol w:w="1230"/>
        <w:gridCol w:w="240"/>
        <w:gridCol w:w="945"/>
        <w:gridCol w:w="930"/>
      </w:tblGrid>
      <w:tr w14:paraId="200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7C4808BC">
            <w:pPr>
              <w:pStyle w:val="82"/>
              <w:shd w:val="clear" w:color="auto" w:fill="FFFFFF"/>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27"/>
                <w:sz w:val="20"/>
                <w:szCs w:val="20"/>
              </w:rPr>
              <w:t>企业名称</w:t>
            </w:r>
          </w:p>
        </w:tc>
        <w:tc>
          <w:tcPr>
            <w:tcW w:w="5250" w:type="dxa"/>
            <w:gridSpan w:val="8"/>
            <w:tcBorders>
              <w:top w:val="single" w:color="auto" w:sz="4" w:space="0"/>
              <w:left w:val="nil"/>
              <w:bottom w:val="single" w:color="auto" w:sz="4" w:space="0"/>
              <w:right w:val="single" w:color="auto" w:sz="4" w:space="0"/>
            </w:tcBorders>
            <w:noWrap w:val="0"/>
            <w:vAlign w:val="center"/>
          </w:tcPr>
          <w:p w14:paraId="64023A41">
            <w:pPr>
              <w:pStyle w:val="82"/>
              <w:shd w:val="clear" w:color="auto" w:fill="FFFFFF"/>
              <w:spacing w:line="360" w:lineRule="auto"/>
              <w:jc w:val="center"/>
              <w:rPr>
                <w:rFonts w:hint="eastAsia" w:ascii="宋体" w:hAnsi="宋体" w:eastAsia="宋体" w:cs="宋体"/>
                <w:color w:val="000000"/>
                <w:sz w:val="20"/>
                <w:szCs w:val="20"/>
              </w:rPr>
            </w:pPr>
          </w:p>
        </w:tc>
        <w:tc>
          <w:tcPr>
            <w:tcW w:w="1470" w:type="dxa"/>
            <w:gridSpan w:val="2"/>
            <w:tcBorders>
              <w:top w:val="single" w:color="auto" w:sz="4" w:space="0"/>
              <w:left w:val="nil"/>
              <w:bottom w:val="single" w:color="auto" w:sz="4" w:space="0"/>
              <w:right w:val="single" w:color="auto" w:sz="4" w:space="0"/>
            </w:tcBorders>
            <w:noWrap w:val="0"/>
            <w:vAlign w:val="center"/>
          </w:tcPr>
          <w:p w14:paraId="4887A530">
            <w:pPr>
              <w:pStyle w:val="82"/>
              <w:shd w:val="clear" w:color="auto" w:fill="FFFFFF"/>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16"/>
                <w:sz w:val="20"/>
                <w:szCs w:val="20"/>
              </w:rPr>
              <w:t>法人代表</w:t>
            </w:r>
          </w:p>
        </w:tc>
        <w:tc>
          <w:tcPr>
            <w:tcW w:w="1875" w:type="dxa"/>
            <w:gridSpan w:val="2"/>
            <w:tcBorders>
              <w:top w:val="single" w:color="auto" w:sz="4" w:space="0"/>
              <w:left w:val="nil"/>
              <w:bottom w:val="single" w:color="auto" w:sz="4" w:space="0"/>
              <w:right w:val="single" w:color="auto" w:sz="4" w:space="0"/>
            </w:tcBorders>
            <w:noWrap w:val="0"/>
            <w:vAlign w:val="center"/>
          </w:tcPr>
          <w:p w14:paraId="7C646B94">
            <w:pPr>
              <w:pStyle w:val="82"/>
              <w:shd w:val="clear" w:color="auto" w:fill="FFFFFF"/>
              <w:spacing w:line="360" w:lineRule="auto"/>
              <w:jc w:val="center"/>
              <w:rPr>
                <w:rFonts w:hint="eastAsia" w:ascii="宋体" w:hAnsi="宋体" w:eastAsia="宋体" w:cs="宋体"/>
                <w:color w:val="000000"/>
                <w:sz w:val="20"/>
                <w:szCs w:val="20"/>
              </w:rPr>
            </w:pPr>
          </w:p>
        </w:tc>
      </w:tr>
      <w:tr w14:paraId="5457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66BF2E36">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27"/>
                <w:sz w:val="20"/>
                <w:szCs w:val="20"/>
              </w:rPr>
              <w:t>地址</w:t>
            </w:r>
          </w:p>
        </w:tc>
        <w:tc>
          <w:tcPr>
            <w:tcW w:w="5250" w:type="dxa"/>
            <w:gridSpan w:val="8"/>
            <w:tcBorders>
              <w:top w:val="single" w:color="auto" w:sz="4" w:space="0"/>
              <w:left w:val="nil"/>
              <w:bottom w:val="single" w:color="auto" w:sz="4" w:space="0"/>
              <w:right w:val="single" w:color="auto" w:sz="4" w:space="0"/>
            </w:tcBorders>
            <w:noWrap w:val="0"/>
            <w:vAlign w:val="center"/>
          </w:tcPr>
          <w:p w14:paraId="7160FE74">
            <w:pPr>
              <w:pStyle w:val="82"/>
              <w:shd w:val="clear" w:color="auto" w:fill="FFFFFF"/>
              <w:spacing w:line="360" w:lineRule="auto"/>
              <w:jc w:val="center"/>
              <w:rPr>
                <w:rFonts w:hint="eastAsia" w:ascii="宋体" w:hAnsi="宋体" w:eastAsia="宋体" w:cs="宋体"/>
                <w:color w:val="000000"/>
                <w:spacing w:val="16"/>
                <w:sz w:val="20"/>
                <w:szCs w:val="20"/>
              </w:rPr>
            </w:pPr>
          </w:p>
        </w:tc>
        <w:tc>
          <w:tcPr>
            <w:tcW w:w="1470" w:type="dxa"/>
            <w:gridSpan w:val="2"/>
            <w:tcBorders>
              <w:top w:val="single" w:color="auto" w:sz="4" w:space="0"/>
              <w:left w:val="nil"/>
              <w:bottom w:val="single" w:color="auto" w:sz="4" w:space="0"/>
              <w:right w:val="single" w:color="auto" w:sz="4" w:space="0"/>
            </w:tcBorders>
            <w:noWrap w:val="0"/>
            <w:vAlign w:val="center"/>
          </w:tcPr>
          <w:p w14:paraId="16AD0012">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16"/>
                <w:sz w:val="20"/>
                <w:szCs w:val="20"/>
              </w:rPr>
              <w:t>企业性质</w:t>
            </w:r>
          </w:p>
        </w:tc>
        <w:tc>
          <w:tcPr>
            <w:tcW w:w="1875" w:type="dxa"/>
            <w:gridSpan w:val="2"/>
            <w:tcBorders>
              <w:top w:val="single" w:color="auto" w:sz="4" w:space="0"/>
              <w:left w:val="nil"/>
              <w:bottom w:val="single" w:color="auto" w:sz="4" w:space="0"/>
              <w:right w:val="single" w:color="auto" w:sz="4" w:space="0"/>
            </w:tcBorders>
            <w:noWrap w:val="0"/>
            <w:vAlign w:val="center"/>
          </w:tcPr>
          <w:p w14:paraId="2420A2AD">
            <w:pPr>
              <w:pStyle w:val="82"/>
              <w:shd w:val="clear" w:color="auto" w:fill="FFFFFF"/>
              <w:spacing w:line="360" w:lineRule="auto"/>
              <w:jc w:val="center"/>
              <w:rPr>
                <w:rFonts w:hint="eastAsia" w:ascii="宋体" w:hAnsi="宋体" w:eastAsia="宋体" w:cs="宋体"/>
                <w:color w:val="000000"/>
                <w:spacing w:val="16"/>
                <w:sz w:val="20"/>
                <w:szCs w:val="20"/>
              </w:rPr>
            </w:pPr>
          </w:p>
        </w:tc>
      </w:tr>
      <w:tr w14:paraId="0958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10" w:type="dxa"/>
            <w:vMerge w:val="restart"/>
            <w:tcBorders>
              <w:top w:val="nil"/>
              <w:left w:val="single" w:color="auto" w:sz="4" w:space="0"/>
              <w:bottom w:val="single" w:color="auto" w:sz="4" w:space="0"/>
              <w:right w:val="single" w:color="auto" w:sz="4" w:space="0"/>
            </w:tcBorders>
            <w:noWrap w:val="0"/>
            <w:vAlign w:val="center"/>
          </w:tcPr>
          <w:p w14:paraId="1D587C76">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12"/>
                <w:sz w:val="18"/>
                <w:szCs w:val="18"/>
              </w:rPr>
              <w:t>联系人</w:t>
            </w:r>
            <w:r>
              <w:rPr>
                <w:rFonts w:hint="eastAsia" w:ascii="宋体" w:hAnsi="宋体" w:eastAsia="宋体" w:cs="宋体"/>
                <w:color w:val="000000"/>
                <w:spacing w:val="27"/>
                <w:sz w:val="18"/>
                <w:szCs w:val="18"/>
              </w:rPr>
              <w:t>姓名</w:t>
            </w:r>
          </w:p>
        </w:tc>
        <w:tc>
          <w:tcPr>
            <w:tcW w:w="1515" w:type="dxa"/>
            <w:vMerge w:val="restart"/>
            <w:tcBorders>
              <w:top w:val="nil"/>
              <w:left w:val="nil"/>
              <w:bottom w:val="single" w:color="auto" w:sz="4" w:space="0"/>
              <w:right w:val="single" w:color="auto" w:sz="4" w:space="0"/>
            </w:tcBorders>
            <w:noWrap w:val="0"/>
            <w:vAlign w:val="center"/>
          </w:tcPr>
          <w:p w14:paraId="3AF143B2">
            <w:pPr>
              <w:pStyle w:val="82"/>
              <w:shd w:val="clear" w:color="auto" w:fill="FFFFFF"/>
              <w:spacing w:line="360" w:lineRule="auto"/>
              <w:jc w:val="center"/>
              <w:rPr>
                <w:rFonts w:hint="eastAsia" w:ascii="宋体" w:hAnsi="宋体" w:eastAsia="宋体" w:cs="宋体"/>
                <w:color w:val="000000"/>
                <w:spacing w:val="16"/>
                <w:sz w:val="20"/>
                <w:szCs w:val="20"/>
              </w:rPr>
            </w:pPr>
          </w:p>
        </w:tc>
        <w:tc>
          <w:tcPr>
            <w:tcW w:w="1755" w:type="dxa"/>
            <w:gridSpan w:val="3"/>
            <w:tcBorders>
              <w:top w:val="nil"/>
              <w:left w:val="nil"/>
              <w:bottom w:val="single" w:color="auto" w:sz="4" w:space="0"/>
              <w:right w:val="single" w:color="auto" w:sz="4" w:space="0"/>
            </w:tcBorders>
            <w:noWrap w:val="0"/>
            <w:vAlign w:val="center"/>
          </w:tcPr>
          <w:p w14:paraId="4816EEF3">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16"/>
                <w:sz w:val="20"/>
                <w:szCs w:val="20"/>
              </w:rPr>
              <w:t>固定电话</w:t>
            </w:r>
          </w:p>
        </w:tc>
        <w:tc>
          <w:tcPr>
            <w:tcW w:w="1980" w:type="dxa"/>
            <w:gridSpan w:val="4"/>
            <w:tcBorders>
              <w:top w:val="nil"/>
              <w:left w:val="nil"/>
              <w:bottom w:val="single" w:color="auto" w:sz="4" w:space="0"/>
              <w:right w:val="single" w:color="auto" w:sz="4" w:space="0"/>
            </w:tcBorders>
            <w:noWrap w:val="0"/>
            <w:vAlign w:val="center"/>
          </w:tcPr>
          <w:p w14:paraId="16BD34C7">
            <w:pPr>
              <w:pStyle w:val="82"/>
              <w:shd w:val="clear" w:color="auto" w:fill="FFFFFF"/>
              <w:spacing w:line="360" w:lineRule="auto"/>
              <w:jc w:val="center"/>
              <w:rPr>
                <w:rFonts w:hint="eastAsia" w:ascii="宋体" w:hAnsi="宋体" w:eastAsia="宋体" w:cs="宋体"/>
                <w:color w:val="000000"/>
                <w:spacing w:val="16"/>
                <w:sz w:val="20"/>
                <w:szCs w:val="20"/>
              </w:rPr>
            </w:pPr>
          </w:p>
        </w:tc>
        <w:tc>
          <w:tcPr>
            <w:tcW w:w="1470" w:type="dxa"/>
            <w:gridSpan w:val="2"/>
            <w:vMerge w:val="restart"/>
            <w:tcBorders>
              <w:top w:val="nil"/>
              <w:left w:val="nil"/>
              <w:bottom w:val="single" w:color="auto" w:sz="4" w:space="0"/>
              <w:right w:val="single" w:color="auto" w:sz="4" w:space="0"/>
            </w:tcBorders>
            <w:noWrap w:val="0"/>
            <w:vAlign w:val="center"/>
          </w:tcPr>
          <w:p w14:paraId="78E75670">
            <w:pPr>
              <w:pStyle w:val="82"/>
              <w:shd w:val="clear" w:color="auto" w:fill="FFFFFF"/>
              <w:spacing w:before="0" w:beforeAutospacing="0" w:after="0" w:afterAutospacing="0"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16"/>
                <w:sz w:val="20"/>
                <w:szCs w:val="20"/>
              </w:rPr>
              <w:t>传真</w:t>
            </w:r>
          </w:p>
        </w:tc>
        <w:tc>
          <w:tcPr>
            <w:tcW w:w="1875" w:type="dxa"/>
            <w:gridSpan w:val="2"/>
            <w:vMerge w:val="restart"/>
            <w:tcBorders>
              <w:top w:val="nil"/>
              <w:left w:val="nil"/>
              <w:bottom w:val="single" w:color="auto" w:sz="4" w:space="0"/>
              <w:right w:val="single" w:color="auto" w:sz="4" w:space="0"/>
            </w:tcBorders>
            <w:noWrap w:val="0"/>
            <w:vAlign w:val="center"/>
          </w:tcPr>
          <w:p w14:paraId="46C9690D">
            <w:pPr>
              <w:pStyle w:val="82"/>
              <w:shd w:val="clear" w:color="auto" w:fill="FFFFFF"/>
              <w:spacing w:line="360" w:lineRule="auto"/>
              <w:jc w:val="center"/>
              <w:rPr>
                <w:rFonts w:hint="eastAsia" w:ascii="宋体" w:hAnsi="宋体" w:eastAsia="宋体" w:cs="宋体"/>
                <w:color w:val="000000"/>
                <w:spacing w:val="16"/>
                <w:sz w:val="20"/>
                <w:szCs w:val="20"/>
              </w:rPr>
            </w:pPr>
          </w:p>
        </w:tc>
      </w:tr>
      <w:tr w14:paraId="338F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6E515D8F">
            <w:pPr>
              <w:widowControl/>
              <w:jc w:val="center"/>
              <w:rPr>
                <w:rFonts w:hint="eastAsia" w:ascii="宋体" w:hAnsi="宋体" w:eastAsia="宋体" w:cs="宋体"/>
                <w:color w:val="000000"/>
                <w:spacing w:val="16"/>
                <w:kern w:val="0"/>
                <w:sz w:val="20"/>
                <w:szCs w:val="20"/>
              </w:rPr>
            </w:pPr>
          </w:p>
        </w:tc>
        <w:tc>
          <w:tcPr>
            <w:tcW w:w="1515" w:type="dxa"/>
            <w:vMerge w:val="continue"/>
            <w:tcBorders>
              <w:top w:val="nil"/>
              <w:left w:val="nil"/>
              <w:bottom w:val="single" w:color="auto" w:sz="4" w:space="0"/>
              <w:right w:val="single" w:color="auto" w:sz="4" w:space="0"/>
            </w:tcBorders>
            <w:noWrap w:val="0"/>
            <w:vAlign w:val="center"/>
          </w:tcPr>
          <w:p w14:paraId="501AD21E">
            <w:pPr>
              <w:widowControl/>
              <w:jc w:val="center"/>
              <w:rPr>
                <w:rFonts w:hint="eastAsia" w:ascii="宋体" w:hAnsi="宋体" w:eastAsia="宋体" w:cs="宋体"/>
                <w:color w:val="000000"/>
                <w:spacing w:val="16"/>
                <w:kern w:val="0"/>
                <w:sz w:val="20"/>
                <w:szCs w:val="20"/>
              </w:rPr>
            </w:pPr>
          </w:p>
        </w:tc>
        <w:tc>
          <w:tcPr>
            <w:tcW w:w="1755" w:type="dxa"/>
            <w:gridSpan w:val="3"/>
            <w:tcBorders>
              <w:top w:val="single" w:color="auto" w:sz="4" w:space="0"/>
              <w:left w:val="nil"/>
              <w:bottom w:val="single" w:color="auto" w:sz="4" w:space="0"/>
              <w:right w:val="single" w:color="auto" w:sz="4" w:space="0"/>
            </w:tcBorders>
            <w:noWrap w:val="0"/>
            <w:vAlign w:val="center"/>
          </w:tcPr>
          <w:p w14:paraId="57539A84">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27"/>
                <w:sz w:val="20"/>
                <w:szCs w:val="20"/>
              </w:rPr>
              <w:t>手机</w:t>
            </w:r>
          </w:p>
        </w:tc>
        <w:tc>
          <w:tcPr>
            <w:tcW w:w="1980" w:type="dxa"/>
            <w:gridSpan w:val="4"/>
            <w:tcBorders>
              <w:top w:val="single" w:color="auto" w:sz="4" w:space="0"/>
              <w:left w:val="nil"/>
              <w:bottom w:val="single" w:color="auto" w:sz="4" w:space="0"/>
              <w:right w:val="single" w:color="auto" w:sz="4" w:space="0"/>
            </w:tcBorders>
            <w:noWrap w:val="0"/>
            <w:vAlign w:val="center"/>
          </w:tcPr>
          <w:p w14:paraId="72269CBE">
            <w:pPr>
              <w:pStyle w:val="82"/>
              <w:shd w:val="clear" w:color="auto" w:fill="FFFFFF"/>
              <w:spacing w:line="360" w:lineRule="auto"/>
              <w:ind w:firstLine="232" w:firstLineChars="100"/>
              <w:jc w:val="center"/>
              <w:rPr>
                <w:rFonts w:hint="eastAsia" w:ascii="宋体" w:hAnsi="宋体" w:eastAsia="宋体" w:cs="宋体"/>
                <w:color w:val="000000"/>
                <w:spacing w:val="16"/>
                <w:sz w:val="20"/>
                <w:szCs w:val="20"/>
              </w:rPr>
            </w:pPr>
          </w:p>
        </w:tc>
        <w:tc>
          <w:tcPr>
            <w:tcW w:w="1470" w:type="dxa"/>
            <w:gridSpan w:val="2"/>
            <w:vMerge w:val="continue"/>
            <w:tcBorders>
              <w:top w:val="nil"/>
              <w:left w:val="nil"/>
              <w:bottom w:val="single" w:color="auto" w:sz="4" w:space="0"/>
              <w:right w:val="single" w:color="auto" w:sz="4" w:space="0"/>
            </w:tcBorders>
            <w:noWrap w:val="0"/>
            <w:vAlign w:val="center"/>
          </w:tcPr>
          <w:p w14:paraId="71604551">
            <w:pPr>
              <w:widowControl/>
              <w:jc w:val="center"/>
              <w:rPr>
                <w:rFonts w:hint="eastAsia" w:ascii="宋体" w:hAnsi="宋体" w:eastAsia="宋体" w:cs="宋体"/>
                <w:color w:val="000000"/>
                <w:spacing w:val="16"/>
                <w:kern w:val="0"/>
                <w:sz w:val="20"/>
                <w:szCs w:val="20"/>
              </w:rPr>
            </w:pPr>
          </w:p>
        </w:tc>
        <w:tc>
          <w:tcPr>
            <w:tcW w:w="1875" w:type="dxa"/>
            <w:gridSpan w:val="2"/>
            <w:vMerge w:val="continue"/>
            <w:tcBorders>
              <w:top w:val="nil"/>
              <w:left w:val="nil"/>
              <w:bottom w:val="single" w:color="auto" w:sz="4" w:space="0"/>
              <w:right w:val="single" w:color="auto" w:sz="4" w:space="0"/>
            </w:tcBorders>
            <w:noWrap w:val="0"/>
            <w:vAlign w:val="center"/>
          </w:tcPr>
          <w:p w14:paraId="184A37B2">
            <w:pPr>
              <w:widowControl/>
              <w:jc w:val="center"/>
              <w:rPr>
                <w:rFonts w:hint="eastAsia" w:ascii="宋体" w:hAnsi="宋体" w:eastAsia="宋体" w:cs="宋体"/>
                <w:color w:val="000000"/>
                <w:spacing w:val="16"/>
                <w:kern w:val="0"/>
                <w:sz w:val="20"/>
                <w:szCs w:val="20"/>
              </w:rPr>
            </w:pPr>
          </w:p>
        </w:tc>
      </w:tr>
      <w:tr w14:paraId="18F5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410" w:type="dxa"/>
            <w:vMerge w:val="restart"/>
            <w:tcBorders>
              <w:top w:val="nil"/>
              <w:left w:val="single" w:color="auto" w:sz="4" w:space="0"/>
              <w:bottom w:val="single" w:color="auto" w:sz="4" w:space="0"/>
              <w:right w:val="single" w:color="auto" w:sz="4" w:space="0"/>
            </w:tcBorders>
            <w:noWrap w:val="0"/>
            <w:vAlign w:val="center"/>
          </w:tcPr>
          <w:p w14:paraId="27FC50EE">
            <w:pPr>
              <w:pStyle w:val="82"/>
              <w:shd w:val="clear" w:color="auto" w:fill="FFFFFF"/>
              <w:spacing w:line="360" w:lineRule="auto"/>
              <w:rPr>
                <w:rFonts w:hint="eastAsia" w:ascii="宋体" w:hAnsi="宋体" w:eastAsia="宋体" w:cs="宋体"/>
                <w:color w:val="000000"/>
                <w:sz w:val="20"/>
                <w:szCs w:val="20"/>
              </w:rPr>
            </w:pPr>
            <w:r>
              <w:rPr>
                <w:rFonts w:hint="eastAsia" w:ascii="宋体" w:hAnsi="宋体" w:eastAsia="宋体" w:cs="宋体"/>
                <w:color w:val="000000"/>
                <w:sz w:val="20"/>
                <w:szCs w:val="20"/>
              </w:rPr>
              <w:t>1.企业</w:t>
            </w:r>
            <w:r>
              <w:rPr>
                <w:rFonts w:hint="eastAsia" w:ascii="宋体" w:hAnsi="宋体" w:eastAsia="宋体" w:cs="宋体"/>
                <w:color w:val="000000"/>
                <w:spacing w:val="27"/>
                <w:sz w:val="20"/>
                <w:szCs w:val="20"/>
              </w:rPr>
              <w:t>概况</w:t>
            </w:r>
          </w:p>
        </w:tc>
        <w:tc>
          <w:tcPr>
            <w:tcW w:w="1515" w:type="dxa"/>
            <w:tcBorders>
              <w:top w:val="nil"/>
              <w:left w:val="nil"/>
              <w:bottom w:val="single" w:color="auto" w:sz="4" w:space="0"/>
              <w:right w:val="single" w:color="auto" w:sz="4" w:space="0"/>
            </w:tcBorders>
            <w:noWrap w:val="0"/>
            <w:vAlign w:val="center"/>
          </w:tcPr>
          <w:p w14:paraId="33DB418D">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16"/>
                <w:sz w:val="20"/>
                <w:szCs w:val="20"/>
              </w:rPr>
              <w:t>职工人数</w:t>
            </w:r>
          </w:p>
        </w:tc>
        <w:tc>
          <w:tcPr>
            <w:tcW w:w="1335" w:type="dxa"/>
            <w:gridSpan w:val="2"/>
            <w:tcBorders>
              <w:top w:val="nil"/>
              <w:left w:val="nil"/>
              <w:bottom w:val="single" w:color="auto" w:sz="4" w:space="0"/>
              <w:right w:val="single" w:color="auto" w:sz="4" w:space="0"/>
            </w:tcBorders>
            <w:noWrap w:val="0"/>
            <w:vAlign w:val="center"/>
          </w:tcPr>
          <w:p w14:paraId="3023E419">
            <w:pPr>
              <w:pStyle w:val="82"/>
              <w:shd w:val="clear" w:color="auto" w:fill="FFFFFF"/>
              <w:spacing w:line="360" w:lineRule="auto"/>
              <w:jc w:val="center"/>
              <w:rPr>
                <w:rFonts w:hint="eastAsia" w:ascii="宋体" w:hAnsi="宋体" w:eastAsia="宋体" w:cs="宋体"/>
                <w:color w:val="000000"/>
                <w:spacing w:val="16"/>
                <w:sz w:val="20"/>
                <w:szCs w:val="20"/>
              </w:rPr>
            </w:pPr>
          </w:p>
        </w:tc>
        <w:tc>
          <w:tcPr>
            <w:tcW w:w="1350" w:type="dxa"/>
            <w:gridSpan w:val="3"/>
            <w:tcBorders>
              <w:top w:val="nil"/>
              <w:left w:val="nil"/>
              <w:bottom w:val="single" w:color="auto" w:sz="4" w:space="0"/>
              <w:right w:val="single" w:color="auto" w:sz="4" w:space="0"/>
            </w:tcBorders>
            <w:noWrap w:val="0"/>
            <w:vAlign w:val="center"/>
          </w:tcPr>
          <w:p w14:paraId="3A9E167D">
            <w:pPr>
              <w:pStyle w:val="82"/>
              <w:shd w:val="clear" w:color="auto" w:fill="FFFFFF"/>
              <w:spacing w:before="0" w:beforeAutospacing="0" w:after="0" w:afterAutospacing="0"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18"/>
                <w:sz w:val="20"/>
                <w:szCs w:val="20"/>
              </w:rPr>
              <w:t>具备大专以</w:t>
            </w:r>
            <w:r>
              <w:rPr>
                <w:rFonts w:hint="eastAsia" w:ascii="宋体" w:hAnsi="宋体" w:eastAsia="宋体" w:cs="宋体"/>
                <w:color w:val="000000"/>
                <w:spacing w:val="12"/>
                <w:sz w:val="20"/>
                <w:szCs w:val="20"/>
              </w:rPr>
              <w:t>上学历人数</w:t>
            </w:r>
          </w:p>
        </w:tc>
        <w:tc>
          <w:tcPr>
            <w:tcW w:w="1050" w:type="dxa"/>
            <w:gridSpan w:val="2"/>
            <w:tcBorders>
              <w:top w:val="nil"/>
              <w:left w:val="nil"/>
              <w:bottom w:val="single" w:color="auto" w:sz="4" w:space="0"/>
              <w:right w:val="single" w:color="auto" w:sz="4" w:space="0"/>
            </w:tcBorders>
            <w:noWrap w:val="0"/>
            <w:vAlign w:val="center"/>
          </w:tcPr>
          <w:p w14:paraId="4FE2FAFB">
            <w:pPr>
              <w:widowControl/>
              <w:spacing w:line="360" w:lineRule="auto"/>
              <w:jc w:val="center"/>
              <w:rPr>
                <w:rFonts w:hint="eastAsia" w:ascii="宋体" w:hAnsi="宋体" w:eastAsia="宋体" w:cs="宋体"/>
                <w:color w:val="000000"/>
                <w:spacing w:val="16"/>
                <w:kern w:val="0"/>
                <w:sz w:val="20"/>
                <w:szCs w:val="20"/>
              </w:rPr>
            </w:pPr>
          </w:p>
          <w:p w14:paraId="02B91673">
            <w:pPr>
              <w:widowControl/>
              <w:spacing w:line="360" w:lineRule="auto"/>
              <w:jc w:val="center"/>
              <w:rPr>
                <w:rFonts w:hint="eastAsia" w:ascii="宋体" w:hAnsi="宋体" w:eastAsia="宋体" w:cs="宋体"/>
                <w:color w:val="000000"/>
                <w:spacing w:val="16"/>
                <w:sz w:val="20"/>
                <w:szCs w:val="20"/>
              </w:rPr>
            </w:pPr>
          </w:p>
        </w:tc>
        <w:tc>
          <w:tcPr>
            <w:tcW w:w="1470" w:type="dxa"/>
            <w:gridSpan w:val="2"/>
            <w:tcBorders>
              <w:top w:val="single" w:color="auto" w:sz="4" w:space="0"/>
              <w:left w:val="nil"/>
              <w:bottom w:val="single" w:color="auto" w:sz="4" w:space="0"/>
              <w:right w:val="single" w:color="auto" w:sz="4" w:space="0"/>
            </w:tcBorders>
            <w:noWrap w:val="0"/>
            <w:vAlign w:val="center"/>
          </w:tcPr>
          <w:p w14:paraId="1064A41E">
            <w:pPr>
              <w:pStyle w:val="82"/>
              <w:shd w:val="clear" w:color="auto" w:fill="FFFFFF"/>
              <w:spacing w:line="360" w:lineRule="auto"/>
              <w:jc w:val="center"/>
              <w:rPr>
                <w:rFonts w:hint="eastAsia" w:ascii="宋体" w:hAnsi="宋体" w:eastAsia="宋体" w:cs="宋体"/>
                <w:color w:val="000000"/>
                <w:spacing w:val="16"/>
                <w:sz w:val="20"/>
                <w:szCs w:val="20"/>
              </w:rPr>
            </w:pPr>
            <w:r>
              <w:rPr>
                <w:rFonts w:hint="eastAsia" w:ascii="宋体" w:hAnsi="宋体" w:eastAsia="宋体" w:cs="宋体"/>
                <w:color w:val="000000"/>
                <w:spacing w:val="65"/>
                <w:sz w:val="20"/>
                <w:szCs w:val="20"/>
              </w:rPr>
              <w:t>国家授予技</w:t>
            </w:r>
            <w:r>
              <w:rPr>
                <w:rFonts w:hint="eastAsia" w:ascii="宋体" w:hAnsi="宋体" w:eastAsia="宋体" w:cs="宋体"/>
                <w:color w:val="000000"/>
                <w:spacing w:val="12"/>
                <w:sz w:val="20"/>
                <w:szCs w:val="20"/>
              </w:rPr>
              <w:t>术职称人数</w:t>
            </w:r>
          </w:p>
        </w:tc>
        <w:tc>
          <w:tcPr>
            <w:tcW w:w="1875" w:type="dxa"/>
            <w:gridSpan w:val="2"/>
            <w:tcBorders>
              <w:top w:val="single" w:color="auto" w:sz="4" w:space="0"/>
              <w:left w:val="nil"/>
              <w:bottom w:val="single" w:color="auto" w:sz="4" w:space="0"/>
              <w:right w:val="single" w:color="auto" w:sz="4" w:space="0"/>
            </w:tcBorders>
            <w:noWrap w:val="0"/>
            <w:vAlign w:val="center"/>
          </w:tcPr>
          <w:p w14:paraId="77082A5D">
            <w:pPr>
              <w:widowControl/>
              <w:spacing w:line="360" w:lineRule="auto"/>
              <w:jc w:val="center"/>
              <w:rPr>
                <w:rFonts w:hint="eastAsia" w:ascii="宋体" w:hAnsi="宋体" w:eastAsia="宋体" w:cs="宋体"/>
                <w:color w:val="000000"/>
                <w:spacing w:val="16"/>
                <w:kern w:val="0"/>
                <w:sz w:val="20"/>
                <w:szCs w:val="20"/>
              </w:rPr>
            </w:pPr>
          </w:p>
          <w:p w14:paraId="58018817">
            <w:pPr>
              <w:pStyle w:val="82"/>
              <w:shd w:val="clear" w:color="auto" w:fill="FFFFFF"/>
              <w:spacing w:line="360" w:lineRule="auto"/>
              <w:jc w:val="center"/>
              <w:rPr>
                <w:rFonts w:hint="eastAsia" w:ascii="宋体" w:hAnsi="宋体" w:eastAsia="宋体" w:cs="宋体"/>
                <w:color w:val="000000"/>
                <w:spacing w:val="16"/>
                <w:sz w:val="20"/>
                <w:szCs w:val="20"/>
              </w:rPr>
            </w:pPr>
          </w:p>
        </w:tc>
      </w:tr>
      <w:tr w14:paraId="008B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3F84B868">
            <w:pPr>
              <w:widowControl/>
              <w:jc w:val="center"/>
              <w:rPr>
                <w:rFonts w:hint="eastAsia" w:ascii="宋体" w:hAnsi="宋体" w:eastAsia="宋体" w:cs="宋体"/>
                <w:color w:val="000000"/>
                <w:kern w:val="0"/>
                <w:sz w:val="20"/>
                <w:szCs w:val="20"/>
              </w:rPr>
            </w:pPr>
          </w:p>
        </w:tc>
        <w:tc>
          <w:tcPr>
            <w:tcW w:w="1515" w:type="dxa"/>
            <w:tcBorders>
              <w:top w:val="single" w:color="auto" w:sz="4" w:space="0"/>
              <w:left w:val="nil"/>
              <w:bottom w:val="single" w:color="auto" w:sz="4" w:space="0"/>
              <w:right w:val="single" w:color="auto" w:sz="4" w:space="0"/>
            </w:tcBorders>
            <w:noWrap w:val="0"/>
            <w:vAlign w:val="center"/>
          </w:tcPr>
          <w:p w14:paraId="0D340925">
            <w:pPr>
              <w:pStyle w:val="82"/>
              <w:shd w:val="clear" w:color="auto" w:fill="FFFFFF"/>
              <w:spacing w:line="360" w:lineRule="auto"/>
              <w:ind w:left="2"/>
              <w:jc w:val="center"/>
              <w:rPr>
                <w:rFonts w:hint="eastAsia" w:ascii="宋体" w:hAnsi="宋体" w:eastAsia="宋体" w:cs="宋体"/>
                <w:color w:val="000000"/>
                <w:spacing w:val="16"/>
                <w:sz w:val="20"/>
                <w:szCs w:val="20"/>
              </w:rPr>
            </w:pPr>
            <w:r>
              <w:rPr>
                <w:rFonts w:hint="eastAsia" w:ascii="宋体" w:hAnsi="宋体" w:eastAsia="宋体" w:cs="宋体"/>
                <w:color w:val="000000"/>
                <w:spacing w:val="16"/>
                <w:sz w:val="20"/>
                <w:szCs w:val="20"/>
              </w:rPr>
              <w:t>注册资金</w:t>
            </w:r>
          </w:p>
        </w:tc>
        <w:tc>
          <w:tcPr>
            <w:tcW w:w="1335" w:type="dxa"/>
            <w:gridSpan w:val="2"/>
            <w:tcBorders>
              <w:top w:val="single" w:color="auto" w:sz="4" w:space="0"/>
              <w:left w:val="nil"/>
              <w:bottom w:val="single" w:color="auto" w:sz="4" w:space="0"/>
              <w:right w:val="single" w:color="auto" w:sz="4" w:space="0"/>
            </w:tcBorders>
            <w:noWrap w:val="0"/>
            <w:vAlign w:val="center"/>
          </w:tcPr>
          <w:p w14:paraId="3AC02634">
            <w:pPr>
              <w:pStyle w:val="82"/>
              <w:shd w:val="clear" w:color="auto" w:fill="FFFFFF"/>
              <w:spacing w:line="360" w:lineRule="auto"/>
              <w:jc w:val="center"/>
              <w:rPr>
                <w:rFonts w:hint="eastAsia" w:ascii="宋体" w:hAnsi="宋体" w:eastAsia="宋体" w:cs="宋体"/>
                <w:color w:val="000000"/>
                <w:sz w:val="20"/>
                <w:szCs w:val="20"/>
              </w:rPr>
            </w:pPr>
          </w:p>
        </w:tc>
        <w:tc>
          <w:tcPr>
            <w:tcW w:w="1350" w:type="dxa"/>
            <w:gridSpan w:val="3"/>
            <w:tcBorders>
              <w:top w:val="single" w:color="auto" w:sz="4" w:space="0"/>
              <w:left w:val="nil"/>
              <w:bottom w:val="single" w:color="auto" w:sz="4" w:space="0"/>
              <w:right w:val="single" w:color="auto" w:sz="4" w:space="0"/>
            </w:tcBorders>
            <w:noWrap w:val="0"/>
            <w:vAlign w:val="center"/>
          </w:tcPr>
          <w:p w14:paraId="78639B16">
            <w:pPr>
              <w:pStyle w:val="82"/>
              <w:shd w:val="clear" w:color="auto" w:fill="FFFFFF"/>
              <w:spacing w:line="360" w:lineRule="auto"/>
              <w:ind w:left="107"/>
              <w:jc w:val="center"/>
              <w:rPr>
                <w:rFonts w:hint="eastAsia" w:ascii="宋体" w:hAnsi="宋体" w:eastAsia="宋体" w:cs="宋体"/>
                <w:color w:val="000000"/>
                <w:sz w:val="20"/>
                <w:szCs w:val="20"/>
              </w:rPr>
            </w:pPr>
            <w:r>
              <w:rPr>
                <w:rFonts w:hint="eastAsia" w:ascii="宋体" w:hAnsi="宋体" w:eastAsia="宋体" w:cs="宋体"/>
                <w:color w:val="000000"/>
                <w:spacing w:val="16"/>
                <w:sz w:val="20"/>
                <w:szCs w:val="20"/>
              </w:rPr>
              <w:t>注册发证</w:t>
            </w:r>
            <w:r>
              <w:rPr>
                <w:rFonts w:hint="eastAsia" w:ascii="宋体" w:hAnsi="宋体" w:eastAsia="宋体" w:cs="宋体"/>
                <w:color w:val="000000"/>
                <w:spacing w:val="27"/>
                <w:sz w:val="20"/>
                <w:szCs w:val="20"/>
              </w:rPr>
              <w:t>机关</w:t>
            </w:r>
          </w:p>
        </w:tc>
        <w:tc>
          <w:tcPr>
            <w:tcW w:w="2520" w:type="dxa"/>
            <w:gridSpan w:val="4"/>
            <w:tcBorders>
              <w:top w:val="single" w:color="auto" w:sz="4" w:space="0"/>
              <w:left w:val="nil"/>
              <w:bottom w:val="single" w:color="auto" w:sz="4" w:space="0"/>
              <w:right w:val="single" w:color="auto" w:sz="4" w:space="0"/>
            </w:tcBorders>
            <w:noWrap w:val="0"/>
            <w:vAlign w:val="center"/>
          </w:tcPr>
          <w:p w14:paraId="6B3B184D">
            <w:pPr>
              <w:pStyle w:val="82"/>
              <w:shd w:val="clear" w:color="auto" w:fill="FFFFFF"/>
              <w:spacing w:line="360" w:lineRule="auto"/>
              <w:jc w:val="center"/>
              <w:rPr>
                <w:rFonts w:hint="eastAsia" w:ascii="宋体" w:hAnsi="宋体" w:eastAsia="宋体" w:cs="宋体"/>
                <w:color w:val="000000"/>
                <w:sz w:val="20"/>
                <w:szCs w:val="20"/>
              </w:rPr>
            </w:pPr>
          </w:p>
        </w:tc>
        <w:tc>
          <w:tcPr>
            <w:tcW w:w="945" w:type="dxa"/>
            <w:tcBorders>
              <w:top w:val="single" w:color="auto" w:sz="4" w:space="0"/>
              <w:left w:val="nil"/>
              <w:bottom w:val="single" w:color="auto" w:sz="4" w:space="0"/>
              <w:right w:val="single" w:color="auto" w:sz="4" w:space="0"/>
            </w:tcBorders>
            <w:noWrap w:val="0"/>
            <w:vAlign w:val="center"/>
          </w:tcPr>
          <w:p w14:paraId="3654E62B">
            <w:pPr>
              <w:pStyle w:val="82"/>
              <w:shd w:val="clear" w:color="auto" w:fill="FFFFFF"/>
              <w:spacing w:line="360" w:lineRule="auto"/>
              <w:ind w:left="107"/>
              <w:jc w:val="center"/>
              <w:rPr>
                <w:rFonts w:hint="eastAsia" w:ascii="宋体" w:hAnsi="宋体" w:eastAsia="宋体" w:cs="宋体"/>
                <w:color w:val="000000"/>
                <w:sz w:val="20"/>
                <w:szCs w:val="20"/>
              </w:rPr>
            </w:pPr>
            <w:r>
              <w:rPr>
                <w:rFonts w:hint="eastAsia" w:ascii="宋体" w:hAnsi="宋体" w:eastAsia="宋体" w:cs="宋体"/>
                <w:color w:val="000000"/>
                <w:sz w:val="20"/>
                <w:szCs w:val="20"/>
              </w:rPr>
              <w:t>成</w:t>
            </w:r>
            <w:r>
              <w:rPr>
                <w:rFonts w:hint="eastAsia" w:ascii="宋体" w:hAnsi="宋体" w:eastAsia="宋体" w:cs="宋体"/>
                <w:color w:val="000000"/>
                <w:spacing w:val="12"/>
                <w:sz w:val="20"/>
                <w:szCs w:val="20"/>
              </w:rPr>
              <w:t>立时间</w:t>
            </w:r>
          </w:p>
        </w:tc>
        <w:tc>
          <w:tcPr>
            <w:tcW w:w="930" w:type="dxa"/>
            <w:tcBorders>
              <w:top w:val="single" w:color="auto" w:sz="4" w:space="0"/>
              <w:left w:val="nil"/>
              <w:bottom w:val="single" w:color="auto" w:sz="4" w:space="0"/>
              <w:right w:val="single" w:color="auto" w:sz="4" w:space="0"/>
            </w:tcBorders>
            <w:noWrap w:val="0"/>
            <w:vAlign w:val="center"/>
          </w:tcPr>
          <w:p w14:paraId="66F48937">
            <w:pPr>
              <w:pStyle w:val="82"/>
              <w:shd w:val="clear" w:color="auto" w:fill="FFFFFF"/>
              <w:spacing w:line="360" w:lineRule="auto"/>
              <w:ind w:left="107"/>
              <w:jc w:val="center"/>
              <w:rPr>
                <w:rFonts w:hint="eastAsia" w:ascii="宋体" w:hAnsi="宋体" w:eastAsia="宋体" w:cs="宋体"/>
                <w:color w:val="000000"/>
                <w:sz w:val="20"/>
                <w:szCs w:val="20"/>
              </w:rPr>
            </w:pPr>
          </w:p>
        </w:tc>
      </w:tr>
      <w:tr w14:paraId="0006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108715BF">
            <w:pPr>
              <w:widowControl/>
              <w:jc w:val="center"/>
              <w:rPr>
                <w:rFonts w:hint="eastAsia" w:ascii="宋体" w:hAnsi="宋体" w:eastAsia="宋体" w:cs="宋体"/>
                <w:color w:val="000000"/>
                <w:kern w:val="0"/>
                <w:sz w:val="20"/>
                <w:szCs w:val="20"/>
              </w:rPr>
            </w:pPr>
          </w:p>
        </w:tc>
        <w:tc>
          <w:tcPr>
            <w:tcW w:w="1515" w:type="dxa"/>
            <w:tcBorders>
              <w:top w:val="single" w:color="auto" w:sz="4" w:space="0"/>
              <w:left w:val="nil"/>
              <w:bottom w:val="single" w:color="auto" w:sz="4" w:space="0"/>
              <w:right w:val="single" w:color="auto" w:sz="4" w:space="0"/>
            </w:tcBorders>
            <w:noWrap w:val="0"/>
            <w:vAlign w:val="center"/>
          </w:tcPr>
          <w:p w14:paraId="4CF8900F">
            <w:pPr>
              <w:pStyle w:val="82"/>
              <w:shd w:val="clear" w:color="auto" w:fill="FFFFFF"/>
              <w:spacing w:line="360" w:lineRule="auto"/>
              <w:ind w:left="2"/>
              <w:jc w:val="center"/>
              <w:rPr>
                <w:rFonts w:hint="eastAsia" w:ascii="宋体" w:hAnsi="宋体" w:eastAsia="宋体" w:cs="宋体"/>
                <w:color w:val="000000"/>
                <w:sz w:val="20"/>
                <w:szCs w:val="20"/>
              </w:rPr>
            </w:pPr>
            <w:r>
              <w:rPr>
                <w:rFonts w:hint="eastAsia" w:ascii="宋体" w:hAnsi="宋体" w:eastAsia="宋体" w:cs="宋体"/>
                <w:color w:val="000000"/>
                <w:sz w:val="20"/>
                <w:szCs w:val="20"/>
              </w:rPr>
              <w:t>核准经营范围</w:t>
            </w:r>
          </w:p>
        </w:tc>
        <w:tc>
          <w:tcPr>
            <w:tcW w:w="7080" w:type="dxa"/>
            <w:gridSpan w:val="11"/>
            <w:tcBorders>
              <w:top w:val="single" w:color="auto" w:sz="4" w:space="0"/>
              <w:left w:val="nil"/>
              <w:bottom w:val="single" w:color="auto" w:sz="4" w:space="0"/>
              <w:right w:val="single" w:color="auto" w:sz="4" w:space="0"/>
            </w:tcBorders>
            <w:noWrap w:val="0"/>
            <w:vAlign w:val="center"/>
          </w:tcPr>
          <w:p w14:paraId="60874E79">
            <w:pPr>
              <w:pStyle w:val="82"/>
              <w:shd w:val="clear" w:color="auto" w:fill="FFFFFF"/>
              <w:spacing w:line="360" w:lineRule="auto"/>
              <w:jc w:val="center"/>
              <w:rPr>
                <w:rFonts w:hint="eastAsia" w:ascii="宋体" w:hAnsi="宋体" w:eastAsia="宋体" w:cs="宋体"/>
                <w:color w:val="000000"/>
                <w:sz w:val="20"/>
                <w:szCs w:val="20"/>
              </w:rPr>
            </w:pPr>
          </w:p>
        </w:tc>
      </w:tr>
      <w:tr w14:paraId="0F08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37770E8F">
            <w:pPr>
              <w:widowControl/>
              <w:jc w:val="center"/>
              <w:rPr>
                <w:rFonts w:hint="eastAsia" w:ascii="宋体" w:hAnsi="宋体" w:eastAsia="宋体" w:cs="宋体"/>
                <w:color w:val="000000"/>
                <w:kern w:val="0"/>
                <w:sz w:val="20"/>
                <w:szCs w:val="20"/>
              </w:rPr>
            </w:pPr>
          </w:p>
        </w:tc>
        <w:tc>
          <w:tcPr>
            <w:tcW w:w="8595" w:type="dxa"/>
            <w:gridSpan w:val="12"/>
            <w:tcBorders>
              <w:top w:val="single" w:color="auto" w:sz="4" w:space="0"/>
              <w:left w:val="nil"/>
              <w:bottom w:val="single" w:color="auto" w:sz="4" w:space="0"/>
              <w:right w:val="single" w:color="auto" w:sz="4" w:space="0"/>
            </w:tcBorders>
            <w:noWrap w:val="0"/>
            <w:vAlign w:val="center"/>
          </w:tcPr>
          <w:p w14:paraId="059AF2B6">
            <w:pPr>
              <w:pStyle w:val="82"/>
              <w:shd w:val="clear" w:color="auto" w:fill="FFFFFF"/>
              <w:spacing w:line="360" w:lineRule="auto"/>
              <w:jc w:val="left"/>
              <w:rPr>
                <w:rFonts w:hint="eastAsia" w:ascii="宋体" w:hAnsi="宋体" w:eastAsia="宋体" w:cs="宋体"/>
                <w:color w:val="000000"/>
                <w:spacing w:val="13"/>
                <w:sz w:val="20"/>
                <w:szCs w:val="20"/>
              </w:rPr>
            </w:pPr>
            <w:r>
              <w:rPr>
                <w:rFonts w:hint="eastAsia" w:ascii="宋体" w:hAnsi="宋体" w:eastAsia="宋体" w:cs="宋体"/>
                <w:color w:val="000000"/>
                <w:spacing w:val="13"/>
                <w:sz w:val="20"/>
                <w:szCs w:val="20"/>
              </w:rPr>
              <w:t>发展历程及主要荣誉：</w:t>
            </w:r>
          </w:p>
        </w:tc>
      </w:tr>
      <w:tr w14:paraId="52BF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0" w:type="dxa"/>
            <w:vMerge w:val="restart"/>
            <w:tcBorders>
              <w:top w:val="nil"/>
              <w:left w:val="single" w:color="auto" w:sz="4" w:space="0"/>
              <w:bottom w:val="single" w:color="auto" w:sz="4" w:space="0"/>
              <w:right w:val="single" w:color="auto" w:sz="4" w:space="0"/>
            </w:tcBorders>
            <w:noWrap w:val="0"/>
            <w:vAlign w:val="center"/>
          </w:tcPr>
          <w:p w14:paraId="54F19263">
            <w:pPr>
              <w:pStyle w:val="82"/>
              <w:shd w:val="clear" w:color="auto" w:fill="FFFFFF"/>
              <w:spacing w:line="360" w:lineRule="auto"/>
              <w:ind w:left="107"/>
              <w:jc w:val="center"/>
              <w:rPr>
                <w:rFonts w:hint="eastAsia" w:ascii="宋体" w:hAnsi="宋体" w:eastAsia="宋体" w:cs="宋体"/>
                <w:color w:val="000000"/>
                <w:spacing w:val="16"/>
                <w:sz w:val="20"/>
                <w:szCs w:val="20"/>
              </w:rPr>
            </w:pPr>
            <w:r>
              <w:rPr>
                <w:rFonts w:hint="eastAsia" w:ascii="宋体" w:hAnsi="宋体" w:eastAsia="宋体" w:cs="宋体"/>
                <w:color w:val="000000"/>
                <w:sz w:val="20"/>
                <w:szCs w:val="20"/>
              </w:rPr>
              <w:t>2．企</w:t>
            </w:r>
            <w:r>
              <w:rPr>
                <w:rFonts w:hint="eastAsia" w:ascii="宋体" w:hAnsi="宋体" w:eastAsia="宋体" w:cs="宋体"/>
                <w:color w:val="000000"/>
                <w:spacing w:val="12"/>
                <w:sz w:val="20"/>
                <w:szCs w:val="20"/>
              </w:rPr>
              <w:t>业有关资质获证情况</w:t>
            </w:r>
          </w:p>
        </w:tc>
        <w:tc>
          <w:tcPr>
            <w:tcW w:w="2190" w:type="dxa"/>
            <w:gridSpan w:val="2"/>
            <w:vMerge w:val="restart"/>
            <w:tcBorders>
              <w:top w:val="nil"/>
              <w:left w:val="nil"/>
              <w:bottom w:val="single" w:color="auto" w:sz="4" w:space="0"/>
              <w:right w:val="single" w:color="auto" w:sz="4" w:space="0"/>
            </w:tcBorders>
            <w:noWrap w:val="0"/>
            <w:vAlign w:val="center"/>
          </w:tcPr>
          <w:p w14:paraId="2C31EBF4">
            <w:pPr>
              <w:pStyle w:val="82"/>
              <w:shd w:val="clear" w:color="auto" w:fill="FFFFFF"/>
              <w:spacing w:before="0" w:beforeAutospacing="0" w:after="0" w:afterAutospacing="0" w:line="360" w:lineRule="exact"/>
              <w:jc w:val="center"/>
              <w:rPr>
                <w:rFonts w:hint="eastAsia" w:ascii="宋体" w:hAnsi="宋体" w:eastAsia="宋体" w:cs="宋体"/>
                <w:color w:val="000000"/>
                <w:spacing w:val="16"/>
                <w:sz w:val="20"/>
                <w:szCs w:val="20"/>
              </w:rPr>
            </w:pPr>
            <w:r>
              <w:rPr>
                <w:rFonts w:hint="eastAsia" w:ascii="宋体" w:hAnsi="宋体" w:eastAsia="宋体" w:cs="宋体"/>
                <w:color w:val="000000"/>
                <w:spacing w:val="12"/>
                <w:sz w:val="20"/>
                <w:szCs w:val="20"/>
              </w:rPr>
              <w:t>产品生产许可证情况</w:t>
            </w:r>
            <w:r>
              <w:rPr>
                <w:rFonts w:hint="eastAsia" w:ascii="宋体" w:hAnsi="宋体" w:eastAsia="宋体" w:cs="宋体"/>
                <w:color w:val="000000"/>
                <w:spacing w:val="41"/>
                <w:sz w:val="20"/>
                <w:szCs w:val="20"/>
              </w:rPr>
              <w:t>（对需获得生产许可证的</w:t>
            </w:r>
            <w:r>
              <w:rPr>
                <w:rFonts w:hint="eastAsia" w:ascii="宋体" w:hAnsi="宋体" w:eastAsia="宋体" w:cs="宋体"/>
                <w:color w:val="000000"/>
                <w:spacing w:val="11"/>
                <w:sz w:val="20"/>
                <w:szCs w:val="20"/>
              </w:rPr>
              <w:t>产品要填写此栏）</w:t>
            </w:r>
          </w:p>
        </w:tc>
        <w:tc>
          <w:tcPr>
            <w:tcW w:w="1140" w:type="dxa"/>
            <w:gridSpan w:val="3"/>
            <w:tcBorders>
              <w:top w:val="single" w:color="auto" w:sz="4" w:space="0"/>
              <w:left w:val="nil"/>
              <w:bottom w:val="single" w:color="auto" w:sz="4" w:space="0"/>
              <w:right w:val="single" w:color="auto" w:sz="4" w:space="0"/>
            </w:tcBorders>
            <w:noWrap w:val="0"/>
            <w:vAlign w:val="center"/>
          </w:tcPr>
          <w:p w14:paraId="6018EAC2">
            <w:pPr>
              <w:pStyle w:val="82"/>
              <w:shd w:val="clear" w:color="auto" w:fill="FFFFFF"/>
              <w:spacing w:line="360" w:lineRule="auto"/>
              <w:ind w:right="-78" w:rightChars="-37"/>
              <w:jc w:val="center"/>
              <w:rPr>
                <w:rFonts w:hint="eastAsia" w:ascii="宋体" w:hAnsi="宋体" w:eastAsia="宋体" w:cs="宋体"/>
                <w:color w:val="000000"/>
                <w:spacing w:val="16"/>
                <w:sz w:val="20"/>
                <w:szCs w:val="20"/>
              </w:rPr>
            </w:pPr>
            <w:r>
              <w:rPr>
                <w:rFonts w:hint="eastAsia" w:ascii="宋体" w:hAnsi="宋体" w:eastAsia="宋体" w:cs="宋体"/>
                <w:color w:val="000000"/>
                <w:spacing w:val="16"/>
                <w:sz w:val="20"/>
                <w:szCs w:val="20"/>
              </w:rPr>
              <w:t>产品名称</w:t>
            </w:r>
          </w:p>
        </w:tc>
        <w:tc>
          <w:tcPr>
            <w:tcW w:w="1410" w:type="dxa"/>
            <w:gridSpan w:val="2"/>
            <w:tcBorders>
              <w:top w:val="single" w:color="auto" w:sz="4" w:space="0"/>
              <w:left w:val="nil"/>
              <w:bottom w:val="single" w:color="auto" w:sz="4" w:space="0"/>
              <w:right w:val="single" w:color="auto" w:sz="4" w:space="0"/>
            </w:tcBorders>
            <w:noWrap w:val="0"/>
            <w:vAlign w:val="center"/>
          </w:tcPr>
          <w:p w14:paraId="2A4EBEDE">
            <w:pPr>
              <w:pStyle w:val="82"/>
              <w:shd w:val="clear" w:color="auto" w:fill="FFFFFF"/>
              <w:spacing w:before="0" w:beforeAutospacing="0" w:after="0" w:afterAutospacing="0"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16"/>
                <w:sz w:val="20"/>
                <w:szCs w:val="20"/>
              </w:rPr>
              <w:t>发证机关</w:t>
            </w:r>
          </w:p>
        </w:tc>
        <w:tc>
          <w:tcPr>
            <w:tcW w:w="1740" w:type="dxa"/>
            <w:gridSpan w:val="2"/>
            <w:tcBorders>
              <w:top w:val="single" w:color="auto" w:sz="4" w:space="0"/>
              <w:left w:val="nil"/>
              <w:bottom w:val="single" w:color="auto" w:sz="4" w:space="0"/>
              <w:right w:val="single" w:color="auto" w:sz="4" w:space="0"/>
            </w:tcBorders>
            <w:noWrap w:val="0"/>
            <w:vAlign w:val="center"/>
          </w:tcPr>
          <w:p w14:paraId="04080B5E">
            <w:pPr>
              <w:pStyle w:val="82"/>
              <w:shd w:val="clear" w:color="auto" w:fill="FFFFFF"/>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27"/>
                <w:sz w:val="20"/>
                <w:szCs w:val="20"/>
              </w:rPr>
              <w:t>编号</w:t>
            </w:r>
          </w:p>
        </w:tc>
        <w:tc>
          <w:tcPr>
            <w:tcW w:w="1185" w:type="dxa"/>
            <w:gridSpan w:val="2"/>
            <w:tcBorders>
              <w:top w:val="single" w:color="auto" w:sz="4" w:space="0"/>
              <w:left w:val="nil"/>
              <w:bottom w:val="single" w:color="auto" w:sz="4" w:space="0"/>
              <w:right w:val="single" w:color="auto" w:sz="4" w:space="0"/>
            </w:tcBorders>
            <w:noWrap w:val="0"/>
            <w:vAlign w:val="center"/>
          </w:tcPr>
          <w:p w14:paraId="55813087">
            <w:pPr>
              <w:pStyle w:val="82"/>
              <w:shd w:val="clear" w:color="auto" w:fill="FFFFFF"/>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16"/>
                <w:sz w:val="20"/>
                <w:szCs w:val="20"/>
              </w:rPr>
              <w:t>发证时间</w:t>
            </w:r>
          </w:p>
        </w:tc>
        <w:tc>
          <w:tcPr>
            <w:tcW w:w="930" w:type="dxa"/>
            <w:tcBorders>
              <w:top w:val="single" w:color="auto" w:sz="4" w:space="0"/>
              <w:left w:val="nil"/>
              <w:bottom w:val="single" w:color="auto" w:sz="4" w:space="0"/>
              <w:right w:val="single" w:color="auto" w:sz="4" w:space="0"/>
            </w:tcBorders>
            <w:noWrap w:val="0"/>
            <w:vAlign w:val="center"/>
          </w:tcPr>
          <w:p w14:paraId="56AA950C">
            <w:pPr>
              <w:pStyle w:val="82"/>
              <w:shd w:val="clear" w:color="auto" w:fill="FFFFFF"/>
              <w:spacing w:before="0" w:beforeAutospacing="0" w:after="0" w:afterAutospacing="0" w:line="360" w:lineRule="auto"/>
              <w:jc w:val="center"/>
              <w:rPr>
                <w:rFonts w:hint="eastAsia" w:ascii="宋体" w:hAnsi="宋体" w:eastAsia="宋体" w:cs="宋体"/>
                <w:color w:val="000000"/>
                <w:sz w:val="20"/>
                <w:szCs w:val="20"/>
              </w:rPr>
            </w:pPr>
            <w:r>
              <w:rPr>
                <w:rFonts w:hint="eastAsia" w:ascii="宋体" w:hAnsi="宋体" w:eastAsia="宋体" w:cs="宋体"/>
                <w:color w:val="000000"/>
                <w:spacing w:val="27"/>
                <w:sz w:val="20"/>
                <w:szCs w:val="20"/>
              </w:rPr>
              <w:t>期限</w:t>
            </w:r>
          </w:p>
        </w:tc>
      </w:tr>
      <w:tr w14:paraId="4841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4E4A34F3">
            <w:pPr>
              <w:widowControl/>
              <w:jc w:val="center"/>
              <w:rPr>
                <w:rFonts w:hint="eastAsia" w:ascii="宋体" w:hAnsi="宋体" w:eastAsia="宋体" w:cs="宋体"/>
                <w:color w:val="000000"/>
                <w:spacing w:val="16"/>
                <w:kern w:val="0"/>
                <w:sz w:val="20"/>
                <w:szCs w:val="20"/>
              </w:rPr>
            </w:pPr>
          </w:p>
        </w:tc>
        <w:tc>
          <w:tcPr>
            <w:tcW w:w="2190" w:type="dxa"/>
            <w:gridSpan w:val="2"/>
            <w:vMerge w:val="continue"/>
            <w:tcBorders>
              <w:top w:val="nil"/>
              <w:left w:val="nil"/>
              <w:bottom w:val="single" w:color="auto" w:sz="4" w:space="0"/>
              <w:right w:val="single" w:color="auto" w:sz="4" w:space="0"/>
            </w:tcBorders>
            <w:noWrap w:val="0"/>
            <w:vAlign w:val="center"/>
          </w:tcPr>
          <w:p w14:paraId="2D2F6835">
            <w:pPr>
              <w:widowControl/>
              <w:spacing w:line="360" w:lineRule="exact"/>
              <w:jc w:val="center"/>
              <w:rPr>
                <w:rFonts w:hint="eastAsia" w:ascii="宋体" w:hAnsi="宋体" w:eastAsia="宋体" w:cs="宋体"/>
                <w:color w:val="000000"/>
                <w:spacing w:val="16"/>
                <w:kern w:val="0"/>
                <w:sz w:val="20"/>
                <w:szCs w:val="20"/>
              </w:rPr>
            </w:pPr>
          </w:p>
        </w:tc>
        <w:tc>
          <w:tcPr>
            <w:tcW w:w="1140" w:type="dxa"/>
            <w:gridSpan w:val="3"/>
            <w:tcBorders>
              <w:top w:val="single" w:color="auto" w:sz="4" w:space="0"/>
              <w:left w:val="nil"/>
              <w:bottom w:val="single" w:color="auto" w:sz="4" w:space="0"/>
              <w:right w:val="single" w:color="auto" w:sz="4" w:space="0"/>
            </w:tcBorders>
            <w:noWrap w:val="0"/>
            <w:vAlign w:val="center"/>
          </w:tcPr>
          <w:p w14:paraId="6D0DD73D">
            <w:pPr>
              <w:pStyle w:val="82"/>
              <w:shd w:val="clear" w:color="auto" w:fill="FFFFFF"/>
              <w:spacing w:line="360" w:lineRule="auto"/>
              <w:jc w:val="center"/>
              <w:rPr>
                <w:rFonts w:hint="eastAsia" w:ascii="宋体" w:hAnsi="宋体" w:eastAsia="宋体" w:cs="宋体"/>
                <w:color w:val="000000"/>
                <w:sz w:val="20"/>
                <w:szCs w:val="20"/>
              </w:rPr>
            </w:pPr>
          </w:p>
        </w:tc>
        <w:tc>
          <w:tcPr>
            <w:tcW w:w="1410" w:type="dxa"/>
            <w:gridSpan w:val="2"/>
            <w:tcBorders>
              <w:top w:val="single" w:color="auto" w:sz="4" w:space="0"/>
              <w:left w:val="nil"/>
              <w:bottom w:val="single" w:color="auto" w:sz="4" w:space="0"/>
              <w:right w:val="single" w:color="auto" w:sz="4" w:space="0"/>
            </w:tcBorders>
            <w:noWrap w:val="0"/>
            <w:vAlign w:val="center"/>
          </w:tcPr>
          <w:p w14:paraId="61902CA5">
            <w:pPr>
              <w:pStyle w:val="82"/>
              <w:shd w:val="clear" w:color="auto" w:fill="FFFFFF"/>
              <w:spacing w:line="360" w:lineRule="auto"/>
              <w:jc w:val="center"/>
              <w:rPr>
                <w:rFonts w:hint="eastAsia" w:ascii="宋体" w:hAnsi="宋体" w:eastAsia="宋体" w:cs="宋体"/>
                <w:color w:val="000000"/>
                <w:sz w:val="20"/>
                <w:szCs w:val="20"/>
              </w:rPr>
            </w:pPr>
          </w:p>
        </w:tc>
        <w:tc>
          <w:tcPr>
            <w:tcW w:w="1740" w:type="dxa"/>
            <w:gridSpan w:val="2"/>
            <w:tcBorders>
              <w:top w:val="single" w:color="auto" w:sz="4" w:space="0"/>
              <w:left w:val="nil"/>
              <w:bottom w:val="single" w:color="auto" w:sz="4" w:space="0"/>
              <w:right w:val="single" w:color="auto" w:sz="4" w:space="0"/>
            </w:tcBorders>
            <w:noWrap w:val="0"/>
            <w:vAlign w:val="center"/>
          </w:tcPr>
          <w:p w14:paraId="1B0FB772">
            <w:pPr>
              <w:pStyle w:val="82"/>
              <w:shd w:val="clear" w:color="auto" w:fill="FFFFFF"/>
              <w:spacing w:line="360" w:lineRule="auto"/>
              <w:jc w:val="center"/>
              <w:rPr>
                <w:rFonts w:hint="eastAsia" w:ascii="宋体" w:hAnsi="宋体" w:eastAsia="宋体" w:cs="宋体"/>
                <w:color w:val="000000"/>
                <w:sz w:val="20"/>
                <w:szCs w:val="20"/>
              </w:rPr>
            </w:pPr>
          </w:p>
        </w:tc>
        <w:tc>
          <w:tcPr>
            <w:tcW w:w="2115" w:type="dxa"/>
            <w:gridSpan w:val="3"/>
            <w:tcBorders>
              <w:top w:val="single" w:color="auto" w:sz="4" w:space="0"/>
              <w:left w:val="nil"/>
              <w:bottom w:val="single" w:color="auto" w:sz="4" w:space="0"/>
              <w:right w:val="single" w:color="auto" w:sz="4" w:space="0"/>
            </w:tcBorders>
            <w:noWrap w:val="0"/>
            <w:vAlign w:val="center"/>
          </w:tcPr>
          <w:p w14:paraId="2CADDB5A">
            <w:pPr>
              <w:pStyle w:val="82"/>
              <w:shd w:val="clear" w:color="auto" w:fill="FFFFFF"/>
              <w:spacing w:line="360" w:lineRule="auto"/>
              <w:jc w:val="center"/>
              <w:rPr>
                <w:rFonts w:hint="eastAsia" w:ascii="宋体" w:hAnsi="宋体" w:eastAsia="宋体" w:cs="宋体"/>
                <w:color w:val="000000"/>
                <w:sz w:val="20"/>
                <w:szCs w:val="20"/>
              </w:rPr>
            </w:pPr>
          </w:p>
        </w:tc>
      </w:tr>
      <w:tr w14:paraId="79D7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11D86325">
            <w:pPr>
              <w:widowControl/>
              <w:jc w:val="center"/>
              <w:rPr>
                <w:rFonts w:hint="eastAsia" w:ascii="宋体" w:hAnsi="宋体" w:eastAsia="宋体" w:cs="宋体"/>
                <w:color w:val="000000"/>
                <w:spacing w:val="16"/>
                <w:kern w:val="0"/>
                <w:sz w:val="20"/>
                <w:szCs w:val="20"/>
              </w:rPr>
            </w:pPr>
          </w:p>
        </w:tc>
        <w:tc>
          <w:tcPr>
            <w:tcW w:w="2190" w:type="dxa"/>
            <w:gridSpan w:val="2"/>
            <w:tcBorders>
              <w:top w:val="single" w:color="auto" w:sz="4" w:space="0"/>
              <w:left w:val="nil"/>
              <w:bottom w:val="single" w:color="auto" w:sz="4" w:space="0"/>
              <w:right w:val="single" w:color="auto" w:sz="4" w:space="0"/>
            </w:tcBorders>
            <w:noWrap w:val="0"/>
            <w:vAlign w:val="center"/>
          </w:tcPr>
          <w:p w14:paraId="2998224B">
            <w:pPr>
              <w:pStyle w:val="82"/>
              <w:shd w:val="clear" w:color="auto" w:fill="FFFFFF"/>
              <w:spacing w:before="0" w:beforeAutospacing="0" w:after="0" w:afterAutospacing="0" w:line="360" w:lineRule="exact"/>
              <w:ind w:right="-107" w:rightChars="-51"/>
              <w:jc w:val="center"/>
              <w:rPr>
                <w:rFonts w:hint="eastAsia" w:ascii="宋体" w:hAnsi="宋体" w:eastAsia="宋体" w:cs="宋体"/>
                <w:color w:val="000000"/>
                <w:spacing w:val="41"/>
                <w:sz w:val="20"/>
                <w:szCs w:val="20"/>
              </w:rPr>
            </w:pPr>
            <w:r>
              <w:rPr>
                <w:rFonts w:hint="eastAsia" w:ascii="宋体" w:hAnsi="宋体" w:eastAsia="宋体" w:cs="宋体"/>
                <w:color w:val="000000"/>
                <w:spacing w:val="41"/>
                <w:sz w:val="20"/>
                <w:szCs w:val="20"/>
              </w:rPr>
              <w:t>企业通过质量体系、环保</w:t>
            </w:r>
            <w:r>
              <w:rPr>
                <w:rFonts w:hint="eastAsia" w:ascii="宋体" w:hAnsi="宋体" w:eastAsia="宋体" w:cs="宋体"/>
                <w:color w:val="000000"/>
                <w:spacing w:val="11"/>
                <w:sz w:val="20"/>
                <w:szCs w:val="20"/>
              </w:rPr>
              <w:t>体系、计量等认证情况</w:t>
            </w:r>
          </w:p>
        </w:tc>
        <w:tc>
          <w:tcPr>
            <w:tcW w:w="6405" w:type="dxa"/>
            <w:gridSpan w:val="10"/>
            <w:tcBorders>
              <w:top w:val="single" w:color="auto" w:sz="4" w:space="0"/>
              <w:left w:val="nil"/>
              <w:bottom w:val="single" w:color="auto" w:sz="4" w:space="0"/>
              <w:right w:val="single" w:color="auto" w:sz="4" w:space="0"/>
            </w:tcBorders>
            <w:noWrap w:val="0"/>
            <w:vAlign w:val="center"/>
          </w:tcPr>
          <w:p w14:paraId="15334804">
            <w:pPr>
              <w:pStyle w:val="82"/>
              <w:shd w:val="clear" w:color="auto" w:fill="FFFFFF"/>
              <w:spacing w:line="360" w:lineRule="auto"/>
              <w:jc w:val="center"/>
              <w:rPr>
                <w:rFonts w:hint="eastAsia" w:ascii="宋体" w:hAnsi="宋体" w:eastAsia="宋体" w:cs="宋体"/>
                <w:color w:val="000000"/>
                <w:spacing w:val="16"/>
                <w:sz w:val="20"/>
                <w:szCs w:val="20"/>
              </w:rPr>
            </w:pPr>
          </w:p>
        </w:tc>
      </w:tr>
      <w:tr w14:paraId="361B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0" w:type="dxa"/>
            <w:vMerge w:val="continue"/>
            <w:tcBorders>
              <w:top w:val="nil"/>
              <w:left w:val="single" w:color="auto" w:sz="4" w:space="0"/>
              <w:bottom w:val="single" w:color="auto" w:sz="4" w:space="0"/>
              <w:right w:val="single" w:color="auto" w:sz="4" w:space="0"/>
            </w:tcBorders>
            <w:noWrap w:val="0"/>
            <w:vAlign w:val="center"/>
          </w:tcPr>
          <w:p w14:paraId="64527146">
            <w:pPr>
              <w:widowControl/>
              <w:jc w:val="center"/>
              <w:rPr>
                <w:rFonts w:hint="eastAsia" w:ascii="宋体" w:hAnsi="宋体" w:eastAsia="宋体" w:cs="宋体"/>
                <w:color w:val="000000"/>
                <w:spacing w:val="16"/>
                <w:kern w:val="0"/>
                <w:sz w:val="20"/>
                <w:szCs w:val="20"/>
              </w:rPr>
            </w:pPr>
          </w:p>
        </w:tc>
        <w:tc>
          <w:tcPr>
            <w:tcW w:w="2190" w:type="dxa"/>
            <w:gridSpan w:val="2"/>
            <w:tcBorders>
              <w:top w:val="single" w:color="auto" w:sz="4" w:space="0"/>
              <w:left w:val="nil"/>
              <w:bottom w:val="single" w:color="auto" w:sz="4" w:space="0"/>
              <w:right w:val="single" w:color="auto" w:sz="4" w:space="0"/>
            </w:tcBorders>
            <w:noWrap w:val="0"/>
            <w:vAlign w:val="center"/>
          </w:tcPr>
          <w:p w14:paraId="577E7E11">
            <w:pPr>
              <w:pStyle w:val="82"/>
              <w:shd w:val="clear" w:color="auto" w:fill="FFFFFF"/>
              <w:spacing w:beforeAutospacing="0" w:afterAutospacing="0" w:line="360" w:lineRule="exact"/>
              <w:jc w:val="center"/>
              <w:rPr>
                <w:rFonts w:hint="eastAsia" w:ascii="宋体" w:hAnsi="宋体" w:eastAsia="宋体" w:cs="宋体"/>
                <w:color w:val="000000"/>
                <w:spacing w:val="16"/>
                <w:sz w:val="20"/>
                <w:szCs w:val="20"/>
              </w:rPr>
            </w:pPr>
            <w:r>
              <w:rPr>
                <w:rFonts w:hint="eastAsia" w:ascii="宋体" w:hAnsi="宋体" w:eastAsia="宋体" w:cs="宋体"/>
                <w:color w:val="000000"/>
                <w:spacing w:val="10"/>
                <w:sz w:val="20"/>
                <w:szCs w:val="20"/>
              </w:rPr>
              <w:t>企业获得专利情况</w:t>
            </w:r>
          </w:p>
        </w:tc>
        <w:tc>
          <w:tcPr>
            <w:tcW w:w="6405" w:type="dxa"/>
            <w:gridSpan w:val="10"/>
            <w:tcBorders>
              <w:top w:val="single" w:color="auto" w:sz="4" w:space="0"/>
              <w:left w:val="nil"/>
              <w:bottom w:val="single" w:color="auto" w:sz="4" w:space="0"/>
              <w:right w:val="single" w:color="auto" w:sz="4" w:space="0"/>
            </w:tcBorders>
            <w:noWrap w:val="0"/>
            <w:vAlign w:val="center"/>
          </w:tcPr>
          <w:p w14:paraId="7341F033">
            <w:pPr>
              <w:pStyle w:val="82"/>
              <w:shd w:val="clear" w:color="auto" w:fill="FFFFFF"/>
              <w:spacing w:line="360" w:lineRule="auto"/>
              <w:jc w:val="center"/>
              <w:rPr>
                <w:rFonts w:hint="eastAsia" w:ascii="宋体" w:hAnsi="宋体" w:eastAsia="宋体" w:cs="宋体"/>
                <w:color w:val="000000"/>
                <w:spacing w:val="16"/>
                <w:sz w:val="20"/>
                <w:szCs w:val="20"/>
              </w:rPr>
            </w:pPr>
          </w:p>
        </w:tc>
      </w:tr>
    </w:tbl>
    <w:p w14:paraId="78E5EB28">
      <w:pPr>
        <w:spacing w:line="360" w:lineRule="auto"/>
        <w:rPr>
          <w:rFonts w:hint="eastAsia" w:ascii="宋体" w:hAnsi="宋体" w:eastAsia="宋体" w:cs="宋体"/>
          <w:sz w:val="22"/>
          <w:szCs w:val="22"/>
        </w:rPr>
      </w:pPr>
      <w:r>
        <w:rPr>
          <w:rFonts w:hint="eastAsia" w:ascii="宋体" w:hAnsi="宋体" w:eastAsia="宋体" w:cs="宋体"/>
          <w:sz w:val="22"/>
          <w:szCs w:val="22"/>
        </w:rPr>
        <w:t>磋商投标人名称（盖章）：</w:t>
      </w:r>
      <w:r>
        <w:rPr>
          <w:rFonts w:hint="eastAsia" w:ascii="宋体" w:hAnsi="宋体" w:eastAsia="宋体" w:cs="宋体"/>
          <w:sz w:val="22"/>
          <w:szCs w:val="22"/>
          <w:u w:val="single"/>
        </w:rPr>
        <w:t xml:space="preserve">                      </w:t>
      </w:r>
    </w:p>
    <w:p w14:paraId="48538ECF">
      <w:pPr>
        <w:spacing w:line="360" w:lineRule="auto"/>
        <w:rPr>
          <w:rFonts w:hint="eastAsia" w:ascii="宋体" w:hAnsi="宋体" w:eastAsia="宋体" w:cs="宋体"/>
          <w:sz w:val="22"/>
          <w:szCs w:val="22"/>
        </w:rPr>
      </w:pPr>
      <w:r>
        <w:rPr>
          <w:rFonts w:hint="eastAsia" w:ascii="宋体" w:hAnsi="宋体" w:eastAsia="宋体" w:cs="宋体"/>
          <w:sz w:val="22"/>
          <w:szCs w:val="22"/>
        </w:rPr>
        <w:t>日        期：</w:t>
      </w:r>
      <w:r>
        <w:rPr>
          <w:rFonts w:hint="eastAsia" w:ascii="宋体" w:hAnsi="宋体" w:eastAsia="宋体" w:cs="宋体"/>
          <w:sz w:val="22"/>
          <w:szCs w:val="22"/>
          <w:u w:val="single"/>
        </w:rPr>
        <w:t xml:space="preserve">                               </w:t>
      </w:r>
    </w:p>
    <w:p w14:paraId="2713EAFD">
      <w:pPr>
        <w:pStyle w:val="12"/>
        <w:rPr>
          <w:rFonts w:hint="eastAsia" w:ascii="宋体" w:hAnsi="宋体" w:eastAsia="宋体" w:cs="宋体"/>
          <w:sz w:val="22"/>
          <w:szCs w:val="28"/>
        </w:rPr>
      </w:pPr>
    </w:p>
    <w:p w14:paraId="08850DB3">
      <w:pPr>
        <w:spacing w:line="360" w:lineRule="auto"/>
        <w:rPr>
          <w:rFonts w:hint="eastAsia" w:ascii="宋体" w:hAnsi="宋体" w:eastAsia="宋体" w:cs="宋体"/>
          <w:b/>
          <w:sz w:val="24"/>
          <w:szCs w:val="22"/>
        </w:rPr>
      </w:pPr>
    </w:p>
    <w:p w14:paraId="72E92341">
      <w:pPr>
        <w:spacing w:line="360" w:lineRule="auto"/>
        <w:rPr>
          <w:rFonts w:hint="eastAsia" w:ascii="宋体" w:hAnsi="宋体" w:eastAsia="宋体" w:cs="宋体"/>
          <w:b/>
          <w:sz w:val="24"/>
          <w:szCs w:val="22"/>
        </w:rPr>
      </w:pPr>
    </w:p>
    <w:p w14:paraId="622313A2">
      <w:pPr>
        <w:spacing w:line="360" w:lineRule="auto"/>
        <w:rPr>
          <w:rFonts w:hint="eastAsia" w:ascii="宋体" w:hAnsi="宋体" w:eastAsia="宋体" w:cs="宋体"/>
          <w:b/>
          <w:sz w:val="24"/>
          <w:szCs w:val="22"/>
        </w:rPr>
      </w:pPr>
    </w:p>
    <w:p w14:paraId="53D663A0">
      <w:pPr>
        <w:spacing w:line="360" w:lineRule="auto"/>
        <w:rPr>
          <w:rFonts w:hint="eastAsia" w:ascii="宋体" w:hAnsi="宋体" w:eastAsia="宋体" w:cs="宋体"/>
          <w:b/>
          <w:sz w:val="24"/>
          <w:szCs w:val="22"/>
        </w:rPr>
      </w:pPr>
    </w:p>
    <w:p w14:paraId="357AE286">
      <w:pPr>
        <w:spacing w:line="360" w:lineRule="auto"/>
        <w:rPr>
          <w:rFonts w:hint="eastAsia" w:ascii="宋体" w:hAnsi="宋体" w:eastAsia="宋体" w:cs="宋体"/>
          <w:b/>
          <w:sz w:val="24"/>
          <w:szCs w:val="22"/>
        </w:rPr>
      </w:pPr>
    </w:p>
    <w:p w14:paraId="5FDD42BE">
      <w:pPr>
        <w:spacing w:line="360" w:lineRule="auto"/>
        <w:rPr>
          <w:rFonts w:hint="eastAsia" w:ascii="宋体" w:hAnsi="宋体" w:eastAsia="宋体" w:cs="宋体"/>
          <w:sz w:val="22"/>
          <w:szCs w:val="22"/>
        </w:rPr>
      </w:pPr>
      <w:r>
        <w:rPr>
          <w:rFonts w:hint="eastAsia" w:ascii="宋体" w:hAnsi="宋体" w:eastAsia="宋体" w:cs="宋体"/>
          <w:b/>
          <w:sz w:val="24"/>
          <w:szCs w:val="22"/>
        </w:rPr>
        <w:t>附件5</w:t>
      </w:r>
    </w:p>
    <w:p w14:paraId="1334DE1E">
      <w:pPr>
        <w:snapToGrid w:val="0"/>
        <w:spacing w:before="159" w:beforeLines="50" w:after="50" w:line="360" w:lineRule="auto"/>
        <w:jc w:val="center"/>
        <w:rPr>
          <w:rFonts w:hint="eastAsia" w:ascii="宋体" w:hAnsi="宋体" w:eastAsia="宋体" w:cs="宋体"/>
          <w:b/>
          <w:sz w:val="32"/>
          <w:szCs w:val="32"/>
        </w:rPr>
      </w:pPr>
      <w:r>
        <w:rPr>
          <w:rFonts w:hint="eastAsia" w:ascii="宋体" w:hAnsi="宋体" w:eastAsia="宋体" w:cs="宋体"/>
          <w:b/>
          <w:sz w:val="28"/>
          <w:szCs w:val="28"/>
        </w:rPr>
        <w:t>项目实施人员一览表</w:t>
      </w:r>
    </w:p>
    <w:p w14:paraId="0B58F2FB">
      <w:pPr>
        <w:snapToGrid w:val="0"/>
        <w:spacing w:before="159" w:beforeLines="50" w:after="50" w:line="360" w:lineRule="auto"/>
        <w:ind w:firstLine="2200" w:firstLineChars="1000"/>
        <w:rPr>
          <w:rFonts w:hint="eastAsia" w:ascii="宋体" w:hAnsi="宋体" w:eastAsia="宋体" w:cs="宋体"/>
          <w:sz w:val="22"/>
          <w:szCs w:val="22"/>
        </w:rPr>
      </w:pPr>
      <w:r>
        <w:rPr>
          <w:rFonts w:hint="eastAsia" w:ascii="宋体" w:hAnsi="宋体" w:eastAsia="宋体" w:cs="宋体"/>
          <w:sz w:val="22"/>
          <w:szCs w:val="22"/>
        </w:rPr>
        <w:t>（主要从业人员及其技术资格）</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1"/>
        <w:gridCol w:w="957"/>
        <w:gridCol w:w="1131"/>
        <w:gridCol w:w="1131"/>
        <w:gridCol w:w="991"/>
        <w:gridCol w:w="1592"/>
        <w:gridCol w:w="1590"/>
      </w:tblGrid>
      <w:tr w14:paraId="0C77D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5429EBAF">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7F1F17E">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姓名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99EB19">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性别</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A8434BD">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本项目承担职务</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485A13">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技术职称</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0DF87B30">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专业</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118D7BC">
            <w:pPr>
              <w:snapToGrid w:val="0"/>
              <w:spacing w:before="159" w:beforeLines="50" w:after="50" w:line="360" w:lineRule="auto"/>
              <w:jc w:val="center"/>
              <w:rPr>
                <w:rFonts w:hint="eastAsia" w:ascii="宋体" w:hAnsi="宋体" w:eastAsia="宋体" w:cs="宋体"/>
                <w:b/>
                <w:sz w:val="22"/>
                <w:szCs w:val="22"/>
              </w:rPr>
            </w:pPr>
            <w:r>
              <w:rPr>
                <w:rFonts w:hint="eastAsia" w:ascii="宋体" w:hAnsi="宋体" w:eastAsia="宋体" w:cs="宋体"/>
                <w:b/>
                <w:sz w:val="22"/>
                <w:szCs w:val="22"/>
              </w:rPr>
              <w:t>证书编号</w:t>
            </w:r>
          </w:p>
        </w:tc>
      </w:tr>
      <w:tr w14:paraId="7E940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noWrap w:val="0"/>
            <w:vAlign w:val="top"/>
          </w:tcPr>
          <w:p w14:paraId="598B4629">
            <w:pPr>
              <w:snapToGrid w:val="0"/>
              <w:spacing w:before="159" w:beforeLines="50" w:after="50" w:line="360" w:lineRule="auto"/>
              <w:rPr>
                <w:rFonts w:hint="eastAsia" w:ascii="宋体" w:hAnsi="宋体" w:eastAsia="宋体" w:cs="宋体"/>
                <w:sz w:val="22"/>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4A9585ED">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4AEB38C3">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3EA16AD4">
            <w:pPr>
              <w:snapToGrid w:val="0"/>
              <w:spacing w:before="159" w:beforeLines="50" w:after="50" w:line="360" w:lineRule="auto"/>
              <w:rPr>
                <w:rFonts w:hint="eastAsia" w:ascii="宋体" w:hAnsi="宋体" w:eastAsia="宋体" w:cs="宋体"/>
                <w:b/>
                <w:kern w:val="44"/>
                <w:sz w:val="22"/>
                <w:szCs w:val="22"/>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1D09BE2">
            <w:pPr>
              <w:snapToGrid w:val="0"/>
              <w:spacing w:before="159" w:beforeLines="50" w:after="50" w:line="360" w:lineRule="auto"/>
              <w:rPr>
                <w:rFonts w:hint="eastAsia" w:ascii="宋体" w:hAnsi="宋体" w:eastAsia="宋体" w:cs="宋体"/>
                <w:b/>
                <w:kern w:val="44"/>
                <w:sz w:val="22"/>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5824FCA5">
            <w:pPr>
              <w:snapToGrid w:val="0"/>
              <w:spacing w:before="159" w:beforeLines="50" w:after="50" w:line="360" w:lineRule="auto"/>
              <w:rPr>
                <w:rFonts w:hint="eastAsia" w:ascii="宋体" w:hAnsi="宋体" w:eastAsia="宋体" w:cs="宋体"/>
                <w:b/>
                <w:kern w:val="44"/>
                <w:sz w:val="22"/>
                <w:szCs w:val="22"/>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6596A6BE">
            <w:pPr>
              <w:snapToGrid w:val="0"/>
              <w:spacing w:before="159" w:beforeLines="50" w:after="50" w:line="360" w:lineRule="auto"/>
              <w:rPr>
                <w:rFonts w:hint="eastAsia" w:ascii="宋体" w:hAnsi="宋体" w:eastAsia="宋体" w:cs="宋体"/>
                <w:b/>
                <w:kern w:val="44"/>
                <w:sz w:val="22"/>
                <w:szCs w:val="22"/>
              </w:rPr>
            </w:pPr>
          </w:p>
        </w:tc>
      </w:tr>
      <w:tr w14:paraId="0D7BF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noWrap w:val="0"/>
            <w:vAlign w:val="top"/>
          </w:tcPr>
          <w:p w14:paraId="21CAAF0A">
            <w:pPr>
              <w:snapToGrid w:val="0"/>
              <w:spacing w:before="159" w:beforeLines="50" w:after="50" w:line="360" w:lineRule="auto"/>
              <w:rPr>
                <w:rFonts w:hint="eastAsia" w:ascii="宋体" w:hAnsi="宋体" w:eastAsia="宋体" w:cs="宋体"/>
                <w:sz w:val="22"/>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021FA02">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64A1A5C">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03BF0966">
            <w:pPr>
              <w:snapToGrid w:val="0"/>
              <w:spacing w:before="159" w:beforeLines="50" w:after="50" w:line="360" w:lineRule="auto"/>
              <w:rPr>
                <w:rFonts w:hint="eastAsia" w:ascii="宋体" w:hAnsi="宋体" w:eastAsia="宋体" w:cs="宋体"/>
                <w:b/>
                <w:kern w:val="44"/>
                <w:sz w:val="22"/>
                <w:szCs w:val="22"/>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881D2EC">
            <w:pPr>
              <w:snapToGrid w:val="0"/>
              <w:spacing w:before="159" w:beforeLines="50" w:after="50" w:line="360" w:lineRule="auto"/>
              <w:rPr>
                <w:rFonts w:hint="eastAsia" w:ascii="宋体" w:hAnsi="宋体" w:eastAsia="宋体" w:cs="宋体"/>
                <w:b/>
                <w:kern w:val="44"/>
                <w:sz w:val="22"/>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037AFFD7">
            <w:pPr>
              <w:snapToGrid w:val="0"/>
              <w:spacing w:before="159" w:beforeLines="50" w:after="50" w:line="360" w:lineRule="auto"/>
              <w:rPr>
                <w:rFonts w:hint="eastAsia" w:ascii="宋体" w:hAnsi="宋体" w:eastAsia="宋体" w:cs="宋体"/>
                <w:b/>
                <w:kern w:val="44"/>
                <w:sz w:val="22"/>
                <w:szCs w:val="22"/>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79B453B5">
            <w:pPr>
              <w:snapToGrid w:val="0"/>
              <w:spacing w:before="159" w:beforeLines="50" w:after="50" w:line="360" w:lineRule="auto"/>
              <w:rPr>
                <w:rFonts w:hint="eastAsia" w:ascii="宋体" w:hAnsi="宋体" w:eastAsia="宋体" w:cs="宋体"/>
                <w:b/>
                <w:kern w:val="44"/>
                <w:sz w:val="22"/>
                <w:szCs w:val="22"/>
              </w:rPr>
            </w:pPr>
          </w:p>
        </w:tc>
      </w:tr>
      <w:tr w14:paraId="75341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noWrap w:val="0"/>
            <w:vAlign w:val="top"/>
          </w:tcPr>
          <w:p w14:paraId="65E98A70">
            <w:pPr>
              <w:snapToGrid w:val="0"/>
              <w:spacing w:before="159" w:beforeLines="50" w:after="50" w:line="360" w:lineRule="auto"/>
              <w:rPr>
                <w:rFonts w:hint="eastAsia" w:ascii="宋体" w:hAnsi="宋体" w:eastAsia="宋体" w:cs="宋体"/>
                <w:sz w:val="22"/>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39DA5C05">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44EA5372">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6A7F0BA0">
            <w:pPr>
              <w:snapToGrid w:val="0"/>
              <w:spacing w:before="159" w:beforeLines="50" w:after="50" w:line="360" w:lineRule="auto"/>
              <w:rPr>
                <w:rFonts w:hint="eastAsia" w:ascii="宋体" w:hAnsi="宋体" w:eastAsia="宋体" w:cs="宋体"/>
                <w:b/>
                <w:kern w:val="44"/>
                <w:sz w:val="22"/>
                <w:szCs w:val="22"/>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6C75FA4">
            <w:pPr>
              <w:pStyle w:val="18"/>
              <w:snapToGrid w:val="0"/>
              <w:spacing w:before="159" w:beforeLines="50" w:after="50" w:line="360" w:lineRule="auto"/>
              <w:ind w:left="5250"/>
              <w:rPr>
                <w:rFonts w:hint="eastAsia" w:ascii="宋体" w:hAnsi="宋体" w:eastAsia="宋体" w:cs="宋体"/>
                <w:b/>
                <w:kern w:val="44"/>
                <w:sz w:val="20"/>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46186C4A">
            <w:pPr>
              <w:pStyle w:val="18"/>
              <w:snapToGrid w:val="0"/>
              <w:spacing w:before="159" w:beforeLines="50" w:after="50" w:line="360" w:lineRule="auto"/>
              <w:ind w:left="5250"/>
              <w:rPr>
                <w:rFonts w:hint="eastAsia" w:ascii="宋体" w:hAnsi="宋体" w:eastAsia="宋体" w:cs="宋体"/>
                <w:b/>
                <w:kern w:val="44"/>
                <w:sz w:val="20"/>
                <w:szCs w:val="22"/>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4A53CB0B">
            <w:pPr>
              <w:pStyle w:val="18"/>
              <w:spacing w:line="360" w:lineRule="auto"/>
              <w:ind w:left="5250"/>
              <w:rPr>
                <w:rFonts w:hint="eastAsia" w:ascii="宋体" w:hAnsi="宋体" w:eastAsia="宋体" w:cs="宋体"/>
                <w:sz w:val="20"/>
                <w:szCs w:val="22"/>
              </w:rPr>
            </w:pPr>
          </w:p>
        </w:tc>
      </w:tr>
      <w:tr w14:paraId="6DBED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noWrap w:val="0"/>
            <w:vAlign w:val="top"/>
          </w:tcPr>
          <w:p w14:paraId="672C6650">
            <w:pPr>
              <w:snapToGrid w:val="0"/>
              <w:spacing w:before="159" w:beforeLines="50" w:after="50" w:line="360" w:lineRule="auto"/>
              <w:rPr>
                <w:rFonts w:hint="eastAsia" w:ascii="宋体" w:hAnsi="宋体" w:eastAsia="宋体" w:cs="宋体"/>
                <w:sz w:val="22"/>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38AD4B8">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3B48CF5E">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49CEB717">
            <w:pPr>
              <w:snapToGrid w:val="0"/>
              <w:spacing w:before="159" w:beforeLines="50" w:after="50" w:line="360" w:lineRule="auto"/>
              <w:rPr>
                <w:rFonts w:hint="eastAsia" w:ascii="宋体" w:hAnsi="宋体" w:eastAsia="宋体" w:cs="宋体"/>
                <w:b/>
                <w:kern w:val="44"/>
                <w:sz w:val="22"/>
                <w:szCs w:val="22"/>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3118023">
            <w:pPr>
              <w:snapToGrid w:val="0"/>
              <w:spacing w:before="159" w:beforeLines="50" w:after="50" w:line="360" w:lineRule="auto"/>
              <w:rPr>
                <w:rFonts w:hint="eastAsia" w:ascii="宋体" w:hAnsi="宋体" w:eastAsia="宋体" w:cs="宋体"/>
                <w:b/>
                <w:kern w:val="44"/>
                <w:sz w:val="22"/>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47C03CFA">
            <w:pPr>
              <w:snapToGrid w:val="0"/>
              <w:spacing w:before="159" w:beforeLines="50" w:after="50" w:line="360" w:lineRule="auto"/>
              <w:rPr>
                <w:rFonts w:hint="eastAsia" w:ascii="宋体" w:hAnsi="宋体" w:eastAsia="宋体" w:cs="宋体"/>
                <w:b/>
                <w:kern w:val="44"/>
                <w:sz w:val="22"/>
                <w:szCs w:val="22"/>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696F513C">
            <w:pPr>
              <w:snapToGrid w:val="0"/>
              <w:spacing w:before="159" w:beforeLines="50" w:after="50" w:line="360" w:lineRule="auto"/>
              <w:rPr>
                <w:rFonts w:hint="eastAsia" w:ascii="宋体" w:hAnsi="宋体" w:eastAsia="宋体" w:cs="宋体"/>
                <w:b/>
                <w:kern w:val="44"/>
                <w:sz w:val="22"/>
                <w:szCs w:val="22"/>
              </w:rPr>
            </w:pPr>
          </w:p>
        </w:tc>
      </w:tr>
      <w:tr w14:paraId="7DE0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noWrap w:val="0"/>
            <w:vAlign w:val="top"/>
          </w:tcPr>
          <w:p w14:paraId="334BF55A">
            <w:pPr>
              <w:snapToGrid w:val="0"/>
              <w:spacing w:before="159" w:beforeLines="50" w:after="50" w:line="360" w:lineRule="auto"/>
              <w:rPr>
                <w:rFonts w:hint="eastAsia" w:ascii="宋体" w:hAnsi="宋体" w:eastAsia="宋体" w:cs="宋体"/>
                <w:sz w:val="22"/>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3FAA99A">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0EF6646F">
            <w:pPr>
              <w:snapToGrid w:val="0"/>
              <w:spacing w:before="159" w:beforeLines="50" w:after="50" w:line="360" w:lineRule="auto"/>
              <w:rPr>
                <w:rFonts w:hint="eastAsia" w:ascii="宋体" w:hAnsi="宋体" w:eastAsia="宋体" w:cs="宋体"/>
                <w:b/>
                <w:kern w:val="44"/>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239C2131">
            <w:pPr>
              <w:snapToGrid w:val="0"/>
              <w:spacing w:before="159" w:beforeLines="50" w:after="50" w:line="360" w:lineRule="auto"/>
              <w:rPr>
                <w:rFonts w:hint="eastAsia" w:ascii="宋体" w:hAnsi="宋体" w:eastAsia="宋体" w:cs="宋体"/>
                <w:b/>
                <w:kern w:val="44"/>
                <w:sz w:val="22"/>
                <w:szCs w:val="22"/>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46FB99C">
            <w:pPr>
              <w:snapToGrid w:val="0"/>
              <w:spacing w:before="159" w:beforeLines="50" w:after="50" w:line="360" w:lineRule="auto"/>
              <w:rPr>
                <w:rFonts w:hint="eastAsia" w:ascii="宋体" w:hAnsi="宋体" w:eastAsia="宋体" w:cs="宋体"/>
                <w:b/>
                <w:kern w:val="44"/>
                <w:sz w:val="22"/>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3F1A9AF1">
            <w:pPr>
              <w:snapToGrid w:val="0"/>
              <w:spacing w:before="159" w:beforeLines="50" w:after="50" w:line="360" w:lineRule="auto"/>
              <w:rPr>
                <w:rFonts w:hint="eastAsia" w:ascii="宋体" w:hAnsi="宋体" w:eastAsia="宋体" w:cs="宋体"/>
                <w:b/>
                <w:kern w:val="44"/>
                <w:sz w:val="22"/>
                <w:szCs w:val="22"/>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5FA1607C">
            <w:pPr>
              <w:snapToGrid w:val="0"/>
              <w:spacing w:before="159" w:beforeLines="50" w:after="50" w:line="360" w:lineRule="auto"/>
              <w:rPr>
                <w:rFonts w:hint="eastAsia" w:ascii="宋体" w:hAnsi="宋体" w:eastAsia="宋体" w:cs="宋体"/>
                <w:b/>
                <w:kern w:val="44"/>
                <w:sz w:val="22"/>
                <w:szCs w:val="22"/>
              </w:rPr>
            </w:pPr>
          </w:p>
        </w:tc>
      </w:tr>
    </w:tbl>
    <w:p w14:paraId="18ACB883">
      <w:pPr>
        <w:spacing w:line="360" w:lineRule="auto"/>
        <w:jc w:val="left"/>
        <w:rPr>
          <w:rFonts w:hint="eastAsia" w:ascii="宋体" w:hAnsi="宋体" w:eastAsia="宋体" w:cs="宋体"/>
          <w:b/>
          <w:bCs/>
          <w:sz w:val="24"/>
          <w:szCs w:val="32"/>
        </w:rPr>
      </w:pPr>
      <w:r>
        <w:rPr>
          <w:rFonts w:hint="eastAsia" w:ascii="宋体" w:hAnsi="宋体" w:eastAsia="宋体" w:cs="宋体"/>
          <w:b/>
          <w:bCs/>
          <w:sz w:val="24"/>
          <w:szCs w:val="32"/>
        </w:rPr>
        <w:t>要求：</w:t>
      </w:r>
    </w:p>
    <w:p w14:paraId="423DCA80">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1.在填写时，如本表格不适合投标</w:t>
      </w:r>
      <w:r>
        <w:rPr>
          <w:rFonts w:hint="eastAsia" w:ascii="宋体" w:hAnsi="宋体" w:eastAsia="宋体" w:cs="宋体"/>
          <w:sz w:val="24"/>
          <w:szCs w:val="32"/>
          <w:lang w:eastAsia="zh-CN"/>
        </w:rPr>
        <w:t>人</w:t>
      </w:r>
      <w:r>
        <w:rPr>
          <w:rFonts w:hint="eastAsia" w:ascii="宋体" w:hAnsi="宋体" w:eastAsia="宋体" w:cs="宋体"/>
          <w:sz w:val="24"/>
          <w:szCs w:val="32"/>
        </w:rPr>
        <w:t>的实际情况，可根据本表格式自行划表填写。</w:t>
      </w:r>
    </w:p>
    <w:p w14:paraId="5F030A00">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2.附人员证书复印件；</w:t>
      </w:r>
    </w:p>
    <w:p w14:paraId="37AB146B">
      <w:pPr>
        <w:spacing w:line="360" w:lineRule="auto"/>
        <w:jc w:val="left"/>
        <w:rPr>
          <w:rFonts w:hint="eastAsia" w:ascii="宋体" w:hAnsi="宋体" w:eastAsia="宋体" w:cs="宋体"/>
          <w:sz w:val="24"/>
          <w:szCs w:val="32"/>
        </w:rPr>
      </w:pPr>
      <w:r>
        <w:rPr>
          <w:rFonts w:hint="eastAsia" w:ascii="宋体" w:hAnsi="宋体" w:eastAsia="宋体" w:cs="宋体"/>
          <w:sz w:val="24"/>
          <w:szCs w:val="32"/>
        </w:rPr>
        <w:t>　</w:t>
      </w:r>
    </w:p>
    <w:p w14:paraId="59856FB1">
      <w:pPr>
        <w:spacing w:line="360" w:lineRule="auto"/>
        <w:rPr>
          <w:rFonts w:hint="eastAsia" w:ascii="宋体" w:hAnsi="宋体" w:eastAsia="宋体" w:cs="宋体"/>
          <w:sz w:val="24"/>
          <w:szCs w:val="32"/>
        </w:rPr>
      </w:pPr>
    </w:p>
    <w:p w14:paraId="5C4D80CF">
      <w:pPr>
        <w:spacing w:line="360" w:lineRule="auto"/>
        <w:rPr>
          <w:rFonts w:hint="eastAsia" w:ascii="宋体" w:hAnsi="宋体" w:eastAsia="宋体" w:cs="宋体"/>
          <w:sz w:val="24"/>
        </w:rPr>
      </w:pPr>
      <w:r>
        <w:rPr>
          <w:rFonts w:hint="eastAsia" w:ascii="宋体" w:hAnsi="宋体" w:eastAsia="宋体" w:cs="宋体"/>
          <w:sz w:val="22"/>
          <w:szCs w:val="22"/>
        </w:rPr>
        <w:t>磋商投标人名称</w:t>
      </w:r>
      <w:r>
        <w:rPr>
          <w:rFonts w:hint="eastAsia" w:ascii="宋体" w:hAnsi="宋体" w:eastAsia="宋体" w:cs="宋体"/>
          <w:sz w:val="24"/>
        </w:rPr>
        <w:t>（盖章）：</w:t>
      </w:r>
      <w:r>
        <w:rPr>
          <w:rFonts w:hint="eastAsia" w:ascii="宋体" w:hAnsi="宋体" w:eastAsia="宋体" w:cs="宋体"/>
          <w:sz w:val="24"/>
          <w:u w:val="single"/>
        </w:rPr>
        <w:t xml:space="preserve">                         </w:t>
      </w:r>
    </w:p>
    <w:p w14:paraId="434F1E5B">
      <w:pPr>
        <w:spacing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14:paraId="2A98BBE0">
      <w:pPr>
        <w:spacing w:line="360" w:lineRule="auto"/>
        <w:rPr>
          <w:rFonts w:hint="eastAsia" w:ascii="宋体" w:hAnsi="宋体" w:eastAsia="宋体" w:cs="宋体"/>
          <w:b/>
          <w:sz w:val="24"/>
          <w:szCs w:val="22"/>
        </w:rPr>
      </w:pPr>
    </w:p>
    <w:p w14:paraId="6383DE81">
      <w:pPr>
        <w:spacing w:line="360" w:lineRule="auto"/>
        <w:rPr>
          <w:rFonts w:hint="eastAsia" w:ascii="宋体" w:hAnsi="宋体" w:eastAsia="宋体" w:cs="宋体"/>
          <w:b/>
          <w:sz w:val="24"/>
          <w:szCs w:val="22"/>
        </w:rPr>
      </w:pPr>
    </w:p>
    <w:p w14:paraId="40748E3F">
      <w:pPr>
        <w:spacing w:line="360" w:lineRule="auto"/>
        <w:rPr>
          <w:rFonts w:hint="eastAsia" w:ascii="宋体" w:hAnsi="宋体" w:eastAsia="宋体" w:cs="宋体"/>
          <w:b/>
          <w:sz w:val="24"/>
          <w:szCs w:val="22"/>
        </w:rPr>
      </w:pPr>
    </w:p>
    <w:p w14:paraId="34032DE3">
      <w:pPr>
        <w:spacing w:line="360" w:lineRule="auto"/>
        <w:rPr>
          <w:rFonts w:hint="eastAsia" w:ascii="宋体" w:hAnsi="宋体" w:eastAsia="宋体" w:cs="宋体"/>
          <w:b/>
          <w:sz w:val="24"/>
          <w:szCs w:val="22"/>
        </w:rPr>
      </w:pPr>
    </w:p>
    <w:p w14:paraId="19E579C3">
      <w:pPr>
        <w:spacing w:line="360" w:lineRule="auto"/>
        <w:rPr>
          <w:rFonts w:hint="eastAsia" w:ascii="宋体" w:hAnsi="宋体" w:eastAsia="宋体" w:cs="宋体"/>
          <w:b/>
          <w:sz w:val="24"/>
          <w:szCs w:val="22"/>
        </w:rPr>
      </w:pPr>
    </w:p>
    <w:p w14:paraId="324FB5E9">
      <w:pPr>
        <w:spacing w:line="360" w:lineRule="auto"/>
        <w:rPr>
          <w:rFonts w:hint="eastAsia" w:ascii="宋体" w:hAnsi="宋体" w:eastAsia="宋体" w:cs="宋体"/>
          <w:b/>
          <w:sz w:val="24"/>
          <w:szCs w:val="22"/>
        </w:rPr>
      </w:pPr>
    </w:p>
    <w:p w14:paraId="0E9FE99E">
      <w:pPr>
        <w:spacing w:line="360" w:lineRule="auto"/>
        <w:rPr>
          <w:rFonts w:hint="eastAsia" w:ascii="宋体" w:hAnsi="宋体" w:eastAsia="宋体" w:cs="宋体"/>
          <w:b/>
          <w:sz w:val="24"/>
          <w:szCs w:val="22"/>
        </w:rPr>
      </w:pPr>
    </w:p>
    <w:p w14:paraId="6573F5D3">
      <w:pPr>
        <w:spacing w:line="360" w:lineRule="auto"/>
        <w:rPr>
          <w:rFonts w:hint="eastAsia" w:ascii="宋体" w:hAnsi="宋体" w:eastAsia="宋体" w:cs="宋体"/>
          <w:b/>
          <w:sz w:val="24"/>
          <w:szCs w:val="22"/>
        </w:rPr>
      </w:pPr>
    </w:p>
    <w:p w14:paraId="434E8C29">
      <w:pPr>
        <w:spacing w:line="360" w:lineRule="auto"/>
        <w:rPr>
          <w:rFonts w:hint="eastAsia" w:ascii="宋体" w:hAnsi="宋体" w:eastAsia="宋体" w:cs="宋体"/>
          <w:b/>
          <w:sz w:val="24"/>
          <w:szCs w:val="22"/>
        </w:rPr>
      </w:pPr>
      <w:r>
        <w:rPr>
          <w:rFonts w:hint="eastAsia" w:ascii="宋体" w:hAnsi="宋体" w:eastAsia="宋体" w:cs="宋体"/>
          <w:b/>
          <w:sz w:val="24"/>
          <w:szCs w:val="22"/>
        </w:rPr>
        <w:t>附件6</w:t>
      </w:r>
    </w:p>
    <w:p w14:paraId="74EF01F8">
      <w:pPr>
        <w:spacing w:before="159" w:beforeLines="50" w:after="159" w:afterLines="50" w:line="360" w:lineRule="auto"/>
        <w:ind w:right="-10"/>
        <w:jc w:val="center"/>
        <w:rPr>
          <w:rFonts w:hint="eastAsia" w:ascii="宋体" w:hAnsi="宋体" w:eastAsia="宋体" w:cs="宋体"/>
          <w:b/>
          <w:bCs/>
          <w:sz w:val="28"/>
          <w:szCs w:val="28"/>
        </w:rPr>
      </w:pPr>
      <w:r>
        <w:rPr>
          <w:rFonts w:hint="eastAsia" w:ascii="宋体" w:hAnsi="宋体" w:eastAsia="宋体" w:cs="宋体"/>
          <w:b/>
          <w:bCs/>
          <w:sz w:val="28"/>
          <w:szCs w:val="28"/>
        </w:rPr>
        <w:t>项目负责人资格情况表</w:t>
      </w:r>
    </w:p>
    <w:p w14:paraId="7D6601D3">
      <w:pPr>
        <w:spacing w:line="360" w:lineRule="auto"/>
        <w:rPr>
          <w:rFonts w:hint="eastAsia" w:ascii="宋体" w:hAnsi="宋体" w:eastAsia="宋体" w:cs="宋体"/>
          <w:sz w:val="22"/>
          <w:szCs w:val="22"/>
        </w:rPr>
      </w:pPr>
      <w:r>
        <w:rPr>
          <w:rFonts w:hint="eastAsia" w:ascii="宋体" w:hAnsi="宋体" w:eastAsia="宋体" w:cs="宋体"/>
          <w:sz w:val="22"/>
          <w:szCs w:val="22"/>
        </w:rPr>
        <w:t>采购项目：                                         采购编号：</w:t>
      </w:r>
    </w:p>
    <w:tbl>
      <w:tblPr>
        <w:tblStyle w:val="33"/>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949"/>
        <w:gridCol w:w="3685"/>
      </w:tblGrid>
      <w:tr w14:paraId="7632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92" w:type="dxa"/>
            <w:tcBorders>
              <w:top w:val="single" w:color="auto" w:sz="12" w:space="0"/>
              <w:left w:val="single" w:color="auto" w:sz="12" w:space="0"/>
              <w:bottom w:val="single" w:color="auto" w:sz="4" w:space="0"/>
              <w:right w:val="single" w:color="auto" w:sz="4" w:space="0"/>
            </w:tcBorders>
            <w:noWrap w:val="0"/>
            <w:vAlign w:val="center"/>
          </w:tcPr>
          <w:p w14:paraId="2881013F">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姓名</w:t>
            </w:r>
          </w:p>
        </w:tc>
        <w:tc>
          <w:tcPr>
            <w:tcW w:w="2949" w:type="dxa"/>
            <w:tcBorders>
              <w:top w:val="single" w:color="auto" w:sz="12" w:space="0"/>
              <w:left w:val="single" w:color="auto" w:sz="4" w:space="0"/>
              <w:bottom w:val="single" w:color="auto" w:sz="4" w:space="0"/>
              <w:right w:val="single" w:color="auto" w:sz="4" w:space="0"/>
            </w:tcBorders>
            <w:noWrap w:val="0"/>
            <w:vAlign w:val="center"/>
          </w:tcPr>
          <w:p w14:paraId="41403A0B">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78D3F8E7">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近年来主要工作业绩</w:t>
            </w:r>
          </w:p>
        </w:tc>
      </w:tr>
      <w:tr w14:paraId="5B0B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345F90CE">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性别</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2005A037">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239A9EDC">
            <w:pPr>
              <w:autoSpaceDE w:val="0"/>
              <w:autoSpaceDN w:val="0"/>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注：业绩证明应提供旁证材料</w:t>
            </w:r>
          </w:p>
          <w:p w14:paraId="26C2ABCD">
            <w:pPr>
              <w:autoSpaceDE w:val="0"/>
              <w:autoSpaceDN w:val="0"/>
              <w:adjustRightInd w:val="0"/>
              <w:snapToGrid w:val="0"/>
              <w:spacing w:line="360" w:lineRule="auto"/>
              <w:jc w:val="center"/>
              <w:rPr>
                <w:rFonts w:hint="eastAsia" w:ascii="宋体" w:hAnsi="宋体" w:eastAsia="宋体" w:cs="宋体"/>
                <w:sz w:val="22"/>
                <w:szCs w:val="22"/>
                <w:lang w:val="zh-CN"/>
              </w:rPr>
            </w:pPr>
            <w:r>
              <w:rPr>
                <w:rFonts w:hint="eastAsia" w:ascii="宋体" w:hAnsi="宋体" w:eastAsia="宋体" w:cs="宋体"/>
                <w:sz w:val="22"/>
                <w:szCs w:val="22"/>
              </w:rPr>
              <w:t>（供货合同或成交通知书）。</w:t>
            </w:r>
          </w:p>
        </w:tc>
      </w:tr>
      <w:tr w14:paraId="4D74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07B4ACF8">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年龄</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760E92F6">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7D4496D7">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28B1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70B72CC9">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职称</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21C86CB8">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C4204CC">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664A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63348FE3">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毕业时间</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4CE2C731">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5435EB48">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2A68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7F2EB108">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学校专业</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27C4CB10">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5FA046D">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5D34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57491DD8">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联系电话</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293F3610">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7961AC7D">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6C65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92" w:type="dxa"/>
            <w:tcBorders>
              <w:top w:val="single" w:color="auto" w:sz="4" w:space="0"/>
              <w:left w:val="single" w:color="auto" w:sz="12" w:space="0"/>
              <w:bottom w:val="single" w:color="auto" w:sz="4" w:space="0"/>
              <w:right w:val="single" w:color="auto" w:sz="4" w:space="0"/>
            </w:tcBorders>
            <w:noWrap w:val="0"/>
            <w:vAlign w:val="center"/>
          </w:tcPr>
          <w:p w14:paraId="2C78B96A">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rPr>
              <w:t>最近一年工作状况</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16C38038">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D01880A">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20AA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92" w:type="dxa"/>
            <w:tcBorders>
              <w:top w:val="single" w:color="auto" w:sz="4" w:space="0"/>
              <w:left w:val="single" w:color="auto" w:sz="12" w:space="0"/>
              <w:bottom w:val="single" w:color="auto" w:sz="12" w:space="0"/>
              <w:right w:val="single" w:color="auto" w:sz="4" w:space="0"/>
            </w:tcBorders>
            <w:noWrap w:val="0"/>
            <w:vAlign w:val="center"/>
          </w:tcPr>
          <w:p w14:paraId="077B0C2C">
            <w:pPr>
              <w:autoSpaceDE w:val="0"/>
              <w:autoSpaceDN w:val="0"/>
              <w:adjustRightInd w:val="0"/>
              <w:snapToGrid w:val="0"/>
              <w:spacing w:line="360"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拟在本项目中担任主要工作</w:t>
            </w:r>
          </w:p>
        </w:tc>
        <w:tc>
          <w:tcPr>
            <w:tcW w:w="6634" w:type="dxa"/>
            <w:gridSpan w:val="2"/>
            <w:tcBorders>
              <w:top w:val="single" w:color="auto" w:sz="4" w:space="0"/>
              <w:left w:val="single" w:color="auto" w:sz="4" w:space="0"/>
              <w:bottom w:val="single" w:color="auto" w:sz="12" w:space="0"/>
              <w:right w:val="single" w:color="auto" w:sz="12" w:space="0"/>
            </w:tcBorders>
            <w:noWrap w:val="0"/>
            <w:vAlign w:val="center"/>
          </w:tcPr>
          <w:p w14:paraId="4596AFC7">
            <w:pPr>
              <w:autoSpaceDE w:val="0"/>
              <w:autoSpaceDN w:val="0"/>
              <w:adjustRightInd w:val="0"/>
              <w:snapToGrid w:val="0"/>
              <w:spacing w:line="360" w:lineRule="auto"/>
              <w:jc w:val="center"/>
              <w:rPr>
                <w:rFonts w:hint="eastAsia" w:ascii="宋体" w:hAnsi="宋体" w:eastAsia="宋体" w:cs="宋体"/>
                <w:sz w:val="22"/>
                <w:szCs w:val="22"/>
                <w:lang w:val="zh-CN"/>
              </w:rPr>
            </w:pPr>
          </w:p>
        </w:tc>
      </w:tr>
    </w:tbl>
    <w:p w14:paraId="5E3CB376">
      <w:pPr>
        <w:spacing w:line="360" w:lineRule="auto"/>
        <w:ind w:left="420"/>
        <w:rPr>
          <w:rFonts w:hint="eastAsia" w:ascii="宋体" w:hAnsi="宋体" w:eastAsia="宋体" w:cs="宋体"/>
          <w:sz w:val="22"/>
          <w:szCs w:val="22"/>
        </w:rPr>
      </w:pPr>
    </w:p>
    <w:p w14:paraId="45AFCE19">
      <w:pPr>
        <w:spacing w:line="360" w:lineRule="auto"/>
        <w:rPr>
          <w:rFonts w:hint="eastAsia" w:ascii="宋体" w:hAnsi="宋体" w:eastAsia="宋体" w:cs="宋体"/>
          <w:sz w:val="24"/>
          <w:szCs w:val="32"/>
        </w:rPr>
      </w:pPr>
    </w:p>
    <w:p w14:paraId="053B59EC">
      <w:pPr>
        <w:spacing w:line="360" w:lineRule="auto"/>
        <w:rPr>
          <w:rFonts w:hint="eastAsia" w:ascii="宋体" w:hAnsi="宋体" w:eastAsia="宋体" w:cs="宋体"/>
          <w:sz w:val="24"/>
        </w:rPr>
      </w:pPr>
      <w:r>
        <w:rPr>
          <w:rFonts w:hint="eastAsia" w:ascii="宋体" w:hAnsi="宋体" w:eastAsia="宋体" w:cs="宋体"/>
          <w:sz w:val="22"/>
          <w:szCs w:val="22"/>
        </w:rPr>
        <w:t>磋商投标人名称</w:t>
      </w:r>
      <w:r>
        <w:rPr>
          <w:rFonts w:hint="eastAsia" w:ascii="宋体" w:hAnsi="宋体" w:eastAsia="宋体" w:cs="宋体"/>
          <w:sz w:val="24"/>
        </w:rPr>
        <w:t>（盖章）：</w:t>
      </w:r>
      <w:r>
        <w:rPr>
          <w:rFonts w:hint="eastAsia" w:ascii="宋体" w:hAnsi="宋体" w:eastAsia="宋体" w:cs="宋体"/>
          <w:sz w:val="24"/>
          <w:u w:val="single"/>
        </w:rPr>
        <w:t xml:space="preserve">                         </w:t>
      </w:r>
    </w:p>
    <w:p w14:paraId="075A46F1">
      <w:pPr>
        <w:spacing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14:paraId="4EB2C348">
      <w:pPr>
        <w:spacing w:line="360" w:lineRule="auto"/>
        <w:rPr>
          <w:rFonts w:hint="eastAsia" w:ascii="宋体" w:hAnsi="宋体" w:eastAsia="宋体" w:cs="宋体"/>
          <w:b/>
          <w:sz w:val="24"/>
          <w:szCs w:val="22"/>
        </w:rPr>
      </w:pPr>
    </w:p>
    <w:p w14:paraId="0064EF71">
      <w:pPr>
        <w:spacing w:line="360" w:lineRule="auto"/>
        <w:rPr>
          <w:rFonts w:hint="eastAsia" w:ascii="宋体" w:hAnsi="宋体" w:eastAsia="宋体" w:cs="宋体"/>
          <w:b/>
          <w:sz w:val="24"/>
          <w:szCs w:val="22"/>
        </w:rPr>
      </w:pPr>
    </w:p>
    <w:p w14:paraId="577A762E">
      <w:pPr>
        <w:spacing w:line="360" w:lineRule="auto"/>
        <w:rPr>
          <w:rFonts w:hint="eastAsia" w:ascii="宋体" w:hAnsi="宋体" w:eastAsia="宋体" w:cs="宋体"/>
          <w:b/>
          <w:sz w:val="24"/>
          <w:szCs w:val="22"/>
        </w:rPr>
      </w:pPr>
    </w:p>
    <w:p w14:paraId="28BFB4AD">
      <w:pPr>
        <w:spacing w:line="360" w:lineRule="auto"/>
        <w:rPr>
          <w:rFonts w:hint="eastAsia" w:ascii="宋体" w:hAnsi="宋体" w:eastAsia="宋体" w:cs="宋体"/>
          <w:b/>
          <w:sz w:val="24"/>
          <w:szCs w:val="22"/>
        </w:rPr>
      </w:pPr>
    </w:p>
    <w:p w14:paraId="3EABD5AA">
      <w:pPr>
        <w:spacing w:line="360" w:lineRule="auto"/>
        <w:rPr>
          <w:rFonts w:hint="eastAsia" w:ascii="宋体" w:hAnsi="宋体" w:eastAsia="宋体" w:cs="宋体"/>
          <w:b/>
          <w:sz w:val="24"/>
          <w:szCs w:val="22"/>
        </w:rPr>
      </w:pPr>
      <w:r>
        <w:rPr>
          <w:rFonts w:hint="eastAsia" w:ascii="宋体" w:hAnsi="宋体" w:eastAsia="宋体" w:cs="宋体"/>
          <w:b/>
          <w:sz w:val="24"/>
          <w:szCs w:val="22"/>
        </w:rPr>
        <w:t>附件7</w:t>
      </w:r>
    </w:p>
    <w:p w14:paraId="027C8DAB">
      <w:pPr>
        <w:spacing w:line="360" w:lineRule="auto"/>
        <w:jc w:val="center"/>
        <w:rPr>
          <w:rFonts w:hint="eastAsia" w:ascii="宋体" w:hAnsi="宋体" w:eastAsia="宋体" w:cs="宋体"/>
          <w:b/>
          <w:sz w:val="28"/>
        </w:rPr>
      </w:pPr>
      <w:r>
        <w:rPr>
          <w:rFonts w:hint="eastAsia" w:ascii="宋体" w:hAnsi="宋体" w:eastAsia="宋体" w:cs="宋体"/>
          <w:b/>
          <w:sz w:val="28"/>
        </w:rPr>
        <w:t>商务及技术响应表</w:t>
      </w:r>
    </w:p>
    <w:p w14:paraId="51055EE4">
      <w:pPr>
        <w:spacing w:line="360" w:lineRule="auto"/>
        <w:rPr>
          <w:rFonts w:hint="eastAsia" w:ascii="宋体" w:hAnsi="宋体" w:eastAsia="宋体" w:cs="宋体"/>
          <w:b/>
          <w:sz w:val="22"/>
          <w:szCs w:val="21"/>
        </w:rPr>
      </w:pPr>
      <w:r>
        <w:rPr>
          <w:rFonts w:hint="eastAsia" w:ascii="宋体" w:hAnsi="宋体" w:eastAsia="宋体" w:cs="宋体"/>
          <w:b/>
          <w:sz w:val="22"/>
          <w:szCs w:val="21"/>
        </w:rPr>
        <w:t>项目名称及编号：</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29A9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14:paraId="30E5E49B">
            <w:pPr>
              <w:spacing w:line="360" w:lineRule="auto"/>
              <w:rPr>
                <w:rFonts w:hint="eastAsia" w:ascii="宋体" w:hAnsi="宋体" w:eastAsia="宋体" w:cs="宋体"/>
                <w:b/>
                <w:sz w:val="22"/>
                <w:szCs w:val="22"/>
              </w:rPr>
            </w:pPr>
            <w:r>
              <w:rPr>
                <w:rFonts w:hint="eastAsia" w:ascii="宋体" w:hAnsi="宋体" w:eastAsia="宋体" w:cs="宋体"/>
                <w:b/>
                <w:sz w:val="22"/>
                <w:szCs w:val="22"/>
              </w:rPr>
              <w:t>序号</w:t>
            </w:r>
          </w:p>
        </w:tc>
        <w:tc>
          <w:tcPr>
            <w:tcW w:w="2029" w:type="dxa"/>
            <w:noWrap w:val="0"/>
            <w:vAlign w:val="center"/>
          </w:tcPr>
          <w:p w14:paraId="38FFB94E">
            <w:pPr>
              <w:spacing w:line="360" w:lineRule="auto"/>
              <w:rPr>
                <w:rFonts w:hint="eastAsia" w:ascii="宋体" w:hAnsi="宋体" w:eastAsia="宋体" w:cs="宋体"/>
                <w:b/>
                <w:sz w:val="22"/>
                <w:szCs w:val="22"/>
              </w:rPr>
            </w:pPr>
            <w:r>
              <w:rPr>
                <w:rFonts w:hint="eastAsia" w:ascii="宋体" w:hAnsi="宋体" w:eastAsia="宋体" w:cs="宋体"/>
                <w:b/>
                <w:sz w:val="22"/>
                <w:szCs w:val="22"/>
              </w:rPr>
              <w:t xml:space="preserve">   内容</w:t>
            </w:r>
          </w:p>
        </w:tc>
        <w:tc>
          <w:tcPr>
            <w:tcW w:w="1541" w:type="dxa"/>
            <w:noWrap w:val="0"/>
            <w:vAlign w:val="center"/>
          </w:tcPr>
          <w:p w14:paraId="06E6F00F">
            <w:pPr>
              <w:spacing w:line="360" w:lineRule="auto"/>
              <w:ind w:left="53" w:leftChars="25" w:firstLine="221" w:firstLineChars="100"/>
              <w:rPr>
                <w:rFonts w:hint="eastAsia" w:ascii="宋体" w:hAnsi="宋体" w:eastAsia="宋体" w:cs="宋体"/>
                <w:b/>
                <w:sz w:val="22"/>
                <w:szCs w:val="22"/>
              </w:rPr>
            </w:pPr>
            <w:r>
              <w:rPr>
                <w:rFonts w:hint="eastAsia" w:ascii="宋体" w:hAnsi="宋体" w:eastAsia="宋体" w:cs="宋体"/>
                <w:b/>
                <w:sz w:val="22"/>
                <w:szCs w:val="22"/>
              </w:rPr>
              <w:t>招标需求</w:t>
            </w:r>
          </w:p>
        </w:tc>
        <w:tc>
          <w:tcPr>
            <w:tcW w:w="1365" w:type="dxa"/>
            <w:noWrap w:val="0"/>
            <w:vAlign w:val="center"/>
          </w:tcPr>
          <w:p w14:paraId="0A064C94">
            <w:pPr>
              <w:spacing w:line="360" w:lineRule="auto"/>
              <w:ind w:left="152"/>
              <w:rPr>
                <w:rFonts w:hint="eastAsia" w:ascii="宋体" w:hAnsi="宋体" w:eastAsia="宋体" w:cs="宋体"/>
                <w:b/>
                <w:sz w:val="22"/>
                <w:szCs w:val="22"/>
              </w:rPr>
            </w:pPr>
            <w:r>
              <w:rPr>
                <w:rFonts w:hint="eastAsia" w:ascii="宋体" w:hAnsi="宋体" w:eastAsia="宋体" w:cs="宋体"/>
                <w:b/>
                <w:sz w:val="22"/>
                <w:szCs w:val="22"/>
              </w:rPr>
              <w:t>是否响应</w:t>
            </w:r>
          </w:p>
        </w:tc>
        <w:tc>
          <w:tcPr>
            <w:tcW w:w="2625" w:type="dxa"/>
            <w:noWrap w:val="0"/>
            <w:vAlign w:val="center"/>
          </w:tcPr>
          <w:p w14:paraId="65431814">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投标人的承诺或说明</w:t>
            </w:r>
          </w:p>
        </w:tc>
      </w:tr>
      <w:tr w14:paraId="4A11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14:paraId="3E76B269">
            <w:pPr>
              <w:spacing w:line="360" w:lineRule="auto"/>
              <w:rPr>
                <w:rFonts w:hint="eastAsia" w:ascii="宋体" w:hAnsi="宋体" w:eastAsia="宋体" w:cs="宋体"/>
                <w:sz w:val="22"/>
                <w:szCs w:val="22"/>
              </w:rPr>
            </w:pPr>
          </w:p>
        </w:tc>
        <w:tc>
          <w:tcPr>
            <w:tcW w:w="2029" w:type="dxa"/>
            <w:noWrap w:val="0"/>
            <w:vAlign w:val="top"/>
          </w:tcPr>
          <w:p w14:paraId="5610FD30">
            <w:pPr>
              <w:snapToGrid w:val="0"/>
              <w:spacing w:line="360" w:lineRule="auto"/>
              <w:rPr>
                <w:rFonts w:hint="eastAsia" w:ascii="宋体" w:hAnsi="宋体" w:eastAsia="宋体" w:cs="宋体"/>
                <w:sz w:val="22"/>
                <w:szCs w:val="22"/>
              </w:rPr>
            </w:pPr>
          </w:p>
        </w:tc>
        <w:tc>
          <w:tcPr>
            <w:tcW w:w="1541" w:type="dxa"/>
            <w:noWrap w:val="0"/>
            <w:vAlign w:val="center"/>
          </w:tcPr>
          <w:p w14:paraId="0390284B">
            <w:pPr>
              <w:spacing w:line="360" w:lineRule="auto"/>
              <w:rPr>
                <w:rFonts w:hint="eastAsia" w:ascii="宋体" w:hAnsi="宋体" w:eastAsia="宋体" w:cs="宋体"/>
                <w:sz w:val="22"/>
                <w:szCs w:val="22"/>
              </w:rPr>
            </w:pPr>
          </w:p>
        </w:tc>
        <w:tc>
          <w:tcPr>
            <w:tcW w:w="1365" w:type="dxa"/>
            <w:noWrap w:val="0"/>
            <w:vAlign w:val="center"/>
          </w:tcPr>
          <w:p w14:paraId="67E478F3">
            <w:pPr>
              <w:spacing w:line="360" w:lineRule="auto"/>
              <w:rPr>
                <w:rFonts w:hint="eastAsia" w:ascii="宋体" w:hAnsi="宋体" w:eastAsia="宋体" w:cs="宋体"/>
                <w:sz w:val="22"/>
                <w:szCs w:val="22"/>
              </w:rPr>
            </w:pPr>
          </w:p>
        </w:tc>
        <w:tc>
          <w:tcPr>
            <w:tcW w:w="2625" w:type="dxa"/>
            <w:noWrap w:val="0"/>
            <w:vAlign w:val="center"/>
          </w:tcPr>
          <w:p w14:paraId="0E61EFD4">
            <w:pPr>
              <w:spacing w:line="360" w:lineRule="auto"/>
              <w:rPr>
                <w:rFonts w:hint="eastAsia" w:ascii="宋体" w:hAnsi="宋体" w:eastAsia="宋体" w:cs="宋体"/>
                <w:sz w:val="22"/>
                <w:szCs w:val="22"/>
              </w:rPr>
            </w:pPr>
          </w:p>
        </w:tc>
      </w:tr>
      <w:tr w14:paraId="4BE4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26E0D7DA">
            <w:pPr>
              <w:spacing w:line="360" w:lineRule="auto"/>
              <w:rPr>
                <w:rFonts w:hint="eastAsia" w:ascii="宋体" w:hAnsi="宋体" w:eastAsia="宋体" w:cs="宋体"/>
                <w:sz w:val="22"/>
                <w:szCs w:val="22"/>
              </w:rPr>
            </w:pPr>
          </w:p>
        </w:tc>
        <w:tc>
          <w:tcPr>
            <w:tcW w:w="2029" w:type="dxa"/>
            <w:noWrap w:val="0"/>
            <w:vAlign w:val="top"/>
          </w:tcPr>
          <w:p w14:paraId="305F8BB0">
            <w:pPr>
              <w:snapToGrid w:val="0"/>
              <w:spacing w:line="360" w:lineRule="auto"/>
              <w:rPr>
                <w:rFonts w:hint="eastAsia" w:ascii="宋体" w:hAnsi="宋体" w:eastAsia="宋体" w:cs="宋体"/>
                <w:sz w:val="22"/>
                <w:szCs w:val="22"/>
              </w:rPr>
            </w:pPr>
          </w:p>
        </w:tc>
        <w:tc>
          <w:tcPr>
            <w:tcW w:w="1541" w:type="dxa"/>
            <w:noWrap w:val="0"/>
            <w:vAlign w:val="center"/>
          </w:tcPr>
          <w:p w14:paraId="1E8FB430">
            <w:pPr>
              <w:spacing w:line="360" w:lineRule="auto"/>
              <w:rPr>
                <w:rFonts w:hint="eastAsia" w:ascii="宋体" w:hAnsi="宋体" w:eastAsia="宋体" w:cs="宋体"/>
                <w:sz w:val="22"/>
                <w:szCs w:val="22"/>
              </w:rPr>
            </w:pPr>
          </w:p>
        </w:tc>
        <w:tc>
          <w:tcPr>
            <w:tcW w:w="1365" w:type="dxa"/>
            <w:noWrap w:val="0"/>
            <w:vAlign w:val="center"/>
          </w:tcPr>
          <w:p w14:paraId="51EAA6F5">
            <w:pPr>
              <w:spacing w:line="360" w:lineRule="auto"/>
              <w:rPr>
                <w:rFonts w:hint="eastAsia" w:ascii="宋体" w:hAnsi="宋体" w:eastAsia="宋体" w:cs="宋体"/>
                <w:sz w:val="22"/>
                <w:szCs w:val="22"/>
              </w:rPr>
            </w:pPr>
          </w:p>
        </w:tc>
        <w:tc>
          <w:tcPr>
            <w:tcW w:w="2625" w:type="dxa"/>
            <w:noWrap w:val="0"/>
            <w:vAlign w:val="center"/>
          </w:tcPr>
          <w:p w14:paraId="42B8D95B">
            <w:pPr>
              <w:spacing w:line="360" w:lineRule="auto"/>
              <w:rPr>
                <w:rFonts w:hint="eastAsia" w:ascii="宋体" w:hAnsi="宋体" w:eastAsia="宋体" w:cs="宋体"/>
                <w:sz w:val="22"/>
                <w:szCs w:val="22"/>
              </w:rPr>
            </w:pPr>
          </w:p>
        </w:tc>
      </w:tr>
      <w:tr w14:paraId="2383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0B7E542F">
            <w:pPr>
              <w:spacing w:line="360" w:lineRule="auto"/>
              <w:rPr>
                <w:rFonts w:hint="eastAsia" w:ascii="宋体" w:hAnsi="宋体" w:eastAsia="宋体" w:cs="宋体"/>
                <w:sz w:val="22"/>
                <w:szCs w:val="22"/>
              </w:rPr>
            </w:pPr>
          </w:p>
        </w:tc>
        <w:tc>
          <w:tcPr>
            <w:tcW w:w="2029" w:type="dxa"/>
            <w:noWrap w:val="0"/>
            <w:vAlign w:val="top"/>
          </w:tcPr>
          <w:p w14:paraId="61511255">
            <w:pPr>
              <w:snapToGrid w:val="0"/>
              <w:spacing w:line="360" w:lineRule="auto"/>
              <w:rPr>
                <w:rFonts w:hint="eastAsia" w:ascii="宋体" w:hAnsi="宋体" w:eastAsia="宋体" w:cs="宋体"/>
                <w:sz w:val="22"/>
                <w:szCs w:val="22"/>
              </w:rPr>
            </w:pPr>
          </w:p>
        </w:tc>
        <w:tc>
          <w:tcPr>
            <w:tcW w:w="1541" w:type="dxa"/>
            <w:noWrap w:val="0"/>
            <w:vAlign w:val="center"/>
          </w:tcPr>
          <w:p w14:paraId="3A3E5733">
            <w:pPr>
              <w:spacing w:line="360" w:lineRule="auto"/>
              <w:rPr>
                <w:rFonts w:hint="eastAsia" w:ascii="宋体" w:hAnsi="宋体" w:eastAsia="宋体" w:cs="宋体"/>
                <w:sz w:val="22"/>
                <w:szCs w:val="22"/>
              </w:rPr>
            </w:pPr>
          </w:p>
        </w:tc>
        <w:tc>
          <w:tcPr>
            <w:tcW w:w="1365" w:type="dxa"/>
            <w:noWrap w:val="0"/>
            <w:vAlign w:val="center"/>
          </w:tcPr>
          <w:p w14:paraId="62ABA130">
            <w:pPr>
              <w:spacing w:line="360" w:lineRule="auto"/>
              <w:rPr>
                <w:rFonts w:hint="eastAsia" w:ascii="宋体" w:hAnsi="宋体" w:eastAsia="宋体" w:cs="宋体"/>
                <w:sz w:val="22"/>
                <w:szCs w:val="22"/>
              </w:rPr>
            </w:pPr>
          </w:p>
        </w:tc>
        <w:tc>
          <w:tcPr>
            <w:tcW w:w="2625" w:type="dxa"/>
            <w:noWrap w:val="0"/>
            <w:vAlign w:val="center"/>
          </w:tcPr>
          <w:p w14:paraId="0F65D3FD">
            <w:pPr>
              <w:spacing w:line="360" w:lineRule="auto"/>
              <w:rPr>
                <w:rFonts w:hint="eastAsia" w:ascii="宋体" w:hAnsi="宋体" w:eastAsia="宋体" w:cs="宋体"/>
                <w:sz w:val="22"/>
                <w:szCs w:val="22"/>
              </w:rPr>
            </w:pPr>
          </w:p>
        </w:tc>
      </w:tr>
      <w:tr w14:paraId="67D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7AEC6AF8">
            <w:pPr>
              <w:spacing w:line="360" w:lineRule="auto"/>
              <w:rPr>
                <w:rFonts w:hint="eastAsia" w:ascii="宋体" w:hAnsi="宋体" w:eastAsia="宋体" w:cs="宋体"/>
                <w:sz w:val="22"/>
                <w:szCs w:val="22"/>
              </w:rPr>
            </w:pPr>
          </w:p>
        </w:tc>
        <w:tc>
          <w:tcPr>
            <w:tcW w:w="2029" w:type="dxa"/>
            <w:noWrap w:val="0"/>
            <w:vAlign w:val="top"/>
          </w:tcPr>
          <w:p w14:paraId="16D222FB">
            <w:pPr>
              <w:snapToGrid w:val="0"/>
              <w:spacing w:line="360" w:lineRule="auto"/>
              <w:rPr>
                <w:rFonts w:hint="eastAsia" w:ascii="宋体" w:hAnsi="宋体" w:eastAsia="宋体" w:cs="宋体"/>
                <w:sz w:val="22"/>
                <w:szCs w:val="22"/>
              </w:rPr>
            </w:pPr>
          </w:p>
        </w:tc>
        <w:tc>
          <w:tcPr>
            <w:tcW w:w="1541" w:type="dxa"/>
            <w:noWrap w:val="0"/>
            <w:vAlign w:val="center"/>
          </w:tcPr>
          <w:p w14:paraId="7DFD6DCB">
            <w:pPr>
              <w:spacing w:line="360" w:lineRule="auto"/>
              <w:rPr>
                <w:rFonts w:hint="eastAsia" w:ascii="宋体" w:hAnsi="宋体" w:eastAsia="宋体" w:cs="宋体"/>
                <w:sz w:val="22"/>
                <w:szCs w:val="22"/>
              </w:rPr>
            </w:pPr>
          </w:p>
        </w:tc>
        <w:tc>
          <w:tcPr>
            <w:tcW w:w="1365" w:type="dxa"/>
            <w:noWrap w:val="0"/>
            <w:vAlign w:val="center"/>
          </w:tcPr>
          <w:p w14:paraId="3ED0A606">
            <w:pPr>
              <w:spacing w:line="360" w:lineRule="auto"/>
              <w:rPr>
                <w:rFonts w:hint="eastAsia" w:ascii="宋体" w:hAnsi="宋体" w:eastAsia="宋体" w:cs="宋体"/>
                <w:sz w:val="22"/>
                <w:szCs w:val="22"/>
              </w:rPr>
            </w:pPr>
          </w:p>
        </w:tc>
        <w:tc>
          <w:tcPr>
            <w:tcW w:w="2625" w:type="dxa"/>
            <w:noWrap w:val="0"/>
            <w:vAlign w:val="center"/>
          </w:tcPr>
          <w:p w14:paraId="5B643027">
            <w:pPr>
              <w:spacing w:line="360" w:lineRule="auto"/>
              <w:rPr>
                <w:rFonts w:hint="eastAsia" w:ascii="宋体" w:hAnsi="宋体" w:eastAsia="宋体" w:cs="宋体"/>
                <w:sz w:val="22"/>
                <w:szCs w:val="22"/>
              </w:rPr>
            </w:pPr>
          </w:p>
        </w:tc>
      </w:tr>
      <w:tr w14:paraId="674E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14:paraId="25E09718">
            <w:pPr>
              <w:spacing w:line="360" w:lineRule="auto"/>
              <w:rPr>
                <w:rFonts w:hint="eastAsia" w:ascii="宋体" w:hAnsi="宋体" w:eastAsia="宋体" w:cs="宋体"/>
                <w:sz w:val="22"/>
                <w:szCs w:val="22"/>
              </w:rPr>
            </w:pPr>
          </w:p>
        </w:tc>
        <w:tc>
          <w:tcPr>
            <w:tcW w:w="2029" w:type="dxa"/>
            <w:noWrap w:val="0"/>
            <w:vAlign w:val="top"/>
          </w:tcPr>
          <w:p w14:paraId="0FEF5C42">
            <w:pPr>
              <w:snapToGrid w:val="0"/>
              <w:spacing w:line="360" w:lineRule="auto"/>
              <w:rPr>
                <w:rFonts w:hint="eastAsia" w:ascii="宋体" w:hAnsi="宋体" w:eastAsia="宋体" w:cs="宋体"/>
                <w:sz w:val="22"/>
                <w:szCs w:val="22"/>
              </w:rPr>
            </w:pPr>
          </w:p>
        </w:tc>
        <w:tc>
          <w:tcPr>
            <w:tcW w:w="1541" w:type="dxa"/>
            <w:noWrap w:val="0"/>
            <w:vAlign w:val="center"/>
          </w:tcPr>
          <w:p w14:paraId="524CEA82">
            <w:pPr>
              <w:spacing w:line="360" w:lineRule="auto"/>
              <w:rPr>
                <w:rFonts w:hint="eastAsia" w:ascii="宋体" w:hAnsi="宋体" w:eastAsia="宋体" w:cs="宋体"/>
                <w:sz w:val="22"/>
                <w:szCs w:val="22"/>
              </w:rPr>
            </w:pPr>
          </w:p>
        </w:tc>
        <w:tc>
          <w:tcPr>
            <w:tcW w:w="1365" w:type="dxa"/>
            <w:noWrap w:val="0"/>
            <w:vAlign w:val="center"/>
          </w:tcPr>
          <w:p w14:paraId="0B977EEF">
            <w:pPr>
              <w:spacing w:line="360" w:lineRule="auto"/>
              <w:rPr>
                <w:rFonts w:hint="eastAsia" w:ascii="宋体" w:hAnsi="宋体" w:eastAsia="宋体" w:cs="宋体"/>
                <w:sz w:val="22"/>
                <w:szCs w:val="22"/>
              </w:rPr>
            </w:pPr>
          </w:p>
        </w:tc>
        <w:tc>
          <w:tcPr>
            <w:tcW w:w="2625" w:type="dxa"/>
            <w:noWrap w:val="0"/>
            <w:vAlign w:val="center"/>
          </w:tcPr>
          <w:p w14:paraId="1CB3759C">
            <w:pPr>
              <w:spacing w:line="360" w:lineRule="auto"/>
              <w:rPr>
                <w:rFonts w:hint="eastAsia" w:ascii="宋体" w:hAnsi="宋体" w:eastAsia="宋体" w:cs="宋体"/>
                <w:sz w:val="22"/>
                <w:szCs w:val="22"/>
              </w:rPr>
            </w:pPr>
          </w:p>
        </w:tc>
      </w:tr>
      <w:tr w14:paraId="4F7F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14:paraId="62DC6A2A">
            <w:pPr>
              <w:spacing w:line="360" w:lineRule="auto"/>
              <w:rPr>
                <w:rFonts w:hint="eastAsia" w:ascii="宋体" w:hAnsi="宋体" w:eastAsia="宋体" w:cs="宋体"/>
                <w:sz w:val="22"/>
                <w:szCs w:val="22"/>
              </w:rPr>
            </w:pPr>
          </w:p>
        </w:tc>
        <w:tc>
          <w:tcPr>
            <w:tcW w:w="2029" w:type="dxa"/>
            <w:noWrap w:val="0"/>
            <w:vAlign w:val="top"/>
          </w:tcPr>
          <w:p w14:paraId="314D3C93">
            <w:pPr>
              <w:snapToGrid w:val="0"/>
              <w:spacing w:line="360" w:lineRule="auto"/>
              <w:rPr>
                <w:rFonts w:hint="eastAsia" w:ascii="宋体" w:hAnsi="宋体" w:eastAsia="宋体" w:cs="宋体"/>
                <w:sz w:val="22"/>
                <w:szCs w:val="22"/>
              </w:rPr>
            </w:pPr>
          </w:p>
        </w:tc>
        <w:tc>
          <w:tcPr>
            <w:tcW w:w="1541" w:type="dxa"/>
            <w:noWrap w:val="0"/>
            <w:vAlign w:val="center"/>
          </w:tcPr>
          <w:p w14:paraId="2E7D6614">
            <w:pPr>
              <w:spacing w:line="360" w:lineRule="auto"/>
              <w:rPr>
                <w:rFonts w:hint="eastAsia" w:ascii="宋体" w:hAnsi="宋体" w:eastAsia="宋体" w:cs="宋体"/>
                <w:sz w:val="22"/>
                <w:szCs w:val="22"/>
              </w:rPr>
            </w:pPr>
          </w:p>
        </w:tc>
        <w:tc>
          <w:tcPr>
            <w:tcW w:w="1365" w:type="dxa"/>
            <w:noWrap w:val="0"/>
            <w:vAlign w:val="center"/>
          </w:tcPr>
          <w:p w14:paraId="747A97A1">
            <w:pPr>
              <w:spacing w:line="360" w:lineRule="auto"/>
              <w:rPr>
                <w:rFonts w:hint="eastAsia" w:ascii="宋体" w:hAnsi="宋体" w:eastAsia="宋体" w:cs="宋体"/>
                <w:sz w:val="22"/>
                <w:szCs w:val="22"/>
              </w:rPr>
            </w:pPr>
          </w:p>
        </w:tc>
        <w:tc>
          <w:tcPr>
            <w:tcW w:w="2625" w:type="dxa"/>
            <w:noWrap w:val="0"/>
            <w:vAlign w:val="center"/>
          </w:tcPr>
          <w:p w14:paraId="7F47CB37">
            <w:pPr>
              <w:spacing w:line="360" w:lineRule="auto"/>
              <w:rPr>
                <w:rFonts w:hint="eastAsia" w:ascii="宋体" w:hAnsi="宋体" w:eastAsia="宋体" w:cs="宋体"/>
                <w:sz w:val="22"/>
                <w:szCs w:val="22"/>
              </w:rPr>
            </w:pPr>
          </w:p>
        </w:tc>
      </w:tr>
      <w:tr w14:paraId="175D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14:paraId="1BC8CA48">
            <w:pPr>
              <w:spacing w:line="360" w:lineRule="auto"/>
              <w:rPr>
                <w:rFonts w:hint="eastAsia" w:ascii="宋体" w:hAnsi="宋体" w:eastAsia="宋体" w:cs="宋体"/>
                <w:sz w:val="22"/>
                <w:szCs w:val="22"/>
              </w:rPr>
            </w:pPr>
          </w:p>
        </w:tc>
        <w:tc>
          <w:tcPr>
            <w:tcW w:w="2029" w:type="dxa"/>
            <w:noWrap w:val="0"/>
            <w:vAlign w:val="top"/>
          </w:tcPr>
          <w:p w14:paraId="0C312913">
            <w:pPr>
              <w:snapToGrid w:val="0"/>
              <w:spacing w:line="360" w:lineRule="auto"/>
              <w:rPr>
                <w:rFonts w:hint="eastAsia" w:ascii="宋体" w:hAnsi="宋体" w:eastAsia="宋体" w:cs="宋体"/>
                <w:sz w:val="22"/>
                <w:szCs w:val="22"/>
              </w:rPr>
            </w:pPr>
          </w:p>
        </w:tc>
        <w:tc>
          <w:tcPr>
            <w:tcW w:w="1541" w:type="dxa"/>
            <w:noWrap w:val="0"/>
            <w:vAlign w:val="center"/>
          </w:tcPr>
          <w:p w14:paraId="3620652C">
            <w:pPr>
              <w:spacing w:line="360" w:lineRule="auto"/>
              <w:rPr>
                <w:rFonts w:hint="eastAsia" w:ascii="宋体" w:hAnsi="宋体" w:eastAsia="宋体" w:cs="宋体"/>
                <w:sz w:val="22"/>
                <w:szCs w:val="22"/>
              </w:rPr>
            </w:pPr>
          </w:p>
        </w:tc>
        <w:tc>
          <w:tcPr>
            <w:tcW w:w="1365" w:type="dxa"/>
            <w:noWrap w:val="0"/>
            <w:vAlign w:val="center"/>
          </w:tcPr>
          <w:p w14:paraId="735C45ED">
            <w:pPr>
              <w:spacing w:line="360" w:lineRule="auto"/>
              <w:rPr>
                <w:rFonts w:hint="eastAsia" w:ascii="宋体" w:hAnsi="宋体" w:eastAsia="宋体" w:cs="宋体"/>
                <w:sz w:val="22"/>
                <w:szCs w:val="22"/>
              </w:rPr>
            </w:pPr>
          </w:p>
        </w:tc>
        <w:tc>
          <w:tcPr>
            <w:tcW w:w="2625" w:type="dxa"/>
            <w:noWrap w:val="0"/>
            <w:vAlign w:val="center"/>
          </w:tcPr>
          <w:p w14:paraId="4F2FE5DC">
            <w:pPr>
              <w:spacing w:line="360" w:lineRule="auto"/>
              <w:rPr>
                <w:rFonts w:hint="eastAsia" w:ascii="宋体" w:hAnsi="宋体" w:eastAsia="宋体" w:cs="宋体"/>
                <w:sz w:val="22"/>
                <w:szCs w:val="22"/>
              </w:rPr>
            </w:pPr>
          </w:p>
        </w:tc>
      </w:tr>
      <w:tr w14:paraId="39C6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343B216C">
            <w:pPr>
              <w:spacing w:line="360" w:lineRule="auto"/>
              <w:rPr>
                <w:rFonts w:hint="eastAsia" w:ascii="宋体" w:hAnsi="宋体" w:eastAsia="宋体" w:cs="宋体"/>
                <w:sz w:val="22"/>
                <w:szCs w:val="22"/>
              </w:rPr>
            </w:pPr>
          </w:p>
        </w:tc>
        <w:tc>
          <w:tcPr>
            <w:tcW w:w="2029" w:type="dxa"/>
            <w:noWrap w:val="0"/>
            <w:vAlign w:val="top"/>
          </w:tcPr>
          <w:p w14:paraId="27245BA4">
            <w:pPr>
              <w:snapToGrid w:val="0"/>
              <w:spacing w:line="360" w:lineRule="auto"/>
              <w:rPr>
                <w:rFonts w:hint="eastAsia" w:ascii="宋体" w:hAnsi="宋体" w:eastAsia="宋体" w:cs="宋体"/>
                <w:sz w:val="22"/>
                <w:szCs w:val="22"/>
              </w:rPr>
            </w:pPr>
          </w:p>
        </w:tc>
        <w:tc>
          <w:tcPr>
            <w:tcW w:w="1541" w:type="dxa"/>
            <w:noWrap w:val="0"/>
            <w:vAlign w:val="center"/>
          </w:tcPr>
          <w:p w14:paraId="7D25E6B5">
            <w:pPr>
              <w:spacing w:line="360" w:lineRule="auto"/>
              <w:rPr>
                <w:rFonts w:hint="eastAsia" w:ascii="宋体" w:hAnsi="宋体" w:eastAsia="宋体" w:cs="宋体"/>
                <w:sz w:val="22"/>
                <w:szCs w:val="22"/>
              </w:rPr>
            </w:pPr>
          </w:p>
        </w:tc>
        <w:tc>
          <w:tcPr>
            <w:tcW w:w="1365" w:type="dxa"/>
            <w:noWrap w:val="0"/>
            <w:vAlign w:val="center"/>
          </w:tcPr>
          <w:p w14:paraId="3A4056E1">
            <w:pPr>
              <w:spacing w:line="360" w:lineRule="auto"/>
              <w:rPr>
                <w:rFonts w:hint="eastAsia" w:ascii="宋体" w:hAnsi="宋体" w:eastAsia="宋体" w:cs="宋体"/>
                <w:sz w:val="22"/>
                <w:szCs w:val="22"/>
              </w:rPr>
            </w:pPr>
          </w:p>
        </w:tc>
        <w:tc>
          <w:tcPr>
            <w:tcW w:w="2625" w:type="dxa"/>
            <w:noWrap w:val="0"/>
            <w:vAlign w:val="center"/>
          </w:tcPr>
          <w:p w14:paraId="1439BB68">
            <w:pPr>
              <w:spacing w:line="360" w:lineRule="auto"/>
              <w:rPr>
                <w:rFonts w:hint="eastAsia" w:ascii="宋体" w:hAnsi="宋体" w:eastAsia="宋体" w:cs="宋体"/>
                <w:sz w:val="22"/>
                <w:szCs w:val="22"/>
              </w:rPr>
            </w:pPr>
          </w:p>
        </w:tc>
      </w:tr>
    </w:tbl>
    <w:p w14:paraId="5A7AB4FF">
      <w:pPr>
        <w:pStyle w:val="17"/>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备注：投标人在填写时必须对照本磋商文件中各指标项逐条说明，写出各磋商要求的具体参数响应内容，不得以“符合”或“满足”等词语作简单回答或者完全复制本项目采购需求中参数内容，否则磋商小组有权视其磋商响应文件未响应磋商文件要求。</w:t>
      </w:r>
    </w:p>
    <w:p w14:paraId="4422AF25">
      <w:pPr>
        <w:spacing w:line="360" w:lineRule="auto"/>
        <w:rPr>
          <w:rFonts w:hint="eastAsia" w:ascii="宋体" w:hAnsi="宋体" w:eastAsia="宋体" w:cs="宋体"/>
          <w:sz w:val="22"/>
          <w:szCs w:val="22"/>
        </w:rPr>
      </w:pPr>
    </w:p>
    <w:p w14:paraId="11BBF15A">
      <w:pPr>
        <w:spacing w:line="360" w:lineRule="auto"/>
        <w:rPr>
          <w:rFonts w:hint="eastAsia" w:ascii="宋体" w:hAnsi="宋体" w:eastAsia="宋体" w:cs="宋体"/>
          <w:sz w:val="24"/>
          <w:szCs w:val="32"/>
        </w:rPr>
      </w:pPr>
    </w:p>
    <w:p w14:paraId="0B8EEBF9">
      <w:pPr>
        <w:spacing w:line="360" w:lineRule="auto"/>
        <w:rPr>
          <w:rFonts w:hint="eastAsia" w:ascii="宋体" w:hAnsi="宋体" w:eastAsia="宋体" w:cs="宋体"/>
          <w:sz w:val="24"/>
        </w:rPr>
      </w:pPr>
      <w:r>
        <w:rPr>
          <w:rFonts w:hint="eastAsia" w:ascii="宋体" w:hAnsi="宋体" w:eastAsia="宋体" w:cs="宋体"/>
          <w:sz w:val="22"/>
          <w:szCs w:val="22"/>
        </w:rPr>
        <w:t>磋商投标人名称</w:t>
      </w:r>
      <w:r>
        <w:rPr>
          <w:rFonts w:hint="eastAsia" w:ascii="宋体" w:hAnsi="宋体" w:eastAsia="宋体" w:cs="宋体"/>
          <w:sz w:val="24"/>
        </w:rPr>
        <w:t>（盖章）：</w:t>
      </w:r>
      <w:r>
        <w:rPr>
          <w:rFonts w:hint="eastAsia" w:ascii="宋体" w:hAnsi="宋体" w:eastAsia="宋体" w:cs="宋体"/>
          <w:sz w:val="24"/>
          <w:u w:val="single"/>
        </w:rPr>
        <w:t xml:space="preserve">                         </w:t>
      </w:r>
    </w:p>
    <w:p w14:paraId="6E4E9F66">
      <w:pPr>
        <w:spacing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14:paraId="14A881F7">
      <w:pPr>
        <w:spacing w:line="360" w:lineRule="auto"/>
        <w:jc w:val="left"/>
        <w:rPr>
          <w:rFonts w:hint="eastAsia" w:ascii="宋体" w:hAnsi="宋体" w:eastAsia="宋体" w:cs="宋体"/>
          <w:b/>
          <w:bCs/>
          <w:sz w:val="24"/>
          <w:szCs w:val="32"/>
          <w:lang w:val="zh-CN"/>
        </w:rPr>
      </w:pPr>
    </w:p>
    <w:p w14:paraId="3316674A">
      <w:pPr>
        <w:pStyle w:val="12"/>
        <w:rPr>
          <w:rFonts w:hint="eastAsia" w:ascii="宋体" w:hAnsi="宋体" w:eastAsia="宋体" w:cs="宋体"/>
          <w:b/>
          <w:bCs/>
          <w:szCs w:val="32"/>
          <w:lang w:val="zh-CN"/>
        </w:rPr>
      </w:pPr>
    </w:p>
    <w:p w14:paraId="089E9930">
      <w:pPr>
        <w:pStyle w:val="2"/>
        <w:rPr>
          <w:rFonts w:hint="eastAsia" w:ascii="宋体" w:hAnsi="宋体" w:eastAsia="宋体" w:cs="宋体"/>
          <w:lang w:val="zh-CN"/>
        </w:rPr>
      </w:pPr>
    </w:p>
    <w:p w14:paraId="556C8FFA">
      <w:pPr>
        <w:spacing w:line="360" w:lineRule="auto"/>
        <w:rPr>
          <w:rFonts w:hint="eastAsia" w:ascii="宋体" w:hAnsi="宋体" w:eastAsia="宋体" w:cs="宋体"/>
          <w:b/>
          <w:sz w:val="24"/>
          <w:szCs w:val="22"/>
        </w:rPr>
      </w:pPr>
    </w:p>
    <w:p w14:paraId="5081C595">
      <w:pPr>
        <w:spacing w:line="360" w:lineRule="auto"/>
        <w:rPr>
          <w:rFonts w:hint="eastAsia" w:ascii="宋体" w:hAnsi="宋体" w:eastAsia="宋体" w:cs="宋体"/>
          <w:b/>
          <w:sz w:val="24"/>
          <w:szCs w:val="22"/>
        </w:rPr>
      </w:pPr>
    </w:p>
    <w:p w14:paraId="26D6B568">
      <w:pPr>
        <w:spacing w:line="360" w:lineRule="auto"/>
        <w:rPr>
          <w:rFonts w:hint="eastAsia" w:ascii="宋体" w:hAnsi="宋体" w:eastAsia="宋体" w:cs="宋体"/>
          <w:b/>
          <w:sz w:val="24"/>
          <w:szCs w:val="22"/>
        </w:rPr>
      </w:pPr>
    </w:p>
    <w:p w14:paraId="3D986E11">
      <w:pPr>
        <w:spacing w:line="360" w:lineRule="auto"/>
        <w:rPr>
          <w:rFonts w:hint="eastAsia" w:ascii="宋体" w:hAnsi="宋体" w:eastAsia="宋体" w:cs="宋体"/>
          <w:b/>
          <w:sz w:val="24"/>
          <w:szCs w:val="22"/>
        </w:rPr>
      </w:pPr>
      <w:r>
        <w:rPr>
          <w:rFonts w:hint="eastAsia" w:ascii="宋体" w:hAnsi="宋体" w:eastAsia="宋体" w:cs="宋体"/>
          <w:b/>
          <w:sz w:val="24"/>
          <w:szCs w:val="22"/>
        </w:rPr>
        <w:t>附件8</w:t>
      </w:r>
    </w:p>
    <w:p w14:paraId="66C13B36">
      <w:pPr>
        <w:pStyle w:val="84"/>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类似项目实施情况一览表</w:t>
      </w:r>
    </w:p>
    <w:p w14:paraId="3C165DCF">
      <w:pPr>
        <w:pStyle w:val="84"/>
        <w:spacing w:line="360" w:lineRule="auto"/>
        <w:jc w:val="center"/>
        <w:rPr>
          <w:rFonts w:hint="eastAsia" w:ascii="宋体" w:hAnsi="宋体" w:eastAsia="宋体" w:cs="宋体"/>
          <w:b/>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6616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7063A07C">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9156C3D">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88EF5C5">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999CCEB">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D9EE687">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333DC3C8">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4AB53F4">
            <w:pPr>
              <w:pStyle w:val="84"/>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项目单位名称</w:t>
            </w:r>
            <w:r>
              <w:rPr>
                <w:rFonts w:hint="eastAsia" w:ascii="宋体" w:hAnsi="宋体" w:eastAsia="宋体" w:cs="宋体"/>
                <w:b/>
                <w:bCs/>
                <w:sz w:val="22"/>
                <w:szCs w:val="22"/>
                <w:lang w:eastAsia="zh-CN"/>
              </w:rPr>
              <w:t>及</w:t>
            </w:r>
            <w:r>
              <w:rPr>
                <w:rFonts w:hint="eastAsia" w:ascii="宋体" w:hAnsi="宋体" w:eastAsia="宋体" w:cs="宋体"/>
                <w:b/>
                <w:bCs/>
                <w:sz w:val="22"/>
                <w:szCs w:val="22"/>
              </w:rPr>
              <w:t>联系人电话</w:t>
            </w:r>
          </w:p>
        </w:tc>
      </w:tr>
      <w:tr w14:paraId="1B249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ED94350">
            <w:pPr>
              <w:pStyle w:val="84"/>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08EEF1C">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958D857">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540F945">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F71A1D8">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751253C">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34CF6E9">
            <w:pPr>
              <w:pStyle w:val="84"/>
              <w:spacing w:line="360" w:lineRule="auto"/>
              <w:rPr>
                <w:rFonts w:hint="eastAsia" w:ascii="宋体" w:hAnsi="宋体" w:eastAsia="宋体" w:cs="宋体"/>
                <w:sz w:val="22"/>
                <w:szCs w:val="22"/>
              </w:rPr>
            </w:pPr>
          </w:p>
        </w:tc>
      </w:tr>
      <w:tr w14:paraId="6A367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6A1F6C5">
            <w:pPr>
              <w:pStyle w:val="84"/>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67BEA542">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5A44983">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4A844D3">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3CBF641">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E6B6A1A">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0158974">
            <w:pPr>
              <w:pStyle w:val="84"/>
              <w:spacing w:line="360" w:lineRule="auto"/>
              <w:rPr>
                <w:rFonts w:hint="eastAsia" w:ascii="宋体" w:hAnsi="宋体" w:eastAsia="宋体" w:cs="宋体"/>
                <w:sz w:val="22"/>
                <w:szCs w:val="22"/>
              </w:rPr>
            </w:pPr>
          </w:p>
        </w:tc>
      </w:tr>
      <w:tr w14:paraId="16C64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EAC1F03">
            <w:pPr>
              <w:pStyle w:val="84"/>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45F9366">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9183174">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E55115C">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40EA012">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D5DF2A6">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62BDF7B">
            <w:pPr>
              <w:pStyle w:val="84"/>
              <w:spacing w:line="360" w:lineRule="auto"/>
              <w:rPr>
                <w:rFonts w:hint="eastAsia" w:ascii="宋体" w:hAnsi="宋体" w:eastAsia="宋体" w:cs="宋体"/>
                <w:sz w:val="22"/>
                <w:szCs w:val="22"/>
              </w:rPr>
            </w:pPr>
          </w:p>
        </w:tc>
      </w:tr>
      <w:tr w14:paraId="5E729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6F62E7D">
            <w:pPr>
              <w:pStyle w:val="84"/>
              <w:spacing w:line="360" w:lineRule="auto"/>
              <w:rPr>
                <w:rFonts w:hint="eastAsia" w:ascii="宋体" w:hAnsi="宋体" w:eastAsia="宋体" w:cs="宋体"/>
                <w:sz w:val="22"/>
                <w:szCs w:val="22"/>
              </w:rPr>
            </w:pPr>
            <w:r>
              <w:rPr>
                <w:rFonts w:hint="eastAsia" w:ascii="宋体" w:hAnsi="宋体" w:eastAsia="宋体" w:cs="宋体"/>
                <w:sz w:val="22"/>
                <w:szCs w:val="22"/>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F13439B">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79983A3">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1EC44AE">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CC76CCA">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15CE455">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C763FA1">
            <w:pPr>
              <w:pStyle w:val="84"/>
              <w:spacing w:line="360" w:lineRule="auto"/>
              <w:rPr>
                <w:rFonts w:hint="eastAsia" w:ascii="宋体" w:hAnsi="宋体" w:eastAsia="宋体" w:cs="宋体"/>
                <w:sz w:val="22"/>
                <w:szCs w:val="22"/>
              </w:rPr>
            </w:pPr>
          </w:p>
        </w:tc>
      </w:tr>
      <w:tr w14:paraId="7CED5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BD55126">
            <w:pPr>
              <w:pStyle w:val="84"/>
              <w:spacing w:line="360" w:lineRule="auto"/>
              <w:rPr>
                <w:rFonts w:hint="eastAsia" w:ascii="宋体" w:hAnsi="宋体" w:eastAsia="宋体" w:cs="宋体"/>
                <w:sz w:val="22"/>
                <w:szCs w:val="22"/>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F66A8E1">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0FC8A21">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C1E1FD">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4641CAE">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6D9A90A">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A43BBAE">
            <w:pPr>
              <w:pStyle w:val="84"/>
              <w:spacing w:line="360" w:lineRule="auto"/>
              <w:rPr>
                <w:rFonts w:hint="eastAsia" w:ascii="宋体" w:hAnsi="宋体" w:eastAsia="宋体" w:cs="宋体"/>
                <w:sz w:val="22"/>
                <w:szCs w:val="22"/>
              </w:rPr>
            </w:pPr>
          </w:p>
        </w:tc>
      </w:tr>
      <w:tr w14:paraId="79082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98BE9D3">
            <w:pPr>
              <w:pStyle w:val="84"/>
              <w:spacing w:line="360" w:lineRule="auto"/>
              <w:rPr>
                <w:rFonts w:hint="eastAsia" w:ascii="宋体" w:hAnsi="宋体" w:eastAsia="宋体" w:cs="宋体"/>
                <w:sz w:val="22"/>
                <w:szCs w:val="22"/>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D9B5D68">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31466D9">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F6BECBA">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CBF0AF2">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F92660B">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E2B5877">
            <w:pPr>
              <w:pStyle w:val="84"/>
              <w:spacing w:line="360" w:lineRule="auto"/>
              <w:rPr>
                <w:rFonts w:hint="eastAsia" w:ascii="宋体" w:hAnsi="宋体" w:eastAsia="宋体" w:cs="宋体"/>
                <w:sz w:val="22"/>
                <w:szCs w:val="22"/>
              </w:rPr>
            </w:pPr>
          </w:p>
        </w:tc>
      </w:tr>
      <w:tr w14:paraId="58F44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4CA39E5">
            <w:pPr>
              <w:pStyle w:val="84"/>
              <w:spacing w:line="360" w:lineRule="auto"/>
              <w:rPr>
                <w:rFonts w:hint="eastAsia" w:ascii="宋体" w:hAnsi="宋体" w:eastAsia="宋体" w:cs="宋体"/>
                <w:sz w:val="22"/>
                <w:szCs w:val="22"/>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D1384D1">
            <w:pPr>
              <w:pStyle w:val="84"/>
              <w:spacing w:line="360" w:lineRule="auto"/>
              <w:rPr>
                <w:rFonts w:hint="eastAsia" w:ascii="宋体" w:hAnsi="宋体" w:eastAsia="宋体" w:cs="宋体"/>
                <w:sz w:val="22"/>
                <w:szCs w:val="22"/>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23E86E8">
            <w:pPr>
              <w:pStyle w:val="84"/>
              <w:spacing w:line="360" w:lineRule="auto"/>
              <w:rPr>
                <w:rFonts w:hint="eastAsia" w:ascii="宋体" w:hAnsi="宋体" w:eastAsia="宋体" w:cs="宋体"/>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3B5C82">
            <w:pPr>
              <w:pStyle w:val="84"/>
              <w:spacing w:line="360" w:lineRule="auto"/>
              <w:rPr>
                <w:rFonts w:hint="eastAsia" w:ascii="宋体" w:hAnsi="宋体" w:eastAsia="宋体" w:cs="宋体"/>
                <w:sz w:val="22"/>
                <w:szCs w:val="22"/>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B4F02B8">
            <w:pPr>
              <w:pStyle w:val="84"/>
              <w:spacing w:line="360" w:lineRule="auto"/>
              <w:rPr>
                <w:rFonts w:hint="eastAsia" w:ascii="宋体" w:hAnsi="宋体" w:eastAsia="宋体" w:cs="宋体"/>
                <w:sz w:val="22"/>
                <w:szCs w:val="22"/>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4E578CF">
            <w:pPr>
              <w:pStyle w:val="84"/>
              <w:spacing w:line="360" w:lineRule="auto"/>
              <w:rPr>
                <w:rFonts w:hint="eastAsia" w:ascii="宋体" w:hAnsi="宋体" w:eastAsia="宋体" w:cs="宋体"/>
                <w:sz w:val="22"/>
                <w:szCs w:val="22"/>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9C72257">
            <w:pPr>
              <w:pStyle w:val="84"/>
              <w:spacing w:line="360" w:lineRule="auto"/>
              <w:rPr>
                <w:rFonts w:hint="eastAsia" w:ascii="宋体" w:hAnsi="宋体" w:eastAsia="宋体" w:cs="宋体"/>
                <w:sz w:val="22"/>
                <w:szCs w:val="22"/>
              </w:rPr>
            </w:pPr>
          </w:p>
        </w:tc>
      </w:tr>
    </w:tbl>
    <w:p w14:paraId="4CEF37B3">
      <w:pPr>
        <w:autoSpaceDE w:val="0"/>
        <w:autoSpaceDN w:val="0"/>
        <w:adjustRightInd w:val="0"/>
        <w:spacing w:before="159" w:beforeLines="50" w:line="360" w:lineRule="auto"/>
        <w:rPr>
          <w:rFonts w:hint="eastAsia" w:ascii="宋体" w:hAnsi="宋体" w:eastAsia="宋体" w:cs="宋体"/>
          <w:b/>
          <w:sz w:val="20"/>
          <w:szCs w:val="20"/>
        </w:rPr>
      </w:pPr>
      <w:r>
        <w:rPr>
          <w:rFonts w:hint="eastAsia" w:ascii="宋体" w:hAnsi="宋体" w:eastAsia="宋体" w:cs="宋体"/>
          <w:b/>
          <w:sz w:val="20"/>
          <w:szCs w:val="20"/>
        </w:rPr>
        <w:t>要求：</w:t>
      </w:r>
    </w:p>
    <w:p w14:paraId="2CDD9833">
      <w:pPr>
        <w:autoSpaceDE w:val="0"/>
        <w:autoSpaceDN w:val="0"/>
        <w:adjustRightInd w:val="0"/>
        <w:spacing w:before="159" w:beforeLines="50" w:line="360" w:lineRule="auto"/>
        <w:ind w:firstLine="404" w:firstLineChars="202"/>
        <w:rPr>
          <w:rFonts w:hint="eastAsia" w:ascii="宋体" w:hAnsi="宋体" w:eastAsia="宋体" w:cs="宋体"/>
          <w:b/>
          <w:sz w:val="20"/>
          <w:szCs w:val="20"/>
        </w:rPr>
      </w:pPr>
      <w:r>
        <w:rPr>
          <w:rFonts w:hint="eastAsia" w:ascii="宋体" w:hAnsi="宋体" w:eastAsia="宋体" w:cs="宋体"/>
          <w:sz w:val="20"/>
          <w:szCs w:val="20"/>
        </w:rPr>
        <w:t>1.业绩证明应提供证明材料（合同复印件可只提供首页、含金额页、盖章页并加盖磋商投标人公章）；</w:t>
      </w:r>
    </w:p>
    <w:p w14:paraId="61E04E08">
      <w:pPr>
        <w:spacing w:line="360" w:lineRule="auto"/>
        <w:ind w:firstLine="404" w:firstLineChars="202"/>
        <w:rPr>
          <w:rFonts w:hint="eastAsia" w:ascii="宋体" w:hAnsi="宋体" w:eastAsia="宋体" w:cs="宋体"/>
          <w:sz w:val="20"/>
          <w:szCs w:val="20"/>
        </w:rPr>
      </w:pPr>
      <w:r>
        <w:rPr>
          <w:rFonts w:hint="eastAsia" w:ascii="宋体" w:hAnsi="宋体" w:eastAsia="宋体" w:cs="宋体"/>
          <w:sz w:val="20"/>
          <w:szCs w:val="20"/>
        </w:rPr>
        <w:t>2.磋商投标人可按此表格式复制。</w:t>
      </w:r>
    </w:p>
    <w:p w14:paraId="63264732">
      <w:pPr>
        <w:spacing w:line="360" w:lineRule="auto"/>
        <w:rPr>
          <w:rFonts w:hint="eastAsia" w:ascii="宋体" w:hAnsi="宋体" w:eastAsia="宋体" w:cs="宋体"/>
          <w:szCs w:val="21"/>
        </w:rPr>
      </w:pPr>
    </w:p>
    <w:p w14:paraId="5F714F75">
      <w:pPr>
        <w:spacing w:line="360" w:lineRule="auto"/>
        <w:rPr>
          <w:rFonts w:hint="eastAsia" w:ascii="宋体" w:hAnsi="宋体" w:eastAsia="宋体" w:cs="宋体"/>
          <w:szCs w:val="21"/>
        </w:rPr>
      </w:pPr>
    </w:p>
    <w:p w14:paraId="24CCDBF9">
      <w:pPr>
        <w:spacing w:line="360" w:lineRule="auto"/>
        <w:rPr>
          <w:rFonts w:hint="eastAsia" w:ascii="宋体" w:hAnsi="宋体" w:eastAsia="宋体" w:cs="宋体"/>
          <w:sz w:val="24"/>
          <w:szCs w:val="32"/>
        </w:rPr>
      </w:pPr>
    </w:p>
    <w:p w14:paraId="2ABA56BB">
      <w:pPr>
        <w:spacing w:line="360" w:lineRule="auto"/>
        <w:rPr>
          <w:rFonts w:hint="eastAsia" w:ascii="宋体" w:hAnsi="宋体" w:eastAsia="宋体" w:cs="宋体"/>
          <w:sz w:val="24"/>
        </w:rPr>
      </w:pPr>
      <w:r>
        <w:rPr>
          <w:rFonts w:hint="eastAsia" w:ascii="宋体" w:hAnsi="宋体" w:eastAsia="宋体" w:cs="宋体"/>
          <w:sz w:val="22"/>
          <w:szCs w:val="22"/>
        </w:rPr>
        <w:t>磋商投标人名称</w:t>
      </w:r>
      <w:r>
        <w:rPr>
          <w:rFonts w:hint="eastAsia" w:ascii="宋体" w:hAnsi="宋体" w:eastAsia="宋体" w:cs="宋体"/>
          <w:sz w:val="24"/>
        </w:rPr>
        <w:t>（盖章）：</w:t>
      </w:r>
      <w:r>
        <w:rPr>
          <w:rFonts w:hint="eastAsia" w:ascii="宋体" w:hAnsi="宋体" w:eastAsia="宋体" w:cs="宋体"/>
          <w:sz w:val="24"/>
          <w:u w:val="single"/>
        </w:rPr>
        <w:t xml:space="preserve">                         </w:t>
      </w:r>
    </w:p>
    <w:p w14:paraId="2C606165">
      <w:pPr>
        <w:spacing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14:paraId="105BDFF2">
      <w:pPr>
        <w:jc w:val="center"/>
        <w:rPr>
          <w:rFonts w:hint="eastAsia" w:ascii="宋体" w:hAnsi="宋体" w:eastAsia="宋体" w:cs="宋体"/>
          <w:snapToGrid w:val="0"/>
          <w:sz w:val="22"/>
          <w:szCs w:val="22"/>
        </w:rPr>
      </w:pPr>
    </w:p>
    <w:p w14:paraId="6627E9F9">
      <w:pPr>
        <w:snapToGrid w:val="0"/>
        <w:spacing w:before="159" w:beforeLines="50" w:after="50" w:line="360" w:lineRule="auto"/>
        <w:rPr>
          <w:rFonts w:hint="eastAsia" w:ascii="宋体" w:hAnsi="宋体" w:eastAsia="宋体" w:cs="宋体"/>
          <w:b/>
          <w:sz w:val="24"/>
          <w:szCs w:val="22"/>
        </w:rPr>
      </w:pPr>
    </w:p>
    <w:p w14:paraId="6E026AEA">
      <w:pPr>
        <w:spacing w:line="360" w:lineRule="auto"/>
        <w:jc w:val="center"/>
        <w:rPr>
          <w:rFonts w:hint="eastAsia" w:ascii="宋体" w:hAnsi="宋体" w:eastAsia="宋体" w:cs="宋体"/>
          <w:b/>
          <w:sz w:val="28"/>
          <w:szCs w:val="28"/>
          <w:lang w:val="zh-CN"/>
        </w:rPr>
      </w:pPr>
    </w:p>
    <w:p w14:paraId="324F0B28">
      <w:pPr>
        <w:spacing w:line="360" w:lineRule="auto"/>
        <w:jc w:val="center"/>
        <w:rPr>
          <w:rFonts w:hint="eastAsia" w:ascii="宋体" w:hAnsi="宋体" w:eastAsia="宋体" w:cs="宋体"/>
          <w:b/>
          <w:sz w:val="28"/>
          <w:szCs w:val="28"/>
          <w:lang w:val="zh-CN"/>
        </w:rPr>
      </w:pPr>
    </w:p>
    <w:p w14:paraId="4BAB42BD">
      <w:pPr>
        <w:spacing w:line="360" w:lineRule="auto"/>
        <w:rPr>
          <w:rFonts w:hint="eastAsia" w:ascii="宋体" w:hAnsi="宋体" w:eastAsia="宋体" w:cs="宋体"/>
          <w:b/>
          <w:sz w:val="28"/>
          <w:szCs w:val="28"/>
          <w:lang w:val="zh-CN"/>
        </w:rPr>
      </w:pPr>
    </w:p>
    <w:p w14:paraId="35D9040A">
      <w:pPr>
        <w:spacing w:line="360" w:lineRule="auto"/>
        <w:jc w:val="center"/>
        <w:rPr>
          <w:rFonts w:hint="eastAsia" w:ascii="宋体" w:hAnsi="宋体" w:eastAsia="宋体" w:cs="宋体"/>
          <w:b/>
          <w:sz w:val="28"/>
          <w:szCs w:val="28"/>
          <w:lang w:val="zh-CN"/>
        </w:rPr>
      </w:pPr>
      <w:r>
        <w:rPr>
          <w:rFonts w:hint="eastAsia" w:ascii="宋体" w:hAnsi="宋体" w:eastAsia="宋体" w:cs="宋体"/>
          <w:b/>
          <w:sz w:val="28"/>
          <w:szCs w:val="28"/>
          <w:lang w:val="zh-CN"/>
        </w:rPr>
        <w:t>第三部分 ：报价部分</w:t>
      </w:r>
    </w:p>
    <w:p w14:paraId="5061CD55">
      <w:pPr>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1</w:t>
      </w:r>
      <w:r>
        <w:rPr>
          <w:rFonts w:hint="eastAsia" w:ascii="宋体" w:hAnsi="宋体" w:eastAsia="宋体" w:cs="宋体"/>
          <w:bCs/>
          <w:sz w:val="24"/>
          <w:lang w:val="en-US" w:eastAsia="zh-CN"/>
        </w:rPr>
        <w:t>.</w:t>
      </w:r>
      <w:r>
        <w:rPr>
          <w:rFonts w:hint="eastAsia" w:ascii="宋体" w:hAnsi="宋体" w:eastAsia="宋体" w:cs="宋体"/>
          <w:bCs/>
          <w:sz w:val="24"/>
          <w:lang w:val="zh-CN"/>
        </w:rPr>
        <w:t>首次报价一览表（附件</w:t>
      </w:r>
      <w:r>
        <w:rPr>
          <w:rFonts w:hint="eastAsia" w:ascii="宋体" w:hAnsi="宋体" w:eastAsia="宋体" w:cs="宋体"/>
          <w:bCs/>
          <w:sz w:val="24"/>
        </w:rPr>
        <w:t>9</w:t>
      </w:r>
      <w:r>
        <w:rPr>
          <w:rFonts w:hint="eastAsia" w:ascii="宋体" w:hAnsi="宋体" w:eastAsia="宋体" w:cs="宋体"/>
          <w:bCs/>
          <w:sz w:val="24"/>
          <w:lang w:val="zh-CN"/>
        </w:rPr>
        <w:t>）</w:t>
      </w:r>
    </w:p>
    <w:p w14:paraId="7B01034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w:t>
      </w:r>
      <w:r>
        <w:rPr>
          <w:rFonts w:hint="eastAsia" w:ascii="宋体" w:hAnsi="宋体" w:eastAsia="宋体" w:cs="宋体"/>
          <w:bCs/>
          <w:sz w:val="24"/>
        </w:rPr>
        <w:t>中小企业声明函（附件10）</w:t>
      </w:r>
    </w:p>
    <w:p w14:paraId="72BC4703">
      <w:pPr>
        <w:spacing w:line="360" w:lineRule="auto"/>
        <w:ind w:firstLine="480" w:firstLineChars="200"/>
        <w:rPr>
          <w:rFonts w:hint="eastAsia" w:ascii="宋体" w:hAnsi="宋体" w:eastAsia="宋体" w:cs="宋体"/>
          <w:bCs/>
          <w:sz w:val="24"/>
          <w:lang w:val="zh-CN"/>
        </w:rPr>
      </w:pPr>
    </w:p>
    <w:p w14:paraId="5F094C0F">
      <w:pPr>
        <w:spacing w:line="360" w:lineRule="auto"/>
        <w:rPr>
          <w:rFonts w:hint="eastAsia" w:ascii="宋体" w:hAnsi="宋体" w:eastAsia="宋体" w:cs="宋体"/>
          <w:bCs/>
          <w:sz w:val="24"/>
          <w:lang w:val="zh-CN"/>
        </w:rPr>
      </w:pPr>
    </w:p>
    <w:p w14:paraId="35FADF39">
      <w:pPr>
        <w:pStyle w:val="45"/>
        <w:spacing w:before="159"/>
        <w:ind w:firstLine="0"/>
        <w:rPr>
          <w:rFonts w:hint="eastAsia" w:ascii="宋体" w:hAnsi="宋体" w:eastAsia="宋体" w:cs="宋体"/>
          <w:lang w:val="zh-CN"/>
        </w:rPr>
      </w:pPr>
    </w:p>
    <w:p w14:paraId="1E8AC17A">
      <w:pPr>
        <w:pStyle w:val="45"/>
        <w:spacing w:before="159"/>
        <w:ind w:firstLine="0"/>
        <w:rPr>
          <w:rFonts w:hint="eastAsia" w:ascii="宋体" w:hAnsi="宋体" w:eastAsia="宋体" w:cs="宋体"/>
          <w:lang w:val="zh-CN"/>
        </w:rPr>
      </w:pPr>
    </w:p>
    <w:p w14:paraId="3A2B894D">
      <w:pPr>
        <w:pStyle w:val="45"/>
        <w:spacing w:before="159"/>
        <w:ind w:firstLine="0"/>
        <w:rPr>
          <w:rFonts w:hint="eastAsia" w:ascii="宋体" w:hAnsi="宋体" w:eastAsia="宋体" w:cs="宋体"/>
          <w:lang w:val="zh-CN"/>
        </w:rPr>
      </w:pPr>
    </w:p>
    <w:p w14:paraId="1E7D2262">
      <w:pPr>
        <w:pStyle w:val="45"/>
        <w:spacing w:before="159"/>
        <w:ind w:firstLine="0"/>
        <w:rPr>
          <w:rFonts w:hint="eastAsia" w:ascii="宋体" w:hAnsi="宋体" w:eastAsia="宋体" w:cs="宋体"/>
          <w:lang w:val="zh-CN"/>
        </w:rPr>
      </w:pPr>
    </w:p>
    <w:p w14:paraId="2DEFCF4B">
      <w:pPr>
        <w:pStyle w:val="45"/>
        <w:spacing w:before="159"/>
        <w:ind w:firstLine="0"/>
        <w:rPr>
          <w:rFonts w:hint="eastAsia" w:ascii="宋体" w:hAnsi="宋体" w:eastAsia="宋体" w:cs="宋体"/>
          <w:lang w:val="zh-CN"/>
        </w:rPr>
      </w:pPr>
    </w:p>
    <w:p w14:paraId="675BA9B0">
      <w:pPr>
        <w:pStyle w:val="45"/>
        <w:spacing w:before="159"/>
        <w:ind w:firstLine="0"/>
        <w:rPr>
          <w:rFonts w:hint="eastAsia" w:ascii="宋体" w:hAnsi="宋体" w:eastAsia="宋体" w:cs="宋体"/>
          <w:lang w:val="zh-CN"/>
        </w:rPr>
      </w:pPr>
    </w:p>
    <w:p w14:paraId="2AD6701B">
      <w:pPr>
        <w:pStyle w:val="45"/>
        <w:spacing w:before="159"/>
        <w:ind w:firstLine="0"/>
        <w:rPr>
          <w:rFonts w:hint="eastAsia" w:ascii="宋体" w:hAnsi="宋体" w:eastAsia="宋体" w:cs="宋体"/>
          <w:lang w:val="zh-CN"/>
        </w:rPr>
      </w:pPr>
    </w:p>
    <w:p w14:paraId="042F7A48">
      <w:pPr>
        <w:pStyle w:val="45"/>
        <w:spacing w:before="159"/>
        <w:ind w:firstLine="0"/>
        <w:rPr>
          <w:rFonts w:hint="eastAsia" w:ascii="宋体" w:hAnsi="宋体" w:eastAsia="宋体" w:cs="宋体"/>
          <w:lang w:val="zh-CN"/>
        </w:rPr>
      </w:pPr>
    </w:p>
    <w:p w14:paraId="691E2ECA">
      <w:pPr>
        <w:pStyle w:val="45"/>
        <w:spacing w:before="159"/>
        <w:ind w:firstLine="0"/>
        <w:rPr>
          <w:rFonts w:hint="eastAsia" w:ascii="宋体" w:hAnsi="宋体" w:eastAsia="宋体" w:cs="宋体"/>
          <w:lang w:val="zh-CN"/>
        </w:rPr>
      </w:pPr>
    </w:p>
    <w:p w14:paraId="545C4CB5">
      <w:pPr>
        <w:pStyle w:val="45"/>
        <w:spacing w:before="159"/>
        <w:ind w:firstLine="0"/>
        <w:rPr>
          <w:rFonts w:hint="eastAsia" w:ascii="宋体" w:hAnsi="宋体" w:eastAsia="宋体" w:cs="宋体"/>
          <w:lang w:val="zh-CN"/>
        </w:rPr>
      </w:pPr>
    </w:p>
    <w:p w14:paraId="018DF48E">
      <w:pPr>
        <w:pStyle w:val="45"/>
        <w:spacing w:before="159"/>
        <w:ind w:firstLine="0"/>
        <w:rPr>
          <w:rFonts w:hint="eastAsia" w:ascii="宋体" w:hAnsi="宋体" w:eastAsia="宋体" w:cs="宋体"/>
          <w:lang w:val="zh-CN"/>
        </w:rPr>
      </w:pPr>
    </w:p>
    <w:p w14:paraId="3A327CE5">
      <w:pPr>
        <w:pStyle w:val="45"/>
        <w:spacing w:before="159"/>
        <w:ind w:firstLine="0"/>
        <w:rPr>
          <w:rFonts w:hint="eastAsia" w:ascii="宋体" w:hAnsi="宋体" w:eastAsia="宋体" w:cs="宋体"/>
          <w:lang w:val="zh-CN"/>
        </w:rPr>
      </w:pPr>
    </w:p>
    <w:p w14:paraId="2ECD862B">
      <w:pPr>
        <w:pStyle w:val="45"/>
        <w:spacing w:before="159"/>
        <w:ind w:firstLine="0"/>
        <w:rPr>
          <w:rFonts w:hint="eastAsia" w:ascii="宋体" w:hAnsi="宋体" w:eastAsia="宋体" w:cs="宋体"/>
          <w:lang w:val="zh-CN"/>
        </w:rPr>
      </w:pPr>
    </w:p>
    <w:p w14:paraId="06C5C786">
      <w:pPr>
        <w:pStyle w:val="45"/>
        <w:spacing w:before="159"/>
        <w:ind w:firstLine="0"/>
        <w:rPr>
          <w:rFonts w:hint="eastAsia" w:ascii="宋体" w:hAnsi="宋体" w:eastAsia="宋体" w:cs="宋体"/>
          <w:lang w:val="zh-CN"/>
        </w:rPr>
      </w:pPr>
    </w:p>
    <w:p w14:paraId="16B61C46">
      <w:pPr>
        <w:pStyle w:val="45"/>
        <w:spacing w:before="159"/>
        <w:ind w:firstLine="0"/>
        <w:rPr>
          <w:rFonts w:hint="eastAsia" w:ascii="宋体" w:hAnsi="宋体" w:eastAsia="宋体" w:cs="宋体"/>
          <w:lang w:val="zh-CN"/>
        </w:rPr>
      </w:pPr>
    </w:p>
    <w:p w14:paraId="77B38A16">
      <w:pPr>
        <w:pStyle w:val="45"/>
        <w:spacing w:before="159"/>
        <w:ind w:firstLine="0"/>
        <w:rPr>
          <w:rFonts w:hint="eastAsia" w:ascii="宋体" w:hAnsi="宋体" w:eastAsia="宋体" w:cs="宋体"/>
          <w:lang w:val="zh-CN"/>
        </w:rPr>
      </w:pPr>
    </w:p>
    <w:p w14:paraId="5F2F5790">
      <w:pPr>
        <w:pStyle w:val="45"/>
        <w:spacing w:before="159"/>
        <w:ind w:firstLine="0"/>
        <w:rPr>
          <w:rFonts w:hint="eastAsia" w:ascii="宋体" w:hAnsi="宋体" w:eastAsia="宋体" w:cs="宋体"/>
          <w:lang w:val="zh-CN"/>
        </w:rPr>
      </w:pPr>
    </w:p>
    <w:p w14:paraId="6B5DD4A7">
      <w:pPr>
        <w:pStyle w:val="45"/>
        <w:spacing w:before="159"/>
        <w:ind w:firstLine="0"/>
        <w:rPr>
          <w:rFonts w:hint="eastAsia" w:ascii="宋体" w:hAnsi="宋体" w:eastAsia="宋体" w:cs="宋体"/>
          <w:lang w:val="zh-CN"/>
        </w:rPr>
      </w:pPr>
    </w:p>
    <w:p w14:paraId="4142112C">
      <w:pPr>
        <w:pStyle w:val="45"/>
        <w:spacing w:before="159"/>
        <w:ind w:firstLine="0"/>
        <w:rPr>
          <w:rFonts w:hint="eastAsia" w:ascii="宋体" w:hAnsi="宋体" w:eastAsia="宋体" w:cs="宋体"/>
          <w:lang w:val="zh-CN"/>
        </w:rPr>
      </w:pPr>
    </w:p>
    <w:p w14:paraId="0218B827">
      <w:pPr>
        <w:pStyle w:val="45"/>
        <w:spacing w:before="159"/>
        <w:ind w:firstLine="0"/>
        <w:rPr>
          <w:rFonts w:hint="eastAsia" w:ascii="宋体" w:hAnsi="宋体" w:eastAsia="宋体" w:cs="宋体"/>
          <w:lang w:val="zh-CN"/>
        </w:rPr>
      </w:pPr>
    </w:p>
    <w:p w14:paraId="3C78AB13">
      <w:pPr>
        <w:snapToGrid w:val="0"/>
        <w:spacing w:before="159" w:beforeLines="50" w:after="50" w:line="360" w:lineRule="auto"/>
        <w:rPr>
          <w:rFonts w:hint="eastAsia" w:ascii="宋体" w:hAnsi="宋体" w:eastAsia="宋体" w:cs="宋体"/>
          <w:b/>
          <w:sz w:val="20"/>
          <w:szCs w:val="20"/>
          <w:lang w:val="zh-CN"/>
        </w:rPr>
      </w:pPr>
      <w:r>
        <w:rPr>
          <w:rFonts w:hint="eastAsia" w:ascii="宋体" w:hAnsi="宋体" w:eastAsia="宋体" w:cs="宋体"/>
          <w:b/>
          <w:sz w:val="24"/>
          <w:szCs w:val="22"/>
        </w:rPr>
        <w:t xml:space="preserve">附件9 </w:t>
      </w:r>
      <w:r>
        <w:rPr>
          <w:rFonts w:hint="eastAsia" w:ascii="宋体" w:hAnsi="宋体" w:eastAsia="宋体" w:cs="宋体"/>
          <w:b/>
          <w:sz w:val="28"/>
          <w:szCs w:val="28"/>
        </w:rPr>
        <w:t xml:space="preserve">             首次报价一览表</w:t>
      </w:r>
    </w:p>
    <w:p w14:paraId="3A849546">
      <w:pPr>
        <w:autoSpaceDE w:val="0"/>
        <w:autoSpaceDN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 xml:space="preserve">  项目编号：</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 xml:space="preserve">  投标人名称：</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 xml:space="preserve">  单位：元</w:t>
      </w:r>
    </w:p>
    <w:tbl>
      <w:tblPr>
        <w:tblStyle w:val="33"/>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886"/>
        <w:gridCol w:w="2233"/>
      </w:tblGrid>
      <w:tr w14:paraId="61FB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062" w:type="dxa"/>
            <w:noWrap w:val="0"/>
            <w:vAlign w:val="center"/>
          </w:tcPr>
          <w:p w14:paraId="3B47FACE">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3886" w:type="dxa"/>
            <w:noWrap w:val="0"/>
            <w:vAlign w:val="center"/>
          </w:tcPr>
          <w:p w14:paraId="7AD34A6B">
            <w:pPr>
              <w:spacing w:line="360" w:lineRule="auto"/>
              <w:jc w:val="center"/>
              <w:rPr>
                <w:rFonts w:hint="eastAsia" w:ascii="宋体" w:hAnsi="宋体" w:eastAsia="宋体" w:cs="宋体"/>
                <w:sz w:val="24"/>
              </w:rPr>
            </w:pPr>
            <w:r>
              <w:rPr>
                <w:rFonts w:hint="eastAsia" w:ascii="宋体" w:hAnsi="宋体" w:eastAsia="宋体" w:cs="宋体"/>
                <w:sz w:val="24"/>
              </w:rPr>
              <w:t>投标价（元）</w:t>
            </w:r>
          </w:p>
        </w:tc>
        <w:tc>
          <w:tcPr>
            <w:tcW w:w="2233" w:type="dxa"/>
            <w:noWrap w:val="0"/>
            <w:vAlign w:val="center"/>
          </w:tcPr>
          <w:p w14:paraId="4CD36F8C">
            <w:pPr>
              <w:spacing w:line="360" w:lineRule="auto"/>
              <w:ind w:firstLine="823" w:firstLineChars="343"/>
              <w:rPr>
                <w:rFonts w:hint="eastAsia" w:ascii="宋体" w:hAnsi="宋体" w:eastAsia="宋体" w:cs="宋体"/>
                <w:sz w:val="24"/>
              </w:rPr>
            </w:pPr>
            <w:r>
              <w:rPr>
                <w:rFonts w:hint="eastAsia" w:ascii="宋体" w:hAnsi="宋体" w:eastAsia="宋体" w:cs="宋体"/>
                <w:sz w:val="24"/>
              </w:rPr>
              <w:t>备注</w:t>
            </w:r>
          </w:p>
        </w:tc>
      </w:tr>
      <w:tr w14:paraId="3A6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3062" w:type="dxa"/>
            <w:noWrap w:val="0"/>
            <w:vAlign w:val="center"/>
          </w:tcPr>
          <w:p w14:paraId="09CC4EF7">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黄岩区应急能力提升工程（防汛乡镇村指挥会商系统）服务项目</w:t>
            </w:r>
          </w:p>
        </w:tc>
        <w:tc>
          <w:tcPr>
            <w:tcW w:w="3886" w:type="dxa"/>
            <w:noWrap w:val="0"/>
            <w:vAlign w:val="center"/>
          </w:tcPr>
          <w:p w14:paraId="4A468885">
            <w:pPr>
              <w:spacing w:line="360" w:lineRule="auto"/>
              <w:ind w:firstLine="235" w:firstLineChars="98"/>
              <w:rPr>
                <w:rFonts w:hint="eastAsia" w:ascii="宋体" w:hAnsi="宋体" w:eastAsia="宋体" w:cs="宋体"/>
                <w:sz w:val="24"/>
              </w:rPr>
            </w:pPr>
            <w:r>
              <w:rPr>
                <w:rFonts w:hint="eastAsia" w:ascii="宋体" w:hAnsi="宋体" w:eastAsia="宋体" w:cs="宋体"/>
                <w:sz w:val="24"/>
              </w:rPr>
              <w:t>大写：</w:t>
            </w:r>
          </w:p>
          <w:p w14:paraId="50929A92">
            <w:pPr>
              <w:spacing w:line="360" w:lineRule="auto"/>
              <w:ind w:firstLine="235" w:firstLineChars="98"/>
              <w:rPr>
                <w:rFonts w:hint="eastAsia" w:ascii="宋体" w:hAnsi="宋体" w:eastAsia="宋体" w:cs="宋体"/>
                <w:sz w:val="24"/>
              </w:rPr>
            </w:pPr>
            <w:r>
              <w:rPr>
                <w:rFonts w:hint="eastAsia" w:ascii="宋体" w:hAnsi="宋体" w:eastAsia="宋体" w:cs="宋体"/>
                <w:sz w:val="24"/>
              </w:rPr>
              <w:t>小写：</w:t>
            </w:r>
          </w:p>
        </w:tc>
        <w:tc>
          <w:tcPr>
            <w:tcW w:w="2233" w:type="dxa"/>
            <w:noWrap w:val="0"/>
            <w:vAlign w:val="center"/>
          </w:tcPr>
          <w:p w14:paraId="4EF943F0">
            <w:pPr>
              <w:spacing w:line="360" w:lineRule="auto"/>
              <w:rPr>
                <w:rFonts w:hint="eastAsia" w:ascii="宋体" w:hAnsi="宋体" w:eastAsia="宋体" w:cs="宋体"/>
                <w:sz w:val="24"/>
              </w:rPr>
            </w:pPr>
            <w:r>
              <w:rPr>
                <w:rFonts w:hint="eastAsia" w:ascii="宋体" w:hAnsi="宋体" w:eastAsia="宋体" w:cs="宋体"/>
                <w:sz w:val="24"/>
              </w:rPr>
              <w:t xml:space="preserve">         </w:t>
            </w:r>
          </w:p>
        </w:tc>
      </w:tr>
    </w:tbl>
    <w:p w14:paraId="1C046F55">
      <w:pPr>
        <w:spacing w:line="360" w:lineRule="auto"/>
        <w:rPr>
          <w:rFonts w:hint="eastAsia" w:ascii="宋体" w:hAnsi="宋体" w:eastAsia="宋体" w:cs="宋体"/>
          <w:bCs/>
          <w:sz w:val="22"/>
          <w:szCs w:val="22"/>
        </w:rPr>
      </w:pPr>
      <w:r>
        <w:rPr>
          <w:rFonts w:hint="eastAsia" w:ascii="宋体" w:hAnsi="宋体" w:eastAsia="宋体" w:cs="宋体"/>
          <w:bCs/>
          <w:sz w:val="22"/>
          <w:szCs w:val="22"/>
        </w:rPr>
        <w:t>注：1、本项目投标报价应包括人工费、服务费、管理费、专家评审费、各类保险、各类加班费、夜班费、利润、税金、代理费用及不可预见费用及合同明示或暗示的所有风险、责任、义务等各项应有的费用。投标人应考虑企业自身实力、经验及项目实施过程中的各种因素，在投标报价中应充分考虑所有可能发生的费用，否则采购人将视投标总价中已包括所有费用。</w:t>
      </w:r>
    </w:p>
    <w:p w14:paraId="672424A7">
      <w:pPr>
        <w:pStyle w:val="17"/>
        <w:adjustRightInd w:val="0"/>
        <w:snapToGrid w:val="0"/>
        <w:spacing w:line="360" w:lineRule="auto"/>
        <w:ind w:firstLine="420"/>
        <w:rPr>
          <w:rFonts w:hint="eastAsia" w:ascii="宋体" w:hAnsi="宋体" w:eastAsia="宋体" w:cs="宋体"/>
          <w:b/>
          <w:sz w:val="22"/>
          <w:szCs w:val="20"/>
        </w:rPr>
      </w:pPr>
      <w:r>
        <w:rPr>
          <w:rFonts w:hint="eastAsia" w:ascii="宋体" w:hAnsi="宋体" w:eastAsia="宋体" w:cs="宋体"/>
          <w:bCs/>
          <w:sz w:val="22"/>
          <w:szCs w:val="22"/>
        </w:rPr>
        <w:t>2、开标一览表，要求按格式填写，统一规范，不得自行增减内容。</w:t>
      </w:r>
    </w:p>
    <w:p w14:paraId="4CE85E47">
      <w:pPr>
        <w:spacing w:line="360" w:lineRule="auto"/>
        <w:ind w:left="420"/>
        <w:rPr>
          <w:rFonts w:hint="eastAsia" w:ascii="宋体" w:hAnsi="宋体" w:eastAsia="宋体" w:cs="宋体"/>
          <w:sz w:val="22"/>
          <w:szCs w:val="22"/>
        </w:rPr>
      </w:pPr>
      <w:r>
        <w:rPr>
          <w:rFonts w:hint="eastAsia" w:ascii="宋体" w:hAnsi="宋体" w:eastAsia="宋体" w:cs="宋体"/>
          <w:sz w:val="22"/>
          <w:szCs w:val="22"/>
        </w:rPr>
        <w:t>磋商投标人名称（盖章）：</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193959DE">
      <w:pPr>
        <w:spacing w:line="360" w:lineRule="auto"/>
        <w:ind w:firstLine="435"/>
        <w:rPr>
          <w:rFonts w:hint="eastAsia" w:ascii="宋体" w:hAnsi="宋体" w:eastAsia="宋体" w:cs="宋体"/>
          <w:sz w:val="22"/>
          <w:szCs w:val="22"/>
        </w:rPr>
      </w:pPr>
      <w:r>
        <w:rPr>
          <w:rFonts w:hint="eastAsia" w:ascii="宋体" w:hAnsi="宋体" w:eastAsia="宋体" w:cs="宋体"/>
          <w:sz w:val="22"/>
          <w:szCs w:val="22"/>
        </w:rPr>
        <w:t>磋商投标人代表签字：</w:t>
      </w:r>
      <w:r>
        <w:rPr>
          <w:rFonts w:hint="eastAsia" w:ascii="宋体" w:hAnsi="宋体" w:eastAsia="宋体" w:cs="宋体"/>
          <w:sz w:val="22"/>
          <w:szCs w:val="22"/>
          <w:u w:val="single"/>
        </w:rPr>
        <w:t xml:space="preserve">                          </w:t>
      </w:r>
    </w:p>
    <w:p w14:paraId="365A1C70">
      <w:pPr>
        <w:pStyle w:val="9"/>
        <w:overflowPunct w:val="0"/>
        <w:spacing w:line="360" w:lineRule="auto"/>
        <w:ind w:firstLine="1104" w:firstLineChars="500"/>
        <w:rPr>
          <w:rFonts w:hint="eastAsia" w:ascii="宋体" w:hAnsi="宋体" w:eastAsia="宋体" w:cs="宋体"/>
          <w:b/>
          <w:sz w:val="22"/>
          <w:szCs w:val="22"/>
          <w:lang w:val="zh-CN"/>
        </w:rPr>
      </w:pPr>
      <w:r>
        <w:rPr>
          <w:rFonts w:hint="eastAsia" w:ascii="宋体" w:hAnsi="宋体" w:eastAsia="宋体" w:cs="宋体"/>
          <w:b/>
          <w:sz w:val="22"/>
          <w:szCs w:val="20"/>
          <w:lang w:val="zh-CN"/>
        </w:rPr>
        <w:t xml:space="preserve">              </w:t>
      </w:r>
      <w:r>
        <w:rPr>
          <w:rFonts w:hint="eastAsia" w:ascii="宋体" w:hAnsi="宋体" w:eastAsia="宋体" w:cs="宋体"/>
          <w:b/>
          <w:sz w:val="22"/>
          <w:szCs w:val="22"/>
          <w:lang w:val="zh-CN"/>
        </w:rPr>
        <w:t xml:space="preserve">                 </w:t>
      </w:r>
    </w:p>
    <w:p w14:paraId="3589CDBA">
      <w:pPr>
        <w:pStyle w:val="9"/>
        <w:overflowPunct w:val="0"/>
        <w:spacing w:line="360" w:lineRule="auto"/>
        <w:ind w:firstLine="4441" w:firstLineChars="2019"/>
        <w:rPr>
          <w:rFonts w:hint="eastAsia" w:ascii="宋体" w:hAnsi="宋体" w:eastAsia="宋体" w:cs="宋体"/>
          <w:sz w:val="22"/>
          <w:szCs w:val="22"/>
        </w:rPr>
      </w:pPr>
      <w:r>
        <w:rPr>
          <w:rFonts w:hint="eastAsia" w:ascii="宋体" w:hAnsi="宋体" w:eastAsia="宋体" w:cs="宋体"/>
          <w:sz w:val="22"/>
          <w:szCs w:val="22"/>
          <w:lang w:val="zh-CN"/>
        </w:rPr>
        <w:t xml:space="preserve"> </w:t>
      </w:r>
      <w:r>
        <w:rPr>
          <w:rFonts w:hint="eastAsia" w:ascii="宋体" w:hAnsi="宋体" w:eastAsia="宋体" w:cs="宋体"/>
          <w:sz w:val="22"/>
          <w:szCs w:val="22"/>
        </w:rPr>
        <w:t>年   月   日</w:t>
      </w:r>
    </w:p>
    <w:p w14:paraId="5B3F6569">
      <w:pPr>
        <w:rPr>
          <w:rFonts w:hint="eastAsia" w:ascii="宋体" w:hAnsi="宋体" w:eastAsia="宋体" w:cs="宋体"/>
        </w:rPr>
      </w:pPr>
    </w:p>
    <w:p w14:paraId="57BF8947">
      <w:pPr>
        <w:pStyle w:val="9"/>
        <w:ind w:firstLine="480"/>
        <w:rPr>
          <w:rFonts w:hint="eastAsia" w:ascii="宋体" w:hAnsi="宋体" w:eastAsia="宋体" w:cs="宋体"/>
        </w:rPr>
      </w:pPr>
    </w:p>
    <w:p w14:paraId="1071B636">
      <w:pPr>
        <w:rPr>
          <w:rFonts w:hint="eastAsia" w:ascii="宋体" w:hAnsi="宋体" w:eastAsia="宋体" w:cs="宋体"/>
        </w:rPr>
      </w:pPr>
    </w:p>
    <w:p w14:paraId="23C9A959">
      <w:pPr>
        <w:snapToGrid w:val="0"/>
        <w:spacing w:before="159" w:beforeLines="50" w:after="50" w:line="360" w:lineRule="auto"/>
        <w:jc w:val="left"/>
        <w:rPr>
          <w:rFonts w:hint="eastAsia" w:ascii="宋体" w:hAnsi="宋体" w:eastAsia="宋体" w:cs="宋体"/>
          <w:b/>
          <w:sz w:val="24"/>
          <w:szCs w:val="22"/>
        </w:rPr>
      </w:pPr>
    </w:p>
    <w:p w14:paraId="2FCCCF72">
      <w:pPr>
        <w:snapToGrid w:val="0"/>
        <w:spacing w:before="159" w:beforeLines="50" w:after="50" w:line="360" w:lineRule="auto"/>
        <w:jc w:val="left"/>
        <w:rPr>
          <w:rFonts w:hint="eastAsia" w:ascii="宋体" w:hAnsi="宋体" w:eastAsia="宋体" w:cs="宋体"/>
          <w:b/>
          <w:sz w:val="24"/>
          <w:szCs w:val="22"/>
        </w:rPr>
      </w:pPr>
    </w:p>
    <w:p w14:paraId="0F1568B2">
      <w:pPr>
        <w:snapToGrid w:val="0"/>
        <w:spacing w:before="159" w:beforeLines="50" w:after="50" w:line="360" w:lineRule="auto"/>
        <w:jc w:val="left"/>
        <w:rPr>
          <w:rFonts w:hint="eastAsia" w:ascii="宋体" w:hAnsi="宋体" w:eastAsia="宋体" w:cs="宋体"/>
          <w:b/>
          <w:sz w:val="24"/>
          <w:szCs w:val="22"/>
        </w:rPr>
      </w:pPr>
    </w:p>
    <w:p w14:paraId="3081B2DF">
      <w:pPr>
        <w:snapToGrid w:val="0"/>
        <w:spacing w:before="159" w:beforeLines="50" w:after="50" w:line="360" w:lineRule="auto"/>
        <w:jc w:val="left"/>
        <w:rPr>
          <w:rFonts w:hint="eastAsia" w:ascii="宋体" w:hAnsi="宋体" w:eastAsia="宋体" w:cs="宋体"/>
          <w:b/>
          <w:sz w:val="24"/>
          <w:szCs w:val="22"/>
        </w:rPr>
      </w:pPr>
    </w:p>
    <w:p w14:paraId="23991FA0">
      <w:pPr>
        <w:snapToGrid w:val="0"/>
        <w:spacing w:before="159" w:beforeLines="50" w:after="50" w:line="360" w:lineRule="auto"/>
        <w:jc w:val="left"/>
        <w:rPr>
          <w:rFonts w:hint="eastAsia" w:ascii="宋体" w:hAnsi="宋体" w:eastAsia="宋体" w:cs="宋体"/>
          <w:b/>
          <w:sz w:val="24"/>
          <w:szCs w:val="22"/>
        </w:rPr>
      </w:pPr>
    </w:p>
    <w:p w14:paraId="665EDF33">
      <w:pPr>
        <w:snapToGrid w:val="0"/>
        <w:spacing w:before="159" w:beforeLines="50" w:after="50" w:line="360" w:lineRule="auto"/>
        <w:jc w:val="left"/>
        <w:rPr>
          <w:rFonts w:hint="eastAsia" w:ascii="宋体" w:hAnsi="宋体" w:eastAsia="宋体" w:cs="宋体"/>
          <w:b/>
          <w:sz w:val="24"/>
          <w:szCs w:val="22"/>
        </w:rPr>
      </w:pPr>
    </w:p>
    <w:p w14:paraId="4D67FC59">
      <w:pPr>
        <w:snapToGrid w:val="0"/>
        <w:spacing w:before="159" w:beforeLines="50" w:after="50" w:line="360" w:lineRule="auto"/>
        <w:jc w:val="left"/>
        <w:rPr>
          <w:rFonts w:hint="eastAsia" w:ascii="宋体" w:hAnsi="宋体" w:eastAsia="宋体" w:cs="宋体"/>
          <w:b/>
          <w:sz w:val="24"/>
          <w:szCs w:val="22"/>
        </w:rPr>
      </w:pPr>
      <w:r>
        <w:rPr>
          <w:rFonts w:hint="eastAsia" w:ascii="宋体" w:hAnsi="宋体" w:eastAsia="宋体" w:cs="宋体"/>
          <w:b/>
          <w:sz w:val="24"/>
          <w:szCs w:val="22"/>
        </w:rPr>
        <w:t>附件10</w:t>
      </w:r>
    </w:p>
    <w:p w14:paraId="007FC302">
      <w:pPr>
        <w:rPr>
          <w:rFonts w:hint="eastAsia" w:ascii="宋体" w:hAnsi="宋体" w:eastAsia="宋体" w:cs="宋体"/>
          <w:sz w:val="20"/>
          <w:szCs w:val="22"/>
        </w:rPr>
      </w:pPr>
    </w:p>
    <w:p w14:paraId="289036E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中小企业声明函（工程、服务）</w:t>
      </w:r>
    </w:p>
    <w:p w14:paraId="53A824A8">
      <w:pPr>
        <w:spacing w:line="36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本公司郑重声明，根据《政府采购促进中小企业发展管理办法》（财库﹝2020﹞46 号）的规定，本公司参加</w:t>
      </w:r>
      <w:r>
        <w:rPr>
          <w:rFonts w:hint="eastAsia" w:ascii="宋体" w:hAnsi="宋体" w:eastAsia="宋体" w:cs="宋体"/>
          <w:bCs/>
          <w:sz w:val="22"/>
          <w:szCs w:val="22"/>
          <w:u w:val="single"/>
        </w:rPr>
        <w:t>（单位名称）</w:t>
      </w:r>
      <w:r>
        <w:rPr>
          <w:rFonts w:hint="eastAsia" w:ascii="宋体" w:hAnsi="宋体" w:eastAsia="宋体" w:cs="宋体"/>
          <w:bCs/>
          <w:sz w:val="22"/>
          <w:szCs w:val="22"/>
        </w:rPr>
        <w:t>的</w:t>
      </w:r>
      <w:r>
        <w:rPr>
          <w:rFonts w:hint="eastAsia" w:ascii="宋体" w:hAnsi="宋体" w:eastAsia="宋体" w:cs="宋体"/>
          <w:bCs/>
          <w:sz w:val="22"/>
          <w:szCs w:val="22"/>
          <w:u w:val="single"/>
        </w:rPr>
        <w:t>（项目名称）</w:t>
      </w:r>
      <w:r>
        <w:rPr>
          <w:rFonts w:hint="eastAsia" w:ascii="宋体" w:hAnsi="宋体" w:eastAsia="宋体" w:cs="宋体"/>
          <w:bCs/>
          <w:sz w:val="22"/>
          <w:szCs w:val="22"/>
        </w:rPr>
        <w:t>采购活动，工程的施工单位全部为符合政策要求的中小企业（或者：服务全部由符合政策要求的中小企业承接）。相关企业的具体情况如下：</w:t>
      </w:r>
    </w:p>
    <w:p w14:paraId="2DC15553">
      <w:pPr>
        <w:spacing w:line="36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1.</w:t>
      </w:r>
      <w:r>
        <w:rPr>
          <w:rFonts w:hint="eastAsia" w:ascii="宋体" w:hAnsi="宋体" w:eastAsia="宋体" w:cs="宋体"/>
          <w:bCs/>
          <w:sz w:val="22"/>
          <w:szCs w:val="22"/>
          <w:u w:val="single"/>
        </w:rPr>
        <w:t>（标的名称）</w:t>
      </w:r>
      <w:r>
        <w:rPr>
          <w:rFonts w:hint="eastAsia" w:ascii="宋体" w:hAnsi="宋体" w:eastAsia="宋体" w:cs="宋体"/>
          <w:bCs/>
          <w:sz w:val="22"/>
          <w:szCs w:val="22"/>
        </w:rPr>
        <w:t>，属于</w:t>
      </w:r>
      <w:r>
        <w:rPr>
          <w:rFonts w:hint="eastAsia" w:ascii="宋体" w:hAnsi="宋体" w:eastAsia="宋体" w:cs="宋体"/>
          <w:bCs/>
          <w:sz w:val="22"/>
          <w:szCs w:val="22"/>
          <w:u w:val="single"/>
        </w:rPr>
        <w:t>（磋商文件中明确的所属行业）</w:t>
      </w:r>
      <w:r>
        <w:rPr>
          <w:rFonts w:hint="eastAsia" w:ascii="宋体" w:hAnsi="宋体" w:eastAsia="宋体" w:cs="宋体"/>
          <w:bCs/>
          <w:sz w:val="22"/>
          <w:szCs w:val="22"/>
        </w:rPr>
        <w:t>；承建（承接）企业为</w:t>
      </w:r>
      <w:r>
        <w:rPr>
          <w:rFonts w:hint="eastAsia" w:ascii="宋体" w:hAnsi="宋体" w:eastAsia="宋体" w:cs="宋体"/>
          <w:bCs/>
          <w:sz w:val="22"/>
          <w:szCs w:val="22"/>
          <w:u w:val="single"/>
        </w:rPr>
        <w:t>（企业名称）</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w:t>
      </w:r>
      <w:r>
        <w:rPr>
          <w:rStyle w:val="39"/>
          <w:rFonts w:hint="eastAsia" w:ascii="宋体" w:hAnsi="宋体" w:eastAsia="宋体" w:cs="宋体"/>
          <w:bCs/>
          <w:sz w:val="22"/>
          <w:szCs w:val="22"/>
        </w:rPr>
        <w:footnoteReference w:id="0"/>
      </w:r>
      <w:r>
        <w:rPr>
          <w:rFonts w:hint="eastAsia" w:ascii="宋体" w:hAnsi="宋体" w:eastAsia="宋体" w:cs="宋体"/>
          <w:bCs/>
          <w:sz w:val="22"/>
          <w:szCs w:val="22"/>
        </w:rPr>
        <w:t>，属于</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（中型企业、小型企业、微型企业）；</w:t>
      </w:r>
    </w:p>
    <w:p w14:paraId="3E32B800">
      <w:pPr>
        <w:spacing w:line="36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以上企业，不属于大企业的分支机构，不存在控股股东为大企业的情形，也不存在与大企业的负责人为同一人的情形。</w:t>
      </w:r>
    </w:p>
    <w:p w14:paraId="37BC5651">
      <w:pPr>
        <w:spacing w:line="36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 xml:space="preserve">本企业对上述声明内容的真实性负责。如有虚假，将依法承担相应责任。 </w:t>
      </w:r>
    </w:p>
    <w:p w14:paraId="0D0C02E6">
      <w:pPr>
        <w:spacing w:line="360" w:lineRule="auto"/>
        <w:jc w:val="left"/>
        <w:rPr>
          <w:rFonts w:hint="eastAsia" w:ascii="宋体" w:hAnsi="宋体" w:eastAsia="宋体" w:cs="宋体"/>
          <w:bCs/>
          <w:sz w:val="22"/>
          <w:szCs w:val="22"/>
        </w:rPr>
      </w:pPr>
    </w:p>
    <w:p w14:paraId="55968D3B">
      <w:pPr>
        <w:pStyle w:val="29"/>
        <w:rPr>
          <w:rFonts w:hint="eastAsia" w:ascii="宋体" w:hAnsi="宋体" w:eastAsia="宋体" w:cs="宋体"/>
          <w:sz w:val="22"/>
          <w:szCs w:val="18"/>
        </w:rPr>
      </w:pPr>
    </w:p>
    <w:p w14:paraId="133C5D7F">
      <w:pPr>
        <w:spacing w:line="360" w:lineRule="auto"/>
        <w:ind w:firstLine="4400" w:firstLineChars="2000"/>
        <w:jc w:val="left"/>
        <w:rPr>
          <w:rFonts w:hint="eastAsia" w:ascii="宋体" w:hAnsi="宋体" w:eastAsia="宋体" w:cs="宋体"/>
          <w:bCs/>
          <w:sz w:val="22"/>
          <w:szCs w:val="22"/>
        </w:rPr>
      </w:pPr>
      <w:r>
        <w:rPr>
          <w:rFonts w:hint="eastAsia" w:ascii="宋体" w:hAnsi="宋体" w:eastAsia="宋体" w:cs="宋体"/>
          <w:bCs/>
          <w:sz w:val="22"/>
          <w:szCs w:val="22"/>
        </w:rPr>
        <w:t>企业名称（盖章）：</w:t>
      </w:r>
    </w:p>
    <w:p w14:paraId="6A2876F9">
      <w:pPr>
        <w:spacing w:line="360" w:lineRule="auto"/>
        <w:ind w:firstLine="4400" w:firstLineChars="2000"/>
        <w:jc w:val="left"/>
        <w:rPr>
          <w:rFonts w:hint="eastAsia" w:ascii="宋体" w:hAnsi="宋体" w:eastAsia="宋体" w:cs="宋体"/>
          <w:bCs/>
          <w:sz w:val="22"/>
          <w:szCs w:val="22"/>
        </w:rPr>
      </w:pPr>
      <w:r>
        <w:rPr>
          <w:rFonts w:hint="eastAsia" w:ascii="宋体" w:hAnsi="宋体" w:eastAsia="宋体" w:cs="宋体"/>
          <w:bCs/>
          <w:sz w:val="22"/>
          <w:szCs w:val="22"/>
        </w:rPr>
        <w:t>日 期：</w:t>
      </w:r>
    </w:p>
    <w:p w14:paraId="24483569">
      <w:pPr>
        <w:spacing w:line="360" w:lineRule="auto"/>
        <w:jc w:val="left"/>
        <w:rPr>
          <w:rFonts w:hint="eastAsia" w:ascii="宋体" w:hAnsi="宋体" w:eastAsia="宋体" w:cs="宋体"/>
          <w:bCs/>
          <w:sz w:val="22"/>
          <w:szCs w:val="22"/>
        </w:rPr>
      </w:pPr>
    </w:p>
    <w:p w14:paraId="6660DB9D">
      <w:pPr>
        <w:spacing w:line="360" w:lineRule="auto"/>
        <w:ind w:left="-2" w:hanging="2"/>
        <w:jc w:val="center"/>
        <w:rPr>
          <w:rFonts w:hint="eastAsia" w:ascii="宋体" w:hAnsi="宋体" w:eastAsia="宋体" w:cs="宋体"/>
          <w:b/>
          <w:sz w:val="28"/>
          <w:szCs w:val="28"/>
          <w:lang w:val="en-GB"/>
        </w:rPr>
      </w:pPr>
    </w:p>
    <w:p w14:paraId="100BABD9">
      <w:pPr>
        <w:spacing w:line="360" w:lineRule="auto"/>
        <w:ind w:left="-2" w:hanging="2"/>
        <w:jc w:val="center"/>
        <w:rPr>
          <w:rFonts w:hint="eastAsia" w:ascii="宋体" w:hAnsi="宋体" w:eastAsia="宋体" w:cs="宋体"/>
          <w:b/>
          <w:sz w:val="28"/>
          <w:szCs w:val="28"/>
          <w:lang w:val="en-GB"/>
        </w:rPr>
      </w:pPr>
    </w:p>
    <w:p w14:paraId="34D611AD">
      <w:pPr>
        <w:spacing w:line="360" w:lineRule="auto"/>
        <w:ind w:left="-2" w:hanging="2"/>
        <w:jc w:val="center"/>
        <w:rPr>
          <w:rFonts w:hint="eastAsia" w:ascii="宋体" w:hAnsi="宋体" w:eastAsia="宋体" w:cs="宋体"/>
          <w:b/>
          <w:sz w:val="28"/>
          <w:szCs w:val="28"/>
          <w:lang w:val="en-GB"/>
        </w:rPr>
      </w:pPr>
    </w:p>
    <w:p w14:paraId="04BA0BE1">
      <w:pPr>
        <w:spacing w:line="360" w:lineRule="auto"/>
        <w:ind w:left="-2" w:hanging="2"/>
        <w:jc w:val="center"/>
        <w:rPr>
          <w:rFonts w:hint="eastAsia" w:ascii="宋体" w:hAnsi="宋体" w:eastAsia="宋体" w:cs="宋体"/>
          <w:b/>
          <w:sz w:val="28"/>
          <w:szCs w:val="28"/>
          <w:lang w:val="en-GB"/>
        </w:rPr>
      </w:pPr>
    </w:p>
    <w:p w14:paraId="7283AD08">
      <w:pPr>
        <w:spacing w:line="360" w:lineRule="auto"/>
        <w:ind w:left="-2" w:hanging="2"/>
        <w:jc w:val="center"/>
        <w:rPr>
          <w:rFonts w:hint="eastAsia" w:ascii="宋体" w:hAnsi="宋体" w:eastAsia="宋体" w:cs="宋体"/>
          <w:b/>
          <w:sz w:val="28"/>
          <w:szCs w:val="28"/>
          <w:lang w:val="en-GB"/>
        </w:rPr>
      </w:pPr>
    </w:p>
    <w:p w14:paraId="7CBEE81C">
      <w:pPr>
        <w:spacing w:line="360" w:lineRule="auto"/>
        <w:ind w:left="-2" w:hanging="2"/>
        <w:jc w:val="center"/>
        <w:rPr>
          <w:rFonts w:hint="eastAsia" w:ascii="宋体" w:hAnsi="宋体" w:eastAsia="宋体" w:cs="宋体"/>
          <w:b/>
          <w:sz w:val="28"/>
          <w:szCs w:val="28"/>
          <w:lang w:val="en-GB"/>
        </w:rPr>
      </w:pPr>
    </w:p>
    <w:p w14:paraId="100165D6">
      <w:pPr>
        <w:spacing w:line="360" w:lineRule="auto"/>
        <w:ind w:left="-2" w:hanging="2"/>
        <w:jc w:val="center"/>
        <w:rPr>
          <w:rFonts w:hint="eastAsia" w:ascii="宋体" w:hAnsi="宋体" w:eastAsia="宋体" w:cs="宋体"/>
          <w:b/>
          <w:sz w:val="28"/>
          <w:szCs w:val="28"/>
          <w:lang w:val="en-GB"/>
        </w:rPr>
      </w:pPr>
    </w:p>
    <w:p w14:paraId="0A2BF3EC">
      <w:pPr>
        <w:spacing w:line="360" w:lineRule="auto"/>
        <w:ind w:left="-2" w:hanging="2"/>
        <w:jc w:val="center"/>
        <w:rPr>
          <w:rFonts w:hint="eastAsia" w:ascii="宋体" w:hAnsi="宋体" w:eastAsia="宋体" w:cs="宋体"/>
          <w:b/>
          <w:sz w:val="28"/>
          <w:szCs w:val="28"/>
          <w:lang w:val="en-GB"/>
        </w:rPr>
      </w:pPr>
    </w:p>
    <w:p w14:paraId="0C965C64">
      <w:pPr>
        <w:spacing w:line="360" w:lineRule="auto"/>
        <w:ind w:left="-2" w:hanging="2"/>
        <w:jc w:val="center"/>
        <w:rPr>
          <w:rFonts w:hint="eastAsia" w:ascii="宋体" w:hAnsi="宋体" w:eastAsia="宋体" w:cs="宋体"/>
          <w:b/>
          <w:sz w:val="28"/>
          <w:szCs w:val="28"/>
          <w:lang w:val="en-GB"/>
        </w:rPr>
      </w:pPr>
      <w:r>
        <w:rPr>
          <w:rFonts w:hint="eastAsia" w:ascii="宋体" w:hAnsi="宋体" w:eastAsia="宋体" w:cs="宋体"/>
          <w:b/>
          <w:sz w:val="28"/>
          <w:szCs w:val="28"/>
          <w:lang w:val="en-GB"/>
        </w:rPr>
        <w:t>残疾人福利性单位声明函</w:t>
      </w:r>
    </w:p>
    <w:p w14:paraId="7236873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5195A5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14:paraId="3B7DCC0B">
      <w:pPr>
        <w:spacing w:line="360" w:lineRule="auto"/>
        <w:ind w:firstLine="440" w:firstLineChars="200"/>
        <w:rPr>
          <w:rFonts w:hint="eastAsia" w:ascii="宋体" w:hAnsi="宋体" w:eastAsia="宋体" w:cs="宋体"/>
          <w:sz w:val="22"/>
          <w:szCs w:val="22"/>
        </w:rPr>
      </w:pPr>
    </w:p>
    <w:p w14:paraId="5B82664F">
      <w:pPr>
        <w:spacing w:line="360" w:lineRule="auto"/>
        <w:ind w:firstLine="2860" w:firstLineChars="1300"/>
        <w:jc w:val="left"/>
        <w:rPr>
          <w:rFonts w:hint="eastAsia" w:ascii="宋体" w:hAnsi="宋体" w:eastAsia="宋体" w:cs="宋体"/>
          <w:bCs/>
          <w:sz w:val="22"/>
          <w:szCs w:val="22"/>
        </w:rPr>
      </w:pPr>
      <w:r>
        <w:rPr>
          <w:rFonts w:hint="eastAsia" w:ascii="宋体" w:hAnsi="宋体" w:eastAsia="宋体" w:cs="宋体"/>
          <w:bCs/>
          <w:sz w:val="22"/>
          <w:szCs w:val="22"/>
        </w:rPr>
        <w:t>单位名称（单位公章）：</w:t>
      </w:r>
    </w:p>
    <w:p w14:paraId="1991909A">
      <w:pPr>
        <w:spacing w:line="360" w:lineRule="auto"/>
        <w:ind w:firstLine="4620" w:firstLineChars="2100"/>
        <w:rPr>
          <w:rFonts w:hint="eastAsia" w:ascii="宋体" w:hAnsi="宋体" w:eastAsia="宋体" w:cs="宋体"/>
          <w:sz w:val="24"/>
        </w:rPr>
      </w:pPr>
      <w:r>
        <w:rPr>
          <w:rFonts w:hint="eastAsia" w:ascii="宋体" w:hAnsi="宋体" w:eastAsia="宋体" w:cs="宋体"/>
          <w:bCs/>
          <w:sz w:val="22"/>
          <w:szCs w:val="22"/>
        </w:rPr>
        <w:t>日期：</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日</w:t>
      </w:r>
    </w:p>
    <w:p w14:paraId="46A02215">
      <w:pPr>
        <w:snapToGrid w:val="0"/>
        <w:spacing w:before="159" w:beforeLines="50" w:after="50" w:line="360" w:lineRule="auto"/>
        <w:rPr>
          <w:rFonts w:hint="eastAsia" w:ascii="宋体" w:hAnsi="宋体" w:eastAsia="宋体" w:cs="宋体"/>
          <w:b/>
          <w:sz w:val="24"/>
          <w:szCs w:val="22"/>
        </w:rPr>
      </w:pPr>
    </w:p>
    <w:p w14:paraId="4EAB3B16">
      <w:pPr>
        <w:snapToGrid w:val="0"/>
        <w:spacing w:before="159" w:beforeLines="50" w:after="50" w:line="360" w:lineRule="auto"/>
        <w:rPr>
          <w:rFonts w:hint="eastAsia" w:ascii="宋体" w:hAnsi="宋体" w:eastAsia="宋体" w:cs="宋体"/>
          <w:b/>
          <w:sz w:val="24"/>
          <w:szCs w:val="22"/>
        </w:rPr>
      </w:pPr>
    </w:p>
    <w:p w14:paraId="662CAAA4">
      <w:pPr>
        <w:rPr>
          <w:rFonts w:hint="eastAsia" w:ascii="宋体" w:hAnsi="宋体" w:eastAsia="宋体" w:cs="宋体"/>
        </w:rPr>
      </w:pPr>
    </w:p>
    <w:p w14:paraId="39ADD5C5">
      <w:pPr>
        <w:pStyle w:val="77"/>
        <w:widowControl w:val="0"/>
        <w:snapToGrid w:val="0"/>
        <w:spacing w:line="500" w:lineRule="exact"/>
        <w:jc w:val="center"/>
        <w:rPr>
          <w:rFonts w:hint="eastAsia" w:ascii="宋体" w:hAnsi="宋体" w:eastAsia="宋体" w:cs="宋体"/>
          <w:color w:val="000000"/>
          <w:sz w:val="32"/>
          <w:szCs w:val="32"/>
        </w:rPr>
      </w:pPr>
    </w:p>
    <w:p w14:paraId="25926D2F">
      <w:pPr>
        <w:pStyle w:val="77"/>
        <w:widowControl w:val="0"/>
        <w:snapToGrid w:val="0"/>
        <w:spacing w:line="500" w:lineRule="exact"/>
        <w:jc w:val="center"/>
        <w:rPr>
          <w:rFonts w:hint="eastAsia" w:ascii="宋体" w:hAnsi="宋体" w:eastAsia="宋体" w:cs="宋体"/>
          <w:color w:val="000000"/>
          <w:sz w:val="32"/>
          <w:szCs w:val="32"/>
        </w:rPr>
      </w:pPr>
    </w:p>
    <w:p w14:paraId="66371FAC">
      <w:pPr>
        <w:pStyle w:val="77"/>
        <w:widowControl w:val="0"/>
        <w:snapToGrid w:val="0"/>
        <w:spacing w:line="500" w:lineRule="exact"/>
        <w:jc w:val="center"/>
        <w:rPr>
          <w:rFonts w:hint="eastAsia" w:ascii="宋体" w:hAnsi="宋体" w:eastAsia="宋体" w:cs="宋体"/>
          <w:color w:val="000000"/>
          <w:sz w:val="32"/>
          <w:szCs w:val="32"/>
        </w:rPr>
      </w:pPr>
    </w:p>
    <w:p w14:paraId="0AC3CE26">
      <w:pPr>
        <w:pStyle w:val="77"/>
        <w:widowControl w:val="0"/>
        <w:snapToGrid w:val="0"/>
        <w:spacing w:line="500" w:lineRule="exact"/>
        <w:jc w:val="center"/>
        <w:rPr>
          <w:rFonts w:hint="eastAsia" w:ascii="宋体" w:hAnsi="宋体" w:eastAsia="宋体" w:cs="宋体"/>
          <w:color w:val="000000"/>
          <w:sz w:val="32"/>
          <w:szCs w:val="32"/>
        </w:rPr>
      </w:pPr>
    </w:p>
    <w:p w14:paraId="6CE1FA96">
      <w:pPr>
        <w:pStyle w:val="77"/>
        <w:widowControl w:val="0"/>
        <w:snapToGrid w:val="0"/>
        <w:spacing w:line="500" w:lineRule="exact"/>
        <w:jc w:val="center"/>
        <w:rPr>
          <w:rFonts w:hint="eastAsia" w:ascii="宋体" w:hAnsi="宋体" w:eastAsia="宋体" w:cs="宋体"/>
          <w:color w:val="000000"/>
          <w:sz w:val="32"/>
          <w:szCs w:val="32"/>
        </w:rPr>
      </w:pPr>
    </w:p>
    <w:p w14:paraId="7165697D">
      <w:pPr>
        <w:pStyle w:val="77"/>
        <w:widowControl w:val="0"/>
        <w:snapToGrid w:val="0"/>
        <w:spacing w:line="500" w:lineRule="exact"/>
        <w:jc w:val="center"/>
        <w:rPr>
          <w:rFonts w:hint="eastAsia" w:ascii="宋体" w:hAnsi="宋体" w:eastAsia="宋体" w:cs="宋体"/>
          <w:color w:val="000000"/>
          <w:sz w:val="32"/>
          <w:szCs w:val="32"/>
        </w:rPr>
      </w:pPr>
    </w:p>
    <w:p w14:paraId="3A8FD9C9">
      <w:pPr>
        <w:pStyle w:val="77"/>
        <w:widowControl w:val="0"/>
        <w:snapToGrid w:val="0"/>
        <w:spacing w:line="500" w:lineRule="exact"/>
        <w:jc w:val="center"/>
        <w:rPr>
          <w:rFonts w:hint="eastAsia" w:ascii="宋体" w:hAnsi="宋体" w:eastAsia="宋体" w:cs="宋体"/>
          <w:color w:val="000000"/>
          <w:sz w:val="32"/>
          <w:szCs w:val="32"/>
        </w:rPr>
      </w:pPr>
    </w:p>
    <w:p w14:paraId="18E330C2">
      <w:pPr>
        <w:pStyle w:val="77"/>
        <w:widowControl w:val="0"/>
        <w:snapToGrid w:val="0"/>
        <w:spacing w:line="500" w:lineRule="exact"/>
        <w:jc w:val="center"/>
        <w:rPr>
          <w:rFonts w:hint="eastAsia" w:ascii="宋体" w:hAnsi="宋体" w:eastAsia="宋体" w:cs="宋体"/>
          <w:color w:val="000000"/>
          <w:sz w:val="32"/>
          <w:szCs w:val="32"/>
        </w:rPr>
      </w:pPr>
    </w:p>
    <w:p w14:paraId="0F89A962">
      <w:pPr>
        <w:pStyle w:val="77"/>
        <w:widowControl w:val="0"/>
        <w:snapToGrid w:val="0"/>
        <w:spacing w:line="500" w:lineRule="exact"/>
        <w:jc w:val="center"/>
        <w:rPr>
          <w:rFonts w:hint="eastAsia" w:ascii="宋体" w:hAnsi="宋体" w:eastAsia="宋体" w:cs="宋体"/>
          <w:color w:val="000000"/>
          <w:sz w:val="32"/>
          <w:szCs w:val="32"/>
        </w:rPr>
      </w:pPr>
    </w:p>
    <w:p w14:paraId="6D34324D">
      <w:pPr>
        <w:pStyle w:val="77"/>
        <w:widowControl w:val="0"/>
        <w:snapToGrid w:val="0"/>
        <w:spacing w:line="500" w:lineRule="exact"/>
        <w:jc w:val="center"/>
        <w:rPr>
          <w:rFonts w:hint="eastAsia" w:ascii="宋体" w:hAnsi="宋体" w:eastAsia="宋体" w:cs="宋体"/>
          <w:color w:val="000000"/>
          <w:sz w:val="32"/>
          <w:szCs w:val="32"/>
        </w:rPr>
      </w:pPr>
    </w:p>
    <w:p w14:paraId="3BFD0E1E">
      <w:pPr>
        <w:pStyle w:val="77"/>
        <w:widowControl w:val="0"/>
        <w:snapToGrid w:val="0"/>
        <w:spacing w:line="500" w:lineRule="exact"/>
        <w:jc w:val="center"/>
        <w:rPr>
          <w:rFonts w:hint="eastAsia" w:ascii="宋体" w:hAnsi="宋体" w:eastAsia="宋体" w:cs="宋体"/>
          <w:color w:val="000000"/>
          <w:sz w:val="32"/>
          <w:szCs w:val="32"/>
        </w:rPr>
      </w:pPr>
    </w:p>
    <w:p w14:paraId="78069648">
      <w:pPr>
        <w:pStyle w:val="77"/>
        <w:widowControl w:val="0"/>
        <w:snapToGrid w:val="0"/>
        <w:spacing w:line="500" w:lineRule="exact"/>
        <w:jc w:val="center"/>
        <w:rPr>
          <w:rFonts w:hint="eastAsia" w:ascii="宋体" w:hAnsi="宋体" w:eastAsia="宋体" w:cs="宋体"/>
          <w:color w:val="000000"/>
          <w:sz w:val="32"/>
          <w:szCs w:val="32"/>
        </w:rPr>
      </w:pPr>
    </w:p>
    <w:p w14:paraId="77764B16">
      <w:pPr>
        <w:pStyle w:val="77"/>
        <w:widowControl w:val="0"/>
        <w:snapToGrid w:val="0"/>
        <w:spacing w:line="500" w:lineRule="exact"/>
        <w:jc w:val="center"/>
        <w:rPr>
          <w:rFonts w:hint="eastAsia" w:ascii="宋体" w:hAnsi="宋体" w:eastAsia="宋体" w:cs="宋体"/>
          <w:b/>
          <w:bCs/>
          <w:i w:val="0"/>
          <w:iCs w:val="0"/>
          <w:color w:val="000000"/>
          <w:kern w:val="0"/>
          <w:sz w:val="28"/>
        </w:rPr>
      </w:pPr>
      <w:bookmarkStart w:id="4" w:name="_GoBack"/>
      <w:bookmarkEnd w:id="4"/>
      <w:r>
        <w:rPr>
          <w:rFonts w:hint="eastAsia" w:ascii="宋体" w:hAnsi="宋体" w:eastAsia="宋体" w:cs="宋体"/>
          <w:b/>
          <w:bCs/>
          <w:i w:val="0"/>
          <w:iCs w:val="0"/>
          <w:color w:val="000000"/>
          <w:sz w:val="32"/>
          <w:szCs w:val="32"/>
        </w:rPr>
        <w:t>现场确认声明书</w:t>
      </w:r>
    </w:p>
    <w:p w14:paraId="7CDD4EEF">
      <w:pPr>
        <w:snapToGrid w:val="0"/>
        <w:spacing w:line="400" w:lineRule="exact"/>
        <w:rPr>
          <w:rFonts w:hint="eastAsia" w:ascii="宋体" w:hAnsi="宋体" w:eastAsia="宋体" w:cs="宋体"/>
          <w:b/>
          <w:sz w:val="24"/>
        </w:rPr>
      </w:pPr>
      <w:r>
        <w:rPr>
          <w:rFonts w:hint="eastAsia" w:ascii="宋体" w:hAnsi="宋体" w:eastAsia="宋体" w:cs="宋体"/>
          <w:kern w:val="0"/>
          <w:sz w:val="24"/>
          <w:u w:val="single"/>
        </w:rPr>
        <w:t>浙江新诚信工程咨询有限公司</w:t>
      </w:r>
      <w:r>
        <w:rPr>
          <w:rFonts w:hint="eastAsia" w:ascii="宋体" w:hAnsi="宋体" w:eastAsia="宋体" w:cs="宋体"/>
          <w:kern w:val="0"/>
          <w:sz w:val="24"/>
        </w:rPr>
        <w:t>（采购组织机构名称）：</w:t>
      </w:r>
    </w:p>
    <w:p w14:paraId="3828FEE4">
      <w:pPr>
        <w:widowControl/>
        <w:spacing w:line="400" w:lineRule="exact"/>
        <w:ind w:firstLine="504" w:firstLineChars="200"/>
        <w:jc w:val="left"/>
        <w:rPr>
          <w:rFonts w:hint="eastAsia" w:ascii="宋体" w:hAnsi="宋体" w:eastAsia="宋体" w:cs="宋体"/>
          <w:kern w:val="0"/>
          <w:sz w:val="24"/>
          <w:lang w:val="zh-CN"/>
        </w:rPr>
      </w:pPr>
      <w:r>
        <w:rPr>
          <w:rFonts w:hint="eastAsia" w:ascii="宋体" w:hAnsi="宋体" w:eastAsia="宋体" w:cs="宋体"/>
          <w:spacing w:val="6"/>
          <w:kern w:val="0"/>
          <w:sz w:val="24"/>
          <w:lang w:val="zh-CN"/>
        </w:rPr>
        <w:t>本人经由</w:t>
      </w:r>
      <w:r>
        <w:rPr>
          <w:rFonts w:hint="eastAsia" w:ascii="宋体" w:hAnsi="宋体" w:eastAsia="宋体" w:cs="宋体"/>
          <w:spacing w:val="6"/>
          <w:kern w:val="0"/>
          <w:sz w:val="24"/>
          <w:u w:val="single"/>
          <w:lang w:val="zh-CN"/>
        </w:rPr>
        <w:t xml:space="preserve">                       </w:t>
      </w:r>
      <w:r>
        <w:rPr>
          <w:rFonts w:hint="eastAsia" w:ascii="宋体" w:hAnsi="宋体" w:eastAsia="宋体" w:cs="宋体"/>
          <w:spacing w:val="6"/>
          <w:kern w:val="0"/>
          <w:sz w:val="24"/>
          <w:u w:val="single"/>
        </w:rPr>
        <w:t xml:space="preserve">  </w:t>
      </w:r>
      <w:r>
        <w:rPr>
          <w:rFonts w:hint="eastAsia" w:ascii="宋体" w:hAnsi="宋体" w:eastAsia="宋体" w:cs="宋体"/>
          <w:spacing w:val="6"/>
          <w:kern w:val="0"/>
          <w:sz w:val="24"/>
          <w:u w:val="single"/>
          <w:lang w:val="zh-CN"/>
        </w:rPr>
        <w:t xml:space="preserve">  </w:t>
      </w:r>
      <w:r>
        <w:rPr>
          <w:rFonts w:hint="eastAsia" w:ascii="宋体" w:hAnsi="宋体" w:eastAsia="宋体" w:cs="宋体"/>
          <w:spacing w:val="6"/>
          <w:kern w:val="0"/>
          <w:sz w:val="24"/>
          <w:lang w:val="zh-CN"/>
        </w:rPr>
        <w:t>单位</w:t>
      </w:r>
      <w:r>
        <w:rPr>
          <w:rFonts w:hint="eastAsia" w:ascii="宋体" w:hAnsi="宋体" w:eastAsia="宋体" w:cs="宋体"/>
          <w:spacing w:val="6"/>
          <w:kern w:val="0"/>
          <w:sz w:val="24"/>
          <w:u w:val="single"/>
          <w:lang w:val="zh-CN"/>
        </w:rPr>
        <w:t xml:space="preserve">      </w:t>
      </w:r>
      <w:r>
        <w:rPr>
          <w:rFonts w:hint="eastAsia" w:ascii="宋体" w:hAnsi="宋体" w:eastAsia="宋体" w:cs="宋体"/>
          <w:spacing w:val="6"/>
          <w:kern w:val="0"/>
          <w:sz w:val="24"/>
          <w:u w:val="single"/>
        </w:rPr>
        <w:t xml:space="preserve"> </w:t>
      </w:r>
      <w:r>
        <w:rPr>
          <w:rFonts w:hint="eastAsia" w:ascii="宋体" w:hAnsi="宋体" w:eastAsia="宋体" w:cs="宋体"/>
          <w:spacing w:val="6"/>
          <w:kern w:val="0"/>
          <w:sz w:val="24"/>
          <w:u w:val="single"/>
          <w:lang w:val="zh-CN"/>
        </w:rPr>
        <w:t xml:space="preserve">   （法人代表）</w:t>
      </w:r>
      <w:r>
        <w:rPr>
          <w:rFonts w:hint="eastAsia" w:ascii="宋体" w:hAnsi="宋体" w:eastAsia="宋体" w:cs="宋体"/>
          <w:spacing w:val="6"/>
          <w:kern w:val="0"/>
          <w:sz w:val="24"/>
          <w:lang w:val="zh-CN"/>
        </w:rPr>
        <w:t>合法授权参加</w:t>
      </w:r>
      <w:r>
        <w:rPr>
          <w:rFonts w:hint="eastAsia" w:ascii="宋体" w:hAnsi="宋体" w:eastAsia="宋体" w:cs="宋体"/>
          <w:b/>
          <w:bCs/>
          <w:spacing w:val="6"/>
          <w:kern w:val="0"/>
          <w:sz w:val="24"/>
          <w:u w:val="single"/>
          <w:lang w:val="zh-CN"/>
        </w:rPr>
        <w:t>黄岩区应急能力提升工程（防汛乡镇村指挥会商系统）服务项目</w:t>
      </w:r>
      <w:r>
        <w:rPr>
          <w:rFonts w:hint="eastAsia" w:ascii="宋体" w:hAnsi="宋体" w:eastAsia="宋体" w:cs="宋体"/>
          <w:spacing w:val="6"/>
          <w:kern w:val="0"/>
          <w:sz w:val="24"/>
          <w:u w:val="single"/>
          <w:lang w:val="zh-CN"/>
        </w:rPr>
        <w:t>（</w:t>
      </w:r>
      <w:r>
        <w:rPr>
          <w:rFonts w:hint="eastAsia" w:ascii="宋体" w:hAnsi="宋体" w:eastAsia="宋体" w:cs="宋体"/>
          <w:spacing w:val="6"/>
          <w:kern w:val="0"/>
          <w:sz w:val="24"/>
          <w:u w:val="single"/>
        </w:rPr>
        <w:t>项目</w:t>
      </w:r>
      <w:r>
        <w:rPr>
          <w:rFonts w:hint="eastAsia" w:ascii="宋体" w:hAnsi="宋体" w:eastAsia="宋体" w:cs="宋体"/>
          <w:spacing w:val="6"/>
          <w:kern w:val="0"/>
          <w:sz w:val="24"/>
          <w:u w:val="single"/>
          <w:lang w:val="zh-CN"/>
        </w:rPr>
        <w:t>编号：</w:t>
      </w:r>
      <w:r>
        <w:rPr>
          <w:rFonts w:hint="eastAsia" w:ascii="宋体" w:hAnsi="宋体" w:eastAsia="宋体" w:cs="宋体"/>
          <w:b/>
          <w:bCs/>
          <w:spacing w:val="6"/>
          <w:kern w:val="0"/>
          <w:sz w:val="24"/>
          <w:u w:val="single"/>
          <w:lang w:val="zh-CN"/>
        </w:rPr>
        <w:t>ZJXCX-2025-CG070</w:t>
      </w:r>
      <w:r>
        <w:rPr>
          <w:rFonts w:hint="eastAsia" w:ascii="宋体" w:hAnsi="宋体" w:eastAsia="宋体" w:cs="宋体"/>
          <w:spacing w:val="6"/>
          <w:kern w:val="0"/>
          <w:sz w:val="24"/>
          <w:u w:val="single"/>
          <w:lang w:val="zh-CN"/>
        </w:rPr>
        <w:t>）</w:t>
      </w:r>
      <w:r>
        <w:rPr>
          <w:rFonts w:hint="eastAsia" w:ascii="宋体" w:hAnsi="宋体" w:eastAsia="宋体" w:cs="宋体"/>
          <w:spacing w:val="6"/>
          <w:kern w:val="0"/>
          <w:sz w:val="24"/>
          <w:lang w:val="zh-CN"/>
        </w:rPr>
        <w:t>政府采购活动，经与本单位法人代表（负责人）联系确认，现就有关公平竞争事项郑重声明如下：</w:t>
      </w:r>
    </w:p>
    <w:p w14:paraId="08348779">
      <w:pPr>
        <w:widowControl/>
        <w:snapToGrid w:val="0"/>
        <w:spacing w:line="400" w:lineRule="exact"/>
        <w:rPr>
          <w:rFonts w:hint="eastAsia" w:ascii="宋体" w:hAnsi="宋体" w:eastAsia="宋体" w:cs="宋体"/>
          <w:kern w:val="0"/>
          <w:sz w:val="24"/>
        </w:rPr>
      </w:pPr>
      <w:r>
        <w:rPr>
          <w:rFonts w:hint="eastAsia" w:ascii="宋体" w:hAnsi="宋体" w:eastAsia="宋体" w:cs="宋体"/>
          <w:kern w:val="0"/>
          <w:sz w:val="24"/>
        </w:rPr>
        <w:t>一、本单位与采购人之间</w:t>
      </w:r>
    </w:p>
    <w:p w14:paraId="5170038F">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□不存在利害关系</w:t>
      </w:r>
    </w:p>
    <w:p w14:paraId="24AF5187">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□存在下列利害关系：</w:t>
      </w:r>
    </w:p>
    <w:p w14:paraId="1720CA69">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A.投资关系    B.行政隶属关系    C.业务指导关系</w:t>
      </w:r>
    </w:p>
    <w:p w14:paraId="2D446463">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D.其他可能</w:t>
      </w:r>
      <w:r>
        <w:rPr>
          <w:rFonts w:hint="eastAsia" w:ascii="宋体" w:hAnsi="宋体" w:eastAsia="宋体" w:cs="宋体"/>
          <w:sz w:val="24"/>
        </w:rPr>
        <w:t>影响采购公正的</w:t>
      </w:r>
      <w:r>
        <w:rPr>
          <w:rFonts w:hint="eastAsia" w:ascii="宋体" w:hAnsi="宋体" w:eastAsia="宋体" w:cs="宋体"/>
          <w:kern w:val="0"/>
          <w:sz w:val="24"/>
        </w:rPr>
        <w:t>利害关系。</w:t>
      </w:r>
    </w:p>
    <w:p w14:paraId="40616F39">
      <w:pPr>
        <w:widowControl/>
        <w:snapToGrid w:val="0"/>
        <w:spacing w:line="400" w:lineRule="exact"/>
        <w:rPr>
          <w:rFonts w:hint="eastAsia" w:ascii="宋体" w:hAnsi="宋体" w:eastAsia="宋体" w:cs="宋体"/>
          <w:kern w:val="0"/>
          <w:sz w:val="24"/>
        </w:rPr>
      </w:pPr>
      <w:r>
        <w:rPr>
          <w:rFonts w:hint="eastAsia" w:ascii="宋体" w:hAnsi="宋体" w:eastAsia="宋体" w:cs="宋体"/>
          <w:spacing w:val="6"/>
          <w:sz w:val="24"/>
        </w:rPr>
        <w:t>二、</w:t>
      </w:r>
      <w:r>
        <w:rPr>
          <w:rFonts w:hint="eastAsia" w:ascii="宋体" w:hAnsi="宋体" w:eastAsia="宋体" w:cs="宋体"/>
          <w:kern w:val="0"/>
          <w:sz w:val="24"/>
        </w:rPr>
        <w:t>现已清楚知道参加本项目采购活动的其他所有供应商名称，本单位</w:t>
      </w:r>
    </w:p>
    <w:p w14:paraId="4CEFC832">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□与其他所有供应商之间均不存在利害关系</w:t>
      </w:r>
    </w:p>
    <w:p w14:paraId="2AC085C2">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□与之间存在下列利害关系：</w:t>
      </w:r>
    </w:p>
    <w:p w14:paraId="424412C4">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A.法定代表人或负责人或实际控制人是同一人</w:t>
      </w:r>
    </w:p>
    <w:p w14:paraId="38E583C7">
      <w:pPr>
        <w:widowControl/>
        <w:snapToGrid w:val="0"/>
        <w:spacing w:line="400" w:lineRule="exact"/>
        <w:ind w:firstLine="480" w:firstLineChars="200"/>
        <w:rPr>
          <w:rFonts w:hint="eastAsia" w:ascii="宋体" w:hAnsi="宋体" w:eastAsia="宋体" w:cs="宋体"/>
          <w:spacing w:val="6"/>
          <w:sz w:val="24"/>
        </w:rPr>
      </w:pPr>
      <w:r>
        <w:rPr>
          <w:rFonts w:hint="eastAsia" w:ascii="宋体" w:hAnsi="宋体" w:eastAsia="宋体" w:cs="宋体"/>
          <w:kern w:val="0"/>
          <w:sz w:val="24"/>
        </w:rPr>
        <w:t>B.法定代表人或负责人或实际控制人是夫妻关系</w:t>
      </w:r>
    </w:p>
    <w:p w14:paraId="08FBFF79">
      <w:pPr>
        <w:widowControl/>
        <w:snapToGrid w:val="0"/>
        <w:spacing w:line="400" w:lineRule="exact"/>
        <w:ind w:firstLine="480" w:firstLineChars="200"/>
        <w:rPr>
          <w:rFonts w:hint="eastAsia" w:ascii="宋体" w:hAnsi="宋体" w:eastAsia="宋体" w:cs="宋体"/>
          <w:spacing w:val="6"/>
          <w:sz w:val="24"/>
        </w:rPr>
      </w:pPr>
      <w:r>
        <w:rPr>
          <w:rFonts w:hint="eastAsia" w:ascii="宋体" w:hAnsi="宋体" w:eastAsia="宋体" w:cs="宋体"/>
          <w:kern w:val="0"/>
          <w:sz w:val="24"/>
        </w:rPr>
        <w:t>C.法定代表人或负责人或实际控制人是直系血亲关系</w:t>
      </w:r>
    </w:p>
    <w:p w14:paraId="2A224F83">
      <w:pPr>
        <w:widowControl/>
        <w:snapToGrid w:val="0"/>
        <w:spacing w:line="400" w:lineRule="exact"/>
        <w:ind w:firstLine="480" w:firstLineChars="200"/>
        <w:rPr>
          <w:rFonts w:hint="eastAsia" w:ascii="宋体" w:hAnsi="宋体" w:eastAsia="宋体" w:cs="宋体"/>
          <w:spacing w:val="6"/>
          <w:sz w:val="24"/>
        </w:rPr>
      </w:pPr>
      <w:r>
        <w:rPr>
          <w:rFonts w:hint="eastAsia" w:ascii="宋体" w:hAnsi="宋体" w:eastAsia="宋体" w:cs="宋体"/>
          <w:kern w:val="0"/>
          <w:sz w:val="24"/>
        </w:rPr>
        <w:t>D.法定代表人或负责人或实际控制人存在三代以内旁系血亲关系</w:t>
      </w:r>
    </w:p>
    <w:p w14:paraId="2565751E">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E.法定代表人或负责人或实际控制人存在近姻亲关系</w:t>
      </w:r>
    </w:p>
    <w:p w14:paraId="08F53990">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F.法定代表人或负责人或实际控制人存在股份控制或实际控制关系</w:t>
      </w:r>
    </w:p>
    <w:p w14:paraId="39347513">
      <w:pPr>
        <w:snapToGrid w:val="0"/>
        <w:spacing w:line="40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G.存在共同直接或间接投资设立子公司、联营企业和合营企</w:t>
      </w:r>
      <w:r>
        <w:rPr>
          <w:rFonts w:hint="eastAsia" w:ascii="宋体" w:hAnsi="宋体" w:eastAsia="宋体" w:cs="宋体"/>
          <w:kern w:val="0"/>
          <w:sz w:val="24"/>
          <w:lang w:eastAsia="zh-CN"/>
        </w:rPr>
        <w:t>业的</w:t>
      </w:r>
      <w:r>
        <w:rPr>
          <w:rFonts w:hint="eastAsia" w:ascii="宋体" w:hAnsi="宋体" w:eastAsia="宋体" w:cs="宋体"/>
          <w:kern w:val="0"/>
          <w:sz w:val="24"/>
        </w:rPr>
        <w:t>情况</w:t>
      </w:r>
    </w:p>
    <w:p w14:paraId="6A7C63A1">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H.存在分级代理或代销关系、同一生产制造商关系、管理关系、重要业务（占主营业务收入50%以上）或重要财务往来关系（如融资）等其他实质性控制关系</w:t>
      </w:r>
    </w:p>
    <w:p w14:paraId="301F77DE">
      <w:pPr>
        <w:snapToGrid w:val="0"/>
        <w:spacing w:line="400" w:lineRule="exact"/>
        <w:ind w:firstLine="480" w:firstLineChars="200"/>
        <w:rPr>
          <w:rFonts w:hint="eastAsia" w:ascii="宋体" w:hAnsi="宋体" w:eastAsia="宋体" w:cs="宋体"/>
          <w:spacing w:val="6"/>
          <w:sz w:val="24"/>
        </w:rPr>
      </w:pPr>
      <w:r>
        <w:rPr>
          <w:rFonts w:hint="eastAsia" w:ascii="宋体" w:hAnsi="宋体" w:eastAsia="宋体" w:cs="宋体"/>
          <w:kern w:val="0"/>
          <w:sz w:val="24"/>
        </w:rPr>
        <w:t>I.其他利害关系情况。</w:t>
      </w:r>
    </w:p>
    <w:p w14:paraId="42760C9E">
      <w:pPr>
        <w:widowControl/>
        <w:snapToGrid w:val="0"/>
        <w:spacing w:line="400" w:lineRule="exact"/>
        <w:rPr>
          <w:rFonts w:hint="eastAsia" w:ascii="宋体" w:hAnsi="宋体" w:eastAsia="宋体" w:cs="宋体"/>
          <w:kern w:val="0"/>
          <w:sz w:val="24"/>
        </w:rPr>
      </w:pPr>
      <w:r>
        <w:rPr>
          <w:rFonts w:hint="eastAsia" w:ascii="宋体" w:hAnsi="宋体" w:eastAsia="宋体" w:cs="宋体"/>
          <w:sz w:val="24"/>
        </w:rPr>
        <w:t>三、现已清楚知道并</w:t>
      </w:r>
      <w:r>
        <w:rPr>
          <w:rFonts w:hint="eastAsia" w:ascii="宋体" w:hAnsi="宋体" w:eastAsia="宋体" w:cs="宋体"/>
          <w:kern w:val="0"/>
          <w:sz w:val="24"/>
        </w:rPr>
        <w:t>严格遵守政府采购法律法规和现场纪律。</w:t>
      </w:r>
    </w:p>
    <w:p w14:paraId="0DA89A06">
      <w:pPr>
        <w:widowControl/>
        <w:snapToGrid w:val="0"/>
        <w:spacing w:line="400" w:lineRule="exact"/>
        <w:rPr>
          <w:rFonts w:hint="eastAsia" w:ascii="宋体" w:hAnsi="宋体" w:eastAsia="宋体" w:cs="宋体"/>
          <w:kern w:val="0"/>
          <w:sz w:val="24"/>
        </w:rPr>
      </w:pPr>
      <w:r>
        <w:rPr>
          <w:rFonts w:hint="eastAsia" w:ascii="宋体" w:hAnsi="宋体" w:eastAsia="宋体" w:cs="宋体"/>
          <w:kern w:val="0"/>
          <w:sz w:val="24"/>
        </w:rPr>
        <w:t>四、我发现供应商之间存在或可能存在上述第二条第</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项利害关系。</w:t>
      </w:r>
    </w:p>
    <w:p w14:paraId="7994A94C">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□不存在利害关系</w:t>
      </w:r>
    </w:p>
    <w:p w14:paraId="520B152A">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□存在下列利害关系</w:t>
      </w:r>
    </w:p>
    <w:p w14:paraId="4CA6333E">
      <w:pPr>
        <w:snapToGrid w:val="0"/>
        <w:spacing w:line="400" w:lineRule="exact"/>
        <w:ind w:firstLine="5301" w:firstLineChars="2200"/>
        <w:rPr>
          <w:rFonts w:hint="eastAsia" w:ascii="宋体" w:hAnsi="宋体" w:eastAsia="宋体" w:cs="宋体"/>
          <w:b/>
          <w:sz w:val="24"/>
        </w:rPr>
      </w:pPr>
      <w:r>
        <w:rPr>
          <w:rFonts w:hint="eastAsia" w:ascii="宋体" w:hAnsi="宋体" w:eastAsia="宋体" w:cs="宋体"/>
          <w:b/>
          <w:sz w:val="24"/>
        </w:rPr>
        <w:t>供应商代表签名：</w:t>
      </w:r>
    </w:p>
    <w:p w14:paraId="5438C540">
      <w:pPr>
        <w:tabs>
          <w:tab w:val="left" w:pos="1418"/>
        </w:tabs>
        <w:autoSpaceDE w:val="0"/>
        <w:autoSpaceDN w:val="0"/>
        <w:adjustRightInd w:val="0"/>
        <w:spacing w:line="400" w:lineRule="exact"/>
        <w:ind w:firstLine="480" w:firstLineChars="200"/>
        <w:jc w:val="righ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  月  日</w:t>
      </w:r>
    </w:p>
    <w:p w14:paraId="70C6719A">
      <w:pPr>
        <w:tabs>
          <w:tab w:val="left" w:pos="1418"/>
        </w:tabs>
        <w:autoSpaceDE w:val="0"/>
        <w:autoSpaceDN w:val="0"/>
        <w:adjustRightInd w:val="0"/>
        <w:spacing w:line="400" w:lineRule="exact"/>
        <w:rPr>
          <w:rFonts w:hint="eastAsia" w:ascii="宋体" w:hAnsi="宋体" w:eastAsia="宋体" w:cs="宋体"/>
        </w:rPr>
      </w:pPr>
      <w:r>
        <w:rPr>
          <w:rFonts w:hint="eastAsia" w:ascii="宋体" w:hAnsi="宋体" w:eastAsia="宋体" w:cs="宋体"/>
          <w:kern w:val="0"/>
          <w:sz w:val="24"/>
        </w:rPr>
        <w:t>说明：商务技术文件开启后30分钟内，供应商通过邮件形式将经授权委托代理人签署的《</w:t>
      </w:r>
      <w:r>
        <w:rPr>
          <w:rFonts w:hint="eastAsia" w:ascii="宋体" w:hAnsi="宋体" w:eastAsia="宋体" w:cs="宋体"/>
          <w:kern w:val="0"/>
          <w:sz w:val="24"/>
          <w:lang w:val="en-GB"/>
        </w:rPr>
        <w:t>政府采购活动确认声明书</w:t>
      </w:r>
      <w:r>
        <w:rPr>
          <w:rFonts w:hint="eastAsia" w:ascii="宋体" w:hAnsi="宋体" w:eastAsia="宋体" w:cs="宋体"/>
          <w:kern w:val="0"/>
          <w:sz w:val="24"/>
        </w:rPr>
        <w:t>》扫描件发至代理机构经办人邮箱（邮箱地址：</w:t>
      </w:r>
      <w:r>
        <w:rPr>
          <w:rFonts w:hint="eastAsia" w:ascii="宋体" w:hAnsi="宋体" w:eastAsia="宋体" w:cs="宋体"/>
        </w:rPr>
        <w:fldChar w:fldCharType="begin"/>
      </w:r>
      <w:r>
        <w:rPr>
          <w:rFonts w:hint="eastAsia" w:ascii="宋体" w:hAnsi="宋体" w:eastAsia="宋体" w:cs="宋体"/>
        </w:rPr>
        <w:instrText xml:space="preserve"> HYPERLINK "mailto:303054329@qq.com）；" </w:instrText>
      </w:r>
      <w:r>
        <w:rPr>
          <w:rFonts w:hint="eastAsia" w:ascii="宋体" w:hAnsi="宋体" w:eastAsia="宋体" w:cs="宋体"/>
        </w:rPr>
        <w:fldChar w:fldCharType="separate"/>
      </w:r>
      <w:r>
        <w:rPr>
          <w:rFonts w:hint="eastAsia" w:ascii="宋体" w:hAnsi="宋体" w:eastAsia="宋体" w:cs="宋体"/>
          <w:kern w:val="0"/>
          <w:sz w:val="24"/>
        </w:rPr>
        <w:t>zjtzxcx@163.com）；</w:t>
      </w:r>
      <w:r>
        <w:rPr>
          <w:rFonts w:hint="eastAsia" w:ascii="宋体" w:hAnsi="宋体" w:eastAsia="宋体" w:cs="宋体"/>
          <w:kern w:val="0"/>
          <w:sz w:val="24"/>
        </w:rPr>
        <w:fldChar w:fldCharType="end"/>
      </w:r>
      <w:r>
        <w:rPr>
          <w:rFonts w:hint="eastAsia" w:ascii="宋体" w:hAnsi="宋体" w:eastAsia="宋体" w:cs="宋体"/>
          <w:kern w:val="0"/>
          <w:sz w:val="24"/>
        </w:rPr>
        <w:t>不填写或未按规定发出邮件的，视同默认不存在确认声明书中的相关违规情形。</w:t>
      </w:r>
    </w:p>
    <w:sectPr>
      <w:headerReference r:id="rId9" w:type="default"/>
      <w:footerReference r:id="rId10"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panose1 w:val="020B0504020202030204"/>
    <w:charset w:val="00"/>
    <w:family w:val="swiss"/>
    <w:pitch w:val="default"/>
    <w:sig w:usb0="00000007" w:usb1="00000000" w:usb2="00000000" w:usb3="00000000" w:csb0="00000093"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B2A6">
    <w:pPr>
      <w:pStyle w:val="2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BF51">
    <w:pPr>
      <w:pStyle w:val="21"/>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C769E9">
                          <w:pPr>
                            <w:pStyle w:val="21"/>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jLS9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jLS98BAAC/AwAADgAAAAAA&#10;AAABACAAAAAeAQAAZHJzL2Uyb0RvYy54bWxQSwUGAAAAAAYABgBZAQAAbwUAAAAA&#10;">
              <v:fill on="f" focussize="0,0"/>
              <v:stroke on="f"/>
              <v:imagedata o:title=""/>
              <o:lock v:ext="edit" aspectratio="f"/>
              <v:textbox inset="0mm,0mm,0mm,0mm" style="mso-fit-shape-to-text:t;">
                <w:txbxContent>
                  <w:p w14:paraId="48C769E9">
                    <w:pPr>
                      <w:pStyle w:val="2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458A">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93F2CC">
                          <w:pPr>
                            <w:pStyle w:val="21"/>
                          </w:pPr>
                          <w:r>
                            <w:fldChar w:fldCharType="begin"/>
                          </w:r>
                          <w:r>
                            <w:instrText xml:space="preserve"> PAGE  \* MERGEFORMAT </w:instrText>
                          </w:r>
                          <w:r>
                            <w:fldChar w:fldCharType="separate"/>
                          </w:r>
                          <w:r>
                            <w:t>- 27 -</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B08qeIBAADM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B08qeIBAADMAwAADgAA&#10;AAAAAAABACAAAAAeAQAAZHJzL2Uyb0RvYy54bWxQSwUGAAAAAAYABgBZAQAAcgUAAAAA&#10;">
              <v:fill on="f" focussize="0,0"/>
              <v:stroke on="f"/>
              <v:imagedata o:title=""/>
              <o:lock v:ext="edit" aspectratio="f"/>
              <v:textbox inset="0mm,0mm,0mm,0mm" style="mso-fit-shape-to-text:t;">
                <w:txbxContent>
                  <w:p w14:paraId="3093F2CC">
                    <w:pPr>
                      <w:pStyle w:val="21"/>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D506">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2EE5F">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5622EE5F">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99550BE">
      <w:pPr>
        <w:pStyle w:val="24"/>
        <w:rPr>
          <w:rFonts w:hint="eastAsia" w:ascii="宋体" w:hAnsi="宋体" w:eastAsia="宋体" w:cs="宋体"/>
        </w:rPr>
      </w:pPr>
      <w:r>
        <w:rPr>
          <w:rStyle w:val="39"/>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29F8">
    <w:pPr>
      <w:spacing w:line="20" w:lineRule="atLeast"/>
      <w:ind w:left="1980" w:hanging="1980" w:hangingChars="900"/>
      <w:jc w:val="right"/>
      <w:rPr>
        <w:rFonts w:hint="eastAsia" w:ascii="宋体" w:hAnsi="宋体" w:eastAsia="宋体" w:cs="宋体"/>
        <w:sz w:val="18"/>
        <w:szCs w:val="21"/>
      </w:rPr>
    </w:pPr>
    <w:r>
      <w:rPr>
        <w:rFonts w:hint="eastAsia" w:ascii="宋体" w:hAnsi="宋体" w:eastAsia="宋体" w:cs="宋体"/>
        <w:bCs/>
        <w:sz w:val="22"/>
        <w:szCs w:val="22"/>
        <w:lang w:val="zh-CN"/>
      </w:rPr>
      <w:t>黄岩区应急能力提升工程（防汛乡镇村指挥会商系统）服务项目的磋商文件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ABF7">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8B16">
    <w:pPr>
      <w:spacing w:line="20" w:lineRule="atLeast"/>
      <w:jc w:val="right"/>
      <w:rPr>
        <w:rFonts w:hint="eastAsia" w:ascii="宋体" w:hAnsi="宋体" w:eastAsia="宋体" w:cs="宋体"/>
        <w:bCs/>
        <w:iCs/>
        <w:color w:val="000000"/>
        <w:sz w:val="10"/>
        <w:u w:val="single"/>
      </w:rPr>
    </w:pPr>
    <w:r>
      <w:rPr>
        <w:rFonts w:hint="eastAsia" w:ascii="宋体" w:hAnsi="宋体" w:eastAsia="宋体" w:cs="宋体"/>
        <w:sz w:val="18"/>
        <w:szCs w:val="18"/>
        <w:u w:val="single"/>
        <w:lang w:eastAsia="zh-CN"/>
      </w:rPr>
      <w:t>黄岩区应急能力提升工程（防汛乡镇村指挥会商系统）服务项目</w:t>
    </w:r>
    <w:r>
      <w:rPr>
        <w:rFonts w:hint="eastAsia" w:ascii="宋体" w:hAnsi="宋体" w:eastAsia="宋体" w:cs="宋体"/>
        <w:sz w:val="18"/>
        <w:szCs w:val="18"/>
        <w:u w:val="single"/>
      </w:rPr>
      <w:t>的磋商文件</w:t>
    </w:r>
  </w:p>
  <w:p w14:paraId="42988D4C">
    <w:pPr>
      <w:pStyle w:val="22"/>
      <w:rPr>
        <w:bCs/>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2F1FB"/>
    <w:multiLevelType w:val="singleLevel"/>
    <w:tmpl w:val="C582F1FB"/>
    <w:lvl w:ilvl="0" w:tentative="0">
      <w:start w:val="1"/>
      <w:numFmt w:val="decimal"/>
      <w:pStyle w:val="8"/>
      <w:lvlText w:val="%1."/>
      <w:lvlJc w:val="left"/>
      <w:pPr>
        <w:tabs>
          <w:tab w:val="left" w:pos="360"/>
        </w:tabs>
        <w:ind w:left="360" w:hanging="360"/>
      </w:pPr>
    </w:lvl>
  </w:abstractNum>
  <w:abstractNum w:abstractNumId="1">
    <w:nsid w:val="30642371"/>
    <w:multiLevelType w:val="multilevel"/>
    <w:tmpl w:val="30642371"/>
    <w:lvl w:ilvl="0" w:tentative="0">
      <w:start w:val="1"/>
      <w:numFmt w:val="decimal"/>
      <w:suff w:val="space"/>
      <w:lvlText w:val="%1"/>
      <w:lvlJc w:val="left"/>
      <w:pPr>
        <w:ind w:left="425" w:hanging="425"/>
      </w:pPr>
      <w:rPr>
        <w:rFonts w:hint="default" w:ascii="Times New Roman" w:hAnsi="Times New Roman" w:eastAsia="黑体"/>
        <w:b w:val="0"/>
        <w:bCs w:val="0"/>
        <w:i w:val="0"/>
        <w:iCs w:val="0"/>
        <w:caps w:val="0"/>
        <w:smallCaps w:val="0"/>
        <w:strike w:val="0"/>
        <w:dstrike w:val="0"/>
        <w:vanish w:val="0"/>
        <w:color w:val="000000"/>
        <w:spacing w:val="0"/>
        <w:kern w:val="0"/>
        <w:position w:val="0"/>
        <w:sz w:val="32"/>
        <w:u w:val="none"/>
        <w:vertAlign w:val="baseline"/>
      </w:rPr>
    </w:lvl>
    <w:lvl w:ilvl="1" w:tentative="0">
      <w:start w:val="1"/>
      <w:numFmt w:val="decimal"/>
      <w:suff w:val="space"/>
      <w:lvlText w:val="%1.%2"/>
      <w:lvlJc w:val="left"/>
      <w:pPr>
        <w:ind w:left="425" w:hanging="425"/>
      </w:pPr>
      <w:rPr>
        <w:rFonts w:hint="default" w:ascii="Times New Roman" w:hAnsi="Times New Roman" w:eastAsia="黑体"/>
        <w:b w:val="0"/>
        <w:bCs/>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142" w:firstLine="142"/>
      </w:pPr>
      <w:rPr>
        <w:rFonts w:hint="default" w:ascii="Times New Roman" w:hAnsi="Times New Roman" w:eastAsia="宋体" w:cs="Times New Roman"/>
        <w:b w:val="0"/>
        <w:bCs w:val="0"/>
        <w:i w:val="0"/>
        <w:iCs w:val="0"/>
        <w:caps w:val="0"/>
        <w:smallCaps w:val="0"/>
        <w:strike w:val="0"/>
        <w:dstrike w:val="0"/>
        <w:vanish w:val="0"/>
        <w:color w:val="000000"/>
        <w:spacing w:val="0"/>
        <w:kern w:val="0"/>
        <w:position w:val="0"/>
        <w:u w:val="none"/>
        <w:vertAlign w:val="baseline"/>
        <w:lang w:bidi="zh-CN"/>
      </w:rPr>
    </w:lvl>
    <w:lvl w:ilvl="3" w:tentative="0">
      <w:start w:val="1"/>
      <w:numFmt w:val="decimal"/>
      <w:pStyle w:val="5"/>
      <w:suff w:val="space"/>
      <w:lvlText w:val="%1.%2.%3.%4"/>
      <w:lvlJc w:val="left"/>
      <w:pPr>
        <w:ind w:left="425" w:firstLine="142"/>
      </w:pPr>
      <w:rPr>
        <w:rFonts w:hint="default" w:ascii="Times New Roman" w:hAnsi="Times New Roman" w:eastAsia="宋体" w:cs="Times New Roman"/>
        <w:b w:val="0"/>
        <w:bCs/>
        <w:i w:val="0"/>
        <w:iCs w:val="0"/>
        <w:caps w:val="0"/>
        <w:smallCaps w:val="0"/>
        <w:strike w:val="0"/>
        <w:dstrike w:val="0"/>
        <w:vanish w:val="0"/>
        <w:color w:val="000000"/>
        <w:spacing w:val="0"/>
        <w:kern w:val="0"/>
        <w:position w:val="0"/>
        <w:u w:val="none"/>
        <w:vertAlign w:val="baseline"/>
      </w:rPr>
    </w:lvl>
    <w:lvl w:ilvl="4" w:tentative="0">
      <w:start w:val="1"/>
      <w:numFmt w:val="decimal"/>
      <w:suff w:val="space"/>
      <w:lvlText w:val="%5、"/>
      <w:lvlJc w:val="left"/>
      <w:pPr>
        <w:ind w:left="0" w:firstLine="425"/>
      </w:pPr>
      <w:rPr>
        <w:rFonts w:hint="default"/>
      </w:rPr>
    </w:lvl>
    <w:lvl w:ilvl="5" w:tentative="0">
      <w:start w:val="1"/>
      <w:numFmt w:val="decimal"/>
      <w:suff w:val="nothing"/>
      <w:lvlText w:val="（%6）"/>
      <w:lvlJc w:val="left"/>
      <w:pPr>
        <w:ind w:left="0" w:firstLine="567"/>
      </w:pPr>
      <w:rPr>
        <w:rFonts w:ascii="Times New Roman" w:hAnsi="Times New Roman" w:cs="Times New Roman"/>
        <w:i w:val="0"/>
        <w:iCs w:val="0"/>
        <w:caps w:val="0"/>
        <w:smallCaps w:val="0"/>
        <w:strike w:val="0"/>
        <w:dstrike w:val="0"/>
        <w:vanish w:val="0"/>
        <w:color w:val="000000"/>
        <w:spacing w:val="0"/>
        <w:kern w:val="0"/>
        <w:position w:val="0"/>
        <w:u w:val="none"/>
        <w:vertAlign w:val="baseline"/>
        <w:lang w:bidi="zh-CN"/>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61D32A0B"/>
    <w:multiLevelType w:val="multilevel"/>
    <w:tmpl w:val="61D32A0B"/>
    <w:lvl w:ilvl="0" w:tentative="0">
      <w:start w:val="1"/>
      <w:numFmt w:val="bullet"/>
      <w:pStyle w:val="9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4E333D5"/>
    <w:multiLevelType w:val="multilevel"/>
    <w:tmpl w:val="64E333D5"/>
    <w:lvl w:ilvl="0" w:tentative="0">
      <w:start w:val="1"/>
      <w:numFmt w:val="chineseCountingThousand"/>
      <w:pStyle w:val="3"/>
      <w:lvlText w:val="%1、"/>
      <w:lvlJc w:val="left"/>
      <w:pPr>
        <w:ind w:left="2020" w:hanging="420"/>
      </w:pPr>
    </w:lvl>
    <w:lvl w:ilvl="1" w:tentative="0">
      <w:start w:val="1"/>
      <w:numFmt w:val="decimal"/>
      <w:lvlText w:val="%2、"/>
      <w:lvlJc w:val="left"/>
      <w:pPr>
        <w:ind w:left="2380" w:hanging="360"/>
      </w:pPr>
      <w:rPr>
        <w:rFonts w:hint="default"/>
      </w:r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Tg1NGUzZjdjM2IyMDRjMWNkZDhlMDFhMTZjZDgifQ=="/>
  </w:docVars>
  <w:rsids>
    <w:rsidRoot w:val="00A05E8B"/>
    <w:rsid w:val="00040922"/>
    <w:rsid w:val="0004557E"/>
    <w:rsid w:val="0005314C"/>
    <w:rsid w:val="00093863"/>
    <w:rsid w:val="000C0FD6"/>
    <w:rsid w:val="000D42C6"/>
    <w:rsid w:val="000E2830"/>
    <w:rsid w:val="000E33BA"/>
    <w:rsid w:val="001112BB"/>
    <w:rsid w:val="00131C28"/>
    <w:rsid w:val="001332A7"/>
    <w:rsid w:val="001373A1"/>
    <w:rsid w:val="001524FF"/>
    <w:rsid w:val="0018554E"/>
    <w:rsid w:val="001A22A4"/>
    <w:rsid w:val="001B2FBB"/>
    <w:rsid w:val="001C05D4"/>
    <w:rsid w:val="001D0433"/>
    <w:rsid w:val="001E7DB0"/>
    <w:rsid w:val="001F28D1"/>
    <w:rsid w:val="00233A74"/>
    <w:rsid w:val="00243CF7"/>
    <w:rsid w:val="00246B8C"/>
    <w:rsid w:val="00250E7E"/>
    <w:rsid w:val="00254547"/>
    <w:rsid w:val="00280089"/>
    <w:rsid w:val="002848FD"/>
    <w:rsid w:val="0029644E"/>
    <w:rsid w:val="002B5C11"/>
    <w:rsid w:val="002B7B54"/>
    <w:rsid w:val="002C4A01"/>
    <w:rsid w:val="002C4D93"/>
    <w:rsid w:val="002D61DB"/>
    <w:rsid w:val="002F6D3E"/>
    <w:rsid w:val="00301679"/>
    <w:rsid w:val="00325F7B"/>
    <w:rsid w:val="00326753"/>
    <w:rsid w:val="00334B65"/>
    <w:rsid w:val="003627F0"/>
    <w:rsid w:val="00363EEC"/>
    <w:rsid w:val="00377F17"/>
    <w:rsid w:val="003947E9"/>
    <w:rsid w:val="003A250E"/>
    <w:rsid w:val="003C50C4"/>
    <w:rsid w:val="003D1E32"/>
    <w:rsid w:val="00401597"/>
    <w:rsid w:val="00432DC3"/>
    <w:rsid w:val="00436A1F"/>
    <w:rsid w:val="004B673A"/>
    <w:rsid w:val="004C25CE"/>
    <w:rsid w:val="004D636C"/>
    <w:rsid w:val="004F68A0"/>
    <w:rsid w:val="0054128A"/>
    <w:rsid w:val="005449C8"/>
    <w:rsid w:val="00565A21"/>
    <w:rsid w:val="0057472C"/>
    <w:rsid w:val="005962F3"/>
    <w:rsid w:val="005A2F20"/>
    <w:rsid w:val="005A456A"/>
    <w:rsid w:val="005C4D12"/>
    <w:rsid w:val="005E1196"/>
    <w:rsid w:val="005E2722"/>
    <w:rsid w:val="00605998"/>
    <w:rsid w:val="00615BD0"/>
    <w:rsid w:val="006313ED"/>
    <w:rsid w:val="00633671"/>
    <w:rsid w:val="00653693"/>
    <w:rsid w:val="00670175"/>
    <w:rsid w:val="0067347F"/>
    <w:rsid w:val="006A5315"/>
    <w:rsid w:val="006C1387"/>
    <w:rsid w:val="00707F6D"/>
    <w:rsid w:val="007119E9"/>
    <w:rsid w:val="00717DF6"/>
    <w:rsid w:val="007258D0"/>
    <w:rsid w:val="00742922"/>
    <w:rsid w:val="00745CA2"/>
    <w:rsid w:val="0076205A"/>
    <w:rsid w:val="007669F7"/>
    <w:rsid w:val="00771BC2"/>
    <w:rsid w:val="007B067D"/>
    <w:rsid w:val="007B4471"/>
    <w:rsid w:val="007B7033"/>
    <w:rsid w:val="00831E73"/>
    <w:rsid w:val="00835C54"/>
    <w:rsid w:val="008472DD"/>
    <w:rsid w:val="00855FD4"/>
    <w:rsid w:val="00881F33"/>
    <w:rsid w:val="008A1BA9"/>
    <w:rsid w:val="008B341D"/>
    <w:rsid w:val="008D4FB2"/>
    <w:rsid w:val="008F4E58"/>
    <w:rsid w:val="008F4EE5"/>
    <w:rsid w:val="00947016"/>
    <w:rsid w:val="0094711A"/>
    <w:rsid w:val="00955128"/>
    <w:rsid w:val="009566AF"/>
    <w:rsid w:val="009A4B91"/>
    <w:rsid w:val="009D6FD6"/>
    <w:rsid w:val="009E3C1A"/>
    <w:rsid w:val="00A05E8B"/>
    <w:rsid w:val="00A0749B"/>
    <w:rsid w:val="00A11CE4"/>
    <w:rsid w:val="00A212FC"/>
    <w:rsid w:val="00A228C9"/>
    <w:rsid w:val="00A3102D"/>
    <w:rsid w:val="00A3561E"/>
    <w:rsid w:val="00A6697E"/>
    <w:rsid w:val="00A67BEF"/>
    <w:rsid w:val="00A74C58"/>
    <w:rsid w:val="00A7604B"/>
    <w:rsid w:val="00A83DED"/>
    <w:rsid w:val="00A9441C"/>
    <w:rsid w:val="00AB0A84"/>
    <w:rsid w:val="00AB7BFA"/>
    <w:rsid w:val="00AD21F7"/>
    <w:rsid w:val="00AD560C"/>
    <w:rsid w:val="00AE544B"/>
    <w:rsid w:val="00AF1DC6"/>
    <w:rsid w:val="00B02236"/>
    <w:rsid w:val="00B14336"/>
    <w:rsid w:val="00B20E57"/>
    <w:rsid w:val="00B22B6D"/>
    <w:rsid w:val="00B24D91"/>
    <w:rsid w:val="00B27E0D"/>
    <w:rsid w:val="00B47E5C"/>
    <w:rsid w:val="00B66D9F"/>
    <w:rsid w:val="00B87510"/>
    <w:rsid w:val="00B96275"/>
    <w:rsid w:val="00BA0B0A"/>
    <w:rsid w:val="00BB2C9E"/>
    <w:rsid w:val="00BC1B7A"/>
    <w:rsid w:val="00BD5BE1"/>
    <w:rsid w:val="00BF2CDB"/>
    <w:rsid w:val="00BF671D"/>
    <w:rsid w:val="00C0044D"/>
    <w:rsid w:val="00C07546"/>
    <w:rsid w:val="00C16897"/>
    <w:rsid w:val="00C45934"/>
    <w:rsid w:val="00C512AA"/>
    <w:rsid w:val="00C9315F"/>
    <w:rsid w:val="00CA3785"/>
    <w:rsid w:val="00CC0613"/>
    <w:rsid w:val="00CF0F5A"/>
    <w:rsid w:val="00D05167"/>
    <w:rsid w:val="00D25EDD"/>
    <w:rsid w:val="00D279B1"/>
    <w:rsid w:val="00D81C8A"/>
    <w:rsid w:val="00D8582F"/>
    <w:rsid w:val="00DD1ADF"/>
    <w:rsid w:val="00E278AD"/>
    <w:rsid w:val="00E462B3"/>
    <w:rsid w:val="00E614E7"/>
    <w:rsid w:val="00E80078"/>
    <w:rsid w:val="00EA40DF"/>
    <w:rsid w:val="00EE14EB"/>
    <w:rsid w:val="00EE5C8A"/>
    <w:rsid w:val="00EF51E3"/>
    <w:rsid w:val="00EF59A5"/>
    <w:rsid w:val="00EF6695"/>
    <w:rsid w:val="00F238A1"/>
    <w:rsid w:val="00F27FC5"/>
    <w:rsid w:val="00F414A6"/>
    <w:rsid w:val="00F45172"/>
    <w:rsid w:val="00F53ABD"/>
    <w:rsid w:val="00FC7BD4"/>
    <w:rsid w:val="00FD4D7B"/>
    <w:rsid w:val="012507F0"/>
    <w:rsid w:val="013E315A"/>
    <w:rsid w:val="014A11E8"/>
    <w:rsid w:val="01533D9B"/>
    <w:rsid w:val="0191663A"/>
    <w:rsid w:val="019D4A60"/>
    <w:rsid w:val="01FC4E43"/>
    <w:rsid w:val="023B26A9"/>
    <w:rsid w:val="02650E92"/>
    <w:rsid w:val="027B07C0"/>
    <w:rsid w:val="02BB11B8"/>
    <w:rsid w:val="03AD46AA"/>
    <w:rsid w:val="03B211E4"/>
    <w:rsid w:val="03D705D6"/>
    <w:rsid w:val="03E54356"/>
    <w:rsid w:val="03E778B1"/>
    <w:rsid w:val="044951BC"/>
    <w:rsid w:val="044C4717"/>
    <w:rsid w:val="04562D26"/>
    <w:rsid w:val="045A31AF"/>
    <w:rsid w:val="049603FB"/>
    <w:rsid w:val="04EF5F7B"/>
    <w:rsid w:val="04FA09FD"/>
    <w:rsid w:val="051301E6"/>
    <w:rsid w:val="053223E5"/>
    <w:rsid w:val="053E5494"/>
    <w:rsid w:val="055F1890"/>
    <w:rsid w:val="057804B5"/>
    <w:rsid w:val="066F53E4"/>
    <w:rsid w:val="06755C63"/>
    <w:rsid w:val="06B46B36"/>
    <w:rsid w:val="071D44F1"/>
    <w:rsid w:val="07452D4B"/>
    <w:rsid w:val="07FF7416"/>
    <w:rsid w:val="08FD054C"/>
    <w:rsid w:val="0906124F"/>
    <w:rsid w:val="092B5DFE"/>
    <w:rsid w:val="097E53D2"/>
    <w:rsid w:val="099C5FDA"/>
    <w:rsid w:val="09A11049"/>
    <w:rsid w:val="09D62831"/>
    <w:rsid w:val="09DA1189"/>
    <w:rsid w:val="0A4F1D41"/>
    <w:rsid w:val="0A9A718E"/>
    <w:rsid w:val="0AB417C1"/>
    <w:rsid w:val="0BD45CD8"/>
    <w:rsid w:val="0BE51250"/>
    <w:rsid w:val="0C2322BD"/>
    <w:rsid w:val="0C287FCE"/>
    <w:rsid w:val="0C987DB6"/>
    <w:rsid w:val="0CEE3FE0"/>
    <w:rsid w:val="0D04267D"/>
    <w:rsid w:val="0D0B39E6"/>
    <w:rsid w:val="0D307250"/>
    <w:rsid w:val="0E1F10A3"/>
    <w:rsid w:val="0E5B3132"/>
    <w:rsid w:val="0EA6561D"/>
    <w:rsid w:val="0EF11C1F"/>
    <w:rsid w:val="0F3506B9"/>
    <w:rsid w:val="0F4A36A9"/>
    <w:rsid w:val="0F556ACF"/>
    <w:rsid w:val="0F846571"/>
    <w:rsid w:val="107A534A"/>
    <w:rsid w:val="11033832"/>
    <w:rsid w:val="118B49A7"/>
    <w:rsid w:val="11A372AF"/>
    <w:rsid w:val="11E12DC2"/>
    <w:rsid w:val="11EF6AEE"/>
    <w:rsid w:val="12292833"/>
    <w:rsid w:val="123937F6"/>
    <w:rsid w:val="125847D1"/>
    <w:rsid w:val="13C80C6D"/>
    <w:rsid w:val="140125E3"/>
    <w:rsid w:val="1441312A"/>
    <w:rsid w:val="14CE4DD8"/>
    <w:rsid w:val="1501399C"/>
    <w:rsid w:val="151024B9"/>
    <w:rsid w:val="15327210"/>
    <w:rsid w:val="16072CE1"/>
    <w:rsid w:val="16450CFC"/>
    <w:rsid w:val="16C95610"/>
    <w:rsid w:val="16F74518"/>
    <w:rsid w:val="16FE1FB8"/>
    <w:rsid w:val="17151FC3"/>
    <w:rsid w:val="17274CAC"/>
    <w:rsid w:val="17487E7C"/>
    <w:rsid w:val="174A6AB0"/>
    <w:rsid w:val="17A2528C"/>
    <w:rsid w:val="17C74215"/>
    <w:rsid w:val="17D33EE4"/>
    <w:rsid w:val="183156E3"/>
    <w:rsid w:val="18927660"/>
    <w:rsid w:val="18E81C86"/>
    <w:rsid w:val="18F279AE"/>
    <w:rsid w:val="1912657B"/>
    <w:rsid w:val="195D590D"/>
    <w:rsid w:val="19CB6BAE"/>
    <w:rsid w:val="1A227CF2"/>
    <w:rsid w:val="1A494AB1"/>
    <w:rsid w:val="1A72098E"/>
    <w:rsid w:val="1A853345"/>
    <w:rsid w:val="1AA02ABB"/>
    <w:rsid w:val="1AAB05DA"/>
    <w:rsid w:val="1AAB6435"/>
    <w:rsid w:val="1AEE3259"/>
    <w:rsid w:val="1B002DF9"/>
    <w:rsid w:val="1B0A750C"/>
    <w:rsid w:val="1B8201B2"/>
    <w:rsid w:val="1B8618D0"/>
    <w:rsid w:val="1BCE4C19"/>
    <w:rsid w:val="1BFF0A42"/>
    <w:rsid w:val="1C4F1D75"/>
    <w:rsid w:val="1C74443C"/>
    <w:rsid w:val="1C983D5A"/>
    <w:rsid w:val="1CB6094B"/>
    <w:rsid w:val="1CB7463B"/>
    <w:rsid w:val="1CC970A5"/>
    <w:rsid w:val="1D2F78EF"/>
    <w:rsid w:val="1D4A4C4A"/>
    <w:rsid w:val="1D793734"/>
    <w:rsid w:val="1D8F5F52"/>
    <w:rsid w:val="1DB46E75"/>
    <w:rsid w:val="1E225987"/>
    <w:rsid w:val="1E4E62CB"/>
    <w:rsid w:val="1E5769D6"/>
    <w:rsid w:val="1E661995"/>
    <w:rsid w:val="1F5F722C"/>
    <w:rsid w:val="1F984389"/>
    <w:rsid w:val="1FCB2867"/>
    <w:rsid w:val="200E5488"/>
    <w:rsid w:val="204C4353"/>
    <w:rsid w:val="205B7608"/>
    <w:rsid w:val="20AE193B"/>
    <w:rsid w:val="20D67327"/>
    <w:rsid w:val="21BB02F0"/>
    <w:rsid w:val="21C568E1"/>
    <w:rsid w:val="225E156D"/>
    <w:rsid w:val="226C01DA"/>
    <w:rsid w:val="22725F45"/>
    <w:rsid w:val="228562AD"/>
    <w:rsid w:val="232E17E9"/>
    <w:rsid w:val="234E1D2A"/>
    <w:rsid w:val="23CF7EF4"/>
    <w:rsid w:val="24314461"/>
    <w:rsid w:val="244F48A8"/>
    <w:rsid w:val="24552051"/>
    <w:rsid w:val="24940081"/>
    <w:rsid w:val="24D25C0F"/>
    <w:rsid w:val="24FA2C41"/>
    <w:rsid w:val="252C0677"/>
    <w:rsid w:val="25524462"/>
    <w:rsid w:val="2561127C"/>
    <w:rsid w:val="257656D4"/>
    <w:rsid w:val="26134E42"/>
    <w:rsid w:val="26177EA7"/>
    <w:rsid w:val="262B571A"/>
    <w:rsid w:val="2648741C"/>
    <w:rsid w:val="26B33F7E"/>
    <w:rsid w:val="26E00191"/>
    <w:rsid w:val="26F75DF3"/>
    <w:rsid w:val="275A45A2"/>
    <w:rsid w:val="275A7E65"/>
    <w:rsid w:val="27920790"/>
    <w:rsid w:val="280E6286"/>
    <w:rsid w:val="281449D7"/>
    <w:rsid w:val="28372FD6"/>
    <w:rsid w:val="2847691F"/>
    <w:rsid w:val="28B55C53"/>
    <w:rsid w:val="28DD7102"/>
    <w:rsid w:val="28F673F4"/>
    <w:rsid w:val="28FA7753"/>
    <w:rsid w:val="28FF2B2E"/>
    <w:rsid w:val="292C39A9"/>
    <w:rsid w:val="29EA555A"/>
    <w:rsid w:val="2A034632"/>
    <w:rsid w:val="2A34234D"/>
    <w:rsid w:val="2A604228"/>
    <w:rsid w:val="2A744E4D"/>
    <w:rsid w:val="2A745BCB"/>
    <w:rsid w:val="2AC02BC5"/>
    <w:rsid w:val="2AD83583"/>
    <w:rsid w:val="2B063A92"/>
    <w:rsid w:val="2B751501"/>
    <w:rsid w:val="2B944307"/>
    <w:rsid w:val="2BD71652"/>
    <w:rsid w:val="2D130B81"/>
    <w:rsid w:val="2D2144B5"/>
    <w:rsid w:val="2D6513BF"/>
    <w:rsid w:val="2D7465E4"/>
    <w:rsid w:val="2D7E6090"/>
    <w:rsid w:val="2DCF5C66"/>
    <w:rsid w:val="2E2808A2"/>
    <w:rsid w:val="2E4E504A"/>
    <w:rsid w:val="2E767A5F"/>
    <w:rsid w:val="2E7B1C2B"/>
    <w:rsid w:val="2E7E460E"/>
    <w:rsid w:val="2EB26A7B"/>
    <w:rsid w:val="2EBC4A66"/>
    <w:rsid w:val="2ECC4AD5"/>
    <w:rsid w:val="2EE332AA"/>
    <w:rsid w:val="2EF55D4B"/>
    <w:rsid w:val="2F081734"/>
    <w:rsid w:val="2F1A353B"/>
    <w:rsid w:val="2F226B83"/>
    <w:rsid w:val="306535AA"/>
    <w:rsid w:val="30785036"/>
    <w:rsid w:val="30906EE9"/>
    <w:rsid w:val="31196C09"/>
    <w:rsid w:val="31EB5C06"/>
    <w:rsid w:val="320E6D99"/>
    <w:rsid w:val="333742B4"/>
    <w:rsid w:val="334327BB"/>
    <w:rsid w:val="336C737E"/>
    <w:rsid w:val="35006905"/>
    <w:rsid w:val="352347C9"/>
    <w:rsid w:val="352E5559"/>
    <w:rsid w:val="354D0333"/>
    <w:rsid w:val="35706C5C"/>
    <w:rsid w:val="358741DC"/>
    <w:rsid w:val="35AE4919"/>
    <w:rsid w:val="35DB58D2"/>
    <w:rsid w:val="362758BC"/>
    <w:rsid w:val="36B12563"/>
    <w:rsid w:val="37003485"/>
    <w:rsid w:val="37347D45"/>
    <w:rsid w:val="37814703"/>
    <w:rsid w:val="37A06403"/>
    <w:rsid w:val="37C108A6"/>
    <w:rsid w:val="37EC2BB7"/>
    <w:rsid w:val="37EF1E36"/>
    <w:rsid w:val="388F3B55"/>
    <w:rsid w:val="389233BF"/>
    <w:rsid w:val="38E057F5"/>
    <w:rsid w:val="3944292F"/>
    <w:rsid w:val="394765A7"/>
    <w:rsid w:val="398F704B"/>
    <w:rsid w:val="39BD039D"/>
    <w:rsid w:val="39BF4DBF"/>
    <w:rsid w:val="3ADA6F6D"/>
    <w:rsid w:val="3AEB6007"/>
    <w:rsid w:val="3B2352A8"/>
    <w:rsid w:val="3B483D6B"/>
    <w:rsid w:val="3BB513C5"/>
    <w:rsid w:val="3BBA71D2"/>
    <w:rsid w:val="3BE122CC"/>
    <w:rsid w:val="3BF90AB8"/>
    <w:rsid w:val="3C2C7DC0"/>
    <w:rsid w:val="3C44648E"/>
    <w:rsid w:val="3C4B2E2C"/>
    <w:rsid w:val="3C91290A"/>
    <w:rsid w:val="3D165F58"/>
    <w:rsid w:val="3D601BD5"/>
    <w:rsid w:val="3DCC466A"/>
    <w:rsid w:val="3DD10FF4"/>
    <w:rsid w:val="3DEE7400"/>
    <w:rsid w:val="3DF35367"/>
    <w:rsid w:val="3E0C2526"/>
    <w:rsid w:val="3E0D11DF"/>
    <w:rsid w:val="3E135518"/>
    <w:rsid w:val="3E691DA4"/>
    <w:rsid w:val="3F12366B"/>
    <w:rsid w:val="3F7548B0"/>
    <w:rsid w:val="3F9B11F6"/>
    <w:rsid w:val="3FA66E3E"/>
    <w:rsid w:val="3FBF19A7"/>
    <w:rsid w:val="3FCD602E"/>
    <w:rsid w:val="3FCE16E5"/>
    <w:rsid w:val="40330901"/>
    <w:rsid w:val="406C430A"/>
    <w:rsid w:val="40A14502"/>
    <w:rsid w:val="40C10FFD"/>
    <w:rsid w:val="40D8240F"/>
    <w:rsid w:val="411C4A9B"/>
    <w:rsid w:val="41340067"/>
    <w:rsid w:val="41D82639"/>
    <w:rsid w:val="425F2541"/>
    <w:rsid w:val="429928F4"/>
    <w:rsid w:val="42B87F29"/>
    <w:rsid w:val="43312818"/>
    <w:rsid w:val="43473263"/>
    <w:rsid w:val="434A4974"/>
    <w:rsid w:val="435F1C93"/>
    <w:rsid w:val="44436145"/>
    <w:rsid w:val="44702695"/>
    <w:rsid w:val="449804AD"/>
    <w:rsid w:val="44A6304C"/>
    <w:rsid w:val="44AF6CCC"/>
    <w:rsid w:val="44CA080B"/>
    <w:rsid w:val="453526EC"/>
    <w:rsid w:val="45576DBB"/>
    <w:rsid w:val="45B02FDE"/>
    <w:rsid w:val="45CF5332"/>
    <w:rsid w:val="45ED4783"/>
    <w:rsid w:val="46115ECA"/>
    <w:rsid w:val="461B17FD"/>
    <w:rsid w:val="46530E81"/>
    <w:rsid w:val="468D3006"/>
    <w:rsid w:val="46F968A0"/>
    <w:rsid w:val="476B7662"/>
    <w:rsid w:val="48192733"/>
    <w:rsid w:val="4835578C"/>
    <w:rsid w:val="48710B3F"/>
    <w:rsid w:val="490634B4"/>
    <w:rsid w:val="491C580F"/>
    <w:rsid w:val="493B2001"/>
    <w:rsid w:val="495350B7"/>
    <w:rsid w:val="49AC333D"/>
    <w:rsid w:val="49F63991"/>
    <w:rsid w:val="49FE47A7"/>
    <w:rsid w:val="4A0F611F"/>
    <w:rsid w:val="4A32049F"/>
    <w:rsid w:val="4A62424D"/>
    <w:rsid w:val="4A9758C4"/>
    <w:rsid w:val="4ACE14F4"/>
    <w:rsid w:val="4AF12923"/>
    <w:rsid w:val="4B00214A"/>
    <w:rsid w:val="4B2E43A2"/>
    <w:rsid w:val="4B72318E"/>
    <w:rsid w:val="4B844855"/>
    <w:rsid w:val="4BA349F9"/>
    <w:rsid w:val="4C61794E"/>
    <w:rsid w:val="4C7D4109"/>
    <w:rsid w:val="4DB02D3C"/>
    <w:rsid w:val="4DF56133"/>
    <w:rsid w:val="4E77277F"/>
    <w:rsid w:val="4E8C1E6D"/>
    <w:rsid w:val="4EA635F3"/>
    <w:rsid w:val="4EE1566F"/>
    <w:rsid w:val="4F003EAA"/>
    <w:rsid w:val="4F171586"/>
    <w:rsid w:val="4F9549DE"/>
    <w:rsid w:val="4FB75C9E"/>
    <w:rsid w:val="4FE70A4E"/>
    <w:rsid w:val="503461B0"/>
    <w:rsid w:val="5047186A"/>
    <w:rsid w:val="506A220D"/>
    <w:rsid w:val="50C9181B"/>
    <w:rsid w:val="513F7F68"/>
    <w:rsid w:val="5148350E"/>
    <w:rsid w:val="51616D37"/>
    <w:rsid w:val="51DC4386"/>
    <w:rsid w:val="520C6531"/>
    <w:rsid w:val="524916FE"/>
    <w:rsid w:val="52591BF3"/>
    <w:rsid w:val="52722FAA"/>
    <w:rsid w:val="52F3026A"/>
    <w:rsid w:val="5300211C"/>
    <w:rsid w:val="531F0CA7"/>
    <w:rsid w:val="53560134"/>
    <w:rsid w:val="53BE1ECA"/>
    <w:rsid w:val="54696228"/>
    <w:rsid w:val="54A379AB"/>
    <w:rsid w:val="54B956F2"/>
    <w:rsid w:val="54D043FA"/>
    <w:rsid w:val="54D228FB"/>
    <w:rsid w:val="55772F95"/>
    <w:rsid w:val="55987F88"/>
    <w:rsid w:val="55C1683D"/>
    <w:rsid w:val="56077D79"/>
    <w:rsid w:val="562C1FA2"/>
    <w:rsid w:val="56652E85"/>
    <w:rsid w:val="573D1E52"/>
    <w:rsid w:val="577D2FE3"/>
    <w:rsid w:val="579146F6"/>
    <w:rsid w:val="57E377E7"/>
    <w:rsid w:val="581E79B5"/>
    <w:rsid w:val="584375A5"/>
    <w:rsid w:val="58553444"/>
    <w:rsid w:val="588B5C5C"/>
    <w:rsid w:val="58F52E4E"/>
    <w:rsid w:val="58F84DC5"/>
    <w:rsid w:val="591451FC"/>
    <w:rsid w:val="59644B97"/>
    <w:rsid w:val="59790FF9"/>
    <w:rsid w:val="59863B23"/>
    <w:rsid w:val="598F2AF7"/>
    <w:rsid w:val="59BD1B2B"/>
    <w:rsid w:val="5A4C46AB"/>
    <w:rsid w:val="5A564674"/>
    <w:rsid w:val="5A9E74B1"/>
    <w:rsid w:val="5AAA0417"/>
    <w:rsid w:val="5B056850"/>
    <w:rsid w:val="5B375046"/>
    <w:rsid w:val="5B6C5F2E"/>
    <w:rsid w:val="5B7339E9"/>
    <w:rsid w:val="5BB97184"/>
    <w:rsid w:val="5BDA055D"/>
    <w:rsid w:val="5C076180"/>
    <w:rsid w:val="5C276158"/>
    <w:rsid w:val="5C3A0324"/>
    <w:rsid w:val="5C8E43A4"/>
    <w:rsid w:val="5CEB3C28"/>
    <w:rsid w:val="5E015161"/>
    <w:rsid w:val="5E1635A9"/>
    <w:rsid w:val="5E803C85"/>
    <w:rsid w:val="5E9610BD"/>
    <w:rsid w:val="5EB74F0A"/>
    <w:rsid w:val="5FB73D3A"/>
    <w:rsid w:val="5FD64E4B"/>
    <w:rsid w:val="5FDE7052"/>
    <w:rsid w:val="60A63945"/>
    <w:rsid w:val="60AF4BD4"/>
    <w:rsid w:val="60C071EC"/>
    <w:rsid w:val="60E245F9"/>
    <w:rsid w:val="61302BC3"/>
    <w:rsid w:val="61C2287A"/>
    <w:rsid w:val="62116DC7"/>
    <w:rsid w:val="62533F87"/>
    <w:rsid w:val="62555FD7"/>
    <w:rsid w:val="629B4082"/>
    <w:rsid w:val="634C5C0C"/>
    <w:rsid w:val="635E3215"/>
    <w:rsid w:val="6372468C"/>
    <w:rsid w:val="63BB2DF5"/>
    <w:rsid w:val="63D133D7"/>
    <w:rsid w:val="64180743"/>
    <w:rsid w:val="645B23BB"/>
    <w:rsid w:val="64BD1B26"/>
    <w:rsid w:val="64CF464C"/>
    <w:rsid w:val="64D92785"/>
    <w:rsid w:val="652D435A"/>
    <w:rsid w:val="658E4FA0"/>
    <w:rsid w:val="66070AF5"/>
    <w:rsid w:val="66B14080"/>
    <w:rsid w:val="66ED34E4"/>
    <w:rsid w:val="67013796"/>
    <w:rsid w:val="673E1935"/>
    <w:rsid w:val="675207E5"/>
    <w:rsid w:val="676F1B28"/>
    <w:rsid w:val="67C361D4"/>
    <w:rsid w:val="67C871D8"/>
    <w:rsid w:val="67FE1585"/>
    <w:rsid w:val="680A2FE9"/>
    <w:rsid w:val="68212778"/>
    <w:rsid w:val="68962A53"/>
    <w:rsid w:val="68BD0795"/>
    <w:rsid w:val="68BD5FEB"/>
    <w:rsid w:val="68C76759"/>
    <w:rsid w:val="68E17CF0"/>
    <w:rsid w:val="68F23967"/>
    <w:rsid w:val="6939263D"/>
    <w:rsid w:val="69580973"/>
    <w:rsid w:val="69C27036"/>
    <w:rsid w:val="69C51E04"/>
    <w:rsid w:val="69DE6058"/>
    <w:rsid w:val="6A1B28FD"/>
    <w:rsid w:val="6A5F61D6"/>
    <w:rsid w:val="6A8A77E5"/>
    <w:rsid w:val="6AC85D32"/>
    <w:rsid w:val="6AFC79BD"/>
    <w:rsid w:val="6B1A2698"/>
    <w:rsid w:val="6C5728DF"/>
    <w:rsid w:val="6C9E5E69"/>
    <w:rsid w:val="6CF3602D"/>
    <w:rsid w:val="6DAD2FFB"/>
    <w:rsid w:val="6DB00E8C"/>
    <w:rsid w:val="6EE61F3A"/>
    <w:rsid w:val="6F1A4B66"/>
    <w:rsid w:val="6FD758DA"/>
    <w:rsid w:val="6FF53C82"/>
    <w:rsid w:val="701D5BC8"/>
    <w:rsid w:val="704A01F9"/>
    <w:rsid w:val="70A91702"/>
    <w:rsid w:val="714E1D42"/>
    <w:rsid w:val="717507EA"/>
    <w:rsid w:val="72326A22"/>
    <w:rsid w:val="732206AB"/>
    <w:rsid w:val="736A7A24"/>
    <w:rsid w:val="738F38DF"/>
    <w:rsid w:val="73B137E8"/>
    <w:rsid w:val="73C84091"/>
    <w:rsid w:val="73D96F07"/>
    <w:rsid w:val="740D6468"/>
    <w:rsid w:val="741F58A5"/>
    <w:rsid w:val="744C678F"/>
    <w:rsid w:val="745234DB"/>
    <w:rsid w:val="7491659C"/>
    <w:rsid w:val="74962B7C"/>
    <w:rsid w:val="74F05121"/>
    <w:rsid w:val="75466090"/>
    <w:rsid w:val="75491804"/>
    <w:rsid w:val="756637C2"/>
    <w:rsid w:val="759B2FE4"/>
    <w:rsid w:val="75EF66A8"/>
    <w:rsid w:val="75F220E9"/>
    <w:rsid w:val="761D2F92"/>
    <w:rsid w:val="76926620"/>
    <w:rsid w:val="76A47522"/>
    <w:rsid w:val="76B251FA"/>
    <w:rsid w:val="76FA55A0"/>
    <w:rsid w:val="770B0224"/>
    <w:rsid w:val="778B2A73"/>
    <w:rsid w:val="77C05EE9"/>
    <w:rsid w:val="77FC0C62"/>
    <w:rsid w:val="780837B3"/>
    <w:rsid w:val="783B7D79"/>
    <w:rsid w:val="790D2056"/>
    <w:rsid w:val="794C0F44"/>
    <w:rsid w:val="7A81411C"/>
    <w:rsid w:val="7AB84E3B"/>
    <w:rsid w:val="7B707BE4"/>
    <w:rsid w:val="7B736A6D"/>
    <w:rsid w:val="7BA4245F"/>
    <w:rsid w:val="7C7E4125"/>
    <w:rsid w:val="7C9E5109"/>
    <w:rsid w:val="7CC41B55"/>
    <w:rsid w:val="7D6D0EB0"/>
    <w:rsid w:val="7D7D5752"/>
    <w:rsid w:val="7D867DEC"/>
    <w:rsid w:val="7DEC42BD"/>
    <w:rsid w:val="7E596388"/>
    <w:rsid w:val="7E956A11"/>
    <w:rsid w:val="7E9B3D4C"/>
    <w:rsid w:val="7EDC1719"/>
    <w:rsid w:val="7EFA4261"/>
    <w:rsid w:val="7F0166FF"/>
    <w:rsid w:val="7F3F19DA"/>
    <w:rsid w:val="7F412F56"/>
    <w:rsid w:val="7F6D551F"/>
    <w:rsid w:val="7FA42D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numPr>
        <w:ilvl w:val="0"/>
        <w:numId w:val="1"/>
      </w:numPr>
      <w:spacing w:before="240" w:after="120"/>
      <w:ind w:right="100" w:rightChars="100"/>
      <w:outlineLvl w:val="1"/>
    </w:pPr>
    <w:rPr>
      <w:rFonts w:ascii="宋体"/>
      <w:b/>
      <w:sz w:val="2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next w:val="1"/>
    <w:qFormat/>
    <w:uiPriority w:val="0"/>
    <w:pPr>
      <w:keepNext/>
      <w:keepLines/>
      <w:numPr>
        <w:ilvl w:val="3"/>
        <w:numId w:val="2"/>
      </w:numPr>
      <w:spacing w:line="360" w:lineRule="auto"/>
      <w:outlineLvl w:val="3"/>
    </w:pPr>
    <w:rPr>
      <w:rFonts w:ascii="Times New Roman" w:hAnsi="Times New Roman" w:eastAsia="宋体" w:cs="Times New Roman"/>
      <w:b/>
      <w:bCs/>
      <w:sz w:val="28"/>
      <w:szCs w:val="28"/>
      <w:lang w:val="en-US" w:eastAsia="zh-CN" w:bidi="ar-SA"/>
    </w:rPr>
  </w:style>
  <w:style w:type="paragraph" w:styleId="6">
    <w:name w:val="heading 5"/>
    <w:basedOn w:val="1"/>
    <w:next w:val="1"/>
    <w:qFormat/>
    <w:uiPriority w:val="1"/>
    <w:pPr>
      <w:ind w:left="1502"/>
      <w:outlineLvl w:val="4"/>
    </w:pPr>
    <w:rPr>
      <w:rFonts w:ascii="宋体" w:hAnsi="宋体" w:eastAsia="宋体" w:cs="宋体"/>
      <w:b/>
      <w:bCs/>
      <w:sz w:val="21"/>
      <w:szCs w:val="21"/>
      <w:lang w:val="zh-CN" w:eastAsia="zh-CN" w:bidi="zh-CN"/>
    </w:rPr>
  </w:style>
  <w:style w:type="character" w:default="1" w:styleId="35">
    <w:name w:val="Default Paragraph Font"/>
    <w:semiHidden/>
    <w:qFormat/>
    <w:uiPriority w:val="0"/>
  </w:style>
  <w:style w:type="table" w:default="1" w:styleId="33">
    <w:name w:val="Normal Table"/>
    <w:semiHidden/>
    <w:uiPriority w:val="0"/>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List Number"/>
    <w:basedOn w:val="1"/>
    <w:uiPriority w:val="0"/>
    <w:pPr>
      <w:numPr>
        <w:ilvl w:val="0"/>
        <w:numId w:val="3"/>
      </w:numPr>
    </w:pPr>
  </w:style>
  <w:style w:type="paragraph" w:styleId="9">
    <w:name w:val="Normal Indent"/>
    <w:basedOn w:val="1"/>
    <w:next w:val="1"/>
    <w:uiPriority w:val="0"/>
    <w:pPr>
      <w:widowControl w:val="0"/>
      <w:ind w:firstLine="420" w:firstLineChars="200"/>
      <w:jc w:val="both"/>
    </w:pPr>
    <w:rPr>
      <w:kern w:val="2"/>
      <w:sz w:val="24"/>
      <w:szCs w:val="24"/>
    </w:rPr>
  </w:style>
  <w:style w:type="paragraph" w:styleId="10">
    <w:name w:val="toa heading"/>
    <w:basedOn w:val="1"/>
    <w:next w:val="1"/>
    <w:qFormat/>
    <w:uiPriority w:val="0"/>
    <w:pPr>
      <w:spacing w:before="120"/>
    </w:pPr>
    <w:rPr>
      <w:rFonts w:ascii="Arial" w:hAnsi="Arial" w:eastAsia="仿宋_GB2312" w:cs="Times New Roman"/>
      <w:b/>
      <w:color w:val="000000"/>
      <w:kern w:val="0"/>
      <w:sz w:val="24"/>
      <w:szCs w:val="20"/>
    </w:rPr>
  </w:style>
  <w:style w:type="paragraph" w:styleId="11">
    <w:name w:val="annotation text"/>
    <w:basedOn w:val="1"/>
    <w:link w:val="40"/>
    <w:uiPriority w:val="0"/>
    <w:pPr>
      <w:jc w:val="left"/>
    </w:pPr>
  </w:style>
  <w:style w:type="paragraph" w:styleId="12">
    <w:name w:val="Body Text"/>
    <w:basedOn w:val="1"/>
    <w:next w:val="13"/>
    <w:qFormat/>
    <w:uiPriority w:val="99"/>
    <w:pPr>
      <w:spacing w:line="360" w:lineRule="exact"/>
    </w:pPr>
    <w:rPr>
      <w:sz w:val="24"/>
    </w:rPr>
  </w:style>
  <w:style w:type="paragraph" w:styleId="13">
    <w:name w:val="Body Text First Indent"/>
    <w:basedOn w:val="12"/>
    <w:next w:val="14"/>
    <w:qFormat/>
    <w:uiPriority w:val="0"/>
    <w:pPr>
      <w:widowControl/>
      <w:spacing w:after="120" w:line="240" w:lineRule="auto"/>
      <w:ind w:firstLine="420" w:firstLineChars="100"/>
    </w:pPr>
    <w:rPr>
      <w:szCs w:val="20"/>
    </w:rPr>
  </w:style>
  <w:style w:type="paragraph" w:styleId="14">
    <w:name w:val="List"/>
    <w:basedOn w:val="1"/>
    <w:qFormat/>
    <w:uiPriority w:val="0"/>
    <w:pPr>
      <w:ind w:left="200" w:hanging="200" w:hangingChars="200"/>
    </w:pPr>
    <w:rPr>
      <w:sz w:val="28"/>
    </w:rPr>
  </w:style>
  <w:style w:type="paragraph" w:styleId="15">
    <w:name w:val="Body Text Indent"/>
    <w:basedOn w:val="1"/>
    <w:next w:val="9"/>
    <w:uiPriority w:val="0"/>
    <w:pPr>
      <w:widowControl w:val="0"/>
      <w:tabs>
        <w:tab w:val="left" w:pos="0"/>
        <w:tab w:val="left" w:pos="1260"/>
        <w:tab w:val="left" w:pos="1365"/>
      </w:tabs>
      <w:spacing w:line="500" w:lineRule="exact"/>
      <w:ind w:firstLine="630"/>
      <w:jc w:val="both"/>
    </w:pPr>
    <w:rPr>
      <w:rFonts w:ascii="仿宋_GB2312" w:eastAsia="仿宋_GB2312"/>
      <w:kern w:val="2"/>
      <w:sz w:val="28"/>
    </w:rPr>
  </w:style>
  <w:style w:type="paragraph" w:styleId="16">
    <w:name w:val="toc 3"/>
    <w:basedOn w:val="1"/>
    <w:next w:val="1"/>
    <w:qFormat/>
    <w:uiPriority w:val="39"/>
    <w:pPr>
      <w:ind w:left="420"/>
      <w:jc w:val="left"/>
    </w:pPr>
    <w:rPr>
      <w:rFonts w:ascii="仿宋_GB2312" w:eastAsia="仿宋_GB2312"/>
      <w:i/>
      <w:iCs/>
      <w:sz w:val="20"/>
    </w:rPr>
  </w:style>
  <w:style w:type="paragraph" w:styleId="17">
    <w:name w:val="Plain Text"/>
    <w:basedOn w:val="1"/>
    <w:next w:val="18"/>
    <w:qFormat/>
    <w:uiPriority w:val="0"/>
    <w:pPr>
      <w:widowControl w:val="0"/>
      <w:jc w:val="both"/>
    </w:pPr>
    <w:rPr>
      <w:rFonts w:ascii="宋体" w:hAnsi="Courier New" w:cs="Courier New"/>
      <w:kern w:val="2"/>
      <w:sz w:val="21"/>
      <w:szCs w:val="21"/>
    </w:rPr>
  </w:style>
  <w:style w:type="paragraph" w:styleId="18">
    <w:name w:val="Date"/>
    <w:basedOn w:val="1"/>
    <w:next w:val="1"/>
    <w:qFormat/>
    <w:uiPriority w:val="0"/>
    <w:pPr>
      <w:widowControl w:val="0"/>
      <w:jc w:val="both"/>
    </w:pPr>
    <w:rPr>
      <w:kern w:val="2"/>
      <w:sz w:val="21"/>
    </w:rPr>
  </w:style>
  <w:style w:type="paragraph" w:styleId="19">
    <w:name w:val="Body Text Indent 2"/>
    <w:basedOn w:val="1"/>
    <w:qFormat/>
    <w:uiPriority w:val="0"/>
    <w:pPr>
      <w:snapToGrid w:val="0"/>
      <w:spacing w:line="400" w:lineRule="exact"/>
      <w:ind w:firstLine="480"/>
    </w:pPr>
    <w:rPr>
      <w:rFonts w:eastAsia="仿宋_GB2312"/>
      <w:sz w:val="24"/>
    </w:rPr>
  </w:style>
  <w:style w:type="paragraph" w:styleId="20">
    <w:name w:val="Balloon Text"/>
    <w:basedOn w:val="1"/>
    <w:link w:val="41"/>
    <w:uiPriority w:val="0"/>
    <w:rPr>
      <w:sz w:val="18"/>
      <w:szCs w:val="18"/>
    </w:rPr>
  </w:style>
  <w:style w:type="paragraph" w:styleId="21">
    <w:name w:val="footer"/>
    <w:basedOn w:val="1"/>
    <w:link w:val="42"/>
    <w:qFormat/>
    <w:uiPriority w:val="99"/>
    <w:pPr>
      <w:tabs>
        <w:tab w:val="center" w:pos="4153"/>
        <w:tab w:val="right" w:pos="8306"/>
      </w:tabs>
      <w:snapToGrid w:val="0"/>
      <w:jc w:val="left"/>
    </w:pPr>
    <w:rPr>
      <w:sz w:val="18"/>
    </w:rPr>
  </w:style>
  <w:style w:type="paragraph" w:styleId="2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footnote text"/>
    <w:basedOn w:val="1"/>
    <w:unhideWhenUsed/>
    <w:qFormat/>
    <w:uiPriority w:val="99"/>
    <w:pPr>
      <w:snapToGrid w:val="0"/>
      <w:jc w:val="left"/>
    </w:pPr>
    <w:rPr>
      <w:sz w:val="18"/>
    </w:rPr>
  </w:style>
  <w:style w:type="paragraph" w:styleId="25">
    <w:name w:val="toc 6"/>
    <w:basedOn w:val="1"/>
    <w:next w:val="1"/>
    <w:qFormat/>
    <w:uiPriority w:val="39"/>
    <w:pPr>
      <w:widowControl/>
      <w:ind w:left="1000"/>
      <w:jc w:val="left"/>
    </w:pPr>
    <w:rPr>
      <w:kern w:val="0"/>
      <w:sz w:val="18"/>
      <w:szCs w:val="20"/>
    </w:rPr>
  </w:style>
  <w:style w:type="paragraph" w:styleId="26">
    <w:name w:val="toc 2"/>
    <w:basedOn w:val="1"/>
    <w:next w:val="1"/>
    <w:semiHidden/>
    <w:uiPriority w:val="0"/>
    <w:pPr>
      <w:ind w:left="420" w:leftChars="200"/>
    </w:p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paragraph" w:styleId="28">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29">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30">
    <w:name w:val="annotation subject"/>
    <w:basedOn w:val="11"/>
    <w:next w:val="11"/>
    <w:link w:val="43"/>
    <w:qFormat/>
    <w:uiPriority w:val="0"/>
    <w:rPr>
      <w:b/>
      <w:bCs/>
    </w:rPr>
  </w:style>
  <w:style w:type="paragraph" w:styleId="31">
    <w:name w:val="Body Text First Indent 2"/>
    <w:basedOn w:val="15"/>
    <w:next w:val="32"/>
    <w:qFormat/>
    <w:uiPriority w:val="0"/>
    <w:pPr>
      <w:ind w:firstLine="420"/>
    </w:pPr>
    <w:rPr>
      <w:rFonts w:cs="宋体"/>
      <w:szCs w:val="21"/>
    </w:rPr>
  </w:style>
  <w:style w:type="paragraph" w:customStyle="1" w:styleId="32">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Hyperlink"/>
    <w:uiPriority w:val="0"/>
    <w:rPr>
      <w:color w:val="0000FF"/>
      <w:u w:val="single"/>
    </w:rPr>
  </w:style>
  <w:style w:type="character" w:styleId="38">
    <w:name w:val="annotation reference"/>
    <w:uiPriority w:val="0"/>
    <w:rPr>
      <w:sz w:val="21"/>
      <w:szCs w:val="21"/>
    </w:rPr>
  </w:style>
  <w:style w:type="character" w:styleId="39">
    <w:name w:val="footnote reference"/>
    <w:unhideWhenUsed/>
    <w:qFormat/>
    <w:uiPriority w:val="99"/>
    <w:rPr>
      <w:vertAlign w:val="superscript"/>
    </w:rPr>
  </w:style>
  <w:style w:type="character" w:customStyle="1" w:styleId="40">
    <w:name w:val="批注文字 字符"/>
    <w:link w:val="11"/>
    <w:uiPriority w:val="0"/>
    <w:rPr>
      <w:kern w:val="2"/>
      <w:sz w:val="21"/>
      <w:szCs w:val="24"/>
    </w:rPr>
  </w:style>
  <w:style w:type="character" w:customStyle="1" w:styleId="41">
    <w:name w:val="批注框文本 字符"/>
    <w:link w:val="20"/>
    <w:uiPriority w:val="0"/>
    <w:rPr>
      <w:kern w:val="2"/>
      <w:sz w:val="18"/>
      <w:szCs w:val="18"/>
    </w:rPr>
  </w:style>
  <w:style w:type="character" w:customStyle="1" w:styleId="42">
    <w:name w:val="页脚 字符"/>
    <w:link w:val="21"/>
    <w:qFormat/>
    <w:locked/>
    <w:uiPriority w:val="99"/>
    <w:rPr>
      <w:kern w:val="2"/>
      <w:sz w:val="18"/>
      <w:szCs w:val="24"/>
    </w:rPr>
  </w:style>
  <w:style w:type="character" w:customStyle="1" w:styleId="43">
    <w:name w:val="批注主题 字符"/>
    <w:link w:val="30"/>
    <w:uiPriority w:val="0"/>
    <w:rPr>
      <w:b/>
      <w:bCs/>
      <w:kern w:val="2"/>
      <w:sz w:val="21"/>
      <w:szCs w:val="24"/>
    </w:rPr>
  </w:style>
  <w:style w:type="paragraph" w:customStyle="1" w:styleId="44">
    <w:name w:val="表格文字"/>
    <w:basedOn w:val="17"/>
    <w:next w:val="12"/>
    <w:qFormat/>
    <w:uiPriority w:val="99"/>
    <w:pPr>
      <w:adjustRightInd w:val="0"/>
      <w:spacing w:line="420" w:lineRule="atLeast"/>
      <w:jc w:val="left"/>
      <w:textAlignment w:val="baseline"/>
    </w:pPr>
    <w:rPr>
      <w:kern w:val="0"/>
    </w:rPr>
  </w:style>
  <w:style w:type="paragraph" w:customStyle="1" w:styleId="45">
    <w:name w:val="章正文"/>
    <w:basedOn w:val="1"/>
    <w:qFormat/>
    <w:uiPriority w:val="0"/>
    <w:pPr>
      <w:spacing w:before="156" w:beforeLines="50" w:after="120" w:afterLines="0" w:line="300" w:lineRule="auto"/>
      <w:ind w:firstLine="480"/>
    </w:pPr>
    <w:rPr>
      <w:rFonts w:ascii="Helvetica" w:hAnsi="Helvetica"/>
      <w:kern w:val="0"/>
      <w:sz w:val="24"/>
    </w:rPr>
  </w:style>
  <w:style w:type="character" w:customStyle="1" w:styleId="46">
    <w:name w:val="fontstyle01"/>
    <w:qFormat/>
    <w:uiPriority w:val="99"/>
    <w:rPr>
      <w:rFonts w:ascii="仿宋" w:hAnsi="仿宋" w:cs="Times New Roman"/>
      <w:color w:val="000000"/>
      <w:sz w:val="30"/>
      <w:szCs w:val="30"/>
    </w:rPr>
  </w:style>
  <w:style w:type="character" w:customStyle="1" w:styleId="47">
    <w:name w:val="textfont1"/>
    <w:qFormat/>
    <w:uiPriority w:val="0"/>
    <w:rPr>
      <w:sz w:val="22"/>
      <w:szCs w:val="22"/>
    </w:rPr>
  </w:style>
  <w:style w:type="character" w:customStyle="1" w:styleId="48">
    <w:name w:val="font31"/>
    <w:uiPriority w:val="0"/>
    <w:rPr>
      <w:rFonts w:hint="eastAsia" w:ascii="宋体" w:hAnsi="宋体" w:eastAsia="宋体" w:cs="宋体"/>
      <w:color w:val="000000"/>
      <w:sz w:val="20"/>
      <w:szCs w:val="20"/>
      <w:u w:val="none"/>
    </w:rPr>
  </w:style>
  <w:style w:type="character" w:customStyle="1" w:styleId="49">
    <w:name w:val="font11"/>
    <w:uiPriority w:val="0"/>
    <w:rPr>
      <w:rFonts w:hint="eastAsia" w:ascii="宋体" w:hAnsi="宋体" w:eastAsia="宋体" w:cs="宋体"/>
      <w:color w:val="FF0000"/>
      <w:sz w:val="20"/>
      <w:szCs w:val="20"/>
      <w:u w:val="none"/>
    </w:rPr>
  </w:style>
  <w:style w:type="character" w:customStyle="1" w:styleId="50">
    <w:name w:val="无"/>
    <w:qFormat/>
    <w:uiPriority w:val="99"/>
  </w:style>
  <w:style w:type="paragraph" w:customStyle="1" w:styleId="51">
    <w:name w:val="正文2"/>
    <w:basedOn w:val="1"/>
    <w:qFormat/>
    <w:uiPriority w:val="0"/>
    <w:pPr>
      <w:spacing w:before="156" w:line="360" w:lineRule="auto"/>
      <w:ind w:firstLine="510" w:firstLineChars="200"/>
    </w:pPr>
    <w:rPr>
      <w:rFonts w:ascii="Calibri" w:hAnsi="Calibri"/>
      <w:sz w:val="24"/>
      <w:szCs w:val="20"/>
    </w:rPr>
  </w:style>
  <w:style w:type="paragraph" w:customStyle="1" w:styleId="52">
    <w:name w:val="表名"/>
    <w:basedOn w:val="1"/>
    <w:qFormat/>
    <w:uiPriority w:val="0"/>
    <w:pPr>
      <w:spacing w:before="50" w:beforeLines="50"/>
      <w:jc w:val="left"/>
    </w:pPr>
    <w:rPr>
      <w:b/>
      <w:sz w:val="24"/>
      <w:szCs w:val="22"/>
    </w:rPr>
  </w:style>
  <w:style w:type="paragraph" w:customStyle="1" w:styleId="53">
    <w:name w:val="正文1"/>
    <w:basedOn w:val="16"/>
    <w:next w:val="54"/>
    <w:qFormat/>
    <w:uiPriority w:val="0"/>
    <w:pPr>
      <w:widowControl w:val="0"/>
      <w:jc w:val="both"/>
    </w:pPr>
    <w:rPr>
      <w:rFonts w:hint="eastAsia"/>
      <w:kern w:val="2"/>
      <w:sz w:val="21"/>
      <w:szCs w:val="22"/>
      <w:lang w:val="en-US" w:eastAsia="zh-CN" w:bidi="ar-SA"/>
    </w:rPr>
  </w:style>
  <w:style w:type="paragraph" w:customStyle="1" w:styleId="54">
    <w:name w:val="自动更正"/>
    <w:next w:val="5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xl39"/>
    <w:basedOn w:val="1"/>
    <w:next w:val="56"/>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6">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57">
    <w:name w:val="纯文本_0_1"/>
    <w:basedOn w:val="1"/>
    <w:qFormat/>
    <w:uiPriority w:val="99"/>
    <w:pPr>
      <w:widowControl/>
      <w:jc w:val="left"/>
    </w:pPr>
    <w:rPr>
      <w:rFonts w:ascii="宋体" w:hAnsi="Courier New"/>
      <w:szCs w:val="21"/>
    </w:rPr>
  </w:style>
  <w:style w:type="paragraph" w:customStyle="1" w:styleId="58">
    <w:name w:val="Normal Indent1"/>
    <w:basedOn w:val="1"/>
    <w:qFormat/>
    <w:uiPriority w:val="0"/>
    <w:pPr>
      <w:ind w:firstLine="420" w:firstLineChars="200"/>
    </w:pPr>
  </w:style>
  <w:style w:type="paragraph" w:customStyle="1" w:styleId="59">
    <w:name w:val="Table Paragraph"/>
    <w:basedOn w:val="1"/>
    <w:qFormat/>
    <w:uiPriority w:val="1"/>
    <w:rPr>
      <w:rFonts w:ascii="宋体" w:hAnsi="宋体" w:eastAsia="宋体" w:cs="宋体"/>
      <w:lang w:val="zh-CN" w:eastAsia="zh-CN" w:bidi="zh-CN"/>
    </w:rPr>
  </w:style>
  <w:style w:type="paragraph" w:customStyle="1" w:styleId="60">
    <w:name w:val="SJ2加粗"/>
    <w:qFormat/>
    <w:uiPriority w:val="0"/>
    <w:pPr>
      <w:widowControl w:val="0"/>
      <w:suppressLineNumbers/>
      <w:spacing w:line="360" w:lineRule="auto"/>
      <w:ind w:firstLine="200" w:firstLineChars="200"/>
    </w:pPr>
    <w:rPr>
      <w:rFonts w:ascii="宋体" w:hAnsi="宋体" w:eastAsia="宋体" w:cs="宋体"/>
      <w:b/>
      <w:bCs/>
      <w:sz w:val="24"/>
      <w:lang w:val="en-US" w:eastAsia="zh-CN" w:bidi="en-US"/>
    </w:rPr>
  </w:style>
  <w:style w:type="paragraph" w:customStyle="1" w:styleId="61">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SJ2"/>
    <w:basedOn w:val="1"/>
    <w:qFormat/>
    <w:uiPriority w:val="0"/>
    <w:pPr>
      <w:widowControl w:val="0"/>
      <w:suppressLineNumbers/>
      <w:spacing w:line="360" w:lineRule="auto"/>
      <w:ind w:firstLine="480" w:firstLineChars="200"/>
    </w:pPr>
    <w:rPr>
      <w:rFonts w:ascii="宋体" w:hAnsi="宋体" w:cs="宋体"/>
      <w:bCs/>
      <w:lang w:eastAsia="zh-CN"/>
    </w:rPr>
  </w:style>
  <w:style w:type="paragraph" w:customStyle="1" w:styleId="65">
    <w:name w:val="正文（首行缩进2字符）"/>
    <w:basedOn w:val="1"/>
    <w:qFormat/>
    <w:uiPriority w:val="0"/>
    <w:pPr>
      <w:spacing w:line="360" w:lineRule="auto"/>
      <w:ind w:firstLine="420" w:firstLineChars="200"/>
    </w:pPr>
    <w:rPr>
      <w:szCs w:val="21"/>
    </w:rPr>
  </w:style>
  <w:style w:type="paragraph" w:styleId="66">
    <w:name w:val="List Paragraph"/>
    <w:basedOn w:val="1"/>
    <w:qFormat/>
    <w:uiPriority w:val="34"/>
    <w:pPr>
      <w:widowControl w:val="0"/>
      <w:spacing w:line="480" w:lineRule="exact"/>
      <w:ind w:firstLine="420" w:firstLineChars="200"/>
    </w:pPr>
    <w:rPr>
      <w:rFonts w:eastAsia="楷体_GB2312"/>
      <w:kern w:val="2"/>
      <w:sz w:val="28"/>
    </w:rPr>
  </w:style>
  <w:style w:type="paragraph" w:customStyle="1" w:styleId="6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9">
    <w:name w:val="列出段落1"/>
    <w:basedOn w:val="1"/>
    <w:qFormat/>
    <w:uiPriority w:val="99"/>
    <w:pPr>
      <w:widowControl w:val="0"/>
      <w:ind w:firstLine="420" w:firstLineChars="200"/>
      <w:jc w:val="both"/>
    </w:pPr>
    <w:rPr>
      <w:rFonts w:ascii="Calibri" w:hAnsi="Calibri" w:cs="Times New Roman"/>
      <w:kern w:val="2"/>
      <w:sz w:val="21"/>
      <w:szCs w:val="22"/>
    </w:rPr>
  </w:style>
  <w:style w:type="paragraph" w:customStyle="1" w:styleId="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Body Text Indent1"/>
    <w:basedOn w:val="1"/>
    <w:next w:val="1"/>
    <w:qFormat/>
    <w:uiPriority w:val="0"/>
    <w:pPr>
      <w:ind w:left="420" w:leftChars="200"/>
    </w:pPr>
    <w:rPr>
      <w:color w:val="000000"/>
      <w:szCs w:val="21"/>
    </w:rPr>
  </w:style>
  <w:style w:type="paragraph" w:customStyle="1" w:styleId="72">
    <w:name w:val="_Style 71"/>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00-三级标题-3"/>
    <w:basedOn w:val="74"/>
    <w:qFormat/>
    <w:uiPriority w:val="0"/>
    <w:pPr>
      <w:outlineLvl w:val="2"/>
    </w:pPr>
    <w:rPr>
      <w:sz w:val="30"/>
    </w:rPr>
  </w:style>
  <w:style w:type="paragraph" w:customStyle="1" w:styleId="74">
    <w:name w:val="00-二级标题-2"/>
    <w:basedOn w:val="1"/>
    <w:qFormat/>
    <w:uiPriority w:val="0"/>
    <w:pPr>
      <w:spacing w:line="360" w:lineRule="auto"/>
      <w:outlineLvl w:val="1"/>
    </w:pPr>
    <w:rPr>
      <w:rFonts w:ascii="Arial" w:hAnsi="Arial" w:eastAsia="等线 Light"/>
      <w:b/>
      <w:bCs/>
      <w:sz w:val="32"/>
      <w:szCs w:val="32"/>
    </w:rPr>
  </w:style>
  <w:style w:type="paragraph" w:customStyle="1" w:styleId="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样1"/>
    <w:basedOn w:val="1"/>
    <w:qFormat/>
    <w:uiPriority w:val="0"/>
    <w:pPr>
      <w:spacing w:line="360" w:lineRule="auto"/>
      <w:ind w:firstLine="480"/>
    </w:pPr>
    <w:rPr>
      <w:rFonts w:ascii="Calibri" w:hAnsi="Calibri"/>
      <w:sz w:val="24"/>
    </w:rPr>
  </w:style>
  <w:style w:type="paragraph" w:customStyle="1" w:styleId="77">
    <w:name w:val="纯文本1"/>
    <w:basedOn w:val="53"/>
    <w:qFormat/>
    <w:uiPriority w:val="0"/>
    <w:pPr>
      <w:widowControl/>
      <w:jc w:val="left"/>
    </w:pPr>
    <w:rPr>
      <w:rFonts w:ascii="宋体" w:hAnsi="Courier New"/>
      <w:szCs w:val="20"/>
    </w:rPr>
  </w:style>
  <w:style w:type="paragraph" w:customStyle="1" w:styleId="78">
    <w:name w:val="正文首行缩进 21"/>
    <w:basedOn w:val="71"/>
    <w:qFormat/>
    <w:uiPriority w:val="0"/>
    <w:pPr>
      <w:ind w:firstLine="420"/>
    </w:pPr>
    <w:rPr>
      <w:rFonts w:cs="宋体"/>
    </w:rPr>
  </w:style>
  <w:style w:type="paragraph" w:customStyle="1" w:styleId="79">
    <w:name w:val="表格内容"/>
    <w:basedOn w:val="1"/>
    <w:qFormat/>
    <w:uiPriority w:val="3"/>
    <w:pPr>
      <w:widowControl/>
      <w:jc w:val="center"/>
    </w:pPr>
    <w:rPr>
      <w:kern w:val="0"/>
      <w:sz w:val="24"/>
      <w:szCs w:val="28"/>
    </w:rPr>
  </w:style>
  <w:style w:type="paragraph" w:customStyle="1" w:styleId="8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8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reader-word-layer"/>
    <w:basedOn w:val="1"/>
    <w:qFormat/>
    <w:uiPriority w:val="0"/>
    <w:pPr>
      <w:spacing w:before="100" w:beforeAutospacing="1" w:after="100" w:afterAutospacing="1"/>
    </w:pPr>
    <w:rPr>
      <w:rFonts w:ascii="宋体" w:hAnsi="宋体" w:cs="宋体"/>
      <w:sz w:val="24"/>
      <w:szCs w:val="24"/>
    </w:rPr>
  </w:style>
  <w:style w:type="paragraph" w:customStyle="1" w:styleId="83">
    <w:name w:val="Normal_15"/>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
    <w:basedOn w:val="1"/>
    <w:qFormat/>
    <w:uiPriority w:val="0"/>
    <w:pPr>
      <w:widowControl w:val="0"/>
      <w:adjustRightInd/>
      <w:snapToGrid/>
      <w:spacing w:after="0" w:line="360" w:lineRule="auto"/>
      <w:ind w:firstLine="200" w:firstLineChars="200"/>
      <w:jc w:val="both"/>
    </w:pPr>
    <w:rPr>
      <w:rFonts w:ascii="宋体" w:hAnsi="宋体" w:eastAsia="宋体"/>
      <w:color w:val="000000"/>
      <w:kern w:val="2"/>
      <w:sz w:val="24"/>
      <w:szCs w:val="24"/>
    </w:rPr>
  </w:style>
  <w:style w:type="paragraph" w:customStyle="1" w:styleId="88">
    <w:name w:val="正文首行缩进2字符"/>
    <w:basedOn w:val="1"/>
    <w:qFormat/>
    <w:uiPriority w:val="0"/>
    <w:pPr>
      <w:spacing w:line="360" w:lineRule="auto"/>
      <w:ind w:firstLine="200" w:firstLineChars="200"/>
    </w:pPr>
    <w:rPr>
      <w:rFonts w:ascii="Calibri" w:hAnsi="Calibri" w:eastAsia="仿宋"/>
      <w:color w:val="auto"/>
      <w:kern w:val="2"/>
      <w:sz w:val="28"/>
    </w:rPr>
  </w:style>
  <w:style w:type="paragraph" w:customStyle="1" w:styleId="89">
    <w:name w:val="目录 44"/>
    <w:next w:val="1"/>
    <w:uiPriority w:val="0"/>
    <w:pPr>
      <w:wordWrap w:val="0"/>
      <w:ind w:left="850"/>
      <w:jc w:val="both"/>
    </w:pPr>
    <w:rPr>
      <w:rFonts w:ascii="Times New Roman" w:hAnsi="Times New Roman" w:eastAsia="宋体" w:cs="Times New Roman"/>
      <w:sz w:val="21"/>
      <w:lang w:val="en-US" w:eastAsia="zh-CN" w:bidi="ar-SA"/>
    </w:rPr>
  </w:style>
  <w:style w:type="paragraph" w:customStyle="1" w:styleId="90">
    <w:name w:val="序列"/>
    <w:basedOn w:val="1"/>
    <w:qFormat/>
    <w:uiPriority w:val="0"/>
    <w:pPr>
      <w:widowControl w:val="0"/>
      <w:numPr>
        <w:ilvl w:val="0"/>
        <w:numId w:val="4"/>
      </w:numPr>
      <w:adjustRightInd/>
      <w:snapToGrid/>
      <w:spacing w:after="0" w:line="360" w:lineRule="auto"/>
      <w:ind w:left="0" w:firstLine="482" w:firstLineChars="200"/>
      <w:jc w:val="both"/>
    </w:pPr>
    <w:rPr>
      <w:rFonts w:ascii="Calibri" w:hAnsi="Calibri" w:eastAsia="宋体"/>
      <w:kern w:val="2"/>
      <w:sz w:val="24"/>
    </w:rPr>
  </w:style>
  <w:style w:type="paragraph" w:customStyle="1" w:styleId="91">
    <w:name w:val="表格标题"/>
    <w:next w:val="1"/>
    <w:qFormat/>
    <w:uiPriority w:val="2"/>
    <w:pPr>
      <w:tabs>
        <w:tab w:val="center" w:pos="4395"/>
      </w:tabs>
      <w:spacing w:line="360" w:lineRule="auto"/>
      <w:jc w:val="center"/>
    </w:pPr>
    <w:rPr>
      <w:rFonts w:ascii="Times New Roman" w:hAnsi="Times New Roman" w:eastAsia="宋体" w:cs="宋体"/>
      <w:b/>
      <w:sz w:val="28"/>
      <w:szCs w:val="28"/>
      <w:lang w:val="en-US" w:eastAsia="zh-CN" w:bidi="ar-SA"/>
    </w:rPr>
  </w:style>
  <w:style w:type="paragraph" w:customStyle="1" w:styleId="92">
    <w:name w:val="正文（缩进）"/>
    <w:basedOn w:val="1"/>
    <w:qFormat/>
    <w:uiPriority w:val="99"/>
    <w:pPr>
      <w:ind w:firstLine="480"/>
    </w:pPr>
    <w:rPr>
      <w:kern w:val="0"/>
      <w:lang w:val="zh-CN"/>
    </w:rPr>
  </w:style>
  <w:style w:type="paragraph" w:customStyle="1" w:styleId="93">
    <w:name w:val="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Normal]"/>
    <w:qFormat/>
    <w:uiPriority w:val="0"/>
    <w:rPr>
      <w:rFonts w:ascii="宋体" w:hAnsi="宋体" w:eastAsia="宋体" w:cs="Times New Roman"/>
      <w:sz w:val="24"/>
      <w:lang w:val="en-US" w:eastAsia="en-US" w:bidi="ar-SA"/>
    </w:rPr>
  </w:style>
  <w:style w:type="character" w:customStyle="1" w:styleId="95">
    <w:name w:val="表头 Char"/>
    <w:link w:val="96"/>
    <w:qFormat/>
    <w:uiPriority w:val="0"/>
    <w:rPr>
      <w:b/>
    </w:rPr>
  </w:style>
  <w:style w:type="paragraph" w:customStyle="1" w:styleId="96">
    <w:name w:val="表头、图名"/>
    <w:basedOn w:val="1"/>
    <w:link w:val="95"/>
    <w:qFormat/>
    <w:uiPriority w:val="0"/>
    <w:pPr>
      <w:widowControl w:val="0"/>
      <w:spacing w:line="240" w:lineRule="auto"/>
      <w:ind w:firstLine="0" w:firstLineChars="0"/>
      <w:jc w:val="center"/>
    </w:pPr>
    <w:rPr>
      <w:b/>
    </w:rPr>
  </w:style>
  <w:style w:type="paragraph" w:customStyle="1" w:styleId="97">
    <w:name w:val="图名"/>
    <w:next w:val="1"/>
    <w:qFormat/>
    <w:uiPriority w:val="1"/>
    <w:pPr>
      <w:spacing w:line="360" w:lineRule="auto"/>
      <w:jc w:val="center"/>
    </w:pPr>
    <w:rPr>
      <w:rFonts w:ascii="Times New Roman" w:hAnsi="Times New Roman" w:eastAsia="宋体" w:cs="宋体"/>
      <w:b/>
      <w:color w:val="000000"/>
      <w:sz w:val="28"/>
      <w:szCs w:val="28"/>
      <w:lang w:val="en-US" w:eastAsia="zh-CN" w:bidi="ar-SA"/>
    </w:rPr>
  </w:style>
  <w:style w:type="paragraph" w:customStyle="1" w:styleId="98">
    <w:name w:val="表格"/>
    <w:basedOn w:val="1"/>
    <w:qFormat/>
    <w:uiPriority w:val="0"/>
    <w:pPr>
      <w:widowControl w:val="0"/>
      <w:spacing w:line="240" w:lineRule="auto"/>
      <w:ind w:firstLine="0" w:firstLineChars="0"/>
      <w:jc w:val="center"/>
    </w:pPr>
    <w:rPr>
      <w:rFonts w:ascii="楷体_GB2312" w:hAnsi="宋体" w:eastAsia="楷体_GB2312" w:cs="Times New Roman"/>
      <w:sz w:val="21"/>
      <w:szCs w:val="20"/>
    </w:rPr>
  </w:style>
  <w:style w:type="paragraph" w:customStyle="1" w:styleId="99">
    <w:name w:val="标题2"/>
    <w:basedOn w:val="3"/>
    <w:qFormat/>
    <w:uiPriority w:val="0"/>
    <w:pPr>
      <w:widowControl w:val="0"/>
      <w:ind w:left="0" w:firstLine="0"/>
      <w:jc w:val="both"/>
    </w:pPr>
    <w:rPr>
      <w:rFonts w:ascii="time" w:hAnsi="time"/>
      <w:szCs w:val="32"/>
    </w:rPr>
  </w:style>
  <w:style w:type="character" w:customStyle="1" w:styleId="100">
    <w:name w:val="font21"/>
    <w:qFormat/>
    <w:uiPriority w:val="0"/>
    <w:rPr>
      <w:rFonts w:hint="eastAsia" w:ascii="宋体" w:hAnsi="宋体" w:eastAsia="宋体"/>
      <w:color w:val="000000"/>
      <w:sz w:val="22"/>
      <w:szCs w:val="22"/>
      <w:u w:val="none"/>
    </w:rPr>
  </w:style>
  <w:style w:type="character" w:customStyle="1" w:styleId="101">
    <w:name w:val="font81"/>
    <w:basedOn w:val="35"/>
    <w:qFormat/>
    <w:uiPriority w:val="0"/>
    <w:rPr>
      <w:rFonts w:hint="eastAsia" w:ascii="宋体" w:hAnsi="宋体" w:eastAsia="宋体"/>
      <w:b/>
      <w:bCs/>
      <w:color w:val="000000"/>
      <w:sz w:val="24"/>
      <w:szCs w:val="24"/>
      <w:u w:val="none"/>
    </w:rPr>
  </w:style>
  <w:style w:type="paragraph" w:customStyle="1" w:styleId="102">
    <w:name w:val="签发人"/>
    <w:basedOn w:val="1"/>
    <w:qFormat/>
    <w:uiPriority w:val="0"/>
    <w:rPr>
      <w:rFonts w:eastAsia="楷体"/>
      <w:sz w:val="32"/>
    </w:rPr>
  </w:style>
  <w:style w:type="character" w:customStyle="1" w:styleId="103">
    <w:name w:val="NormalCharacter"/>
    <w:semiHidden/>
    <w:qFormat/>
    <w:uiPriority w:val="0"/>
  </w:style>
  <w:style w:type="character" w:customStyle="1" w:styleId="104">
    <w:name w:val="标题 2 Char"/>
    <w:qFormat/>
    <w:uiPriority w:val="0"/>
    <w:rPr>
      <w:rFonts w:ascii="宋体" w:hAnsi="宋体" w:eastAsia="黑体"/>
      <w:b/>
      <w:bCs/>
      <w:kern w:val="2"/>
      <w:sz w:val="24"/>
      <w:szCs w:val="32"/>
      <w:lang w:val="en-US" w:eastAsia="zh-CN" w:bidi="ar-SA"/>
    </w:rPr>
  </w:style>
  <w:style w:type="paragraph" w:customStyle="1" w:styleId="105">
    <w:name w:val="Body Text Indent 2_bb4d1f65-70a2-4f69-8af3-194d898dc300"/>
    <w:basedOn w:val="1"/>
    <w:qFormat/>
    <w:uiPriority w:val="0"/>
    <w:pPr>
      <w:spacing w:after="120" w:line="480" w:lineRule="auto"/>
      <w:ind w:left="200" w:leftChars="200"/>
    </w:pPr>
    <w:rPr>
      <w:rFonts w:ascii="Times New Roman" w:hAnsi="Times New Roman" w:eastAsia="宋体" w:cs="Times New Roman"/>
    </w:rPr>
  </w:style>
  <w:style w:type="paragraph" w:customStyle="1" w:styleId="106">
    <w:name w:val="正文缩进1"/>
    <w:basedOn w:val="1"/>
    <w:qFormat/>
    <w:uiPriority w:val="0"/>
    <w:pPr>
      <w:widowControl/>
      <w:ind w:firstLine="42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11413</Words>
  <Characters>12664</Characters>
  <Lines>185</Lines>
  <Paragraphs>52</Paragraphs>
  <TotalTime>32</TotalTime>
  <ScaleCrop>false</ScaleCrop>
  <LinksUpToDate>false</LinksUpToDate>
  <CharactersWithSpaces>12875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2022-05-16T08:37:00Z</dcterms:created>
  <dc:creator>Administrator</dc:creator>
  <cp:lastModifiedBy>vv</cp:lastModifiedBy>
  <cp:lastPrinted>2022-06-27T08:37:00Z</cp:lastPrinted>
  <dcterms:modified xsi:type="dcterms:W3CDTF">2025-06-23T03:56:26Z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B3C9908881644918B3A3600A7FFC9DA8_13</vt:lpwstr>
  </property>
  <property fmtid="{D5CDD505-2E9C-101B-9397-08002B2CF9AE}" pid="4" name="KSOTemplateDocerSaveRecord">
    <vt:lpwstr>eyJoZGlkIjoiODljYTg1NGUzZjdjM2IyMDRjMWNkZDhlMDFhMTZjZDgiLCJ1c2VySWQiOiI0MDA0Mjg1MzIifQ==</vt:lpwstr>
  </property>
</Properties>
</file>